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week </w:t>
      </w:r>
      <w:r w:rsidR="002A4BA8">
        <w:rPr>
          <w:rFonts w:asciiTheme="minorHAnsi" w:hAnsiTheme="minorHAnsi"/>
          <w:sz w:val="20"/>
          <w:szCs w:val="20"/>
          <w:u w:val="single"/>
        </w:rPr>
        <w:t>2</w:t>
      </w:r>
      <w:r w:rsidR="00040DB4">
        <w:rPr>
          <w:rFonts w:asciiTheme="minorHAnsi" w:hAnsiTheme="minorHAnsi"/>
          <w:sz w:val="20"/>
          <w:szCs w:val="20"/>
          <w:u w:val="single"/>
        </w:rPr>
        <w:t>1</w:t>
      </w:r>
      <w:bookmarkStart w:name="_GoBack" w:id="0"/>
      <w:bookmarkEnd w:id="0"/>
      <w:r w:rsidR="001A5F99">
        <w:rPr>
          <w:rFonts w:asciiTheme="minorHAnsi" w:hAnsiTheme="minorHAnsi"/>
          <w:sz w:val="20"/>
          <w:szCs w:val="20"/>
          <w:u w:val="single"/>
        </w:rPr>
        <w:t>-24</w:t>
      </w:r>
      <w:r w:rsidRPr="005B10A2">
        <w:rPr>
          <w:rFonts w:asciiTheme="minorHAnsi" w:hAnsiTheme="minorHAnsi"/>
          <w:sz w:val="20"/>
          <w:szCs w:val="20"/>
          <w:u w:val="single"/>
        </w:rPr>
        <w:t xml:space="preserve"> </w:t>
      </w:r>
      <w:r w:rsidR="005B323D">
        <w:rPr>
          <w:rFonts w:asciiTheme="minorHAnsi" w:hAnsiTheme="minorHAnsi"/>
          <w:sz w:val="20"/>
          <w:szCs w:val="20"/>
          <w:u w:val="single"/>
        </w:rPr>
        <w:t>(</w:t>
      </w:r>
      <w:r w:rsidR="00A5298A">
        <w:rPr>
          <w:rFonts w:asciiTheme="minorHAnsi" w:hAnsiTheme="minorHAnsi"/>
          <w:sz w:val="20"/>
          <w:szCs w:val="20"/>
          <w:u w:val="single"/>
        </w:rPr>
        <w:t>2</w:t>
      </w:r>
      <w:r w:rsidR="00040DB4">
        <w:rPr>
          <w:rFonts w:asciiTheme="minorHAnsi" w:hAnsiTheme="minorHAnsi"/>
          <w:sz w:val="20"/>
          <w:szCs w:val="20"/>
          <w:u w:val="single"/>
        </w:rPr>
        <w:t>4</w:t>
      </w:r>
      <w:r w:rsidR="00B86BB8">
        <w:rPr>
          <w:rFonts w:asciiTheme="minorHAnsi" w:hAnsiTheme="minorHAnsi"/>
          <w:sz w:val="20"/>
          <w:szCs w:val="20"/>
          <w:u w:val="single"/>
        </w:rPr>
        <w:t xml:space="preserve"> mei</w:t>
      </w:r>
      <w:r w:rsidR="005B323D">
        <w:rPr>
          <w:rFonts w:asciiTheme="minorHAnsi" w:hAnsiTheme="minorHAnsi"/>
          <w:sz w:val="20"/>
          <w:szCs w:val="20"/>
          <w:u w:val="single"/>
        </w:rPr>
        <w:t xml:space="preserve"> 2017</w:t>
      </w:r>
      <w:r w:rsidR="00C60B45">
        <w:rPr>
          <w:rFonts w:asciiTheme="minorHAnsi" w:hAnsiTheme="minorHAnsi"/>
          <w:sz w:val="20"/>
          <w:szCs w:val="20"/>
          <w:u w:val="single"/>
        </w:rPr>
        <w:t xml:space="preserve"> –</w:t>
      </w:r>
      <w:r w:rsidR="00EF48F7">
        <w:rPr>
          <w:rFonts w:asciiTheme="minorHAnsi" w:hAnsiTheme="minorHAnsi"/>
          <w:sz w:val="20"/>
          <w:szCs w:val="20"/>
          <w:u w:val="single"/>
        </w:rPr>
        <w:t xml:space="preserve"> </w:t>
      </w:r>
      <w:r w:rsidR="00A5298A">
        <w:rPr>
          <w:rFonts w:asciiTheme="minorHAnsi" w:hAnsiTheme="minorHAnsi"/>
          <w:sz w:val="20"/>
          <w:szCs w:val="20"/>
          <w:u w:val="single"/>
        </w:rPr>
        <w:t>14 juni</w:t>
      </w:r>
      <w:r w:rsidR="00B86BB8">
        <w:rPr>
          <w:rFonts w:asciiTheme="minorHAnsi" w:hAnsiTheme="minorHAnsi"/>
          <w:sz w:val="20"/>
          <w:szCs w:val="20"/>
          <w:u w:val="single"/>
        </w:rPr>
        <w:t xml:space="preserve"> </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 xml:space="preserve">) d.d. </w:t>
      </w:r>
      <w:r w:rsidR="00A5298A">
        <w:rPr>
          <w:rFonts w:asciiTheme="minorHAnsi" w:hAnsiTheme="minorHAnsi"/>
          <w:sz w:val="20"/>
          <w:szCs w:val="20"/>
          <w:u w:val="single"/>
        </w:rPr>
        <w:t>14</w:t>
      </w:r>
      <w:r w:rsidR="004E324F">
        <w:rPr>
          <w:rFonts w:asciiTheme="minorHAnsi" w:hAnsiTheme="minorHAnsi"/>
          <w:sz w:val="20"/>
          <w:szCs w:val="20"/>
          <w:u w:val="single"/>
        </w:rPr>
        <w:t xml:space="preserve"> juni</w:t>
      </w:r>
      <w:r w:rsidRPr="0027622B" w:rsidR="0027622B">
        <w:rPr>
          <w:rFonts w:asciiTheme="minorHAnsi" w:hAnsiTheme="minorHAnsi"/>
          <w:sz w:val="20"/>
          <w:szCs w:val="20"/>
          <w:u w:val="single"/>
        </w:rPr>
        <w:t xml:space="preserve"> 2017</w:t>
      </w:r>
      <w:r w:rsidRPr="0027622B">
        <w:rPr>
          <w:rFonts w:asciiTheme="minorHAnsi" w:hAnsiTheme="minorHAnsi"/>
          <w:sz w:val="20"/>
          <w:szCs w:val="20"/>
          <w:u w:val="single"/>
        </w:rPr>
        <w:t>.</w:t>
      </w:r>
    </w:p>
    <w:p w:rsidRPr="00356600" w:rsidR="00AB22DA" w:rsidRDefault="00040DB4">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670"/>
        <w:gridCol w:w="709"/>
        <w:gridCol w:w="992"/>
        <w:gridCol w:w="3402"/>
      </w:tblGrid>
      <w:tr w:rsidRPr="00356600" w:rsidR="003B00CB" w:rsidTr="00EF48F7">
        <w:trPr>
          <w:trHeight w:val="1550"/>
        </w:trPr>
        <w:tc>
          <w:tcPr>
            <w:tcW w:w="143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Publicatie-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datum</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Voortouw</w:t>
            </w:r>
          </w:p>
        </w:tc>
        <w:tc>
          <w:tcPr>
            <w:tcW w:w="155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Soort</w:t>
            </w:r>
          </w:p>
        </w:tc>
        <w:tc>
          <w:tcPr>
            <w:tcW w:w="5670"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Titel</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COM-nummer</w:t>
            </w:r>
          </w:p>
        </w:tc>
        <w:tc>
          <w:tcPr>
            <w:tcW w:w="992" w:type="dxa"/>
            <w:textDirection w:val="btLr"/>
          </w:tcPr>
          <w:p w:rsidRPr="00356600" w:rsidR="003B00CB" w:rsidP="005944B2" w:rsidRDefault="003B00CB">
            <w:pPr>
              <w:rPr>
                <w:rFonts w:asciiTheme="minorHAnsi" w:hAnsiTheme="minorHAnsi"/>
                <w:b/>
                <w:bCs/>
                <w:color w:val="000000"/>
                <w:sz w:val="20"/>
                <w:szCs w:val="20"/>
              </w:rPr>
            </w:pP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Deadline</w:t>
            </w:r>
          </w:p>
          <w:p w:rsidRPr="00356600" w:rsidR="003B00CB" w:rsidP="005944B2" w:rsidRDefault="003B00CB">
            <w:pPr>
              <w:rPr>
                <w:rFonts w:asciiTheme="minorHAnsi" w:hAnsiTheme="minorHAnsi"/>
                <w:b/>
                <w:bCs/>
                <w:color w:val="000000"/>
                <w:sz w:val="20"/>
                <w:szCs w:val="20"/>
              </w:rPr>
            </w:pPr>
            <w:proofErr w:type="spellStart"/>
            <w:r w:rsidRPr="00356600">
              <w:rPr>
                <w:rFonts w:asciiTheme="minorHAnsi" w:hAnsiTheme="minorHAnsi"/>
                <w:b/>
                <w:bCs/>
                <w:color w:val="000000"/>
                <w:sz w:val="20"/>
                <w:szCs w:val="20"/>
              </w:rPr>
              <w:t>Sub.toets</w:t>
            </w:r>
            <w:proofErr w:type="spellEnd"/>
          </w:p>
        </w:tc>
        <w:tc>
          <w:tcPr>
            <w:tcW w:w="3402"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Opmerking</w:t>
            </w:r>
          </w:p>
        </w:tc>
      </w:tr>
      <w:tr w:rsidRPr="00356600" w:rsidR="003B00CB" w:rsidTr="00EF48F7">
        <w:trPr>
          <w:trHeight w:val="300"/>
        </w:trPr>
        <w:tc>
          <w:tcPr>
            <w:tcW w:w="143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5670"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356600" w:rsidR="003B00CB" w:rsidP="005944B2" w:rsidRDefault="003B00CB">
            <w:pPr>
              <w:rPr>
                <w:rFonts w:asciiTheme="minorHAnsi" w:hAnsiTheme="minorHAnsi"/>
                <w:b/>
                <w:bCs/>
                <w:color w:val="000000"/>
                <w:sz w:val="20"/>
                <w:szCs w:val="20"/>
              </w:rPr>
            </w:pPr>
          </w:p>
        </w:tc>
        <w:tc>
          <w:tcPr>
            <w:tcW w:w="3402" w:type="dxa"/>
            <w:tcBorders>
              <w:bottom w:val="single" w:color="auto" w:sz="4" w:space="0"/>
            </w:tcBorders>
            <w:shd w:val="clear" w:color="000000" w:fill="538DD5"/>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r>
      <w:tr w:rsidRPr="006E1B67" w:rsidR="00A5298A" w:rsidTr="004E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298A" w:rsidR="00A5298A" w:rsidP="00A63ED9" w:rsidRDefault="00A5298A">
            <w:pPr>
              <w:rPr>
                <w:rFonts w:asciiTheme="minorHAnsi" w:hAnsiTheme="minorHAnsi"/>
                <w:sz w:val="20"/>
                <w:szCs w:val="20"/>
              </w:rPr>
            </w:pPr>
            <w:r w:rsidRPr="00A5298A">
              <w:rPr>
                <w:rFonts w:asciiTheme="minorHAnsi" w:hAnsiTheme="minorHAnsi"/>
                <w:sz w:val="20"/>
                <w:szCs w:val="20"/>
              </w:rPr>
              <w:t>30-mei-17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A5298A" w:rsidR="00A5298A" w:rsidP="00A63ED9" w:rsidRDefault="00A5298A">
            <w:pPr>
              <w:rPr>
                <w:rFonts w:asciiTheme="minorHAnsi" w:hAnsiTheme="minorHAnsi"/>
                <w:sz w:val="20"/>
                <w:szCs w:val="20"/>
              </w:rPr>
            </w:pPr>
            <w:r w:rsidRPr="00A5298A">
              <w:rPr>
                <w:rFonts w:asciiTheme="minorHAnsi" w:hAnsiTheme="minorHAnsi"/>
                <w:sz w:val="20"/>
                <w:szCs w:val="20"/>
              </w:rPr>
              <w:t>EU</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A5298A" w:rsidR="00A5298A" w:rsidP="00A63ED9" w:rsidRDefault="00A5298A">
            <w:pPr>
              <w:rPr>
                <w:rFonts w:asciiTheme="minorHAnsi" w:hAnsiTheme="minorHAnsi"/>
                <w:sz w:val="20"/>
                <w:szCs w:val="20"/>
              </w:rPr>
            </w:pPr>
            <w:r w:rsidRPr="00A5298A">
              <w:rPr>
                <w:rFonts w:asciiTheme="minorHAnsi" w:hAnsiTheme="minorHAnsi"/>
                <w:sz w:val="20"/>
                <w:szCs w:val="20"/>
              </w:rPr>
              <w:t>mededeling</w:t>
            </w:r>
          </w:p>
        </w:tc>
        <w:tc>
          <w:tcPr>
            <w:tcW w:w="5670" w:type="dxa"/>
            <w:tcBorders>
              <w:top w:val="single" w:color="auto" w:sz="4" w:space="0"/>
              <w:left w:val="nil"/>
              <w:bottom w:val="single" w:color="auto" w:sz="4" w:space="0"/>
              <w:right w:val="nil"/>
            </w:tcBorders>
            <w:shd w:val="clear" w:color="auto" w:fill="FFFFFF" w:themeFill="background1"/>
            <w:noWrap/>
          </w:tcPr>
          <w:p w:rsidRPr="00A5298A" w:rsidR="00A5298A" w:rsidP="00A63ED9" w:rsidRDefault="00A5298A">
            <w:pPr>
              <w:rPr>
                <w:rFonts w:asciiTheme="minorHAnsi" w:hAnsiTheme="minorHAnsi"/>
                <w:sz w:val="20"/>
                <w:szCs w:val="20"/>
                <w:lang w:val="en-GB"/>
              </w:rPr>
            </w:pPr>
            <w:r w:rsidRPr="00A5298A">
              <w:rPr>
                <w:rFonts w:asciiTheme="minorHAnsi" w:hAnsiTheme="minorHAnsi"/>
                <w:sz w:val="20"/>
                <w:szCs w:val="20"/>
                <w:lang w:val="en-GB"/>
              </w:rPr>
              <w:t xml:space="preserve">COMMUNICATION FROM THE COMMISSION TO THE EUROPEAN PARLIAMENT AND THE COUNCIL Consequences for the European Union's Budget 2018 and beyond in case the Mid-Term Revision of the Multiannual Financial Framework 2014-20 is not adopted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298A" w:rsidR="00A5298A" w:rsidP="006E1B67" w:rsidRDefault="00A5298A">
            <w:pPr>
              <w:rPr>
                <w:rFonts w:asciiTheme="minorHAnsi" w:hAnsiTheme="minorHAnsi"/>
                <w:color w:val="0000FF"/>
                <w:sz w:val="20"/>
                <w:szCs w:val="20"/>
                <w:u w:val="single"/>
              </w:rPr>
            </w:pPr>
            <w:hyperlink w:history="1" r:id="rId11">
              <w:r w:rsidRPr="00A5298A">
                <w:rPr>
                  <w:rStyle w:val="Hyperlink"/>
                  <w:rFonts w:asciiTheme="minorHAnsi" w:hAnsiTheme="minorHAnsi"/>
                  <w:sz w:val="20"/>
                  <w:szCs w:val="20"/>
                </w:rPr>
                <w:t>290</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A5298A" w:rsidR="00A5298A" w:rsidP="006E1B67" w:rsidRDefault="00A5298A">
            <w:pPr>
              <w:rPr>
                <w:rFonts w:asciiTheme="minorHAnsi" w:hAnsiTheme="minorHAnsi"/>
                <w:sz w:val="20"/>
                <w:szCs w:val="20"/>
              </w:rPr>
            </w:pPr>
            <w:proofErr w:type="spellStart"/>
            <w:r w:rsidRPr="00A5298A">
              <w:rPr>
                <w:rFonts w:asciiTheme="minorHAnsi" w:hAnsiTheme="minorHAnsi"/>
                <w:sz w:val="20"/>
                <w:szCs w:val="20"/>
              </w:rPr>
              <w:t>nvt</w:t>
            </w:r>
            <w:proofErr w:type="spellEnd"/>
          </w:p>
        </w:tc>
        <w:tc>
          <w:tcPr>
            <w:tcW w:w="3402" w:type="dxa"/>
            <w:tcBorders>
              <w:top w:val="single" w:color="auto" w:sz="4" w:space="0"/>
              <w:left w:val="nil"/>
              <w:bottom w:val="single" w:color="auto" w:sz="4" w:space="0"/>
              <w:right w:val="single" w:color="auto" w:sz="4" w:space="0"/>
            </w:tcBorders>
            <w:shd w:val="clear" w:color="auto" w:fill="FFFFFF" w:themeFill="background1"/>
          </w:tcPr>
          <w:p w:rsidRPr="00A5298A" w:rsidR="00A5298A" w:rsidP="0037130C" w:rsidRDefault="0037130C">
            <w:pPr>
              <w:rPr>
                <w:rFonts w:asciiTheme="minorHAnsi" w:hAnsiTheme="minorHAnsi"/>
                <w:sz w:val="20"/>
                <w:szCs w:val="20"/>
              </w:rPr>
            </w:pPr>
            <w:r>
              <w:rPr>
                <w:rFonts w:asciiTheme="minorHAnsi" w:hAnsiTheme="minorHAnsi"/>
                <w:sz w:val="20"/>
                <w:szCs w:val="20"/>
              </w:rPr>
              <w:t xml:space="preserve">Desgewenst betrokken bij het AO Meerjarig Financieel Kader d.d. 14 juni 2017. De rapporteur(s) </w:t>
            </w:r>
            <w:proofErr w:type="spellStart"/>
            <w:r>
              <w:rPr>
                <w:rFonts w:asciiTheme="minorHAnsi" w:hAnsiTheme="minorHAnsi"/>
                <w:sz w:val="20"/>
                <w:szCs w:val="20"/>
              </w:rPr>
              <w:t>MFK</w:t>
            </w:r>
            <w:proofErr w:type="spellEnd"/>
            <w:r>
              <w:rPr>
                <w:rFonts w:asciiTheme="minorHAnsi" w:hAnsiTheme="minorHAnsi"/>
                <w:sz w:val="20"/>
                <w:szCs w:val="20"/>
              </w:rPr>
              <w:t xml:space="preserve"> kan gevraagd worden deze Mededeling te betrekken in zijn/hun werkzaamheden.</w:t>
            </w:r>
          </w:p>
        </w:tc>
      </w:tr>
      <w:tr w:rsidRPr="006E1B67" w:rsidR="00A5298A" w:rsidTr="004E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298A" w:rsidR="00A5298A" w:rsidP="001E1F7E" w:rsidRDefault="00A5298A">
            <w:pPr>
              <w:rPr>
                <w:rFonts w:asciiTheme="minorHAnsi" w:hAnsiTheme="minorHAnsi"/>
                <w:sz w:val="20"/>
                <w:szCs w:val="20"/>
              </w:rPr>
            </w:pPr>
            <w:r w:rsidRPr="00A5298A">
              <w:rPr>
                <w:rFonts w:asciiTheme="minorHAnsi" w:hAnsiTheme="minorHAnsi"/>
                <w:sz w:val="20"/>
                <w:szCs w:val="20"/>
              </w:rPr>
              <w:t>24-mei-17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A5298A" w:rsidR="00A5298A" w:rsidP="001E1F7E" w:rsidRDefault="00A5298A">
            <w:pPr>
              <w:rPr>
                <w:rFonts w:asciiTheme="minorHAnsi" w:hAnsiTheme="minorHAnsi"/>
                <w:sz w:val="20"/>
                <w:szCs w:val="20"/>
              </w:rPr>
            </w:pPr>
            <w:r>
              <w:rPr>
                <w:rFonts w:asciiTheme="minorHAnsi" w:hAnsiTheme="minorHAnsi"/>
                <w:sz w:val="20"/>
                <w:szCs w:val="20"/>
              </w:rPr>
              <w:t>EU</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A5298A" w:rsidR="00A5298A" w:rsidP="001E1F7E" w:rsidRDefault="00A5298A">
            <w:pPr>
              <w:rPr>
                <w:rFonts w:asciiTheme="minorHAnsi" w:hAnsiTheme="minorHAnsi"/>
                <w:sz w:val="20"/>
                <w:szCs w:val="20"/>
              </w:rPr>
            </w:pPr>
            <w:r w:rsidRPr="00A5298A">
              <w:rPr>
                <w:rFonts w:asciiTheme="minorHAnsi" w:hAnsiTheme="minorHAnsi"/>
                <w:sz w:val="20"/>
                <w:szCs w:val="20"/>
              </w:rPr>
              <w:t>mededeling</w:t>
            </w:r>
          </w:p>
        </w:tc>
        <w:tc>
          <w:tcPr>
            <w:tcW w:w="5670" w:type="dxa"/>
            <w:tcBorders>
              <w:top w:val="single" w:color="auto" w:sz="4" w:space="0"/>
              <w:left w:val="nil"/>
              <w:bottom w:val="single" w:color="auto" w:sz="4" w:space="0"/>
              <w:right w:val="nil"/>
            </w:tcBorders>
            <w:shd w:val="clear" w:color="auto" w:fill="FFFFFF" w:themeFill="background1"/>
            <w:noWrap/>
          </w:tcPr>
          <w:p w:rsidRPr="00A5298A" w:rsidR="00A5298A" w:rsidP="001E1F7E" w:rsidRDefault="00A5298A">
            <w:pPr>
              <w:rPr>
                <w:rFonts w:asciiTheme="minorHAnsi" w:hAnsiTheme="minorHAnsi"/>
                <w:sz w:val="20"/>
                <w:szCs w:val="20"/>
              </w:rPr>
            </w:pPr>
            <w:r w:rsidRPr="00A5298A">
              <w:rPr>
                <w:rFonts w:asciiTheme="minorHAnsi" w:hAnsiTheme="minorHAnsi"/>
                <w:sz w:val="20"/>
                <w:szCs w:val="20"/>
              </w:rPr>
              <w:t xml:space="preserve">MEDEDELING VAN DE COMMISSIE AAN DE RAAD EN HET EUROPEES PARLEMENT Technische aanpassing van het financieel kader voor 2018 in overeenstemming met de ontwikkeling van het </w:t>
            </w:r>
            <w:proofErr w:type="spellStart"/>
            <w:r w:rsidRPr="00A5298A">
              <w:rPr>
                <w:rFonts w:asciiTheme="minorHAnsi" w:hAnsiTheme="minorHAnsi"/>
                <w:sz w:val="20"/>
                <w:szCs w:val="20"/>
              </w:rPr>
              <w:t>bni</w:t>
            </w:r>
            <w:proofErr w:type="spellEnd"/>
            <w:r w:rsidRPr="00A5298A">
              <w:rPr>
                <w:rFonts w:asciiTheme="minorHAnsi" w:hAnsiTheme="minorHAnsi"/>
                <w:sz w:val="20"/>
                <w:szCs w:val="20"/>
              </w:rPr>
              <w:t xml:space="preserve"> (</w:t>
            </w:r>
            <w:proofErr w:type="spellStart"/>
            <w:r w:rsidRPr="00A5298A">
              <w:rPr>
                <w:rFonts w:asciiTheme="minorHAnsi" w:hAnsiTheme="minorHAnsi"/>
                <w:sz w:val="20"/>
                <w:szCs w:val="20"/>
              </w:rPr>
              <w:t>ESR</w:t>
            </w:r>
            <w:proofErr w:type="spellEnd"/>
            <w:r w:rsidRPr="00A5298A">
              <w:rPr>
                <w:rFonts w:asciiTheme="minorHAnsi" w:hAnsiTheme="minorHAnsi"/>
                <w:sz w:val="20"/>
                <w:szCs w:val="20"/>
              </w:rPr>
              <w:t xml:space="preserve"> 2010) (Artikel 6 van Verordening nr. 1311/2013 van de Raad tot bepaling van het meerjarig financieel kader voor de jaren 2014-2020)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298A" w:rsidR="00A5298A" w:rsidP="001E1F7E" w:rsidRDefault="00A5298A">
            <w:pPr>
              <w:rPr>
                <w:rFonts w:asciiTheme="minorHAnsi" w:hAnsiTheme="minorHAnsi"/>
                <w:sz w:val="20"/>
                <w:szCs w:val="20"/>
              </w:rPr>
            </w:pPr>
            <w:hyperlink w:history="1" r:id="rId12">
              <w:r w:rsidRPr="00A5298A">
                <w:rPr>
                  <w:rStyle w:val="Hyperlink"/>
                  <w:rFonts w:asciiTheme="minorHAnsi" w:hAnsiTheme="minorHAnsi"/>
                  <w:sz w:val="20"/>
                  <w:szCs w:val="20"/>
                </w:rPr>
                <w:t>220</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A5298A" w:rsidR="00A5298A" w:rsidP="006E1B67" w:rsidRDefault="00A5298A">
            <w:pPr>
              <w:rPr>
                <w:rFonts w:asciiTheme="minorHAnsi" w:hAnsiTheme="minorHAnsi"/>
                <w:sz w:val="20"/>
                <w:szCs w:val="20"/>
              </w:rPr>
            </w:pPr>
            <w:proofErr w:type="spellStart"/>
            <w:r>
              <w:rPr>
                <w:rFonts w:asciiTheme="minorHAnsi" w:hAnsiTheme="minorHAnsi"/>
                <w:sz w:val="20"/>
                <w:szCs w:val="20"/>
              </w:rPr>
              <w:t>nvt</w:t>
            </w:r>
            <w:proofErr w:type="spellEnd"/>
          </w:p>
        </w:tc>
        <w:tc>
          <w:tcPr>
            <w:tcW w:w="3402" w:type="dxa"/>
            <w:tcBorders>
              <w:top w:val="single" w:color="auto" w:sz="4" w:space="0"/>
              <w:left w:val="nil"/>
              <w:bottom w:val="single" w:color="auto" w:sz="4" w:space="0"/>
              <w:right w:val="single" w:color="auto" w:sz="4" w:space="0"/>
            </w:tcBorders>
            <w:shd w:val="clear" w:color="auto" w:fill="FFFFFF" w:themeFill="background1"/>
          </w:tcPr>
          <w:p w:rsidRPr="00A5298A" w:rsidR="00A5298A" w:rsidP="004E324F" w:rsidRDefault="0037130C">
            <w:pPr>
              <w:rPr>
                <w:rFonts w:asciiTheme="minorHAnsi" w:hAnsiTheme="minorHAnsi"/>
                <w:sz w:val="20"/>
                <w:szCs w:val="20"/>
              </w:rPr>
            </w:pPr>
            <w:r>
              <w:rPr>
                <w:rFonts w:asciiTheme="minorHAnsi" w:hAnsiTheme="minorHAnsi"/>
                <w:sz w:val="20"/>
                <w:szCs w:val="20"/>
              </w:rPr>
              <w:t xml:space="preserve">Desgewenst betrokken bij het AO Meerjarig Financieel Kader d.d. 14 juni 2017. De rapporteur(s) </w:t>
            </w:r>
            <w:proofErr w:type="spellStart"/>
            <w:r>
              <w:rPr>
                <w:rFonts w:asciiTheme="minorHAnsi" w:hAnsiTheme="minorHAnsi"/>
                <w:sz w:val="20"/>
                <w:szCs w:val="20"/>
              </w:rPr>
              <w:t>MFK</w:t>
            </w:r>
            <w:proofErr w:type="spellEnd"/>
            <w:r>
              <w:rPr>
                <w:rFonts w:asciiTheme="minorHAnsi" w:hAnsiTheme="minorHAnsi"/>
                <w:sz w:val="20"/>
                <w:szCs w:val="20"/>
              </w:rPr>
              <w:t xml:space="preserve"> kan gevraagd worden deze Mededeling te betrekken in zijn/hun werkzaamheden.</w:t>
            </w:r>
          </w:p>
        </w:tc>
      </w:tr>
      <w:tr w:rsidRPr="006E1B67" w:rsidR="002963A1" w:rsidTr="004E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963A1" w:rsidR="002963A1" w:rsidP="009C70F6" w:rsidRDefault="002963A1">
            <w:pPr>
              <w:rPr>
                <w:rFonts w:asciiTheme="minorHAnsi" w:hAnsiTheme="minorHAnsi"/>
                <w:sz w:val="20"/>
                <w:szCs w:val="20"/>
              </w:rPr>
            </w:pPr>
            <w:r w:rsidRPr="002963A1">
              <w:rPr>
                <w:rFonts w:asciiTheme="minorHAnsi" w:hAnsiTheme="minorHAnsi"/>
                <w:sz w:val="20"/>
                <w:szCs w:val="20"/>
              </w:rPr>
              <w:t>24-mei-17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3A1" w:rsidR="002963A1" w:rsidP="009C70F6" w:rsidRDefault="002963A1">
            <w:pPr>
              <w:rPr>
                <w:rFonts w:asciiTheme="minorHAnsi" w:hAnsiTheme="minorHAnsi"/>
                <w:sz w:val="20"/>
                <w:szCs w:val="20"/>
              </w:rPr>
            </w:pPr>
            <w:r w:rsidRPr="002963A1">
              <w:rPr>
                <w:rFonts w:asciiTheme="minorHAnsi" w:hAnsiTheme="minorHAnsi"/>
                <w:sz w:val="20"/>
                <w:szCs w:val="20"/>
              </w:rPr>
              <w:t>EU</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2963A1" w:rsidR="002963A1" w:rsidP="009C70F6" w:rsidRDefault="002963A1">
            <w:pPr>
              <w:rPr>
                <w:rFonts w:asciiTheme="minorHAnsi" w:hAnsiTheme="minorHAnsi"/>
                <w:sz w:val="20"/>
                <w:szCs w:val="20"/>
              </w:rPr>
            </w:pPr>
            <w:r w:rsidRPr="002963A1">
              <w:rPr>
                <w:rFonts w:asciiTheme="minorHAnsi" w:hAnsiTheme="minorHAnsi"/>
                <w:sz w:val="20"/>
                <w:szCs w:val="20"/>
              </w:rPr>
              <w:t>raadpleging</w:t>
            </w:r>
          </w:p>
        </w:tc>
        <w:tc>
          <w:tcPr>
            <w:tcW w:w="5670" w:type="dxa"/>
            <w:tcBorders>
              <w:top w:val="single" w:color="auto" w:sz="4" w:space="0"/>
              <w:left w:val="nil"/>
              <w:bottom w:val="single" w:color="auto" w:sz="4" w:space="0"/>
              <w:right w:val="nil"/>
            </w:tcBorders>
            <w:shd w:val="clear" w:color="auto" w:fill="FFFFFF" w:themeFill="background1"/>
            <w:noWrap/>
          </w:tcPr>
          <w:p w:rsidRPr="002963A1" w:rsidR="002963A1" w:rsidP="009C70F6" w:rsidRDefault="002963A1">
            <w:pPr>
              <w:rPr>
                <w:rFonts w:asciiTheme="minorHAnsi" w:hAnsiTheme="minorHAnsi"/>
                <w:sz w:val="20"/>
                <w:szCs w:val="20"/>
                <w:lang w:val="en-GB"/>
              </w:rPr>
            </w:pPr>
            <w:r w:rsidRPr="002963A1">
              <w:rPr>
                <w:rFonts w:asciiTheme="minorHAnsi" w:hAnsiTheme="minorHAnsi"/>
                <w:sz w:val="20"/>
                <w:szCs w:val="20"/>
                <w:lang w:val="en-GB"/>
              </w:rPr>
              <w:t>Public consultation on the European citizens´ initiative</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963A1" w:rsidR="002963A1" w:rsidP="009C70F6" w:rsidRDefault="002963A1">
            <w:pPr>
              <w:rPr>
                <w:rFonts w:asciiTheme="minorHAnsi" w:hAnsiTheme="minorHAnsi"/>
                <w:sz w:val="20"/>
                <w:szCs w:val="20"/>
              </w:rPr>
            </w:pPr>
            <w:hyperlink w:history="1" r:id="rId13">
              <w:r w:rsidRPr="002963A1">
                <w:rPr>
                  <w:rStyle w:val="Hyperlink"/>
                  <w:rFonts w:asciiTheme="minorHAnsi" w:hAnsiTheme="minorHAnsi"/>
                  <w:sz w:val="20"/>
                  <w:szCs w:val="20"/>
                </w:rPr>
                <w:t>O</w:t>
              </w:r>
              <w:r w:rsidRPr="002963A1">
                <w:rPr>
                  <w:rStyle w:val="Hyperlink"/>
                  <w:rFonts w:asciiTheme="minorHAnsi" w:hAnsiTheme="minorHAnsi"/>
                  <w:sz w:val="20"/>
                  <w:szCs w:val="20"/>
                </w:rPr>
                <w:t>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2963A1" w:rsidR="002963A1" w:rsidP="009C70F6" w:rsidRDefault="002963A1">
            <w:pPr>
              <w:rPr>
                <w:rFonts w:asciiTheme="minorHAnsi" w:hAnsiTheme="minorHAnsi"/>
                <w:sz w:val="20"/>
                <w:szCs w:val="20"/>
              </w:rPr>
            </w:pPr>
            <w:proofErr w:type="spellStart"/>
            <w:r>
              <w:rPr>
                <w:rFonts w:asciiTheme="minorHAnsi" w:hAnsiTheme="minorHAnsi"/>
                <w:sz w:val="20"/>
                <w:szCs w:val="20"/>
              </w:rPr>
              <w:t>nvt</w:t>
            </w:r>
            <w:proofErr w:type="spellEnd"/>
          </w:p>
        </w:tc>
        <w:tc>
          <w:tcPr>
            <w:tcW w:w="3402" w:type="dxa"/>
            <w:tcBorders>
              <w:top w:val="single" w:color="auto" w:sz="4" w:space="0"/>
              <w:left w:val="nil"/>
              <w:bottom w:val="single" w:color="auto" w:sz="4" w:space="0"/>
              <w:right w:val="single" w:color="auto" w:sz="4" w:space="0"/>
            </w:tcBorders>
            <w:shd w:val="clear" w:color="auto" w:fill="FFFFFF" w:themeFill="background1"/>
          </w:tcPr>
          <w:p w:rsidRPr="002963A1" w:rsidR="002963A1" w:rsidP="004E324F" w:rsidRDefault="002963A1">
            <w:pPr>
              <w:rPr>
                <w:rFonts w:asciiTheme="minorHAnsi" w:hAnsiTheme="minorHAnsi"/>
                <w:sz w:val="20"/>
                <w:szCs w:val="20"/>
              </w:rPr>
            </w:pPr>
            <w:r>
              <w:rPr>
                <w:rFonts w:asciiTheme="minorHAnsi" w:hAnsiTheme="minorHAnsi"/>
                <w:sz w:val="20"/>
                <w:szCs w:val="20"/>
              </w:rPr>
              <w:t>De raadpleging loopt tot en met 16 augustus 2017.</w:t>
            </w:r>
          </w:p>
        </w:tc>
      </w:tr>
    </w:tbl>
    <w:p w:rsidR="005B323D" w:rsidP="003B00CB" w:rsidRDefault="005B323D">
      <w:pPr>
        <w:pStyle w:val="Voetnoottekst"/>
        <w:rPr>
          <w:rFonts w:asciiTheme="minorHAnsi" w:hAnsiTheme="minorHAnsi"/>
          <w:b/>
        </w:rPr>
      </w:pPr>
    </w:p>
    <w:p w:rsidR="004E324F" w:rsidP="004E324F" w:rsidRDefault="004E324F">
      <w:pPr>
        <w:spacing w:after="200" w:line="276" w:lineRule="auto"/>
        <w:rPr>
          <w:rFonts w:asciiTheme="minorHAnsi" w:hAnsiTheme="minorHAnsi"/>
          <w:b/>
        </w:rPr>
      </w:pPr>
    </w:p>
    <w:p w:rsidR="002963A1" w:rsidRDefault="002963A1">
      <w:pPr>
        <w:spacing w:after="200" w:line="276" w:lineRule="auto"/>
        <w:rPr>
          <w:rFonts w:asciiTheme="minorHAnsi" w:hAnsiTheme="minorHAnsi"/>
          <w:b/>
          <w:sz w:val="22"/>
          <w:szCs w:val="22"/>
        </w:rPr>
      </w:pPr>
      <w:r>
        <w:rPr>
          <w:rFonts w:asciiTheme="minorHAnsi" w:hAnsiTheme="minorHAnsi"/>
          <w:b/>
          <w:sz w:val="22"/>
          <w:szCs w:val="22"/>
        </w:rPr>
        <w:br w:type="page"/>
      </w: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w:t>
            </w:r>
            <w:proofErr w:type="spellStart"/>
            <w:r w:rsidRPr="00356600">
              <w:rPr>
                <w:rFonts w:asciiTheme="minorHAnsi" w:hAnsiTheme="minorHAnsi"/>
              </w:rPr>
              <w:t>JBZ</w:t>
            </w:r>
            <w:proofErr w:type="spellEnd"/>
            <w:r w:rsidRPr="00356600">
              <w:rPr>
                <w:rFonts w:asciiTheme="minorHAnsi" w:hAnsiTheme="minorHAnsi"/>
              </w:rPr>
              <w:t xml:space="preserve">-gebied);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r w:rsidRPr="00356600">
              <w:rPr>
                <w:rFonts w:asciiTheme="minorHAnsi" w:hAnsiTheme="minorHAnsi"/>
              </w:rPr>
              <w:t>nationale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omtrent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47" w:rsidRDefault="00FE0847" w:rsidP="003B00CB">
      <w:r>
        <w:separator/>
      </w:r>
    </w:p>
  </w:endnote>
  <w:endnote w:type="continuationSeparator" w:id="0">
    <w:p w:rsidR="00FE0847" w:rsidRDefault="00FE0847"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47" w:rsidRDefault="00FE0847" w:rsidP="003B00CB">
      <w:r>
        <w:separator/>
      </w:r>
    </w:p>
  </w:footnote>
  <w:footnote w:type="continuationSeparator" w:id="0">
    <w:p w:rsidR="00FE0847" w:rsidRDefault="00FE0847"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w:t>
      </w:r>
      <w:proofErr w:type="spellStart"/>
      <w:r w:rsidRPr="0015137B">
        <w:rPr>
          <w:rFonts w:ascii="Verdana" w:hAnsi="Verdana"/>
          <w:sz w:val="16"/>
        </w:rPr>
        <w:t>VWEU</w:t>
      </w:r>
      <w:proofErr w:type="spellEnd"/>
      <w:r w:rsidRPr="0015137B">
        <w:rPr>
          <w:rFonts w:ascii="Verdana" w:hAnsi="Verdana"/>
          <w:sz w:val="16"/>
        </w:rPr>
        <w:t xml:space="preserve">)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67D3"/>
    <w:rsid w:val="00040DB4"/>
    <w:rsid w:val="000538C6"/>
    <w:rsid w:val="001257B9"/>
    <w:rsid w:val="001641B2"/>
    <w:rsid w:val="0016420D"/>
    <w:rsid w:val="00175685"/>
    <w:rsid w:val="001A5F99"/>
    <w:rsid w:val="001A7A62"/>
    <w:rsid w:val="001C5CB5"/>
    <w:rsid w:val="001D435F"/>
    <w:rsid w:val="00225895"/>
    <w:rsid w:val="0027622B"/>
    <w:rsid w:val="00291102"/>
    <w:rsid w:val="002963A1"/>
    <w:rsid w:val="002A4BA8"/>
    <w:rsid w:val="00356600"/>
    <w:rsid w:val="0037130C"/>
    <w:rsid w:val="00394DAC"/>
    <w:rsid w:val="003A4D14"/>
    <w:rsid w:val="003B00CB"/>
    <w:rsid w:val="003F2EE4"/>
    <w:rsid w:val="00451237"/>
    <w:rsid w:val="00467106"/>
    <w:rsid w:val="0047022E"/>
    <w:rsid w:val="00482E2E"/>
    <w:rsid w:val="00497A86"/>
    <w:rsid w:val="004E0C30"/>
    <w:rsid w:val="004E324F"/>
    <w:rsid w:val="004F61E3"/>
    <w:rsid w:val="005059B0"/>
    <w:rsid w:val="005B10A2"/>
    <w:rsid w:val="005B323D"/>
    <w:rsid w:val="005E4AFC"/>
    <w:rsid w:val="0060426E"/>
    <w:rsid w:val="00624124"/>
    <w:rsid w:val="006404DB"/>
    <w:rsid w:val="0069271C"/>
    <w:rsid w:val="006C55D1"/>
    <w:rsid w:val="006E1B67"/>
    <w:rsid w:val="00730CC3"/>
    <w:rsid w:val="00746FC1"/>
    <w:rsid w:val="00755BB0"/>
    <w:rsid w:val="007604EB"/>
    <w:rsid w:val="00975411"/>
    <w:rsid w:val="00A0121B"/>
    <w:rsid w:val="00A5298A"/>
    <w:rsid w:val="00A64A58"/>
    <w:rsid w:val="00AB569C"/>
    <w:rsid w:val="00AD6887"/>
    <w:rsid w:val="00AE09BD"/>
    <w:rsid w:val="00AF0709"/>
    <w:rsid w:val="00B129F0"/>
    <w:rsid w:val="00B306F2"/>
    <w:rsid w:val="00B86BB8"/>
    <w:rsid w:val="00BA0AEF"/>
    <w:rsid w:val="00BA5136"/>
    <w:rsid w:val="00BE146F"/>
    <w:rsid w:val="00C30329"/>
    <w:rsid w:val="00C60B45"/>
    <w:rsid w:val="00C8738C"/>
    <w:rsid w:val="00C87458"/>
    <w:rsid w:val="00CA7C04"/>
    <w:rsid w:val="00CD5AF9"/>
    <w:rsid w:val="00D526A5"/>
    <w:rsid w:val="00D825E6"/>
    <w:rsid w:val="00DA2B58"/>
    <w:rsid w:val="00DA780E"/>
    <w:rsid w:val="00DC20FA"/>
    <w:rsid w:val="00E30201"/>
    <w:rsid w:val="00E41E69"/>
    <w:rsid w:val="00EF091E"/>
    <w:rsid w:val="00EF48F7"/>
    <w:rsid w:val="00F84DCA"/>
    <w:rsid w:val="00FA7215"/>
    <w:rsid w:val="00FE0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37164814">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8280322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info/content/public-consultation-european-citizens-initiative_nl" TargetMode="External" Id="rId13" /><Relationship Type="http://schemas.openxmlformats.org/officeDocument/2006/relationships/settings" Target="settings.xml" Id="rId7" /><Relationship Type="http://schemas.openxmlformats.org/officeDocument/2006/relationships/hyperlink" Target="http://www.ipex.eu/IPEXL-WEB/dossier/document/COM20170220.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www.ipex.eu/IPEXL-WEB/dossier/document/COM20170290.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2507</ap:Words>
  <ap:Characters>13794</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2017-04-06T12:27:00.0000000Z</lastPrinted>
  <dcterms:created xsi:type="dcterms:W3CDTF">2017-06-14T11:43:00.0000000Z</dcterms:created>
  <dcterms:modified xsi:type="dcterms:W3CDTF">2017-06-14T12:01:00.0000000Z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0x010100713C00AB57C7BF42ABC7D0E9E73220D0</vt:lpwstr>
  </property>
</Properties>
</file>