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197" w:rsidP="009C60EF" w:rsidRDefault="00B23EEF" w14:paraId="17498D3A" w14:textId="77777777">
      <w:pPr>
        <w:outlineLvl w:val="0"/>
        <w:rPr>
          <w:rFonts w:ascii="Open Sans" w:hAnsi="Open Sans"/>
          <w:b/>
          <w:sz w:val="19"/>
          <w:szCs w:val="19"/>
          <w:lang w:val="nl-NL"/>
        </w:rPr>
      </w:pPr>
      <w:r w:rsidRPr="00EF3B6A">
        <w:rPr>
          <w:rFonts w:ascii="Open Sans" w:hAnsi="Open Sans"/>
          <w:b/>
          <w:sz w:val="19"/>
          <w:szCs w:val="19"/>
          <w:lang w:val="nl-NL"/>
        </w:rPr>
        <w:t>Sustainable Finance Lab – Position Paper Financiële Aspecten van de Circulaire Economie</w:t>
      </w:r>
    </w:p>
    <w:p w:rsidR="004447F5" w:rsidP="009C60EF" w:rsidRDefault="00163ECE" w14:paraId="35076193" w14:textId="7BBBB85E">
      <w:pPr>
        <w:outlineLvl w:val="0"/>
        <w:rPr>
          <w:rFonts w:ascii="Open Sans" w:hAnsi="Open Sans"/>
          <w:b/>
          <w:sz w:val="19"/>
          <w:szCs w:val="19"/>
          <w:lang w:val="nl-NL"/>
        </w:rPr>
      </w:pPr>
      <w:r>
        <w:rPr>
          <w:rFonts w:ascii="Open Sans" w:hAnsi="Open Sans"/>
          <w:b/>
          <w:sz w:val="19"/>
          <w:szCs w:val="19"/>
          <w:lang w:val="nl-NL"/>
        </w:rPr>
        <w:t xml:space="preserve"> </w:t>
      </w:r>
    </w:p>
    <w:p w:rsidRPr="00163ECE" w:rsidR="00163ECE" w:rsidP="009C60EF" w:rsidRDefault="00163ECE" w14:paraId="07BFBFC3" w14:textId="40B03561">
      <w:pPr>
        <w:outlineLvl w:val="0"/>
        <w:rPr>
          <w:rFonts w:ascii="Open Sans" w:hAnsi="Open Sans"/>
          <w:sz w:val="19"/>
          <w:szCs w:val="19"/>
          <w:lang w:val="nl-NL"/>
        </w:rPr>
      </w:pPr>
      <w:r w:rsidRPr="00163ECE">
        <w:rPr>
          <w:rFonts w:ascii="Open Sans" w:hAnsi="Open Sans"/>
          <w:sz w:val="19"/>
          <w:szCs w:val="19"/>
          <w:lang w:val="nl-NL"/>
        </w:rPr>
        <w:t xml:space="preserve">Gericht aan de </w:t>
      </w:r>
      <w:r w:rsidR="006E06F6">
        <w:rPr>
          <w:rFonts w:ascii="Open Sans" w:hAnsi="Open Sans"/>
          <w:sz w:val="19"/>
          <w:szCs w:val="19"/>
          <w:lang w:val="nl-NL"/>
        </w:rPr>
        <w:t xml:space="preserve">leden van de </w:t>
      </w:r>
      <w:r w:rsidRPr="00163ECE">
        <w:rPr>
          <w:rFonts w:ascii="Open Sans" w:hAnsi="Open Sans"/>
          <w:sz w:val="19"/>
          <w:szCs w:val="19"/>
          <w:lang w:val="nl-NL"/>
        </w:rPr>
        <w:t xml:space="preserve">Tweede Kamer der Staten Generaal </w:t>
      </w:r>
    </w:p>
    <w:p w:rsidRPr="00085CB2" w:rsidR="004447F5" w:rsidRDefault="00C07CF9" w14:paraId="77371386" w14:textId="28265F27">
      <w:pPr>
        <w:rPr>
          <w:rFonts w:ascii="Open Sans" w:hAnsi="Open Sans"/>
          <w:sz w:val="19"/>
          <w:szCs w:val="19"/>
          <w:lang w:val="nl-NL"/>
        </w:rPr>
      </w:pPr>
      <w:r w:rsidRPr="00085CB2">
        <w:rPr>
          <w:rFonts w:ascii="Open Sans" w:hAnsi="Open Sans"/>
          <w:sz w:val="19"/>
          <w:szCs w:val="19"/>
          <w:lang w:val="nl-NL"/>
        </w:rPr>
        <w:t>Rondetafelgesprek over Financiële aspecten van de Circulaire economie – 14 Juni 2017</w:t>
      </w:r>
    </w:p>
    <w:p w:rsidRPr="00EF3B6A" w:rsidR="00C07CF9" w:rsidRDefault="00C07CF9" w14:paraId="40C1DB63" w14:textId="77777777">
      <w:pPr>
        <w:rPr>
          <w:rFonts w:ascii="Open Sans" w:hAnsi="Open Sans"/>
          <w:sz w:val="19"/>
          <w:szCs w:val="19"/>
          <w:lang w:val="nl-NL"/>
        </w:rPr>
      </w:pPr>
    </w:p>
    <w:p w:rsidRPr="00EF3B6A" w:rsidR="004447F5" w:rsidRDefault="00F72EB3" w14:paraId="16F4F4B1" w14:textId="5CAE073B">
      <w:pPr>
        <w:rPr>
          <w:rFonts w:ascii="Open Sans" w:hAnsi="Open Sans"/>
          <w:sz w:val="19"/>
          <w:szCs w:val="19"/>
          <w:lang w:val="nl-NL"/>
        </w:rPr>
      </w:pPr>
      <w:r w:rsidRPr="00EF3B6A">
        <w:rPr>
          <w:rFonts w:ascii="Open Sans" w:hAnsi="Open Sans"/>
          <w:sz w:val="19"/>
          <w:szCs w:val="19"/>
          <w:lang w:val="nl-NL"/>
        </w:rPr>
        <w:t>In de afgelopen jaren</w:t>
      </w:r>
      <w:r w:rsidRPr="00EF3B6A" w:rsidR="004447F5">
        <w:rPr>
          <w:rFonts w:ascii="Open Sans" w:hAnsi="Open Sans"/>
          <w:sz w:val="19"/>
          <w:szCs w:val="19"/>
          <w:lang w:val="nl-NL"/>
        </w:rPr>
        <w:t xml:space="preserve"> </w:t>
      </w:r>
      <w:r w:rsidRPr="00EF3B6A">
        <w:rPr>
          <w:rFonts w:ascii="Open Sans" w:hAnsi="Open Sans"/>
          <w:sz w:val="19"/>
          <w:szCs w:val="19"/>
          <w:lang w:val="nl-NL"/>
        </w:rPr>
        <w:t xml:space="preserve">hebben het </w:t>
      </w:r>
      <w:r w:rsidRPr="00EF3B6A" w:rsidR="007036AC">
        <w:rPr>
          <w:rFonts w:ascii="Open Sans" w:hAnsi="Open Sans"/>
          <w:sz w:val="19"/>
          <w:szCs w:val="19"/>
          <w:lang w:val="nl-NL"/>
        </w:rPr>
        <w:t>S</w:t>
      </w:r>
      <w:r w:rsidRPr="00EF3B6A">
        <w:rPr>
          <w:rFonts w:ascii="Open Sans" w:hAnsi="Open Sans"/>
          <w:sz w:val="19"/>
          <w:szCs w:val="19"/>
          <w:lang w:val="nl-NL"/>
        </w:rPr>
        <w:t xml:space="preserve">ustainable </w:t>
      </w:r>
      <w:r w:rsidRPr="00EF3B6A" w:rsidR="007036AC">
        <w:rPr>
          <w:rFonts w:ascii="Open Sans" w:hAnsi="Open Sans"/>
          <w:sz w:val="19"/>
          <w:szCs w:val="19"/>
          <w:lang w:val="nl-NL"/>
        </w:rPr>
        <w:t>F</w:t>
      </w:r>
      <w:r w:rsidRPr="00EF3B6A">
        <w:rPr>
          <w:rFonts w:ascii="Open Sans" w:hAnsi="Open Sans"/>
          <w:sz w:val="19"/>
          <w:szCs w:val="19"/>
          <w:lang w:val="nl-NL"/>
        </w:rPr>
        <w:t xml:space="preserve">inance </w:t>
      </w:r>
      <w:r w:rsidRPr="00EF3B6A" w:rsidR="007036AC">
        <w:rPr>
          <w:rFonts w:ascii="Open Sans" w:hAnsi="Open Sans"/>
          <w:sz w:val="19"/>
          <w:szCs w:val="19"/>
          <w:lang w:val="nl-NL"/>
        </w:rPr>
        <w:t>L</w:t>
      </w:r>
      <w:r w:rsidRPr="00EF3B6A">
        <w:rPr>
          <w:rFonts w:ascii="Open Sans" w:hAnsi="Open Sans"/>
          <w:sz w:val="19"/>
          <w:szCs w:val="19"/>
          <w:lang w:val="nl-NL"/>
        </w:rPr>
        <w:t>ab</w:t>
      </w:r>
      <w:r w:rsidRPr="00EF3B6A" w:rsidR="007036AC">
        <w:rPr>
          <w:rFonts w:ascii="Open Sans" w:hAnsi="Open Sans"/>
          <w:sz w:val="19"/>
          <w:szCs w:val="19"/>
          <w:lang w:val="nl-NL"/>
        </w:rPr>
        <w:t xml:space="preserve"> en Circle Economy</w:t>
      </w:r>
      <w:r w:rsidRPr="00EF3B6A" w:rsidR="000264EC">
        <w:rPr>
          <w:rFonts w:ascii="Open Sans" w:hAnsi="Open Sans"/>
          <w:sz w:val="19"/>
          <w:szCs w:val="19"/>
          <w:lang w:val="nl-NL"/>
        </w:rPr>
        <w:t xml:space="preserve"> </w:t>
      </w:r>
      <w:r w:rsidRPr="00EF3B6A">
        <w:rPr>
          <w:rFonts w:ascii="Open Sans" w:hAnsi="Open Sans"/>
          <w:sz w:val="19"/>
          <w:szCs w:val="19"/>
          <w:lang w:val="nl-NL"/>
        </w:rPr>
        <w:t xml:space="preserve">hun </w:t>
      </w:r>
      <w:r w:rsidRPr="00EF3B6A" w:rsidR="007036AC">
        <w:rPr>
          <w:rFonts w:ascii="Open Sans" w:hAnsi="Open Sans"/>
          <w:sz w:val="19"/>
          <w:szCs w:val="19"/>
          <w:lang w:val="nl-NL"/>
        </w:rPr>
        <w:t>krachten ge</w:t>
      </w:r>
      <w:r w:rsidRPr="00EF3B6A">
        <w:rPr>
          <w:rFonts w:ascii="Open Sans" w:hAnsi="Open Sans"/>
          <w:sz w:val="19"/>
          <w:szCs w:val="19"/>
          <w:lang w:val="nl-NL"/>
        </w:rPr>
        <w:t xml:space="preserve">bundeld in </w:t>
      </w:r>
      <w:r w:rsidRPr="00EF3B6A" w:rsidR="001D73DF">
        <w:rPr>
          <w:rFonts w:ascii="Open Sans" w:hAnsi="Open Sans"/>
          <w:sz w:val="19"/>
          <w:szCs w:val="19"/>
          <w:lang w:val="nl-NL"/>
        </w:rPr>
        <w:t>(praktijk)</w:t>
      </w:r>
      <w:r w:rsidRPr="00EF3B6A" w:rsidR="004447F5">
        <w:rPr>
          <w:rFonts w:ascii="Open Sans" w:hAnsi="Open Sans"/>
          <w:sz w:val="19"/>
          <w:szCs w:val="19"/>
          <w:lang w:val="nl-NL"/>
        </w:rPr>
        <w:t xml:space="preserve">onderzoek </w:t>
      </w:r>
      <w:r w:rsidRPr="00EF3B6A" w:rsidR="001D73DF">
        <w:rPr>
          <w:rFonts w:ascii="Open Sans" w:hAnsi="Open Sans"/>
          <w:sz w:val="19"/>
          <w:szCs w:val="19"/>
          <w:lang w:val="nl-NL"/>
        </w:rPr>
        <w:t>naar de financiële aspecten van</w:t>
      </w:r>
      <w:r w:rsidRPr="00EF3B6A" w:rsidR="004447F5">
        <w:rPr>
          <w:rFonts w:ascii="Open Sans" w:hAnsi="Open Sans"/>
          <w:sz w:val="19"/>
          <w:szCs w:val="19"/>
          <w:lang w:val="nl-NL"/>
        </w:rPr>
        <w:t xml:space="preserve"> circulaire economie. </w:t>
      </w:r>
      <w:r w:rsidRPr="00EF3B6A" w:rsidR="001D73DF">
        <w:rPr>
          <w:rFonts w:ascii="Open Sans" w:hAnsi="Open Sans"/>
          <w:sz w:val="19"/>
          <w:szCs w:val="19"/>
          <w:lang w:val="nl-NL"/>
        </w:rPr>
        <w:t xml:space="preserve">In nauwe samenwerking met ons netwerk van bedrijven, beleidsmakers, wetenschappers, en financiële instellingen </w:t>
      </w:r>
      <w:r w:rsidRPr="00EF3B6A" w:rsidR="000264EC">
        <w:rPr>
          <w:rFonts w:ascii="Open Sans" w:hAnsi="Open Sans"/>
          <w:sz w:val="19"/>
          <w:szCs w:val="19"/>
          <w:lang w:val="nl-NL"/>
        </w:rPr>
        <w:t xml:space="preserve">– en ondersteund door het ministerie van Infrastructuur en Milieu – </w:t>
      </w:r>
      <w:r w:rsidRPr="00EF3B6A" w:rsidR="001D73DF">
        <w:rPr>
          <w:rFonts w:ascii="Open Sans" w:hAnsi="Open Sans"/>
          <w:sz w:val="19"/>
          <w:szCs w:val="19"/>
          <w:lang w:val="nl-NL"/>
        </w:rPr>
        <w:t xml:space="preserve">zijn </w:t>
      </w:r>
      <w:r w:rsidRPr="00EF3B6A" w:rsidR="004447F5">
        <w:rPr>
          <w:rFonts w:ascii="Open Sans" w:hAnsi="Open Sans"/>
          <w:sz w:val="19"/>
          <w:szCs w:val="19"/>
          <w:lang w:val="nl-NL"/>
        </w:rPr>
        <w:t>inzichten vergaard</w:t>
      </w:r>
      <w:r w:rsidRPr="00EF3B6A" w:rsidR="001D73DF">
        <w:rPr>
          <w:rFonts w:ascii="Open Sans" w:hAnsi="Open Sans"/>
          <w:sz w:val="19"/>
          <w:szCs w:val="19"/>
          <w:lang w:val="nl-NL"/>
        </w:rPr>
        <w:t xml:space="preserve"> die hieronder zijn samengevat</w:t>
      </w:r>
      <w:r w:rsidRPr="00EF3B6A" w:rsidR="004447F5">
        <w:rPr>
          <w:rFonts w:ascii="Open Sans" w:hAnsi="Open Sans"/>
          <w:sz w:val="19"/>
          <w:szCs w:val="19"/>
          <w:lang w:val="nl-NL"/>
        </w:rPr>
        <w:t>.</w:t>
      </w:r>
      <w:r w:rsidRPr="00EF3B6A" w:rsidR="001D73DF">
        <w:rPr>
          <w:rFonts w:ascii="Open Sans" w:hAnsi="Open Sans"/>
          <w:sz w:val="19"/>
          <w:szCs w:val="19"/>
          <w:lang w:val="nl-NL"/>
        </w:rPr>
        <w:t xml:space="preserve"> </w:t>
      </w:r>
    </w:p>
    <w:p w:rsidRPr="00EF3B6A" w:rsidR="007036AC" w:rsidRDefault="007036AC" w14:paraId="2720B701" w14:textId="77777777">
      <w:pPr>
        <w:rPr>
          <w:rFonts w:ascii="Open Sans" w:hAnsi="Open Sans"/>
          <w:sz w:val="19"/>
          <w:szCs w:val="19"/>
          <w:lang w:val="nl-NL"/>
        </w:rPr>
      </w:pPr>
    </w:p>
    <w:p w:rsidRPr="00EF3B6A" w:rsidR="007036AC" w:rsidRDefault="008F0EF2" w14:paraId="5CD5892E" w14:textId="135F711E">
      <w:pPr>
        <w:rPr>
          <w:rFonts w:ascii="Open Sans" w:hAnsi="Open Sans"/>
          <w:b/>
          <w:sz w:val="19"/>
          <w:szCs w:val="19"/>
          <w:lang w:val="nl-NL"/>
        </w:rPr>
      </w:pPr>
      <w:r w:rsidRPr="00EF3B6A">
        <w:rPr>
          <w:rFonts w:ascii="Open Sans" w:hAnsi="Open Sans"/>
          <w:b/>
          <w:sz w:val="19"/>
          <w:szCs w:val="19"/>
          <w:lang w:val="nl-NL"/>
        </w:rPr>
        <w:t>Financiële aspecten van circulaire economie</w:t>
      </w:r>
      <w:r>
        <w:rPr>
          <w:rFonts w:ascii="Open Sans" w:hAnsi="Open Sans"/>
          <w:b/>
          <w:sz w:val="19"/>
          <w:szCs w:val="19"/>
          <w:lang w:val="nl-NL"/>
        </w:rPr>
        <w:t xml:space="preserve"> - </w:t>
      </w:r>
      <w:r w:rsidRPr="00EF3B6A" w:rsidR="00BB2AA1">
        <w:rPr>
          <w:rFonts w:ascii="Open Sans" w:hAnsi="Open Sans"/>
          <w:b/>
          <w:sz w:val="19"/>
          <w:szCs w:val="19"/>
          <w:lang w:val="nl-NL"/>
        </w:rPr>
        <w:t>het Macro perspectief</w:t>
      </w:r>
    </w:p>
    <w:p w:rsidRPr="00EF3B6A" w:rsidR="007036AC" w:rsidP="00710BA6" w:rsidRDefault="00962335" w14:paraId="2D1959C9" w14:textId="51BFBCDC">
      <w:pPr>
        <w:rPr>
          <w:rFonts w:ascii="Open Sans" w:hAnsi="Open Sans"/>
          <w:sz w:val="19"/>
          <w:szCs w:val="19"/>
          <w:lang w:val="nl-NL"/>
        </w:rPr>
      </w:pPr>
      <w:r w:rsidRPr="00EF3B6A">
        <w:rPr>
          <w:rFonts w:ascii="Open Sans" w:hAnsi="Open Sans"/>
          <w:sz w:val="19"/>
          <w:szCs w:val="19"/>
          <w:lang w:val="nl-NL"/>
        </w:rPr>
        <w:t xml:space="preserve">Wie </w:t>
      </w:r>
      <w:r w:rsidR="0085206E">
        <w:rPr>
          <w:rFonts w:ascii="Open Sans" w:hAnsi="Open Sans"/>
          <w:sz w:val="19"/>
          <w:szCs w:val="19"/>
          <w:lang w:val="nl-NL"/>
        </w:rPr>
        <w:t xml:space="preserve">problemen van </w:t>
      </w:r>
      <w:r w:rsidRPr="00EF3B6A">
        <w:rPr>
          <w:rFonts w:ascii="Open Sans" w:hAnsi="Open Sans"/>
          <w:sz w:val="19"/>
          <w:szCs w:val="19"/>
          <w:lang w:val="nl-NL"/>
        </w:rPr>
        <w:t xml:space="preserve">de circulaire economie wil begrijpen moet eerst begrijpen waarom de lineaire economie zo hardnekkig is. Dat is vanwege twee zaken. Enerzijds worden externe effecten niet adequaat in de prijs meegenomen en anderzijds wordt voor elk individu, bedrijf en land afzonderlijk de aanname dat grondstoffen en energie oneindig voorhanden zijn, niet gelogenstraft. Het is de financiële sector, beleidsmakers en bedrijven echter in toenemende mate duidelijk dat lineaire bedrijfsmodellen zullen verdwijnen als externe effecten wel geprijsd gaan worden en </w:t>
      </w:r>
      <w:r w:rsidR="0085206E">
        <w:rPr>
          <w:rFonts w:ascii="Open Sans" w:hAnsi="Open Sans"/>
          <w:sz w:val="19"/>
          <w:szCs w:val="19"/>
          <w:lang w:val="nl-NL"/>
        </w:rPr>
        <w:t xml:space="preserve">de </w:t>
      </w:r>
      <w:r w:rsidRPr="00EF3B6A">
        <w:rPr>
          <w:rFonts w:ascii="Open Sans" w:hAnsi="Open Sans"/>
          <w:sz w:val="19"/>
          <w:szCs w:val="19"/>
          <w:lang w:val="nl-NL"/>
        </w:rPr>
        <w:t xml:space="preserve">grondstoffen schaarste zich </w:t>
      </w:r>
      <w:r w:rsidR="0085206E">
        <w:rPr>
          <w:rFonts w:ascii="Open Sans" w:hAnsi="Open Sans"/>
          <w:sz w:val="19"/>
          <w:szCs w:val="19"/>
          <w:lang w:val="nl-NL"/>
        </w:rPr>
        <w:t xml:space="preserve">onvermijdelijk </w:t>
      </w:r>
      <w:r w:rsidRPr="00EF3B6A">
        <w:rPr>
          <w:rFonts w:ascii="Open Sans" w:hAnsi="Open Sans"/>
          <w:sz w:val="19"/>
          <w:szCs w:val="19"/>
          <w:lang w:val="nl-NL"/>
        </w:rPr>
        <w:t xml:space="preserve">doet voelen. </w:t>
      </w:r>
    </w:p>
    <w:p w:rsidRPr="00EF3B6A" w:rsidR="00962335" w:rsidP="00710BA6" w:rsidRDefault="008305A4" w14:paraId="70A15765" w14:textId="197D059E">
      <w:pPr>
        <w:ind w:firstLine="360"/>
        <w:rPr>
          <w:rFonts w:ascii="Open Sans" w:hAnsi="Open Sans"/>
          <w:sz w:val="19"/>
          <w:szCs w:val="19"/>
          <w:lang w:val="nl-NL"/>
        </w:rPr>
      </w:pPr>
      <w:r w:rsidRPr="00EF3B6A">
        <w:rPr>
          <w:rFonts w:ascii="Open Sans" w:hAnsi="Open Sans"/>
          <w:sz w:val="19"/>
          <w:szCs w:val="19"/>
          <w:lang w:val="nl-NL"/>
        </w:rPr>
        <w:t xml:space="preserve">Hierdoor ontstaat de vraag: Welke investeringen kunnen we doen die </w:t>
      </w:r>
      <w:r w:rsidR="008D5D36">
        <w:rPr>
          <w:rFonts w:ascii="Open Sans" w:hAnsi="Open Sans"/>
          <w:sz w:val="19"/>
          <w:szCs w:val="19"/>
          <w:lang w:val="nl-NL"/>
        </w:rPr>
        <w:t xml:space="preserve">juist wanneer deze externe effecten geprijsd worden </w:t>
      </w:r>
      <w:r w:rsidRPr="00EF3B6A">
        <w:rPr>
          <w:rFonts w:ascii="Open Sans" w:hAnsi="Open Sans"/>
          <w:sz w:val="19"/>
          <w:szCs w:val="19"/>
          <w:lang w:val="nl-NL"/>
        </w:rPr>
        <w:t xml:space="preserve">waarde genereren? </w:t>
      </w:r>
      <w:r w:rsidRPr="00EF3B6A" w:rsidR="00AC2181">
        <w:rPr>
          <w:rFonts w:ascii="Open Sans" w:hAnsi="Open Sans"/>
          <w:sz w:val="19"/>
          <w:szCs w:val="19"/>
          <w:lang w:val="nl-NL"/>
        </w:rPr>
        <w:t xml:space="preserve">Het antwoord ligt in circulaire investeringen omdat deze </w:t>
      </w:r>
      <w:r w:rsidR="008D5D36">
        <w:rPr>
          <w:rFonts w:ascii="Open Sans" w:hAnsi="Open Sans"/>
          <w:sz w:val="19"/>
          <w:szCs w:val="19"/>
          <w:lang w:val="nl-NL"/>
        </w:rPr>
        <w:t>waarde genereren door grondstoffen optimaal te (her)gebruiken</w:t>
      </w:r>
      <w:r w:rsidRPr="00EF3B6A" w:rsidR="00962335">
        <w:rPr>
          <w:rFonts w:ascii="Open Sans" w:hAnsi="Open Sans"/>
          <w:sz w:val="19"/>
          <w:szCs w:val="19"/>
          <w:lang w:val="nl-NL"/>
        </w:rPr>
        <w:t>.</w:t>
      </w:r>
      <w:r w:rsidRPr="00EF3B6A" w:rsidR="00AC2181">
        <w:rPr>
          <w:rFonts w:ascii="Open Sans" w:hAnsi="Open Sans"/>
          <w:sz w:val="19"/>
          <w:szCs w:val="19"/>
          <w:lang w:val="nl-NL"/>
        </w:rPr>
        <w:t xml:space="preserve"> </w:t>
      </w:r>
      <w:r w:rsidRPr="00EF3B6A" w:rsidR="00962335">
        <w:rPr>
          <w:rFonts w:ascii="Open Sans" w:hAnsi="Open Sans"/>
          <w:sz w:val="19"/>
          <w:szCs w:val="19"/>
          <w:lang w:val="nl-NL"/>
        </w:rPr>
        <w:t>D</w:t>
      </w:r>
      <w:r w:rsidRPr="00EF3B6A" w:rsidR="00AC2181">
        <w:rPr>
          <w:rFonts w:ascii="Open Sans" w:hAnsi="Open Sans"/>
          <w:sz w:val="19"/>
          <w:szCs w:val="19"/>
          <w:lang w:val="nl-NL"/>
        </w:rPr>
        <w:t xml:space="preserve">aardoor </w:t>
      </w:r>
      <w:r w:rsidRPr="00EF3B6A" w:rsidR="00962335">
        <w:rPr>
          <w:rFonts w:ascii="Open Sans" w:hAnsi="Open Sans"/>
          <w:sz w:val="19"/>
          <w:szCs w:val="19"/>
          <w:lang w:val="nl-NL"/>
        </w:rPr>
        <w:t xml:space="preserve">wordt </w:t>
      </w:r>
      <w:r w:rsidRPr="00EF3B6A" w:rsidR="00AC2181">
        <w:rPr>
          <w:rFonts w:ascii="Open Sans" w:hAnsi="Open Sans"/>
          <w:sz w:val="19"/>
          <w:szCs w:val="19"/>
          <w:lang w:val="nl-NL"/>
        </w:rPr>
        <w:t>de economische rationale</w:t>
      </w:r>
      <w:r w:rsidRPr="00EF3B6A" w:rsidR="00C9704E">
        <w:rPr>
          <w:rFonts w:ascii="Open Sans" w:hAnsi="Open Sans"/>
          <w:sz w:val="19"/>
          <w:szCs w:val="19"/>
          <w:lang w:val="nl-NL"/>
        </w:rPr>
        <w:t xml:space="preserve"> </w:t>
      </w:r>
      <w:r w:rsidRPr="00EF3B6A" w:rsidR="00AC2181">
        <w:rPr>
          <w:rFonts w:ascii="Open Sans" w:hAnsi="Open Sans"/>
          <w:sz w:val="19"/>
          <w:szCs w:val="19"/>
          <w:lang w:val="nl-NL"/>
        </w:rPr>
        <w:t>gelij</w:t>
      </w:r>
      <w:r w:rsidRPr="00EF3B6A" w:rsidR="00962335">
        <w:rPr>
          <w:rFonts w:ascii="Open Sans" w:hAnsi="Open Sans"/>
          <w:sz w:val="19"/>
          <w:szCs w:val="19"/>
          <w:lang w:val="nl-NL"/>
        </w:rPr>
        <w:t>k</w:t>
      </w:r>
      <w:r w:rsidRPr="00EF3B6A" w:rsidR="00AC2181">
        <w:rPr>
          <w:rFonts w:ascii="Open Sans" w:hAnsi="Open Sans"/>
          <w:sz w:val="19"/>
          <w:szCs w:val="19"/>
          <w:lang w:val="nl-NL"/>
        </w:rPr>
        <w:t xml:space="preserve">gesteld aan </w:t>
      </w:r>
      <w:r w:rsidRPr="00EF3B6A" w:rsidR="00C9704E">
        <w:rPr>
          <w:rFonts w:ascii="Open Sans" w:hAnsi="Open Sans"/>
          <w:sz w:val="19"/>
          <w:szCs w:val="19"/>
          <w:lang w:val="nl-NL"/>
        </w:rPr>
        <w:t>het opereren binnen de grenzen van onze planeet</w:t>
      </w:r>
      <w:r w:rsidRPr="00EF3B6A" w:rsidR="00AC2181">
        <w:rPr>
          <w:rFonts w:ascii="Open Sans" w:hAnsi="Open Sans"/>
          <w:sz w:val="19"/>
          <w:szCs w:val="19"/>
          <w:lang w:val="nl-NL"/>
        </w:rPr>
        <w:t>.</w:t>
      </w:r>
    </w:p>
    <w:p w:rsidRPr="00EF3B6A" w:rsidR="008305A4" w:rsidP="00710BA6" w:rsidRDefault="00962335" w14:paraId="5FF86486" w14:textId="6C4D36AB">
      <w:pPr>
        <w:ind w:firstLine="360"/>
        <w:rPr>
          <w:rFonts w:ascii="Open Sans" w:hAnsi="Open Sans"/>
          <w:sz w:val="19"/>
          <w:szCs w:val="19"/>
          <w:lang w:val="nl-NL"/>
        </w:rPr>
      </w:pPr>
      <w:r w:rsidRPr="00EF3B6A">
        <w:rPr>
          <w:rFonts w:ascii="Open Sans" w:hAnsi="Open Sans"/>
          <w:sz w:val="19"/>
          <w:szCs w:val="19"/>
          <w:lang w:val="nl-NL"/>
        </w:rPr>
        <w:t xml:space="preserve">De transitie naar een circulaire economie biedt </w:t>
      </w:r>
      <w:r w:rsidR="008D5D36">
        <w:rPr>
          <w:rFonts w:ascii="Open Sans" w:hAnsi="Open Sans"/>
          <w:sz w:val="19"/>
          <w:szCs w:val="19"/>
          <w:lang w:val="nl-NL"/>
        </w:rPr>
        <w:t>bovendien</w:t>
      </w:r>
      <w:r w:rsidRPr="00EF3B6A" w:rsidR="008D5D36">
        <w:rPr>
          <w:rFonts w:ascii="Open Sans" w:hAnsi="Open Sans"/>
          <w:sz w:val="19"/>
          <w:szCs w:val="19"/>
          <w:lang w:val="nl-NL"/>
        </w:rPr>
        <w:t xml:space="preserve"> </w:t>
      </w:r>
      <w:r w:rsidRPr="00EF3B6A">
        <w:rPr>
          <w:rFonts w:ascii="Open Sans" w:hAnsi="Open Sans"/>
          <w:sz w:val="19"/>
          <w:szCs w:val="19"/>
          <w:lang w:val="nl-NL"/>
        </w:rPr>
        <w:t xml:space="preserve">kansen. Het terugwinnen van grondstoffen en de transitie naar duurzame energie- en grondstoffenhuishouding vragen om innovatie, investeringen en werk. Een circulaire economie produceert uiteindelijk meer diensten en welvaart met inzet van minder schaarse grondstoffen. Vanuit macro-perspectief is een verschuiving van investeringen richting circulaire activiteiten dan ook verstandig financieel beleid. </w:t>
      </w:r>
      <w:r w:rsidRPr="00EF3B6A" w:rsidR="00AC2181">
        <w:rPr>
          <w:rFonts w:ascii="Open Sans" w:hAnsi="Open Sans"/>
          <w:sz w:val="19"/>
          <w:szCs w:val="19"/>
          <w:lang w:val="nl-NL"/>
        </w:rPr>
        <w:t xml:space="preserve"> </w:t>
      </w:r>
    </w:p>
    <w:p w:rsidRPr="00EF3B6A" w:rsidR="004447F5" w:rsidRDefault="004447F5" w14:paraId="4E5BEB43" w14:textId="77777777">
      <w:pPr>
        <w:rPr>
          <w:rFonts w:ascii="Open Sans" w:hAnsi="Open Sans"/>
          <w:sz w:val="19"/>
          <w:szCs w:val="19"/>
          <w:lang w:val="nl-NL"/>
        </w:rPr>
      </w:pPr>
    </w:p>
    <w:p w:rsidRPr="00EF3B6A" w:rsidR="002E0A85" w:rsidP="009C60EF" w:rsidRDefault="006F4FB1" w14:paraId="367AA4CC" w14:textId="7B33FFBF">
      <w:pPr>
        <w:outlineLvl w:val="0"/>
        <w:rPr>
          <w:rFonts w:ascii="Open Sans" w:hAnsi="Open Sans"/>
          <w:b/>
          <w:sz w:val="19"/>
          <w:szCs w:val="19"/>
          <w:lang w:val="nl-NL"/>
        </w:rPr>
      </w:pPr>
      <w:r w:rsidRPr="00EF3B6A">
        <w:rPr>
          <w:rFonts w:ascii="Open Sans" w:hAnsi="Open Sans"/>
          <w:b/>
          <w:sz w:val="19"/>
          <w:szCs w:val="19"/>
          <w:lang w:val="nl-NL"/>
        </w:rPr>
        <w:t xml:space="preserve">Financiële aspecten </w:t>
      </w:r>
      <w:r w:rsidRPr="00EF3B6A" w:rsidR="00BB2AA1">
        <w:rPr>
          <w:rFonts w:ascii="Open Sans" w:hAnsi="Open Sans"/>
          <w:b/>
          <w:sz w:val="19"/>
          <w:szCs w:val="19"/>
          <w:lang w:val="nl-NL"/>
        </w:rPr>
        <w:t xml:space="preserve">van </w:t>
      </w:r>
      <w:r w:rsidRPr="00EF3B6A" w:rsidR="00DE1BD1">
        <w:rPr>
          <w:rFonts w:ascii="Open Sans" w:hAnsi="Open Sans"/>
          <w:b/>
          <w:sz w:val="19"/>
          <w:szCs w:val="19"/>
          <w:lang w:val="nl-NL"/>
        </w:rPr>
        <w:t>circulaire economie</w:t>
      </w:r>
      <w:r w:rsidRPr="00EF3B6A" w:rsidR="00BB2AA1">
        <w:rPr>
          <w:rFonts w:ascii="Open Sans" w:hAnsi="Open Sans"/>
          <w:b/>
          <w:sz w:val="19"/>
          <w:szCs w:val="19"/>
          <w:lang w:val="nl-NL"/>
        </w:rPr>
        <w:t xml:space="preserve"> – het Micro perspectief</w:t>
      </w:r>
      <w:r w:rsidRPr="00EF3B6A" w:rsidR="002E0A85">
        <w:rPr>
          <w:rFonts w:ascii="Open Sans" w:hAnsi="Open Sans"/>
          <w:b/>
          <w:sz w:val="19"/>
          <w:szCs w:val="19"/>
          <w:lang w:val="nl-NL"/>
        </w:rPr>
        <w:t xml:space="preserve"> </w:t>
      </w:r>
    </w:p>
    <w:p w:rsidRPr="00EF3B6A" w:rsidR="004447F5" w:rsidP="00C45E39" w:rsidRDefault="006F4FB1" w14:paraId="12AD0D71" w14:textId="14E74B22">
      <w:pPr>
        <w:rPr>
          <w:rFonts w:ascii="Open Sans" w:hAnsi="Open Sans"/>
          <w:sz w:val="19"/>
          <w:szCs w:val="19"/>
          <w:lang w:val="nl-NL"/>
        </w:rPr>
      </w:pPr>
      <w:r w:rsidRPr="00EF3B6A">
        <w:rPr>
          <w:rFonts w:ascii="Open Sans" w:hAnsi="Open Sans"/>
          <w:sz w:val="19"/>
          <w:szCs w:val="19"/>
          <w:lang w:val="nl-NL"/>
        </w:rPr>
        <w:t xml:space="preserve">Als we nu inzoomen naar </w:t>
      </w:r>
      <w:r w:rsidRPr="00EF3B6A" w:rsidR="00962F95">
        <w:rPr>
          <w:rFonts w:ascii="Open Sans" w:hAnsi="Open Sans"/>
          <w:sz w:val="19"/>
          <w:szCs w:val="19"/>
          <w:lang w:val="nl-NL"/>
        </w:rPr>
        <w:t>de financië</w:t>
      </w:r>
      <w:r w:rsidRPr="00EF3B6A">
        <w:rPr>
          <w:rFonts w:ascii="Open Sans" w:hAnsi="Open Sans"/>
          <w:sz w:val="19"/>
          <w:szCs w:val="19"/>
          <w:lang w:val="nl-NL"/>
        </w:rPr>
        <w:t>le aspecten op het niveau waar investeringen plaatsvinden (i.e. tussen bedrijven en de financiële sector) zien we</w:t>
      </w:r>
      <w:r w:rsidRPr="00EF3B6A" w:rsidR="00962335">
        <w:rPr>
          <w:rFonts w:ascii="Open Sans" w:hAnsi="Open Sans"/>
          <w:sz w:val="19"/>
          <w:szCs w:val="19"/>
          <w:lang w:val="nl-NL"/>
        </w:rPr>
        <w:t xml:space="preserve"> verschillende problemen ontstaan.</w:t>
      </w:r>
      <w:r w:rsidRPr="00EF3B6A">
        <w:rPr>
          <w:rFonts w:ascii="Open Sans" w:hAnsi="Open Sans"/>
          <w:sz w:val="19"/>
          <w:szCs w:val="19"/>
          <w:lang w:val="nl-NL"/>
        </w:rPr>
        <w:t xml:space="preserve"> </w:t>
      </w:r>
      <w:r w:rsidRPr="00EF3B6A" w:rsidR="004447F5">
        <w:rPr>
          <w:rFonts w:ascii="Open Sans" w:hAnsi="Open Sans"/>
          <w:sz w:val="19"/>
          <w:szCs w:val="19"/>
          <w:lang w:val="nl-NL"/>
        </w:rPr>
        <w:t xml:space="preserve">Er </w:t>
      </w:r>
      <w:r w:rsidRPr="00EF3B6A">
        <w:rPr>
          <w:rFonts w:ascii="Open Sans" w:hAnsi="Open Sans"/>
          <w:sz w:val="19"/>
          <w:szCs w:val="19"/>
          <w:lang w:val="nl-NL"/>
        </w:rPr>
        <w:t xml:space="preserve">kan </w:t>
      </w:r>
      <w:r w:rsidRPr="00EF3B6A" w:rsidR="004447F5">
        <w:rPr>
          <w:rFonts w:ascii="Open Sans" w:hAnsi="Open Sans"/>
          <w:sz w:val="19"/>
          <w:szCs w:val="19"/>
          <w:lang w:val="nl-NL"/>
        </w:rPr>
        <w:t xml:space="preserve">grofweg onderscheid gemaakt kan worden tussen financieringsissues bij bedrijfsmodellen die 1) </w:t>
      </w:r>
      <w:r w:rsidRPr="00EF3B6A" w:rsidR="004447F5">
        <w:rPr>
          <w:rFonts w:ascii="Open Sans" w:hAnsi="Open Sans"/>
          <w:i/>
          <w:sz w:val="19"/>
          <w:szCs w:val="19"/>
          <w:lang w:val="nl-NL"/>
        </w:rPr>
        <w:t>grondstoffen terugwinnen</w:t>
      </w:r>
      <w:r w:rsidRPr="00EF3B6A">
        <w:rPr>
          <w:rFonts w:ascii="Open Sans" w:hAnsi="Open Sans"/>
          <w:sz w:val="19"/>
          <w:szCs w:val="19"/>
          <w:lang w:val="nl-NL"/>
        </w:rPr>
        <w:t xml:space="preserve"> (i.e. recycling</w:t>
      </w:r>
      <w:r w:rsidRPr="00EF3B6A" w:rsidR="004447F5">
        <w:rPr>
          <w:rFonts w:ascii="Open Sans" w:hAnsi="Open Sans"/>
          <w:sz w:val="19"/>
          <w:szCs w:val="19"/>
          <w:lang w:val="nl-NL"/>
        </w:rPr>
        <w:t xml:space="preserve">) en 2) </w:t>
      </w:r>
      <w:r w:rsidRPr="00EF3B6A" w:rsidR="004447F5">
        <w:rPr>
          <w:rFonts w:ascii="Open Sans" w:hAnsi="Open Sans"/>
          <w:i/>
          <w:sz w:val="19"/>
          <w:szCs w:val="19"/>
          <w:lang w:val="nl-NL"/>
        </w:rPr>
        <w:t>verantwoordelijkheden verplaatsen</w:t>
      </w:r>
      <w:r w:rsidRPr="00EF3B6A" w:rsidR="00962F95">
        <w:rPr>
          <w:rFonts w:ascii="Open Sans" w:hAnsi="Open Sans"/>
          <w:sz w:val="19"/>
          <w:szCs w:val="19"/>
          <w:lang w:val="nl-NL"/>
        </w:rPr>
        <w:t xml:space="preserve"> </w:t>
      </w:r>
      <w:r w:rsidRPr="00EF3B6A" w:rsidR="00962F95">
        <w:rPr>
          <w:rFonts w:ascii="Open Sans" w:hAnsi="Open Sans"/>
          <w:i/>
          <w:sz w:val="19"/>
          <w:szCs w:val="19"/>
          <w:lang w:val="nl-NL"/>
        </w:rPr>
        <w:t>van gebruiker naar producent</w:t>
      </w:r>
      <w:r w:rsidRPr="00EF3B6A" w:rsidR="004447F5">
        <w:rPr>
          <w:rFonts w:ascii="Open Sans" w:hAnsi="Open Sans"/>
          <w:sz w:val="19"/>
          <w:szCs w:val="19"/>
          <w:lang w:val="nl-NL"/>
        </w:rPr>
        <w:t>. Hierbij kan gedacht worden aan ‘product-as-a-service’ modellen, waarbij betaald wordt voor</w:t>
      </w:r>
      <w:r w:rsidRPr="00EF3B6A" w:rsidR="004D32C3">
        <w:rPr>
          <w:rFonts w:ascii="Open Sans" w:hAnsi="Open Sans"/>
          <w:sz w:val="19"/>
          <w:szCs w:val="19"/>
          <w:lang w:val="nl-NL"/>
        </w:rPr>
        <w:t xml:space="preserve"> gebruik in plaats van bezit. </w:t>
      </w:r>
      <w:r w:rsidRPr="00EF3B6A" w:rsidR="00962335">
        <w:rPr>
          <w:rFonts w:ascii="Open Sans" w:hAnsi="Open Sans"/>
          <w:sz w:val="19"/>
          <w:szCs w:val="19"/>
          <w:lang w:val="nl-NL"/>
        </w:rPr>
        <w:t>Vooral die laatste wordt gezien als het</w:t>
      </w:r>
      <w:r w:rsidRPr="00EF3B6A" w:rsidR="00B9763D">
        <w:rPr>
          <w:rFonts w:ascii="Open Sans" w:hAnsi="Open Sans"/>
          <w:sz w:val="19"/>
          <w:szCs w:val="19"/>
          <w:lang w:val="nl-NL"/>
        </w:rPr>
        <w:t xml:space="preserve"> ‘gouden ei’ van de </w:t>
      </w:r>
      <w:r w:rsidRPr="00EF3B6A" w:rsidR="00DE1BD1">
        <w:rPr>
          <w:rFonts w:ascii="Open Sans" w:hAnsi="Open Sans"/>
          <w:sz w:val="19"/>
          <w:szCs w:val="19"/>
          <w:lang w:val="nl-NL"/>
        </w:rPr>
        <w:t>circulaire economie</w:t>
      </w:r>
      <w:r w:rsidRPr="00EF3B6A" w:rsidR="00B9763D">
        <w:rPr>
          <w:rFonts w:ascii="Open Sans" w:hAnsi="Open Sans"/>
          <w:sz w:val="19"/>
          <w:szCs w:val="19"/>
          <w:lang w:val="nl-NL"/>
        </w:rPr>
        <w:t>, omdat ketens hierdoor uitgedaagd worden om</w:t>
      </w:r>
      <w:r w:rsidRPr="00EF3B6A" w:rsidR="004D32C3">
        <w:rPr>
          <w:rFonts w:ascii="Open Sans" w:hAnsi="Open Sans"/>
          <w:sz w:val="19"/>
          <w:szCs w:val="19"/>
          <w:lang w:val="nl-NL"/>
        </w:rPr>
        <w:t xml:space="preserve"> samen te werken om</w:t>
      </w:r>
      <w:r w:rsidRPr="00EF3B6A" w:rsidR="00B9763D">
        <w:rPr>
          <w:rFonts w:ascii="Open Sans" w:hAnsi="Open Sans"/>
          <w:sz w:val="19"/>
          <w:szCs w:val="19"/>
          <w:lang w:val="nl-NL"/>
        </w:rPr>
        <w:t xml:space="preserve"> een zo duurzaam mogelijk product te ontwikkelen wat op de lange termijn minder kosten meebrengt terwijl de toegevoegde waarde maximaal benut kan worden; </w:t>
      </w:r>
      <w:r w:rsidRPr="00EF3B6A" w:rsidR="004D32C3">
        <w:rPr>
          <w:rFonts w:ascii="Open Sans" w:hAnsi="Open Sans"/>
          <w:sz w:val="19"/>
          <w:szCs w:val="19"/>
          <w:lang w:val="nl-NL"/>
        </w:rPr>
        <w:t xml:space="preserve">meer </w:t>
      </w:r>
      <w:r w:rsidRPr="00EF3B6A" w:rsidR="00962335">
        <w:rPr>
          <w:rFonts w:ascii="Open Sans" w:hAnsi="Open Sans"/>
          <w:sz w:val="19"/>
          <w:szCs w:val="19"/>
          <w:lang w:val="nl-NL"/>
        </w:rPr>
        <w:t>(welvaarts)</w:t>
      </w:r>
      <w:r w:rsidRPr="00EF3B6A" w:rsidR="004D32C3">
        <w:rPr>
          <w:rFonts w:ascii="Open Sans" w:hAnsi="Open Sans"/>
          <w:sz w:val="19"/>
          <w:szCs w:val="19"/>
          <w:lang w:val="nl-NL"/>
        </w:rPr>
        <w:t xml:space="preserve">winst dus. </w:t>
      </w:r>
      <w:r w:rsidRPr="00EF3B6A" w:rsidR="00614EEB">
        <w:rPr>
          <w:rFonts w:ascii="Open Sans" w:hAnsi="Open Sans"/>
          <w:sz w:val="19"/>
          <w:szCs w:val="19"/>
          <w:lang w:val="nl-NL"/>
        </w:rPr>
        <w:t xml:space="preserve">Bovendien kunnen zo </w:t>
      </w:r>
      <w:r w:rsidRPr="00EF3B6A" w:rsidR="006F016D">
        <w:rPr>
          <w:rFonts w:ascii="Open Sans" w:hAnsi="Open Sans"/>
          <w:sz w:val="19"/>
          <w:szCs w:val="19"/>
          <w:lang w:val="nl-NL"/>
        </w:rPr>
        <w:t xml:space="preserve">risico’s rond volatiliteit van grondstofprijzen </w:t>
      </w:r>
      <w:r w:rsidRPr="00EF3B6A" w:rsidR="00614EEB">
        <w:rPr>
          <w:rFonts w:ascii="Open Sans" w:hAnsi="Open Sans"/>
          <w:sz w:val="19"/>
          <w:szCs w:val="19"/>
          <w:lang w:val="nl-NL"/>
        </w:rPr>
        <w:t>ondervangen worden; je blijft imm</w:t>
      </w:r>
      <w:r w:rsidRPr="00EF3B6A" w:rsidR="006F016D">
        <w:rPr>
          <w:rFonts w:ascii="Open Sans" w:hAnsi="Open Sans"/>
          <w:sz w:val="19"/>
          <w:szCs w:val="19"/>
          <w:lang w:val="nl-NL"/>
        </w:rPr>
        <w:t>ers eigenaar van je product dus krijgt het na gebruik weer terug</w:t>
      </w:r>
      <w:r w:rsidRPr="00EF3B6A" w:rsidR="00614EEB">
        <w:rPr>
          <w:rFonts w:ascii="Open Sans" w:hAnsi="Open Sans"/>
          <w:sz w:val="19"/>
          <w:szCs w:val="19"/>
          <w:lang w:val="nl-NL"/>
        </w:rPr>
        <w:t xml:space="preserve">. </w:t>
      </w:r>
    </w:p>
    <w:p w:rsidRPr="00EF3B6A" w:rsidR="002E0A85" w:rsidP="002E0A85" w:rsidRDefault="002E0A85" w14:paraId="7886120C" w14:textId="77777777">
      <w:pPr>
        <w:rPr>
          <w:rFonts w:ascii="Open Sans" w:hAnsi="Open Sans"/>
          <w:sz w:val="19"/>
          <w:szCs w:val="19"/>
          <w:lang w:val="nl-NL"/>
        </w:rPr>
      </w:pPr>
    </w:p>
    <w:p w:rsidRPr="00EF3B6A" w:rsidR="002E0A85" w:rsidP="00EF3B6A" w:rsidRDefault="009C60EF" w14:paraId="30075237" w14:textId="083A1DDD">
      <w:pPr>
        <w:rPr>
          <w:rFonts w:ascii="Open Sans" w:hAnsi="Open Sans"/>
          <w:b/>
          <w:sz w:val="19"/>
          <w:szCs w:val="19"/>
          <w:lang w:val="nl-NL"/>
        </w:rPr>
      </w:pPr>
      <w:r w:rsidRPr="00EF3B6A">
        <w:rPr>
          <w:rFonts w:ascii="Open Sans" w:hAnsi="Open Sans"/>
          <w:b/>
          <w:sz w:val="19"/>
          <w:szCs w:val="19"/>
          <w:lang w:val="nl-NL"/>
        </w:rPr>
        <w:t xml:space="preserve">Waarom blijkt investeren in </w:t>
      </w:r>
      <w:r w:rsidRPr="00EF3B6A" w:rsidR="00DE1BD1">
        <w:rPr>
          <w:rFonts w:ascii="Open Sans" w:hAnsi="Open Sans"/>
          <w:b/>
          <w:sz w:val="19"/>
          <w:szCs w:val="19"/>
          <w:lang w:val="nl-NL"/>
        </w:rPr>
        <w:t>circulaire economie</w:t>
      </w:r>
      <w:r w:rsidRPr="00EF3B6A" w:rsidR="002E0A85">
        <w:rPr>
          <w:rFonts w:ascii="Open Sans" w:hAnsi="Open Sans"/>
          <w:b/>
          <w:sz w:val="19"/>
          <w:szCs w:val="19"/>
          <w:lang w:val="nl-NL"/>
        </w:rPr>
        <w:t xml:space="preserve"> nog zo moeilijk</w:t>
      </w:r>
    </w:p>
    <w:p w:rsidRPr="00EF3B6A" w:rsidR="00962335" w:rsidP="00CE5142" w:rsidRDefault="00962F95" w14:paraId="4BF7A43D" w14:textId="0B90DDA6">
      <w:pPr>
        <w:rPr>
          <w:rFonts w:ascii="Open Sans" w:hAnsi="Open Sans"/>
          <w:sz w:val="19"/>
          <w:szCs w:val="19"/>
          <w:lang w:val="nl-NL"/>
        </w:rPr>
      </w:pPr>
      <w:r w:rsidRPr="00EF3B6A">
        <w:rPr>
          <w:rFonts w:ascii="Open Sans" w:hAnsi="Open Sans"/>
          <w:sz w:val="19"/>
          <w:szCs w:val="19"/>
          <w:lang w:val="nl-NL"/>
        </w:rPr>
        <w:t>De</w:t>
      </w:r>
      <w:r w:rsidRPr="00EF3B6A" w:rsidR="004447F5">
        <w:rPr>
          <w:rFonts w:ascii="Open Sans" w:hAnsi="Open Sans"/>
          <w:sz w:val="19"/>
          <w:szCs w:val="19"/>
          <w:lang w:val="nl-NL"/>
        </w:rPr>
        <w:t xml:space="preserve"> bedrijfsmodellen</w:t>
      </w:r>
      <w:r w:rsidRPr="00EF3B6A">
        <w:rPr>
          <w:rFonts w:ascii="Open Sans" w:hAnsi="Open Sans"/>
          <w:sz w:val="19"/>
          <w:szCs w:val="19"/>
          <w:lang w:val="nl-NL"/>
        </w:rPr>
        <w:t xml:space="preserve"> rond </w:t>
      </w:r>
      <w:r w:rsidRPr="00EF3B6A">
        <w:rPr>
          <w:rFonts w:ascii="Open Sans" w:hAnsi="Open Sans"/>
          <w:i/>
          <w:sz w:val="19"/>
          <w:szCs w:val="19"/>
          <w:lang w:val="nl-NL"/>
        </w:rPr>
        <w:t>grondstoffen terugwinnen</w:t>
      </w:r>
      <w:r w:rsidRPr="00EF3B6A" w:rsidR="004447F5">
        <w:rPr>
          <w:rFonts w:ascii="Open Sans" w:hAnsi="Open Sans"/>
          <w:sz w:val="19"/>
          <w:szCs w:val="19"/>
          <w:lang w:val="nl-NL"/>
        </w:rPr>
        <w:t xml:space="preserve"> </w:t>
      </w:r>
      <w:r w:rsidRPr="00EF3B6A">
        <w:rPr>
          <w:rFonts w:ascii="Open Sans" w:hAnsi="Open Sans"/>
          <w:sz w:val="19"/>
          <w:szCs w:val="19"/>
          <w:lang w:val="nl-NL"/>
        </w:rPr>
        <w:t xml:space="preserve">kunnen </w:t>
      </w:r>
      <w:r w:rsidRPr="00EF3B6A" w:rsidR="004447F5">
        <w:rPr>
          <w:rFonts w:ascii="Open Sans" w:hAnsi="Open Sans"/>
          <w:sz w:val="19"/>
          <w:szCs w:val="19"/>
          <w:lang w:val="nl-NL"/>
        </w:rPr>
        <w:t>in principe gefinancierd worden met de best</w:t>
      </w:r>
      <w:r w:rsidRPr="00EF3B6A">
        <w:rPr>
          <w:rFonts w:ascii="Open Sans" w:hAnsi="Open Sans"/>
          <w:sz w:val="19"/>
          <w:szCs w:val="19"/>
          <w:lang w:val="nl-NL"/>
        </w:rPr>
        <w:t>aande financieringsstructuren</w:t>
      </w:r>
      <w:r w:rsidRPr="00EF3B6A" w:rsidR="004447F5">
        <w:rPr>
          <w:rFonts w:ascii="Open Sans" w:hAnsi="Open Sans"/>
          <w:sz w:val="19"/>
          <w:szCs w:val="19"/>
          <w:lang w:val="nl-NL"/>
        </w:rPr>
        <w:t xml:space="preserve">. </w:t>
      </w:r>
      <w:r w:rsidRPr="00EF3B6A" w:rsidR="00962335">
        <w:rPr>
          <w:rFonts w:ascii="Open Sans" w:hAnsi="Open Sans"/>
          <w:sz w:val="19"/>
          <w:szCs w:val="19"/>
          <w:lang w:val="nl-NL"/>
        </w:rPr>
        <w:t xml:space="preserve">Hierbij geldt echter dat afval moet worden gezien als grondstof en dat vooral het storten en verbranden van kostbare grondstoffen moet worden geprijsd om de business case rond te maken. </w:t>
      </w:r>
      <w:r w:rsidRPr="00EF3B6A" w:rsidR="003640B8">
        <w:rPr>
          <w:rFonts w:ascii="Open Sans" w:hAnsi="Open Sans"/>
          <w:sz w:val="19"/>
          <w:szCs w:val="19"/>
          <w:lang w:val="nl-NL"/>
        </w:rPr>
        <w:t>Als de verplichting om afval af te voeren kan worden gewaardeerd als een recht op een kostbare grondstoffenstroom, zijn al veel financiële belemmeringen op te lossen.</w:t>
      </w:r>
      <w:r w:rsidRPr="00EF3B6A" w:rsidR="00962335">
        <w:rPr>
          <w:rFonts w:ascii="Open Sans" w:hAnsi="Open Sans"/>
          <w:sz w:val="19"/>
          <w:szCs w:val="19"/>
          <w:lang w:val="nl-NL"/>
        </w:rPr>
        <w:t xml:space="preserve"> </w:t>
      </w:r>
    </w:p>
    <w:p w:rsidRPr="00EF3B6A" w:rsidR="00BE37A3" w:rsidP="00BE37A3" w:rsidRDefault="00962F95" w14:paraId="24BB6CB8" w14:textId="5E02BF96">
      <w:pPr>
        <w:ind w:firstLine="360"/>
        <w:rPr>
          <w:rFonts w:ascii="Open Sans" w:hAnsi="Open Sans"/>
          <w:sz w:val="19"/>
          <w:szCs w:val="19"/>
          <w:lang w:val="nl-NL"/>
        </w:rPr>
      </w:pPr>
      <w:r w:rsidRPr="00EF3B6A">
        <w:rPr>
          <w:rFonts w:ascii="Open Sans" w:hAnsi="Open Sans"/>
          <w:sz w:val="19"/>
          <w:szCs w:val="19"/>
          <w:lang w:val="nl-NL"/>
        </w:rPr>
        <w:t xml:space="preserve">Bedrijfsmodellen die </w:t>
      </w:r>
      <w:r w:rsidRPr="00EF3B6A">
        <w:rPr>
          <w:rFonts w:ascii="Open Sans" w:hAnsi="Open Sans"/>
          <w:i/>
          <w:sz w:val="19"/>
          <w:szCs w:val="19"/>
          <w:lang w:val="nl-NL"/>
        </w:rPr>
        <w:t>verantwoordelijkheden verplaatsen</w:t>
      </w:r>
      <w:r w:rsidRPr="00EF3B6A">
        <w:rPr>
          <w:rFonts w:ascii="Open Sans" w:hAnsi="Open Sans"/>
          <w:sz w:val="19"/>
          <w:szCs w:val="19"/>
          <w:lang w:val="nl-NL"/>
        </w:rPr>
        <w:t xml:space="preserve"> </w:t>
      </w:r>
      <w:r w:rsidRPr="00EF3B6A">
        <w:rPr>
          <w:rFonts w:ascii="Open Sans" w:hAnsi="Open Sans"/>
          <w:i/>
          <w:sz w:val="19"/>
          <w:szCs w:val="19"/>
          <w:lang w:val="nl-NL"/>
        </w:rPr>
        <w:t>van gebruiker naar producent</w:t>
      </w:r>
      <w:r w:rsidRPr="00EF3B6A">
        <w:rPr>
          <w:rFonts w:ascii="Open Sans" w:hAnsi="Open Sans"/>
          <w:sz w:val="19"/>
          <w:szCs w:val="19"/>
          <w:lang w:val="nl-NL"/>
        </w:rPr>
        <w:t xml:space="preserve"> lopen</w:t>
      </w:r>
      <w:r w:rsidRPr="00EF3B6A" w:rsidR="004447F5">
        <w:rPr>
          <w:rFonts w:ascii="Open Sans" w:hAnsi="Open Sans"/>
          <w:sz w:val="19"/>
          <w:szCs w:val="19"/>
          <w:lang w:val="nl-NL"/>
        </w:rPr>
        <w:t xml:space="preserve"> echter tegen</w:t>
      </w:r>
      <w:r w:rsidRPr="00EF3B6A" w:rsidR="003640B8">
        <w:rPr>
          <w:rFonts w:ascii="Open Sans" w:hAnsi="Open Sans"/>
          <w:sz w:val="19"/>
          <w:szCs w:val="19"/>
          <w:lang w:val="nl-NL"/>
        </w:rPr>
        <w:t xml:space="preserve"> taaiere</w:t>
      </w:r>
      <w:r w:rsidRPr="00EF3B6A" w:rsidR="004447F5">
        <w:rPr>
          <w:rFonts w:ascii="Open Sans" w:hAnsi="Open Sans"/>
          <w:sz w:val="19"/>
          <w:szCs w:val="19"/>
          <w:lang w:val="nl-NL"/>
        </w:rPr>
        <w:t xml:space="preserve"> financieringsproblemen aan. </w:t>
      </w:r>
      <w:r w:rsidRPr="00EF3B6A" w:rsidR="003640B8">
        <w:rPr>
          <w:rFonts w:ascii="Open Sans" w:hAnsi="Open Sans"/>
          <w:sz w:val="19"/>
          <w:szCs w:val="19"/>
          <w:lang w:val="nl-NL"/>
        </w:rPr>
        <w:t>Bij ‘product-as-a-service’ bedrijfsmodellen blijven de producten eigendom van het producerende bedrijf en zit de waarde van het bedrijf niet in de verkoopcijfers, maar in het klantenbestand.</w:t>
      </w:r>
      <w:r w:rsidRPr="00EF3B6A" w:rsidR="004D1389">
        <w:rPr>
          <w:rFonts w:ascii="Open Sans" w:hAnsi="Open Sans"/>
          <w:sz w:val="19"/>
          <w:szCs w:val="19"/>
          <w:lang w:val="nl-NL"/>
        </w:rPr>
        <w:t xml:space="preserve"> Bovendien impliceert dit bedrijfsmodel meer samenwerking in de keten. </w:t>
      </w:r>
      <w:r w:rsidRPr="00EF3B6A" w:rsidR="00322C8F">
        <w:rPr>
          <w:rFonts w:ascii="Open Sans" w:hAnsi="Open Sans"/>
          <w:sz w:val="19"/>
          <w:szCs w:val="19"/>
          <w:lang w:val="nl-NL"/>
        </w:rPr>
        <w:t>Bijvoorbeeld, a</w:t>
      </w:r>
      <w:r w:rsidRPr="00EF3B6A" w:rsidR="004D1389">
        <w:rPr>
          <w:rFonts w:ascii="Open Sans" w:hAnsi="Open Sans"/>
          <w:sz w:val="19"/>
          <w:szCs w:val="19"/>
          <w:lang w:val="nl-NL"/>
        </w:rPr>
        <w:t xml:space="preserve">ls </w:t>
      </w:r>
      <w:r w:rsidRPr="00EF3B6A" w:rsidR="00322C8F">
        <w:rPr>
          <w:rFonts w:ascii="Open Sans" w:hAnsi="Open Sans"/>
          <w:sz w:val="19"/>
          <w:szCs w:val="19"/>
          <w:lang w:val="nl-NL"/>
        </w:rPr>
        <w:t>een producent</w:t>
      </w:r>
      <w:r w:rsidRPr="00EF3B6A" w:rsidR="004D1389">
        <w:rPr>
          <w:rFonts w:ascii="Open Sans" w:hAnsi="Open Sans"/>
          <w:sz w:val="19"/>
          <w:szCs w:val="19"/>
          <w:lang w:val="nl-NL"/>
        </w:rPr>
        <w:t xml:space="preserve"> investeert in duurzame grondstoffen en modulair productontwerp kan dat leiden tot </w:t>
      </w:r>
      <w:r w:rsidRPr="00EF3B6A" w:rsidR="00322C8F">
        <w:rPr>
          <w:rFonts w:ascii="Open Sans" w:hAnsi="Open Sans"/>
          <w:sz w:val="19"/>
          <w:szCs w:val="19"/>
          <w:lang w:val="nl-NL"/>
        </w:rPr>
        <w:t>hogere</w:t>
      </w:r>
      <w:r w:rsidRPr="00EF3B6A" w:rsidR="004D1389">
        <w:rPr>
          <w:rFonts w:ascii="Open Sans" w:hAnsi="Open Sans"/>
          <w:sz w:val="19"/>
          <w:szCs w:val="19"/>
          <w:lang w:val="nl-NL"/>
        </w:rPr>
        <w:t xml:space="preserve"> winst bij de recycler aan het eind van de levenscyclus. Door samen te werken met de keten kunnen deze voordelen (maar ook mogelijke risico’s) gedeeld worden.</w:t>
      </w:r>
      <w:r w:rsidRPr="00EF3B6A" w:rsidR="003640B8">
        <w:rPr>
          <w:rFonts w:ascii="Open Sans" w:hAnsi="Open Sans"/>
          <w:sz w:val="19"/>
          <w:szCs w:val="19"/>
          <w:lang w:val="nl-NL"/>
        </w:rPr>
        <w:t xml:space="preserve"> Daarop zijn </w:t>
      </w:r>
      <w:r w:rsidRPr="00EF3B6A" w:rsidR="004447F5">
        <w:rPr>
          <w:rFonts w:ascii="Open Sans" w:hAnsi="Open Sans"/>
          <w:sz w:val="19"/>
          <w:szCs w:val="19"/>
          <w:lang w:val="nl-NL"/>
        </w:rPr>
        <w:t>de beslismodellen en</w:t>
      </w:r>
      <w:r w:rsidRPr="00EF3B6A">
        <w:rPr>
          <w:rFonts w:ascii="Open Sans" w:hAnsi="Open Sans"/>
          <w:sz w:val="19"/>
          <w:szCs w:val="19"/>
          <w:lang w:val="nl-NL"/>
        </w:rPr>
        <w:t xml:space="preserve"> onderliggende</w:t>
      </w:r>
      <w:r w:rsidRPr="00EF3B6A" w:rsidR="004447F5">
        <w:rPr>
          <w:rFonts w:ascii="Open Sans" w:hAnsi="Open Sans"/>
          <w:sz w:val="19"/>
          <w:szCs w:val="19"/>
          <w:lang w:val="nl-NL"/>
        </w:rPr>
        <w:t xml:space="preserve"> </w:t>
      </w:r>
      <w:r w:rsidRPr="00EF3B6A" w:rsidR="00962335">
        <w:rPr>
          <w:rFonts w:ascii="Open Sans" w:hAnsi="Open Sans"/>
          <w:sz w:val="19"/>
          <w:szCs w:val="19"/>
          <w:lang w:val="nl-NL"/>
        </w:rPr>
        <w:t>risicoanalyses</w:t>
      </w:r>
      <w:r w:rsidRPr="00EF3B6A" w:rsidR="004447F5">
        <w:rPr>
          <w:rFonts w:ascii="Open Sans" w:hAnsi="Open Sans"/>
          <w:sz w:val="19"/>
          <w:szCs w:val="19"/>
          <w:lang w:val="nl-NL"/>
        </w:rPr>
        <w:t xml:space="preserve"> van financiële instellingen</w:t>
      </w:r>
      <w:r w:rsidRPr="00EF3B6A" w:rsidR="003640B8">
        <w:rPr>
          <w:rFonts w:ascii="Open Sans" w:hAnsi="Open Sans"/>
          <w:sz w:val="19"/>
          <w:szCs w:val="19"/>
          <w:lang w:val="nl-NL"/>
        </w:rPr>
        <w:t xml:space="preserve"> nog niet ingericht</w:t>
      </w:r>
      <w:r w:rsidRPr="00EF3B6A" w:rsidR="00962335">
        <w:rPr>
          <w:rFonts w:ascii="Open Sans" w:hAnsi="Open Sans"/>
          <w:sz w:val="19"/>
          <w:szCs w:val="19"/>
          <w:lang w:val="nl-NL"/>
        </w:rPr>
        <w:t>.</w:t>
      </w:r>
      <w:r w:rsidRPr="00EF3B6A" w:rsidR="00D26BD6">
        <w:rPr>
          <w:rFonts w:ascii="Open Sans" w:hAnsi="Open Sans"/>
          <w:sz w:val="19"/>
          <w:szCs w:val="19"/>
          <w:lang w:val="nl-NL"/>
        </w:rPr>
        <w:t xml:space="preserve"> </w:t>
      </w:r>
      <w:r w:rsidRPr="00EF3B6A" w:rsidR="00962335">
        <w:rPr>
          <w:rFonts w:ascii="Open Sans" w:hAnsi="Open Sans"/>
          <w:sz w:val="19"/>
          <w:szCs w:val="19"/>
          <w:lang w:val="nl-NL"/>
        </w:rPr>
        <w:t>D</w:t>
      </w:r>
      <w:r w:rsidRPr="00EF3B6A" w:rsidR="00D26BD6">
        <w:rPr>
          <w:rFonts w:ascii="Open Sans" w:hAnsi="Open Sans"/>
          <w:sz w:val="19"/>
          <w:szCs w:val="19"/>
          <w:lang w:val="nl-NL"/>
        </w:rPr>
        <w:t xml:space="preserve">ie </w:t>
      </w:r>
      <w:r w:rsidRPr="00EF3B6A" w:rsidR="00962335">
        <w:rPr>
          <w:rFonts w:ascii="Open Sans" w:hAnsi="Open Sans"/>
          <w:sz w:val="19"/>
          <w:szCs w:val="19"/>
          <w:lang w:val="nl-NL"/>
        </w:rPr>
        <w:t xml:space="preserve">zijn </w:t>
      </w:r>
      <w:r w:rsidRPr="00EF3B6A" w:rsidR="003640B8">
        <w:rPr>
          <w:rFonts w:ascii="Open Sans" w:hAnsi="Open Sans"/>
          <w:sz w:val="19"/>
          <w:szCs w:val="19"/>
          <w:lang w:val="nl-NL"/>
        </w:rPr>
        <w:t xml:space="preserve">vaak nog </w:t>
      </w:r>
      <w:r w:rsidRPr="00EF3B6A">
        <w:rPr>
          <w:rFonts w:ascii="Open Sans" w:hAnsi="Open Sans"/>
          <w:sz w:val="19"/>
          <w:szCs w:val="19"/>
          <w:lang w:val="nl-NL"/>
        </w:rPr>
        <w:t xml:space="preserve">gebaseerd </w:t>
      </w:r>
      <w:r w:rsidRPr="00EF3B6A" w:rsidR="00D26BD6">
        <w:rPr>
          <w:rFonts w:ascii="Open Sans" w:hAnsi="Open Sans"/>
          <w:sz w:val="19"/>
          <w:szCs w:val="19"/>
          <w:lang w:val="nl-NL"/>
        </w:rPr>
        <w:t xml:space="preserve">op lineaire </w:t>
      </w:r>
      <w:r w:rsidRPr="00EF3B6A" w:rsidR="00390BD9">
        <w:rPr>
          <w:rFonts w:ascii="Open Sans" w:hAnsi="Open Sans"/>
          <w:sz w:val="19"/>
          <w:szCs w:val="19"/>
          <w:lang w:val="nl-NL"/>
        </w:rPr>
        <w:t xml:space="preserve">assumpties en </w:t>
      </w:r>
      <w:r w:rsidRPr="00EF3B6A" w:rsidR="00962335">
        <w:rPr>
          <w:rFonts w:ascii="Open Sans" w:hAnsi="Open Sans"/>
          <w:sz w:val="19"/>
          <w:szCs w:val="19"/>
          <w:lang w:val="nl-NL"/>
        </w:rPr>
        <w:t xml:space="preserve">plaatsen </w:t>
      </w:r>
      <w:r w:rsidRPr="00EF3B6A" w:rsidR="00390BD9">
        <w:rPr>
          <w:rFonts w:ascii="Open Sans" w:hAnsi="Open Sans"/>
          <w:sz w:val="19"/>
          <w:szCs w:val="19"/>
          <w:lang w:val="nl-NL"/>
        </w:rPr>
        <w:t xml:space="preserve">per definitie </w:t>
      </w:r>
      <w:r w:rsidRPr="00EF3B6A">
        <w:rPr>
          <w:rFonts w:ascii="Open Sans" w:hAnsi="Open Sans"/>
          <w:sz w:val="19"/>
          <w:szCs w:val="19"/>
          <w:lang w:val="nl-NL"/>
        </w:rPr>
        <w:t>kortetermijnwinst</w:t>
      </w:r>
      <w:r w:rsidRPr="00EF3B6A" w:rsidR="00390BD9">
        <w:rPr>
          <w:rFonts w:ascii="Open Sans" w:hAnsi="Open Sans"/>
          <w:sz w:val="19"/>
          <w:szCs w:val="19"/>
          <w:lang w:val="nl-NL"/>
        </w:rPr>
        <w:t xml:space="preserve"> </w:t>
      </w:r>
      <w:r w:rsidRPr="00EF3B6A" w:rsidR="00322C8F">
        <w:rPr>
          <w:rFonts w:ascii="Open Sans" w:hAnsi="Open Sans"/>
          <w:sz w:val="19"/>
          <w:szCs w:val="19"/>
          <w:lang w:val="nl-NL"/>
        </w:rPr>
        <w:t xml:space="preserve">van één bedrijf </w:t>
      </w:r>
      <w:r w:rsidRPr="00EF3B6A" w:rsidR="003640B8">
        <w:rPr>
          <w:rFonts w:ascii="Open Sans" w:hAnsi="Open Sans"/>
          <w:sz w:val="19"/>
          <w:szCs w:val="19"/>
          <w:lang w:val="nl-NL"/>
        </w:rPr>
        <w:t xml:space="preserve">door verkoop van producten </w:t>
      </w:r>
      <w:r w:rsidRPr="00EF3B6A" w:rsidR="00390BD9">
        <w:rPr>
          <w:rFonts w:ascii="Open Sans" w:hAnsi="Open Sans"/>
          <w:sz w:val="19"/>
          <w:szCs w:val="19"/>
          <w:lang w:val="nl-NL"/>
        </w:rPr>
        <w:t>boven lange termijn stabiliteit</w:t>
      </w:r>
      <w:r w:rsidRPr="00EF3B6A" w:rsidR="003640B8">
        <w:rPr>
          <w:rFonts w:ascii="Open Sans" w:hAnsi="Open Sans"/>
          <w:sz w:val="19"/>
          <w:szCs w:val="19"/>
          <w:lang w:val="nl-NL"/>
        </w:rPr>
        <w:t xml:space="preserve"> van een trouw klantenbestand</w:t>
      </w:r>
      <w:r w:rsidRPr="00EF3B6A" w:rsidR="00322C8F">
        <w:rPr>
          <w:rFonts w:ascii="Open Sans" w:hAnsi="Open Sans"/>
          <w:sz w:val="19"/>
          <w:szCs w:val="19"/>
          <w:lang w:val="nl-NL"/>
        </w:rPr>
        <w:t xml:space="preserve"> en het delen van kansen en risico’s in de </w:t>
      </w:r>
      <w:r w:rsidRPr="00EF3B6A" w:rsidR="004D1389">
        <w:rPr>
          <w:rFonts w:ascii="Open Sans" w:hAnsi="Open Sans"/>
          <w:sz w:val="19"/>
          <w:szCs w:val="19"/>
          <w:lang w:val="nl-NL"/>
        </w:rPr>
        <w:t xml:space="preserve">keten.  </w:t>
      </w:r>
    </w:p>
    <w:p w:rsidRPr="00EF3B6A" w:rsidR="00DE1BD1" w:rsidP="006E7A37" w:rsidRDefault="00DE1BD1" w14:paraId="25550F82" w14:textId="77777777">
      <w:pPr>
        <w:rPr>
          <w:rFonts w:ascii="Open Sans" w:hAnsi="Open Sans"/>
          <w:sz w:val="19"/>
          <w:szCs w:val="19"/>
          <w:lang w:val="nl-NL"/>
        </w:rPr>
      </w:pPr>
    </w:p>
    <w:p w:rsidRPr="006E7A37" w:rsidR="00DE1BD1" w:rsidP="006E7A37" w:rsidRDefault="004D1389" w14:paraId="4B40ABE4" w14:textId="44AB455D">
      <w:pPr>
        <w:rPr>
          <w:rFonts w:ascii="Open Sans" w:hAnsi="Open Sans"/>
          <w:b/>
          <w:sz w:val="19"/>
          <w:szCs w:val="19"/>
          <w:lang w:val="nl-NL"/>
        </w:rPr>
      </w:pPr>
      <w:r w:rsidRPr="00EF3B6A">
        <w:rPr>
          <w:rFonts w:ascii="Open Sans" w:hAnsi="Open Sans"/>
          <w:b/>
          <w:sz w:val="19"/>
          <w:szCs w:val="19"/>
          <w:lang w:val="nl-NL"/>
        </w:rPr>
        <w:t>Een</w:t>
      </w:r>
      <w:r w:rsidRPr="00EF3B6A" w:rsidR="00DE1BD1">
        <w:rPr>
          <w:rFonts w:ascii="Open Sans" w:hAnsi="Open Sans"/>
          <w:b/>
          <w:sz w:val="19"/>
          <w:szCs w:val="19"/>
          <w:lang w:val="nl-NL"/>
        </w:rPr>
        <w:t xml:space="preserve"> nieuwe kijk op risico’s en zekerheden</w:t>
      </w:r>
    </w:p>
    <w:p w:rsidRPr="00EF3B6A" w:rsidR="00962F95" w:rsidP="00CE5142" w:rsidRDefault="006467AE" w14:paraId="1F85E0D8" w14:textId="30EF15AC">
      <w:pPr>
        <w:ind w:firstLine="360"/>
        <w:rPr>
          <w:rFonts w:ascii="Open Sans" w:hAnsi="Open Sans"/>
          <w:sz w:val="19"/>
          <w:szCs w:val="19"/>
          <w:lang w:val="nl-NL"/>
        </w:rPr>
      </w:pPr>
      <w:r w:rsidRPr="00EF3B6A">
        <w:rPr>
          <w:rFonts w:ascii="Open Sans" w:hAnsi="Open Sans"/>
          <w:sz w:val="19"/>
          <w:szCs w:val="19"/>
          <w:lang w:val="nl-NL"/>
        </w:rPr>
        <w:t xml:space="preserve">Om te kunnen investeren in </w:t>
      </w:r>
      <w:r w:rsidRPr="00EF3B6A" w:rsidR="00DE1BD1">
        <w:rPr>
          <w:rFonts w:ascii="Open Sans" w:hAnsi="Open Sans"/>
          <w:sz w:val="19"/>
          <w:szCs w:val="19"/>
          <w:lang w:val="nl-NL"/>
        </w:rPr>
        <w:t>circulaire economie</w:t>
      </w:r>
      <w:r w:rsidRPr="00EF3B6A">
        <w:rPr>
          <w:rFonts w:ascii="Open Sans" w:hAnsi="Open Sans"/>
          <w:sz w:val="19"/>
          <w:szCs w:val="19"/>
          <w:lang w:val="nl-NL"/>
        </w:rPr>
        <w:t xml:space="preserve"> moet de </w:t>
      </w:r>
      <w:r w:rsidRPr="00EF3B6A" w:rsidR="00C960DE">
        <w:rPr>
          <w:rFonts w:ascii="Open Sans" w:hAnsi="Open Sans"/>
          <w:sz w:val="19"/>
          <w:szCs w:val="19"/>
          <w:lang w:val="nl-NL"/>
        </w:rPr>
        <w:t>financiële</w:t>
      </w:r>
      <w:r w:rsidRPr="00EF3B6A">
        <w:rPr>
          <w:rFonts w:ascii="Open Sans" w:hAnsi="Open Sans"/>
          <w:sz w:val="19"/>
          <w:szCs w:val="19"/>
          <w:lang w:val="nl-NL"/>
        </w:rPr>
        <w:t xml:space="preserve"> sector bedrijven </w:t>
      </w:r>
      <w:r w:rsidR="003640B4">
        <w:rPr>
          <w:rFonts w:ascii="Open Sans" w:hAnsi="Open Sans"/>
          <w:sz w:val="19"/>
          <w:szCs w:val="19"/>
          <w:lang w:val="nl-NL"/>
        </w:rPr>
        <w:t xml:space="preserve">op een </w:t>
      </w:r>
      <w:r w:rsidRPr="00EF3B6A">
        <w:rPr>
          <w:rFonts w:ascii="Open Sans" w:hAnsi="Open Sans"/>
          <w:sz w:val="19"/>
          <w:szCs w:val="19"/>
          <w:lang w:val="nl-NL"/>
        </w:rPr>
        <w:t>ander</w:t>
      </w:r>
      <w:r w:rsidR="003640B4">
        <w:rPr>
          <w:rFonts w:ascii="Open Sans" w:hAnsi="Open Sans"/>
          <w:sz w:val="19"/>
          <w:szCs w:val="19"/>
          <w:lang w:val="nl-NL"/>
        </w:rPr>
        <w:t>e manier</w:t>
      </w:r>
      <w:r w:rsidRPr="00EF3B6A">
        <w:rPr>
          <w:rFonts w:ascii="Open Sans" w:hAnsi="Open Sans"/>
          <w:sz w:val="19"/>
          <w:szCs w:val="19"/>
          <w:lang w:val="nl-NL"/>
        </w:rPr>
        <w:t xml:space="preserve"> gaan waarderen. Zekerheden kunnen gevonden worden in langlopende </w:t>
      </w:r>
      <w:r w:rsidRPr="00EF3B6A" w:rsidR="009C60EF">
        <w:rPr>
          <w:rFonts w:ascii="Open Sans" w:hAnsi="Open Sans"/>
          <w:sz w:val="19"/>
          <w:szCs w:val="19"/>
          <w:lang w:val="nl-NL"/>
        </w:rPr>
        <w:t xml:space="preserve">contracten en </w:t>
      </w:r>
      <w:r w:rsidRPr="00EF3B6A">
        <w:rPr>
          <w:rFonts w:ascii="Open Sans" w:hAnsi="Open Sans"/>
          <w:sz w:val="19"/>
          <w:szCs w:val="19"/>
          <w:lang w:val="nl-NL"/>
        </w:rPr>
        <w:lastRenderedPageBreak/>
        <w:t xml:space="preserve">kasstromen, een robuuste samenwerking in de keten, technologie om producten een tweede- of derde levenscyclus in te sturen, het gebruik van data en </w:t>
      </w:r>
      <w:r w:rsidRPr="00EF3B6A">
        <w:rPr>
          <w:rFonts w:ascii="Open Sans" w:hAnsi="Open Sans"/>
          <w:i/>
          <w:sz w:val="19"/>
          <w:szCs w:val="19"/>
          <w:lang w:val="nl-NL"/>
        </w:rPr>
        <w:t>I</w:t>
      </w:r>
      <w:r w:rsidRPr="00EF3B6A" w:rsidR="009C60EF">
        <w:rPr>
          <w:rFonts w:ascii="Open Sans" w:hAnsi="Open Sans"/>
          <w:i/>
          <w:sz w:val="19"/>
          <w:szCs w:val="19"/>
          <w:lang w:val="nl-NL"/>
        </w:rPr>
        <w:t xml:space="preserve">nternet </w:t>
      </w:r>
      <w:r w:rsidRPr="00EF3B6A">
        <w:rPr>
          <w:rFonts w:ascii="Open Sans" w:hAnsi="Open Sans"/>
          <w:i/>
          <w:sz w:val="19"/>
          <w:szCs w:val="19"/>
          <w:lang w:val="nl-NL"/>
        </w:rPr>
        <w:t>o</w:t>
      </w:r>
      <w:r w:rsidRPr="00EF3B6A" w:rsidR="009C60EF">
        <w:rPr>
          <w:rFonts w:ascii="Open Sans" w:hAnsi="Open Sans"/>
          <w:i/>
          <w:sz w:val="19"/>
          <w:szCs w:val="19"/>
          <w:lang w:val="nl-NL"/>
        </w:rPr>
        <w:t xml:space="preserve">f </w:t>
      </w:r>
      <w:r w:rsidRPr="00EF3B6A">
        <w:rPr>
          <w:rFonts w:ascii="Open Sans" w:hAnsi="Open Sans"/>
          <w:i/>
          <w:sz w:val="19"/>
          <w:szCs w:val="19"/>
          <w:lang w:val="nl-NL"/>
        </w:rPr>
        <w:t>T</w:t>
      </w:r>
      <w:r w:rsidRPr="00EF3B6A" w:rsidR="009C60EF">
        <w:rPr>
          <w:rFonts w:ascii="Open Sans" w:hAnsi="Open Sans"/>
          <w:i/>
          <w:sz w:val="19"/>
          <w:szCs w:val="19"/>
          <w:lang w:val="nl-NL"/>
        </w:rPr>
        <w:t>hings</w:t>
      </w:r>
      <w:r w:rsidRPr="00EF3B6A">
        <w:rPr>
          <w:rFonts w:ascii="Open Sans" w:hAnsi="Open Sans"/>
          <w:sz w:val="19"/>
          <w:szCs w:val="19"/>
          <w:lang w:val="nl-NL"/>
        </w:rPr>
        <w:t xml:space="preserve"> om inzicht te krijgen in het gebruik van producten en eventuele afstemming op vraag en aanbod van energie enzovoort. </w:t>
      </w:r>
      <w:r w:rsidRPr="00EF3B6A" w:rsidR="003640B8">
        <w:rPr>
          <w:rFonts w:ascii="Open Sans" w:hAnsi="Open Sans"/>
          <w:sz w:val="19"/>
          <w:szCs w:val="19"/>
          <w:lang w:val="nl-NL"/>
        </w:rPr>
        <w:t xml:space="preserve">Dat laat zich lastiger in harde cijfers vangen en vraagt om een stuk ambachtelijke oordeelsvorming. </w:t>
      </w:r>
      <w:r w:rsidRPr="00EF3B6A" w:rsidR="00C960DE">
        <w:rPr>
          <w:rFonts w:ascii="Open Sans" w:hAnsi="Open Sans"/>
          <w:sz w:val="19"/>
          <w:szCs w:val="19"/>
          <w:lang w:val="nl-NL"/>
        </w:rPr>
        <w:t>Het begrijpen en waarderen van deze nieuwe zekerheden zal de plaa</w:t>
      </w:r>
      <w:r w:rsidRPr="00EF3B6A" w:rsidR="00963C8E">
        <w:rPr>
          <w:rFonts w:ascii="Open Sans" w:hAnsi="Open Sans"/>
          <w:sz w:val="19"/>
          <w:szCs w:val="19"/>
          <w:lang w:val="nl-NL"/>
        </w:rPr>
        <w:t>ts in moeten nemen van</w:t>
      </w:r>
      <w:r w:rsidRPr="00EF3B6A" w:rsidR="00C960DE">
        <w:rPr>
          <w:rFonts w:ascii="Open Sans" w:hAnsi="Open Sans"/>
          <w:sz w:val="19"/>
          <w:szCs w:val="19"/>
          <w:lang w:val="nl-NL"/>
        </w:rPr>
        <w:t xml:space="preserve"> de oude zekerheden </w:t>
      </w:r>
      <w:r w:rsidRPr="00EF3B6A" w:rsidR="00963C8E">
        <w:rPr>
          <w:rFonts w:ascii="Open Sans" w:hAnsi="Open Sans"/>
          <w:sz w:val="19"/>
          <w:szCs w:val="19"/>
          <w:lang w:val="nl-NL"/>
        </w:rPr>
        <w:t xml:space="preserve">die </w:t>
      </w:r>
      <w:r w:rsidRPr="00EF3B6A" w:rsidR="00C960DE">
        <w:rPr>
          <w:rFonts w:ascii="Open Sans" w:hAnsi="Open Sans"/>
          <w:sz w:val="19"/>
          <w:szCs w:val="19"/>
          <w:lang w:val="nl-NL"/>
        </w:rPr>
        <w:t>vooral gebaseerd</w:t>
      </w:r>
      <w:r w:rsidRPr="00EF3B6A" w:rsidR="00963C8E">
        <w:rPr>
          <w:rFonts w:ascii="Open Sans" w:hAnsi="Open Sans"/>
          <w:sz w:val="19"/>
          <w:szCs w:val="19"/>
          <w:lang w:val="nl-NL"/>
        </w:rPr>
        <w:t xml:space="preserve"> zijn op </w:t>
      </w:r>
      <w:r w:rsidRPr="00EF3B6A" w:rsidR="00963C8E">
        <w:rPr>
          <w:rFonts w:ascii="Open Sans" w:hAnsi="Open Sans"/>
          <w:i/>
          <w:sz w:val="19"/>
          <w:szCs w:val="19"/>
          <w:lang w:val="nl-NL"/>
        </w:rPr>
        <w:t xml:space="preserve">fixed assets </w:t>
      </w:r>
      <w:r w:rsidRPr="00EF3B6A" w:rsidR="00963C8E">
        <w:rPr>
          <w:rFonts w:ascii="Open Sans" w:hAnsi="Open Sans"/>
          <w:sz w:val="19"/>
          <w:szCs w:val="19"/>
          <w:lang w:val="nl-NL"/>
        </w:rPr>
        <w:t>als onderpand en</w:t>
      </w:r>
      <w:r w:rsidRPr="00EF3B6A" w:rsidR="00962F95">
        <w:rPr>
          <w:rFonts w:ascii="Open Sans" w:hAnsi="Open Sans"/>
          <w:sz w:val="19"/>
          <w:szCs w:val="19"/>
          <w:lang w:val="nl-NL"/>
        </w:rPr>
        <w:t xml:space="preserve"> enerzijds</w:t>
      </w:r>
      <w:r w:rsidRPr="00EF3B6A" w:rsidR="00963C8E">
        <w:rPr>
          <w:rFonts w:ascii="Open Sans" w:hAnsi="Open Sans"/>
          <w:sz w:val="19"/>
          <w:szCs w:val="19"/>
          <w:lang w:val="nl-NL"/>
        </w:rPr>
        <w:t xml:space="preserve"> uitgaan van een oneindige voorraad grondstoffen </w:t>
      </w:r>
      <w:r w:rsidRPr="00EF3B6A" w:rsidR="00962F95">
        <w:rPr>
          <w:rFonts w:ascii="Open Sans" w:hAnsi="Open Sans"/>
          <w:sz w:val="19"/>
          <w:szCs w:val="19"/>
          <w:lang w:val="nl-NL"/>
        </w:rPr>
        <w:t xml:space="preserve">en anderzijds mogelijke negatieve impact op maatschappij en milieu niet waarderen. </w:t>
      </w:r>
    </w:p>
    <w:p w:rsidR="00BE37A3" w:rsidP="00CE5142" w:rsidRDefault="00962F95" w14:paraId="2A7CD6CD" w14:textId="49346BB3">
      <w:pPr>
        <w:ind w:firstLine="360"/>
        <w:rPr>
          <w:rFonts w:ascii="Open Sans" w:hAnsi="Open Sans"/>
          <w:sz w:val="19"/>
          <w:szCs w:val="19"/>
          <w:lang w:val="nl-NL"/>
        </w:rPr>
      </w:pPr>
      <w:r w:rsidRPr="00EF3B6A">
        <w:rPr>
          <w:rFonts w:ascii="Open Sans" w:hAnsi="Open Sans"/>
          <w:sz w:val="19"/>
          <w:szCs w:val="19"/>
          <w:lang w:val="nl-NL"/>
        </w:rPr>
        <w:t xml:space="preserve">Hierbij is het van essentieel belang dat het de circulaire waarde – in de basis het waarderen van externe kosten en baten – overeenkomt met </w:t>
      </w:r>
      <w:r w:rsidRPr="00EF3B6A" w:rsidR="00962335">
        <w:rPr>
          <w:rFonts w:ascii="Open Sans" w:hAnsi="Open Sans"/>
          <w:sz w:val="19"/>
          <w:szCs w:val="19"/>
          <w:lang w:val="nl-NL"/>
        </w:rPr>
        <w:t>d</w:t>
      </w:r>
      <w:r w:rsidRPr="00EF3B6A">
        <w:rPr>
          <w:rFonts w:ascii="Open Sans" w:hAnsi="Open Sans"/>
          <w:sz w:val="19"/>
          <w:szCs w:val="19"/>
          <w:lang w:val="nl-NL"/>
        </w:rPr>
        <w:t xml:space="preserve">e reële waarde. Omdat de huidige, lineaire economie </w:t>
      </w:r>
      <w:r w:rsidRPr="00EF3B6A" w:rsidR="00BE37A3">
        <w:rPr>
          <w:rFonts w:ascii="Open Sans" w:hAnsi="Open Sans"/>
          <w:sz w:val="19"/>
          <w:szCs w:val="19"/>
          <w:lang w:val="nl-NL"/>
        </w:rPr>
        <w:t>extern</w:t>
      </w:r>
      <w:r w:rsidR="00BE37A3">
        <w:rPr>
          <w:rFonts w:ascii="Open Sans" w:hAnsi="Open Sans"/>
          <w:sz w:val="19"/>
          <w:szCs w:val="19"/>
          <w:lang w:val="nl-NL"/>
        </w:rPr>
        <w:t>e effecten</w:t>
      </w:r>
      <w:r w:rsidRPr="00EF3B6A" w:rsidR="00BE37A3">
        <w:rPr>
          <w:rFonts w:ascii="Open Sans" w:hAnsi="Open Sans"/>
          <w:sz w:val="19"/>
          <w:szCs w:val="19"/>
          <w:lang w:val="nl-NL"/>
        </w:rPr>
        <w:t xml:space="preserve"> </w:t>
      </w:r>
      <w:r w:rsidRPr="00EF3B6A">
        <w:rPr>
          <w:rFonts w:ascii="Open Sans" w:hAnsi="Open Sans"/>
          <w:sz w:val="19"/>
          <w:szCs w:val="19"/>
          <w:lang w:val="nl-NL"/>
        </w:rPr>
        <w:t xml:space="preserve">niet waardeert lijken circulaire producten duurder, waardoor concurrentie met de lineaire variant onmogelijk is. Het is daarom zaak om een </w:t>
      </w:r>
      <w:r w:rsidRPr="00EF3B6A">
        <w:rPr>
          <w:rFonts w:ascii="Open Sans" w:hAnsi="Open Sans"/>
          <w:i/>
          <w:sz w:val="19"/>
          <w:szCs w:val="19"/>
          <w:lang w:val="nl-NL"/>
        </w:rPr>
        <w:t>level playing field</w:t>
      </w:r>
      <w:r w:rsidRPr="00EF3B6A">
        <w:rPr>
          <w:rFonts w:ascii="Open Sans" w:hAnsi="Open Sans"/>
          <w:sz w:val="19"/>
          <w:szCs w:val="19"/>
          <w:lang w:val="nl-NL"/>
        </w:rPr>
        <w:t xml:space="preserve"> te creëren waarin de prikkels worden gegeven om </w:t>
      </w:r>
      <w:r w:rsidRPr="00EF3B6A" w:rsidR="00BE37A3">
        <w:rPr>
          <w:rFonts w:ascii="Open Sans" w:hAnsi="Open Sans"/>
          <w:sz w:val="19"/>
          <w:szCs w:val="19"/>
          <w:lang w:val="nl-NL"/>
        </w:rPr>
        <w:t>extern</w:t>
      </w:r>
      <w:r w:rsidR="00BE37A3">
        <w:rPr>
          <w:rFonts w:ascii="Open Sans" w:hAnsi="Open Sans"/>
          <w:sz w:val="19"/>
          <w:szCs w:val="19"/>
          <w:lang w:val="nl-NL"/>
        </w:rPr>
        <w:t>e effecten</w:t>
      </w:r>
      <w:r w:rsidRPr="00EF3B6A" w:rsidR="00BE37A3">
        <w:rPr>
          <w:rFonts w:ascii="Open Sans" w:hAnsi="Open Sans"/>
          <w:sz w:val="19"/>
          <w:szCs w:val="19"/>
          <w:lang w:val="nl-NL"/>
        </w:rPr>
        <w:t xml:space="preserve"> </w:t>
      </w:r>
      <w:r w:rsidRPr="00EF3B6A">
        <w:rPr>
          <w:rFonts w:ascii="Open Sans" w:hAnsi="Open Sans"/>
          <w:sz w:val="19"/>
          <w:szCs w:val="19"/>
          <w:lang w:val="nl-NL"/>
        </w:rPr>
        <w:t xml:space="preserve">te waarderen. </w:t>
      </w:r>
    </w:p>
    <w:p w:rsidR="00BE37A3" w:rsidP="00085CB2" w:rsidRDefault="00BE37A3" w14:paraId="1A19CD6D" w14:textId="77777777">
      <w:pPr>
        <w:rPr>
          <w:rFonts w:ascii="Open Sans" w:hAnsi="Open Sans"/>
          <w:sz w:val="19"/>
          <w:szCs w:val="19"/>
          <w:lang w:val="nl-NL"/>
        </w:rPr>
      </w:pPr>
    </w:p>
    <w:p w:rsidR="00BE37A3" w:rsidP="00BE37A3" w:rsidRDefault="00BE37A3" w14:paraId="6AEA8511" w14:textId="49ECCFF2">
      <w:pPr>
        <w:rPr>
          <w:rFonts w:ascii="Open Sans" w:hAnsi="Open Sans"/>
          <w:b/>
          <w:sz w:val="19"/>
          <w:szCs w:val="19"/>
          <w:lang w:val="nl-NL"/>
        </w:rPr>
      </w:pPr>
      <w:r>
        <w:rPr>
          <w:rFonts w:ascii="Open Sans" w:hAnsi="Open Sans"/>
          <w:b/>
          <w:sz w:val="19"/>
          <w:szCs w:val="19"/>
          <w:lang w:val="nl-NL"/>
        </w:rPr>
        <w:t>Coördinatie</w:t>
      </w:r>
      <w:r w:rsidR="00F74E75">
        <w:rPr>
          <w:rFonts w:ascii="Open Sans" w:hAnsi="Open Sans"/>
          <w:b/>
          <w:sz w:val="19"/>
          <w:szCs w:val="19"/>
          <w:lang w:val="nl-NL"/>
        </w:rPr>
        <w:t>- en overgangs</w:t>
      </w:r>
      <w:r>
        <w:rPr>
          <w:rFonts w:ascii="Open Sans" w:hAnsi="Open Sans"/>
          <w:b/>
          <w:sz w:val="19"/>
          <w:szCs w:val="19"/>
          <w:lang w:val="nl-NL"/>
        </w:rPr>
        <w:t>problemen</w:t>
      </w:r>
    </w:p>
    <w:p w:rsidRPr="00EF3B6A" w:rsidR="004447F5" w:rsidP="00085CB2" w:rsidRDefault="00BE37A3" w14:paraId="7D06DD94" w14:textId="3814922E">
      <w:pPr>
        <w:rPr>
          <w:rFonts w:ascii="Open Sans" w:hAnsi="Open Sans"/>
          <w:sz w:val="19"/>
          <w:szCs w:val="19"/>
          <w:lang w:val="nl-NL"/>
        </w:rPr>
      </w:pPr>
      <w:r>
        <w:rPr>
          <w:rFonts w:ascii="Open Sans" w:hAnsi="Open Sans"/>
          <w:sz w:val="19"/>
          <w:szCs w:val="19"/>
          <w:lang w:val="nl-NL"/>
        </w:rPr>
        <w:t xml:space="preserve">Tot slot </w:t>
      </w:r>
      <w:r w:rsidR="00C01046">
        <w:rPr>
          <w:rFonts w:ascii="Open Sans" w:hAnsi="Open Sans"/>
          <w:sz w:val="19"/>
          <w:szCs w:val="19"/>
          <w:lang w:val="nl-NL"/>
        </w:rPr>
        <w:t xml:space="preserve">is </w:t>
      </w:r>
      <w:r w:rsidR="00F74E75">
        <w:rPr>
          <w:rFonts w:ascii="Open Sans" w:hAnsi="Open Sans"/>
          <w:sz w:val="19"/>
          <w:szCs w:val="19"/>
          <w:lang w:val="nl-NL"/>
        </w:rPr>
        <w:t>de transitie</w:t>
      </w:r>
      <w:r w:rsidR="007E6C59">
        <w:rPr>
          <w:rFonts w:ascii="Open Sans" w:hAnsi="Open Sans"/>
          <w:sz w:val="19"/>
          <w:szCs w:val="19"/>
          <w:lang w:val="nl-NL"/>
        </w:rPr>
        <w:t xml:space="preserve"> naar</w:t>
      </w:r>
      <w:r>
        <w:rPr>
          <w:rFonts w:ascii="Open Sans" w:hAnsi="Open Sans"/>
          <w:sz w:val="19"/>
          <w:szCs w:val="19"/>
          <w:lang w:val="nl-NL"/>
        </w:rPr>
        <w:t xml:space="preserve"> een economie waarin externe effecten </w:t>
      </w:r>
      <w:r w:rsidR="007E6C59">
        <w:rPr>
          <w:rFonts w:ascii="Open Sans" w:hAnsi="Open Sans"/>
          <w:sz w:val="19"/>
          <w:szCs w:val="19"/>
          <w:lang w:val="nl-NL"/>
        </w:rPr>
        <w:t>gewaardeerd worden een complex samenspe</w:t>
      </w:r>
      <w:r w:rsidR="00C01046">
        <w:rPr>
          <w:rFonts w:ascii="Open Sans" w:hAnsi="Open Sans"/>
          <w:sz w:val="19"/>
          <w:szCs w:val="19"/>
          <w:lang w:val="nl-NL"/>
        </w:rPr>
        <w:t>l</w:t>
      </w:r>
      <w:r w:rsidR="007E6C59">
        <w:rPr>
          <w:rFonts w:ascii="Open Sans" w:hAnsi="Open Sans"/>
          <w:sz w:val="19"/>
          <w:szCs w:val="19"/>
          <w:lang w:val="nl-NL"/>
        </w:rPr>
        <w:t xml:space="preserve"> van verschillende actoren, die gelijktijdig moeten bewegen</w:t>
      </w:r>
      <w:r w:rsidR="00F74E75">
        <w:rPr>
          <w:rFonts w:ascii="Open Sans" w:hAnsi="Open Sans"/>
          <w:sz w:val="19"/>
          <w:szCs w:val="19"/>
          <w:lang w:val="nl-NL"/>
        </w:rPr>
        <w:t>. Wanneer er bijvoorbeeld een nieuw circulair bedrijfsmodel ontwikkeld wordt, vraagt dit tevens om innovatie op het geb</w:t>
      </w:r>
      <w:r w:rsidR="00283C4D">
        <w:rPr>
          <w:rFonts w:ascii="Open Sans" w:hAnsi="Open Sans"/>
          <w:sz w:val="19"/>
          <w:szCs w:val="19"/>
          <w:lang w:val="nl-NL"/>
        </w:rPr>
        <w:t>ie</w:t>
      </w:r>
      <w:r w:rsidR="00F74E75">
        <w:rPr>
          <w:rFonts w:ascii="Open Sans" w:hAnsi="Open Sans"/>
          <w:sz w:val="19"/>
          <w:szCs w:val="19"/>
          <w:lang w:val="nl-NL"/>
        </w:rPr>
        <w:t xml:space="preserve">d van financiële besluitvorming en –verslaglegging en juridische kaders. </w:t>
      </w:r>
      <w:r w:rsidR="00FD2A02">
        <w:rPr>
          <w:rFonts w:ascii="Open Sans" w:hAnsi="Open Sans"/>
          <w:sz w:val="19"/>
          <w:szCs w:val="19"/>
          <w:lang w:val="nl-NL"/>
        </w:rPr>
        <w:t>Tegelijk</w:t>
      </w:r>
      <w:r w:rsidR="00F74E75">
        <w:rPr>
          <w:rFonts w:ascii="Open Sans" w:hAnsi="Open Sans"/>
          <w:sz w:val="19"/>
          <w:szCs w:val="19"/>
          <w:lang w:val="nl-NL"/>
        </w:rPr>
        <w:t xml:space="preserve"> moet </w:t>
      </w:r>
      <w:r w:rsidR="00FD2A02">
        <w:rPr>
          <w:rFonts w:ascii="Open Sans" w:hAnsi="Open Sans"/>
          <w:sz w:val="19"/>
          <w:szCs w:val="19"/>
          <w:lang w:val="nl-NL"/>
        </w:rPr>
        <w:t xml:space="preserve">ook </w:t>
      </w:r>
      <w:r w:rsidR="00F74E75">
        <w:rPr>
          <w:rFonts w:ascii="Open Sans" w:hAnsi="Open Sans"/>
          <w:sz w:val="19"/>
          <w:szCs w:val="19"/>
          <w:lang w:val="nl-NL"/>
        </w:rPr>
        <w:t>de markt van aanbieders en afnemers van circulaire producten ontwikkeld worden. Als één van deze activiteiten</w:t>
      </w:r>
      <w:r w:rsidR="003640B4">
        <w:rPr>
          <w:rFonts w:ascii="Open Sans" w:hAnsi="Open Sans"/>
          <w:sz w:val="19"/>
          <w:szCs w:val="19"/>
          <w:lang w:val="nl-NL"/>
        </w:rPr>
        <w:t xml:space="preserve"> te ver voor loopt op de andere</w:t>
      </w:r>
      <w:r w:rsidR="00283C4D">
        <w:rPr>
          <w:rFonts w:ascii="Open Sans" w:hAnsi="Open Sans"/>
          <w:sz w:val="19"/>
          <w:szCs w:val="19"/>
          <w:lang w:val="nl-NL"/>
        </w:rPr>
        <w:t>,</w:t>
      </w:r>
      <w:r w:rsidR="00F74E75">
        <w:rPr>
          <w:rFonts w:ascii="Open Sans" w:hAnsi="Open Sans"/>
          <w:sz w:val="19"/>
          <w:szCs w:val="19"/>
          <w:lang w:val="nl-NL"/>
        </w:rPr>
        <w:t xml:space="preserve"> loopt het spaak. Deze overgangs- en coördinatieproblemen resulteren in onzekerheid en hoge transactiekosten voor financiers. Pas als de circulaire economie meer uitkristalliseert en opschaling mogelijk wordt zullen investeringen </w:t>
      </w:r>
      <w:r w:rsidR="005561BB">
        <w:rPr>
          <w:rFonts w:ascii="Open Sans" w:hAnsi="Open Sans"/>
          <w:sz w:val="19"/>
          <w:szCs w:val="19"/>
          <w:lang w:val="nl-NL"/>
        </w:rPr>
        <w:t>van onzekerheid naar risico bewegen en daarmee financierbaar worden</w:t>
      </w:r>
      <w:r w:rsidR="00F74E75">
        <w:rPr>
          <w:rFonts w:ascii="Open Sans" w:hAnsi="Open Sans"/>
          <w:sz w:val="19"/>
          <w:szCs w:val="19"/>
          <w:lang w:val="nl-NL"/>
        </w:rPr>
        <w:t xml:space="preserve">. </w:t>
      </w:r>
      <w:r w:rsidRPr="00EF3B6A" w:rsidR="00390BD9">
        <w:rPr>
          <w:rFonts w:ascii="Open Sans" w:hAnsi="Open Sans"/>
          <w:sz w:val="19"/>
          <w:szCs w:val="19"/>
          <w:lang w:val="nl-NL"/>
        </w:rPr>
        <w:br/>
      </w:r>
    </w:p>
    <w:p w:rsidRPr="00085CB2" w:rsidR="004447F5" w:rsidP="00085CB2" w:rsidRDefault="00C84EA2" w14:paraId="0B6F7566" w14:textId="63613D25">
      <w:pPr>
        <w:jc w:val="both"/>
        <w:outlineLvl w:val="0"/>
        <w:rPr>
          <w:rFonts w:ascii="Open Sans" w:hAnsi="Open Sans"/>
          <w:b/>
          <w:i/>
          <w:sz w:val="19"/>
          <w:szCs w:val="19"/>
          <w:lang w:val="nl-NL"/>
        </w:rPr>
      </w:pPr>
      <w:r>
        <w:rPr>
          <w:rFonts w:ascii="Open Sans" w:hAnsi="Open Sans"/>
          <w:b/>
          <w:sz w:val="19"/>
          <w:szCs w:val="19"/>
          <w:lang w:val="nl-NL"/>
        </w:rPr>
        <w:t xml:space="preserve">Hoe de overheid kan bijdragen aan een </w:t>
      </w:r>
      <w:r>
        <w:rPr>
          <w:rFonts w:ascii="Open Sans" w:hAnsi="Open Sans"/>
          <w:b/>
          <w:i/>
          <w:sz w:val="19"/>
          <w:szCs w:val="19"/>
          <w:lang w:val="nl-NL"/>
        </w:rPr>
        <w:t>level playing field</w:t>
      </w:r>
    </w:p>
    <w:p w:rsidRPr="006E7A37" w:rsidR="00DB795E" w:rsidP="00DB795E" w:rsidRDefault="00C84EA2" w14:paraId="5955B019" w14:textId="53D3B566">
      <w:pPr>
        <w:pStyle w:val="ListParagraph"/>
        <w:numPr>
          <w:ilvl w:val="0"/>
          <w:numId w:val="3"/>
        </w:numPr>
        <w:rPr>
          <w:rFonts w:ascii="Open Sans" w:hAnsi="Open Sans"/>
          <w:sz w:val="19"/>
          <w:szCs w:val="19"/>
          <w:lang w:val="nl-NL"/>
        </w:rPr>
      </w:pPr>
      <w:r>
        <w:rPr>
          <w:rFonts w:ascii="Open Sans" w:hAnsi="Open Sans"/>
          <w:sz w:val="19"/>
          <w:szCs w:val="19"/>
          <w:lang w:val="nl-NL"/>
        </w:rPr>
        <w:t>B</w:t>
      </w:r>
      <w:r w:rsidRPr="00EF3B6A" w:rsidR="00D02CA0">
        <w:rPr>
          <w:rFonts w:ascii="Open Sans" w:hAnsi="Open Sans"/>
          <w:sz w:val="19"/>
          <w:szCs w:val="19"/>
          <w:lang w:val="nl-NL"/>
        </w:rPr>
        <w:t>elastingprikkels</w:t>
      </w:r>
      <w:r>
        <w:rPr>
          <w:rFonts w:ascii="Open Sans" w:hAnsi="Open Sans"/>
          <w:sz w:val="19"/>
          <w:szCs w:val="19"/>
          <w:lang w:val="nl-NL"/>
        </w:rPr>
        <w:t xml:space="preserve"> – </w:t>
      </w:r>
      <w:r w:rsidR="00E603E1">
        <w:rPr>
          <w:rFonts w:ascii="Open Sans" w:hAnsi="Open Sans"/>
          <w:sz w:val="19"/>
          <w:szCs w:val="19"/>
          <w:lang w:val="nl-NL"/>
        </w:rPr>
        <w:t>Een prikkel als h</w:t>
      </w:r>
      <w:r w:rsidRPr="00EF3B6A" w:rsidR="00D02CA0">
        <w:rPr>
          <w:rFonts w:ascii="Open Sans" w:hAnsi="Open Sans"/>
          <w:sz w:val="19"/>
          <w:szCs w:val="19"/>
          <w:lang w:val="nl-NL"/>
        </w:rPr>
        <w:t xml:space="preserve">et hoger belasten van </w:t>
      </w:r>
      <w:r w:rsidRPr="00EF3B6A" w:rsidR="003640B8">
        <w:rPr>
          <w:rFonts w:ascii="Open Sans" w:hAnsi="Open Sans"/>
          <w:sz w:val="19"/>
          <w:szCs w:val="19"/>
          <w:lang w:val="nl-NL"/>
        </w:rPr>
        <w:t xml:space="preserve">(virgin) </w:t>
      </w:r>
      <w:r w:rsidRPr="00EF3B6A" w:rsidR="00D02CA0">
        <w:rPr>
          <w:rFonts w:ascii="Open Sans" w:hAnsi="Open Sans"/>
          <w:sz w:val="19"/>
          <w:szCs w:val="19"/>
          <w:lang w:val="nl-NL"/>
        </w:rPr>
        <w:t>grondstoffengebruik en</w:t>
      </w:r>
      <w:r w:rsidRPr="00EF3B6A" w:rsidR="00CD095F">
        <w:rPr>
          <w:rFonts w:ascii="Open Sans" w:hAnsi="Open Sans"/>
          <w:sz w:val="19"/>
          <w:szCs w:val="19"/>
          <w:lang w:val="nl-NL"/>
        </w:rPr>
        <w:t xml:space="preserve"> het lager belasten van arbeid</w:t>
      </w:r>
      <w:r w:rsidR="009643EF">
        <w:rPr>
          <w:rFonts w:ascii="Open Sans" w:hAnsi="Open Sans"/>
          <w:sz w:val="19"/>
          <w:szCs w:val="19"/>
          <w:lang w:val="nl-NL"/>
        </w:rPr>
        <w:t xml:space="preserve"> </w:t>
      </w:r>
      <w:r w:rsidRPr="00EF3B6A" w:rsidR="00AE0F14">
        <w:rPr>
          <w:rFonts w:ascii="Open Sans" w:hAnsi="Open Sans"/>
          <w:sz w:val="19"/>
          <w:szCs w:val="19"/>
          <w:lang w:val="nl-NL"/>
        </w:rPr>
        <w:t>zal ervoor zorgen dat bedrijven</w:t>
      </w:r>
      <w:r w:rsidRPr="00EF3B6A" w:rsidR="00B57A00">
        <w:rPr>
          <w:rFonts w:ascii="Open Sans" w:hAnsi="Open Sans"/>
          <w:sz w:val="19"/>
          <w:szCs w:val="19"/>
          <w:lang w:val="nl-NL"/>
        </w:rPr>
        <w:t xml:space="preserve"> en ketens</w:t>
      </w:r>
      <w:r w:rsidRPr="00EF3B6A" w:rsidR="00AE0F14">
        <w:rPr>
          <w:rFonts w:ascii="Open Sans" w:hAnsi="Open Sans"/>
          <w:sz w:val="19"/>
          <w:szCs w:val="19"/>
          <w:lang w:val="nl-NL"/>
        </w:rPr>
        <w:t xml:space="preserve"> </w:t>
      </w:r>
      <w:r w:rsidRPr="00EF3B6A" w:rsidR="00B57A00">
        <w:rPr>
          <w:rFonts w:ascii="Open Sans" w:hAnsi="Open Sans"/>
          <w:sz w:val="19"/>
          <w:szCs w:val="19"/>
          <w:lang w:val="nl-NL"/>
        </w:rPr>
        <w:t xml:space="preserve">die </w:t>
      </w:r>
      <w:r w:rsidRPr="00EF3B6A" w:rsidR="00AE0F14">
        <w:rPr>
          <w:rFonts w:ascii="Open Sans" w:hAnsi="Open Sans"/>
          <w:sz w:val="19"/>
          <w:szCs w:val="19"/>
          <w:lang w:val="nl-NL"/>
        </w:rPr>
        <w:t xml:space="preserve">producten </w:t>
      </w:r>
      <w:r w:rsidRPr="00EF3B6A" w:rsidR="00A26DE4">
        <w:rPr>
          <w:rFonts w:ascii="Open Sans" w:hAnsi="Open Sans"/>
          <w:sz w:val="19"/>
          <w:szCs w:val="19"/>
          <w:lang w:val="nl-NL"/>
        </w:rPr>
        <w:t>aanbieden</w:t>
      </w:r>
      <w:r w:rsidRPr="00EF3B6A" w:rsidR="00AE0F14">
        <w:rPr>
          <w:rFonts w:ascii="Open Sans" w:hAnsi="Open Sans"/>
          <w:sz w:val="19"/>
          <w:szCs w:val="19"/>
          <w:lang w:val="nl-NL"/>
        </w:rPr>
        <w:t xml:space="preserve"> </w:t>
      </w:r>
      <w:r w:rsidRPr="00EF3B6A" w:rsidR="00B57A00">
        <w:rPr>
          <w:rFonts w:ascii="Open Sans" w:hAnsi="Open Sans"/>
          <w:sz w:val="19"/>
          <w:szCs w:val="19"/>
          <w:lang w:val="nl-NL"/>
        </w:rPr>
        <w:t xml:space="preserve">met het oog op </w:t>
      </w:r>
      <w:r w:rsidRPr="00EF3B6A" w:rsidR="00B136B5">
        <w:rPr>
          <w:rFonts w:ascii="Open Sans" w:hAnsi="Open Sans"/>
          <w:sz w:val="19"/>
          <w:szCs w:val="19"/>
          <w:lang w:val="nl-NL"/>
        </w:rPr>
        <w:t xml:space="preserve">een </w:t>
      </w:r>
      <w:r w:rsidRPr="00EF3B6A" w:rsidR="00AE0F14">
        <w:rPr>
          <w:rFonts w:ascii="Open Sans" w:hAnsi="Open Sans"/>
          <w:sz w:val="19"/>
          <w:szCs w:val="19"/>
          <w:lang w:val="nl-NL"/>
        </w:rPr>
        <w:t>lange levensc</w:t>
      </w:r>
      <w:r w:rsidRPr="00EF3B6A" w:rsidR="00B57A00">
        <w:rPr>
          <w:rFonts w:ascii="Open Sans" w:hAnsi="Open Sans"/>
          <w:sz w:val="19"/>
          <w:szCs w:val="19"/>
          <w:lang w:val="nl-NL"/>
        </w:rPr>
        <w:t xml:space="preserve">yclus, hergebruik en recycling meer zullen opleveren – en dus aantrekkelijker zijn voor investeerders – dan hun lineaire evenknie. </w:t>
      </w:r>
    </w:p>
    <w:p w:rsidR="005561BB" w:rsidP="00C47606" w:rsidRDefault="00DB795E" w14:paraId="2FA19ED5" w14:textId="4F923CD4">
      <w:pPr>
        <w:pStyle w:val="ListParagraph"/>
        <w:numPr>
          <w:ilvl w:val="0"/>
          <w:numId w:val="3"/>
        </w:numPr>
        <w:rPr>
          <w:rFonts w:ascii="Open Sans" w:hAnsi="Open Sans"/>
          <w:sz w:val="19"/>
          <w:szCs w:val="19"/>
          <w:lang w:val="nl-NL"/>
        </w:rPr>
      </w:pPr>
      <w:r w:rsidRPr="006E7A37">
        <w:rPr>
          <w:rFonts w:ascii="Open Sans" w:hAnsi="Open Sans"/>
          <w:sz w:val="19"/>
          <w:szCs w:val="19"/>
          <w:lang w:val="nl-NL"/>
        </w:rPr>
        <w:t xml:space="preserve">Pas belemmerende regelgeving aan en </w:t>
      </w:r>
      <w:r w:rsidRPr="006E7A37" w:rsidR="00A06DBB">
        <w:rPr>
          <w:rFonts w:ascii="Open Sans" w:hAnsi="Open Sans"/>
          <w:sz w:val="19"/>
          <w:szCs w:val="19"/>
          <w:lang w:val="nl-NL"/>
        </w:rPr>
        <w:t>creëer</w:t>
      </w:r>
      <w:r w:rsidRPr="006E7A37">
        <w:rPr>
          <w:rFonts w:ascii="Open Sans" w:hAnsi="Open Sans"/>
          <w:sz w:val="19"/>
          <w:szCs w:val="19"/>
          <w:lang w:val="nl-NL"/>
        </w:rPr>
        <w:t xml:space="preserve"> nieuwe kaders. </w:t>
      </w:r>
      <w:r w:rsidR="00C01046">
        <w:rPr>
          <w:rFonts w:ascii="Open Sans" w:hAnsi="Open Sans"/>
          <w:sz w:val="19"/>
          <w:szCs w:val="19"/>
          <w:lang w:val="nl-NL"/>
        </w:rPr>
        <w:t xml:space="preserve">Zo </w:t>
      </w:r>
      <w:r w:rsidR="009643EF">
        <w:rPr>
          <w:rFonts w:ascii="Open Sans" w:hAnsi="Open Sans"/>
          <w:sz w:val="19"/>
          <w:szCs w:val="19"/>
          <w:lang w:val="nl-NL"/>
        </w:rPr>
        <w:t xml:space="preserve">dient belasting over producten in één keer te worden voldaan, terwijl inkomsten </w:t>
      </w:r>
      <w:r w:rsidR="00C01046">
        <w:rPr>
          <w:rFonts w:ascii="Open Sans" w:hAnsi="Open Sans"/>
          <w:sz w:val="19"/>
          <w:szCs w:val="19"/>
          <w:lang w:val="nl-NL"/>
        </w:rPr>
        <w:t xml:space="preserve">(vooral in geval van </w:t>
      </w:r>
      <w:r w:rsidR="00C01046">
        <w:rPr>
          <w:rFonts w:ascii="Open Sans" w:hAnsi="Open Sans"/>
          <w:i/>
          <w:sz w:val="19"/>
          <w:szCs w:val="19"/>
          <w:lang w:val="nl-NL"/>
        </w:rPr>
        <w:t xml:space="preserve">product-as-a-service </w:t>
      </w:r>
      <w:r w:rsidR="00C01046">
        <w:rPr>
          <w:rFonts w:ascii="Open Sans" w:hAnsi="Open Sans"/>
          <w:sz w:val="19"/>
          <w:szCs w:val="19"/>
          <w:lang w:val="nl-NL"/>
        </w:rPr>
        <w:t xml:space="preserve">bedrijfsmodellen) </w:t>
      </w:r>
      <w:r w:rsidR="009643EF">
        <w:rPr>
          <w:rFonts w:ascii="Open Sans" w:hAnsi="Open Sans"/>
          <w:sz w:val="19"/>
          <w:szCs w:val="19"/>
          <w:lang w:val="nl-NL"/>
        </w:rPr>
        <w:t>over een langer</w:t>
      </w:r>
      <w:r w:rsidR="00C01046">
        <w:rPr>
          <w:rFonts w:ascii="Open Sans" w:hAnsi="Open Sans"/>
          <w:sz w:val="19"/>
          <w:szCs w:val="19"/>
          <w:lang w:val="nl-NL"/>
        </w:rPr>
        <w:t xml:space="preserve">e periode zullen binnenkomen, </w:t>
      </w:r>
      <w:r w:rsidR="00E1174D">
        <w:rPr>
          <w:rFonts w:ascii="Open Sans" w:hAnsi="Open Sans"/>
          <w:sz w:val="19"/>
          <w:szCs w:val="19"/>
          <w:lang w:val="nl-NL"/>
        </w:rPr>
        <w:t xml:space="preserve">wat </w:t>
      </w:r>
      <w:r w:rsidR="009643EF">
        <w:rPr>
          <w:rFonts w:ascii="Open Sans" w:hAnsi="Open Sans"/>
          <w:sz w:val="19"/>
          <w:szCs w:val="19"/>
          <w:lang w:val="nl-NL"/>
        </w:rPr>
        <w:t>de liquiditeit</w:t>
      </w:r>
      <w:r w:rsidR="00E1174D">
        <w:rPr>
          <w:rFonts w:ascii="Open Sans" w:hAnsi="Open Sans"/>
          <w:sz w:val="19"/>
          <w:szCs w:val="19"/>
          <w:lang w:val="nl-NL"/>
        </w:rPr>
        <w:t>spositie</w:t>
      </w:r>
      <w:r w:rsidR="009643EF">
        <w:rPr>
          <w:rFonts w:ascii="Open Sans" w:hAnsi="Open Sans"/>
          <w:sz w:val="19"/>
          <w:szCs w:val="19"/>
          <w:lang w:val="nl-NL"/>
        </w:rPr>
        <w:t xml:space="preserve"> </w:t>
      </w:r>
      <w:r w:rsidR="00E1174D">
        <w:rPr>
          <w:rFonts w:ascii="Open Sans" w:hAnsi="Open Sans"/>
          <w:sz w:val="19"/>
          <w:szCs w:val="19"/>
          <w:lang w:val="nl-NL"/>
        </w:rPr>
        <w:t>verder onder druk zet</w:t>
      </w:r>
      <w:r w:rsidR="009643EF">
        <w:rPr>
          <w:rFonts w:ascii="Open Sans" w:hAnsi="Open Sans"/>
          <w:sz w:val="19"/>
          <w:szCs w:val="19"/>
          <w:lang w:val="nl-NL"/>
        </w:rPr>
        <w:t xml:space="preserve">. </w:t>
      </w:r>
      <w:r w:rsidR="00C01046">
        <w:rPr>
          <w:rFonts w:ascii="Open Sans" w:hAnsi="Open Sans"/>
          <w:sz w:val="19"/>
          <w:szCs w:val="19"/>
          <w:lang w:val="nl-NL"/>
        </w:rPr>
        <w:t xml:space="preserve">Bovendien </w:t>
      </w:r>
      <w:r w:rsidRPr="006E7A37" w:rsidR="00C01046">
        <w:rPr>
          <w:rFonts w:ascii="Open Sans" w:hAnsi="Open Sans"/>
          <w:sz w:val="19"/>
          <w:szCs w:val="19"/>
          <w:lang w:val="nl-NL"/>
        </w:rPr>
        <w:t>ontbre</w:t>
      </w:r>
      <w:r w:rsidR="00C01046">
        <w:rPr>
          <w:rFonts w:ascii="Open Sans" w:hAnsi="Open Sans"/>
          <w:sz w:val="19"/>
          <w:szCs w:val="19"/>
          <w:lang w:val="nl-NL"/>
        </w:rPr>
        <w:t>e</w:t>
      </w:r>
      <w:r w:rsidRPr="006E7A37" w:rsidR="00C01046">
        <w:rPr>
          <w:rFonts w:ascii="Open Sans" w:hAnsi="Open Sans"/>
          <w:sz w:val="19"/>
          <w:szCs w:val="19"/>
          <w:lang w:val="nl-NL"/>
        </w:rPr>
        <w:t>k</w:t>
      </w:r>
      <w:r w:rsidR="00C01046">
        <w:rPr>
          <w:rFonts w:ascii="Open Sans" w:hAnsi="Open Sans"/>
          <w:sz w:val="19"/>
          <w:szCs w:val="19"/>
          <w:lang w:val="nl-NL"/>
        </w:rPr>
        <w:t>t</w:t>
      </w:r>
      <w:r w:rsidRPr="006E7A37" w:rsidR="00C01046">
        <w:rPr>
          <w:rFonts w:ascii="Open Sans" w:hAnsi="Open Sans"/>
          <w:sz w:val="19"/>
          <w:szCs w:val="19"/>
          <w:lang w:val="nl-NL"/>
        </w:rPr>
        <w:t xml:space="preserve"> </w:t>
      </w:r>
      <w:r w:rsidR="00C01046">
        <w:rPr>
          <w:rFonts w:ascii="Open Sans" w:hAnsi="Open Sans"/>
          <w:sz w:val="19"/>
          <w:szCs w:val="19"/>
          <w:lang w:val="nl-NL"/>
        </w:rPr>
        <w:t>het in de huidige accountingregels aan</w:t>
      </w:r>
      <w:r w:rsidRPr="006E7A37" w:rsidR="00C01046">
        <w:rPr>
          <w:rFonts w:ascii="Open Sans" w:hAnsi="Open Sans"/>
          <w:sz w:val="19"/>
          <w:szCs w:val="19"/>
          <w:lang w:val="nl-NL"/>
        </w:rPr>
        <w:t xml:space="preserve"> kaders voor het waarderen van restwaarde</w:t>
      </w:r>
      <w:r w:rsidR="00C01046">
        <w:rPr>
          <w:rFonts w:ascii="Open Sans" w:hAnsi="Open Sans"/>
          <w:sz w:val="19"/>
          <w:szCs w:val="19"/>
          <w:lang w:val="nl-NL"/>
        </w:rPr>
        <w:t>, wat adequate financiële verslaglegging van circulaire bedrijfsmodellen bemoeilijkt.</w:t>
      </w:r>
    </w:p>
    <w:p w:rsidR="00C47606" w:rsidP="00C47606" w:rsidRDefault="005561BB" w14:paraId="5AE7855E" w14:textId="38347831">
      <w:pPr>
        <w:pStyle w:val="ListParagraph"/>
        <w:numPr>
          <w:ilvl w:val="0"/>
          <w:numId w:val="3"/>
        </w:numPr>
        <w:rPr>
          <w:rFonts w:ascii="Open Sans" w:hAnsi="Open Sans"/>
          <w:sz w:val="19"/>
          <w:szCs w:val="19"/>
          <w:lang w:val="nl-NL"/>
        </w:rPr>
      </w:pPr>
      <w:r>
        <w:rPr>
          <w:rFonts w:ascii="Open Sans" w:hAnsi="Open Sans"/>
          <w:sz w:val="19"/>
          <w:szCs w:val="19"/>
          <w:lang w:val="nl-NL"/>
        </w:rPr>
        <w:t xml:space="preserve">Om investeringen te bevorderen is het fiscaal gunstig en gebruikelijk om productiemiddelen boekhoudkundig versneld af te schrijven. Dat maakt business-to-business circulaire bedrijfsmodellen minder interessant. Het bevorderen van verbranden, verteren en verbruiken is alleen effectief en efficiënt in een lineair economisch model en daarmee achterhaald. </w:t>
      </w:r>
      <w:r w:rsidR="00C01046">
        <w:rPr>
          <w:rFonts w:ascii="Open Sans" w:hAnsi="Open Sans"/>
          <w:sz w:val="19"/>
          <w:szCs w:val="19"/>
          <w:lang w:val="nl-NL"/>
        </w:rPr>
        <w:t xml:space="preserve"> </w:t>
      </w:r>
    </w:p>
    <w:p w:rsidR="00D058FF" w:rsidP="00D058FF" w:rsidRDefault="00DB795E" w14:paraId="067F1C7F" w14:textId="77777777">
      <w:pPr>
        <w:pStyle w:val="ListParagraph"/>
        <w:numPr>
          <w:ilvl w:val="0"/>
          <w:numId w:val="3"/>
        </w:numPr>
        <w:rPr>
          <w:rFonts w:ascii="Open Sans" w:hAnsi="Open Sans"/>
          <w:sz w:val="19"/>
          <w:szCs w:val="19"/>
          <w:lang w:val="nl-NL"/>
        </w:rPr>
      </w:pPr>
      <w:r w:rsidRPr="00C47606">
        <w:rPr>
          <w:rFonts w:ascii="Open Sans" w:hAnsi="Open Sans"/>
          <w:sz w:val="19"/>
          <w:szCs w:val="19"/>
          <w:lang w:val="nl-NL"/>
        </w:rPr>
        <w:t xml:space="preserve">Voor de financiële sector geldt dat ervaring moet worden opgedaan met circulaire bedrijfsmodellen om vervolgens met passende regelgeving en toezicht te kunnen komen. Initieel zal dergelijk pionieren in een zogeheten </w:t>
      </w:r>
      <w:r w:rsidRPr="00C47606">
        <w:rPr>
          <w:rFonts w:ascii="Open Sans" w:hAnsi="Open Sans"/>
          <w:i/>
          <w:sz w:val="19"/>
          <w:szCs w:val="19"/>
          <w:lang w:val="nl-NL"/>
        </w:rPr>
        <w:t>regulatory sandbox</w:t>
      </w:r>
      <w:r w:rsidRPr="00C47606">
        <w:rPr>
          <w:rFonts w:ascii="Open Sans" w:hAnsi="Open Sans"/>
          <w:sz w:val="19"/>
          <w:szCs w:val="19"/>
          <w:lang w:val="nl-NL"/>
        </w:rPr>
        <w:t xml:space="preserve"> moeten plaatsvinden, omdat de huidige risico- en zekerheidsbepalingen in wet- en regelgeving op het lineaire economische model zijn geschreven en de financiële sector ernstig beperken in hun bewegingsvrijheid</w:t>
      </w:r>
      <w:r w:rsidRPr="00C47606" w:rsidR="005E3D10">
        <w:rPr>
          <w:rFonts w:ascii="Open Sans" w:hAnsi="Open Sans"/>
          <w:sz w:val="19"/>
          <w:szCs w:val="19"/>
          <w:lang w:val="nl-NL"/>
        </w:rPr>
        <w:t>.</w:t>
      </w:r>
      <w:r w:rsidR="00C01046">
        <w:rPr>
          <w:rFonts w:ascii="Open Sans" w:hAnsi="Open Sans"/>
          <w:sz w:val="19"/>
          <w:szCs w:val="19"/>
          <w:lang w:val="nl-NL"/>
        </w:rPr>
        <w:t xml:space="preserve"> </w:t>
      </w:r>
    </w:p>
    <w:p w:rsidR="00D058FF" w:rsidP="00D058FF" w:rsidRDefault="003640B8" w14:paraId="3D02CB06" w14:textId="77777777">
      <w:pPr>
        <w:pStyle w:val="ListParagraph"/>
        <w:numPr>
          <w:ilvl w:val="0"/>
          <w:numId w:val="3"/>
        </w:numPr>
        <w:rPr>
          <w:rFonts w:ascii="Open Sans" w:hAnsi="Open Sans"/>
          <w:sz w:val="19"/>
          <w:szCs w:val="19"/>
          <w:lang w:val="nl-NL"/>
        </w:rPr>
      </w:pPr>
      <w:r w:rsidRPr="00D058FF">
        <w:rPr>
          <w:rFonts w:ascii="Open Sans" w:hAnsi="Open Sans"/>
          <w:sz w:val="19"/>
          <w:szCs w:val="19"/>
          <w:lang w:val="nl-NL"/>
        </w:rPr>
        <w:t xml:space="preserve">Dit leren moet uiteraard ook gedeeld worden met de sector als geheel. Inzichten die </w:t>
      </w:r>
      <w:r w:rsidRPr="00D058FF" w:rsidR="0041259B">
        <w:rPr>
          <w:rFonts w:ascii="Open Sans" w:hAnsi="Open Sans"/>
          <w:sz w:val="19"/>
          <w:szCs w:val="19"/>
          <w:lang w:val="nl-NL"/>
        </w:rPr>
        <w:t>éé</w:t>
      </w:r>
      <w:r w:rsidRPr="00D058FF">
        <w:rPr>
          <w:rFonts w:ascii="Open Sans" w:hAnsi="Open Sans"/>
          <w:sz w:val="19"/>
          <w:szCs w:val="19"/>
          <w:lang w:val="nl-NL"/>
        </w:rPr>
        <w:t>n partij opdoet, zijn relevant voor alle andere. Er is een rol voor de overheid in het faciliteren en aanjagen van kennis</w:t>
      </w:r>
      <w:r w:rsidRPr="00D058FF" w:rsidR="00C60293">
        <w:rPr>
          <w:rFonts w:ascii="Open Sans" w:hAnsi="Open Sans"/>
          <w:sz w:val="19"/>
          <w:szCs w:val="19"/>
          <w:lang w:val="nl-NL"/>
        </w:rPr>
        <w:t xml:space="preserve">ontwikkeling- en </w:t>
      </w:r>
      <w:r w:rsidRPr="00D058FF">
        <w:rPr>
          <w:rFonts w:ascii="Open Sans" w:hAnsi="Open Sans"/>
          <w:sz w:val="19"/>
          <w:szCs w:val="19"/>
          <w:lang w:val="nl-NL"/>
        </w:rPr>
        <w:t>deling op dit gebied, zelfs wanneer dat vanuit concurrentie oogpunt misschien door partijen zelf niet wordt gedaan.</w:t>
      </w:r>
      <w:r w:rsidRPr="00D058FF" w:rsidR="00D058FF">
        <w:rPr>
          <w:rFonts w:ascii="Open Sans" w:hAnsi="Open Sans"/>
          <w:sz w:val="19"/>
          <w:szCs w:val="19"/>
          <w:lang w:val="nl-NL"/>
        </w:rPr>
        <w:t xml:space="preserve"> </w:t>
      </w:r>
    </w:p>
    <w:p w:rsidR="00D058FF" w:rsidP="00D058FF" w:rsidRDefault="00ED69D6" w14:paraId="143BB77D" w14:textId="77777777">
      <w:pPr>
        <w:pStyle w:val="ListParagraph"/>
        <w:numPr>
          <w:ilvl w:val="0"/>
          <w:numId w:val="3"/>
        </w:numPr>
        <w:rPr>
          <w:rFonts w:ascii="Open Sans" w:hAnsi="Open Sans"/>
          <w:sz w:val="19"/>
          <w:szCs w:val="19"/>
          <w:lang w:val="nl-NL"/>
        </w:rPr>
      </w:pPr>
      <w:r w:rsidRPr="00D058FF">
        <w:rPr>
          <w:rFonts w:ascii="Open Sans" w:hAnsi="Open Sans"/>
          <w:sz w:val="19"/>
          <w:szCs w:val="19"/>
          <w:lang w:val="nl-NL"/>
        </w:rPr>
        <w:t>Coördinatie- en o</w:t>
      </w:r>
      <w:r w:rsidRPr="00D058FF" w:rsidR="00FD2A02">
        <w:rPr>
          <w:rFonts w:ascii="Open Sans" w:hAnsi="Open Sans"/>
          <w:sz w:val="19"/>
          <w:szCs w:val="19"/>
          <w:lang w:val="nl-NL"/>
        </w:rPr>
        <w:t xml:space="preserve">vergangsproblemen in de (startfase van de) transitie brengen hoge transactiekosten mee, wat investeren </w:t>
      </w:r>
      <w:r w:rsidRPr="00D058FF" w:rsidR="00B87614">
        <w:rPr>
          <w:rFonts w:ascii="Open Sans" w:hAnsi="Open Sans"/>
          <w:sz w:val="19"/>
          <w:szCs w:val="19"/>
          <w:lang w:val="nl-NL"/>
        </w:rPr>
        <w:t>in de eerste fase</w:t>
      </w:r>
      <w:r w:rsidRPr="00D058FF" w:rsidR="00FD2A02">
        <w:rPr>
          <w:rFonts w:ascii="Open Sans" w:hAnsi="Open Sans"/>
          <w:sz w:val="19"/>
          <w:szCs w:val="19"/>
          <w:lang w:val="nl-NL"/>
        </w:rPr>
        <w:t xml:space="preserve"> </w:t>
      </w:r>
      <w:r w:rsidRPr="00D058FF" w:rsidR="006C3A69">
        <w:rPr>
          <w:rFonts w:ascii="Open Sans" w:hAnsi="Open Sans"/>
          <w:sz w:val="19"/>
          <w:szCs w:val="19"/>
          <w:lang w:val="nl-NL"/>
        </w:rPr>
        <w:t>onaantrekkelijk</w:t>
      </w:r>
      <w:r w:rsidRPr="00D058FF" w:rsidR="00FD2A02">
        <w:rPr>
          <w:rFonts w:ascii="Open Sans" w:hAnsi="Open Sans"/>
          <w:sz w:val="19"/>
          <w:szCs w:val="19"/>
          <w:lang w:val="nl-NL"/>
        </w:rPr>
        <w:t xml:space="preserve"> maakt. Er zijn op dit moment </w:t>
      </w:r>
      <w:r w:rsidRPr="00D058FF">
        <w:rPr>
          <w:rFonts w:ascii="Open Sans" w:hAnsi="Open Sans"/>
          <w:sz w:val="19"/>
          <w:szCs w:val="19"/>
          <w:lang w:val="nl-NL"/>
        </w:rPr>
        <w:t xml:space="preserve">publieke </w:t>
      </w:r>
      <w:r w:rsidRPr="00D058FF" w:rsidR="00FD2A02">
        <w:rPr>
          <w:rFonts w:ascii="Open Sans" w:hAnsi="Open Sans"/>
          <w:sz w:val="19"/>
          <w:szCs w:val="19"/>
          <w:lang w:val="nl-NL"/>
        </w:rPr>
        <w:t>middelen nodig om</w:t>
      </w:r>
      <w:r w:rsidRPr="00D058FF">
        <w:rPr>
          <w:rFonts w:ascii="Open Sans" w:hAnsi="Open Sans"/>
          <w:sz w:val="19"/>
          <w:szCs w:val="19"/>
          <w:lang w:val="nl-NL"/>
        </w:rPr>
        <w:t xml:space="preserve"> de leercurve te faciliteren waarin </w:t>
      </w:r>
      <w:r w:rsidRPr="00D058FF" w:rsidR="00FD2A02">
        <w:rPr>
          <w:rFonts w:ascii="Open Sans" w:hAnsi="Open Sans"/>
          <w:sz w:val="19"/>
          <w:szCs w:val="19"/>
          <w:lang w:val="nl-NL"/>
        </w:rPr>
        <w:t xml:space="preserve">de bedrijfsmodellen en financieringsmogelijkheden </w:t>
      </w:r>
      <w:r w:rsidRPr="00D058FF">
        <w:rPr>
          <w:rFonts w:ascii="Open Sans" w:hAnsi="Open Sans"/>
          <w:sz w:val="19"/>
          <w:szCs w:val="19"/>
          <w:lang w:val="nl-NL"/>
        </w:rPr>
        <w:t>van de toekomst</w:t>
      </w:r>
      <w:r w:rsidRPr="00D058FF" w:rsidR="00B65A59">
        <w:rPr>
          <w:rFonts w:ascii="Open Sans" w:hAnsi="Open Sans"/>
          <w:sz w:val="19"/>
          <w:szCs w:val="19"/>
          <w:lang w:val="nl-NL"/>
        </w:rPr>
        <w:t xml:space="preserve"> zullen</w:t>
      </w:r>
      <w:r w:rsidRPr="00D058FF">
        <w:rPr>
          <w:rFonts w:ascii="Open Sans" w:hAnsi="Open Sans"/>
          <w:sz w:val="19"/>
          <w:szCs w:val="19"/>
          <w:lang w:val="nl-NL"/>
        </w:rPr>
        <w:t xml:space="preserve"> ontstaan</w:t>
      </w:r>
      <w:r w:rsidRPr="00D058FF" w:rsidR="00FD2A02">
        <w:rPr>
          <w:rFonts w:ascii="Open Sans" w:hAnsi="Open Sans"/>
          <w:sz w:val="19"/>
          <w:szCs w:val="19"/>
          <w:lang w:val="nl-NL"/>
        </w:rPr>
        <w:t>.</w:t>
      </w:r>
      <w:r w:rsidRPr="00D058FF" w:rsidR="00B87614">
        <w:rPr>
          <w:rFonts w:ascii="Open Sans" w:hAnsi="Open Sans"/>
          <w:sz w:val="19"/>
          <w:szCs w:val="19"/>
          <w:lang w:val="nl-NL"/>
        </w:rPr>
        <w:t xml:space="preserve"> Daarnaast is een leidende en regisserende rol van de overheid zinvol.</w:t>
      </w:r>
    </w:p>
    <w:p w:rsidRPr="00D058FF" w:rsidR="00FD2A02" w:rsidP="00D058FF" w:rsidRDefault="007962F8" w14:paraId="78D8BEC0" w14:textId="7F95564F">
      <w:pPr>
        <w:pStyle w:val="ListParagraph"/>
        <w:numPr>
          <w:ilvl w:val="0"/>
          <w:numId w:val="3"/>
        </w:numPr>
        <w:rPr>
          <w:rFonts w:ascii="Open Sans" w:hAnsi="Open Sans"/>
          <w:sz w:val="19"/>
          <w:szCs w:val="19"/>
          <w:lang w:val="nl-NL"/>
        </w:rPr>
      </w:pPr>
      <w:r>
        <w:rPr>
          <w:rFonts w:ascii="Open Sans" w:hAnsi="Open Sans" w:eastAsia="Times New Roman" w:cs="Times New Roman"/>
          <w:iCs/>
          <w:color w:val="000000"/>
          <w:sz w:val="19"/>
          <w:szCs w:val="19"/>
          <w:lang w:val="nl-NL" w:eastAsia="en-GB"/>
        </w:rPr>
        <w:t>Maak de BMKB-</w:t>
      </w:r>
      <w:bookmarkStart w:name="_GoBack" w:id="0"/>
      <w:bookmarkEnd w:id="0"/>
      <w:r w:rsidRPr="00D058FF" w:rsidR="00D058FF">
        <w:rPr>
          <w:rFonts w:ascii="Open Sans" w:hAnsi="Open Sans" w:eastAsia="Times New Roman" w:cs="Times New Roman"/>
          <w:iCs/>
          <w:color w:val="000000"/>
          <w:sz w:val="19"/>
          <w:szCs w:val="19"/>
          <w:lang w:val="nl-NL" w:eastAsia="en-GB"/>
        </w:rPr>
        <w:t>regeling specifiek beschikbaar voor financieringen aan circulaire bedrijven middels een ‘cashflow garantie’ i.p.v. de huidige ‘asset-dekkingstekort’ garantie.</w:t>
      </w:r>
    </w:p>
    <w:sectPr w:rsidRPr="00D058FF" w:rsidR="00FD2A02" w:rsidSect="00F676A8">
      <w:pgSz w:w="11900" w:h="16840"/>
      <w:pgMar w:top="1440" w:right="1080" w:bottom="1440" w:left="1080" w:header="708" w:footer="708" w:gutter="0"/>
      <w:cols w:space="708"/>
      <w:docGrid w:linePitch="40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14332" w14:textId="77777777" w:rsidR="008177B0" w:rsidRDefault="008177B0" w:rsidP="005D153C">
      <w:r>
        <w:separator/>
      </w:r>
    </w:p>
  </w:endnote>
  <w:endnote w:type="continuationSeparator" w:id="0">
    <w:p w14:paraId="37BA2CA9" w14:textId="77777777" w:rsidR="008177B0" w:rsidRDefault="008177B0" w:rsidP="005D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Open Sans">
    <w:altName w:val="Lucida Grande"/>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DFEEA" w14:textId="77777777" w:rsidR="008177B0" w:rsidRDefault="008177B0" w:rsidP="005D153C">
      <w:r>
        <w:separator/>
      </w:r>
    </w:p>
  </w:footnote>
  <w:footnote w:type="continuationSeparator" w:id="0">
    <w:p w14:paraId="6164BF43" w14:textId="77777777" w:rsidR="008177B0" w:rsidRDefault="008177B0" w:rsidP="005D15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A15"/>
    <w:multiLevelType w:val="hybridMultilevel"/>
    <w:tmpl w:val="5A12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C7A3F"/>
    <w:multiLevelType w:val="hybridMultilevel"/>
    <w:tmpl w:val="D382AD86"/>
    <w:lvl w:ilvl="0" w:tplc="D17E571A">
      <w:start w:val="2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C158B"/>
    <w:multiLevelType w:val="hybridMultilevel"/>
    <w:tmpl w:val="38FEF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022DB9"/>
    <w:multiLevelType w:val="hybridMultilevel"/>
    <w:tmpl w:val="ACC0EF0A"/>
    <w:lvl w:ilvl="0" w:tplc="820A2E82">
      <w:start w:val="2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2"/>
  <w:defaultTabStop w:val="720"/>
  <w:drawingGridHorizontalSpacing w:val="120"/>
  <w:drawingGridVerticalSpacing w:val="2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F5"/>
    <w:rsid w:val="000264EC"/>
    <w:rsid w:val="00030AF3"/>
    <w:rsid w:val="00051907"/>
    <w:rsid w:val="00085CB2"/>
    <w:rsid w:val="0008678A"/>
    <w:rsid w:val="000F4FF5"/>
    <w:rsid w:val="00127364"/>
    <w:rsid w:val="00163ECE"/>
    <w:rsid w:val="001A222E"/>
    <w:rsid w:val="001B0A13"/>
    <w:rsid w:val="001B76CD"/>
    <w:rsid w:val="001D73DF"/>
    <w:rsid w:val="002047B4"/>
    <w:rsid w:val="00262B97"/>
    <w:rsid w:val="00266197"/>
    <w:rsid w:val="002707CF"/>
    <w:rsid w:val="0027141E"/>
    <w:rsid w:val="00283C4D"/>
    <w:rsid w:val="002B3EEE"/>
    <w:rsid w:val="002E0A85"/>
    <w:rsid w:val="00322C8F"/>
    <w:rsid w:val="003640B4"/>
    <w:rsid w:val="003640B8"/>
    <w:rsid w:val="00390BD9"/>
    <w:rsid w:val="00394C49"/>
    <w:rsid w:val="003B3828"/>
    <w:rsid w:val="003C143D"/>
    <w:rsid w:val="003D0E6F"/>
    <w:rsid w:val="003D5153"/>
    <w:rsid w:val="00400782"/>
    <w:rsid w:val="0041259B"/>
    <w:rsid w:val="004447F5"/>
    <w:rsid w:val="004C7ED6"/>
    <w:rsid w:val="004D1389"/>
    <w:rsid w:val="004D32C3"/>
    <w:rsid w:val="00507B50"/>
    <w:rsid w:val="00516121"/>
    <w:rsid w:val="00546C9D"/>
    <w:rsid w:val="005519B5"/>
    <w:rsid w:val="005561BB"/>
    <w:rsid w:val="005817D3"/>
    <w:rsid w:val="00597FE8"/>
    <w:rsid w:val="005D153C"/>
    <w:rsid w:val="005D48B2"/>
    <w:rsid w:val="005E3D10"/>
    <w:rsid w:val="00614EEB"/>
    <w:rsid w:val="006467AE"/>
    <w:rsid w:val="00647A34"/>
    <w:rsid w:val="00662D3C"/>
    <w:rsid w:val="006644A6"/>
    <w:rsid w:val="006C1DDA"/>
    <w:rsid w:val="006C3A69"/>
    <w:rsid w:val="006E06F6"/>
    <w:rsid w:val="006E7A37"/>
    <w:rsid w:val="006F016D"/>
    <w:rsid w:val="006F4FB1"/>
    <w:rsid w:val="007036AC"/>
    <w:rsid w:val="00710BA6"/>
    <w:rsid w:val="007120D6"/>
    <w:rsid w:val="00713516"/>
    <w:rsid w:val="007962F8"/>
    <w:rsid w:val="00796392"/>
    <w:rsid w:val="007E6C59"/>
    <w:rsid w:val="008177B0"/>
    <w:rsid w:val="008265EE"/>
    <w:rsid w:val="008305A4"/>
    <w:rsid w:val="0085206E"/>
    <w:rsid w:val="00865F32"/>
    <w:rsid w:val="00896BA7"/>
    <w:rsid w:val="008D5D36"/>
    <w:rsid w:val="008F0EF2"/>
    <w:rsid w:val="009037AC"/>
    <w:rsid w:val="00962335"/>
    <w:rsid w:val="00962F95"/>
    <w:rsid w:val="00963C8E"/>
    <w:rsid w:val="009643EF"/>
    <w:rsid w:val="00967203"/>
    <w:rsid w:val="009B4427"/>
    <w:rsid w:val="009C142A"/>
    <w:rsid w:val="009C350D"/>
    <w:rsid w:val="009C60EF"/>
    <w:rsid w:val="009C6FE1"/>
    <w:rsid w:val="00A05A94"/>
    <w:rsid w:val="00A06DBB"/>
    <w:rsid w:val="00A26DE4"/>
    <w:rsid w:val="00A419F1"/>
    <w:rsid w:val="00AC2181"/>
    <w:rsid w:val="00AE0F14"/>
    <w:rsid w:val="00B136B5"/>
    <w:rsid w:val="00B23EEF"/>
    <w:rsid w:val="00B47A44"/>
    <w:rsid w:val="00B57A00"/>
    <w:rsid w:val="00B61AA7"/>
    <w:rsid w:val="00B65A59"/>
    <w:rsid w:val="00B76DFA"/>
    <w:rsid w:val="00B8534C"/>
    <w:rsid w:val="00B87614"/>
    <w:rsid w:val="00B9763D"/>
    <w:rsid w:val="00BA2F63"/>
    <w:rsid w:val="00BB2AA1"/>
    <w:rsid w:val="00BE37A3"/>
    <w:rsid w:val="00C01046"/>
    <w:rsid w:val="00C07CF9"/>
    <w:rsid w:val="00C13FEF"/>
    <w:rsid w:val="00C45E39"/>
    <w:rsid w:val="00C47606"/>
    <w:rsid w:val="00C60293"/>
    <w:rsid w:val="00C84EA2"/>
    <w:rsid w:val="00C960DE"/>
    <w:rsid w:val="00C9704E"/>
    <w:rsid w:val="00CD095F"/>
    <w:rsid w:val="00CD7730"/>
    <w:rsid w:val="00CE5142"/>
    <w:rsid w:val="00D02CA0"/>
    <w:rsid w:val="00D058FF"/>
    <w:rsid w:val="00D26BD6"/>
    <w:rsid w:val="00D3383D"/>
    <w:rsid w:val="00DA2624"/>
    <w:rsid w:val="00DB295B"/>
    <w:rsid w:val="00DB795E"/>
    <w:rsid w:val="00DD7FED"/>
    <w:rsid w:val="00DE1BD1"/>
    <w:rsid w:val="00DF2BF6"/>
    <w:rsid w:val="00E1174D"/>
    <w:rsid w:val="00E22244"/>
    <w:rsid w:val="00E511B7"/>
    <w:rsid w:val="00E603E1"/>
    <w:rsid w:val="00E91394"/>
    <w:rsid w:val="00EA36CA"/>
    <w:rsid w:val="00ED69D6"/>
    <w:rsid w:val="00EF3B6A"/>
    <w:rsid w:val="00F3389A"/>
    <w:rsid w:val="00F55835"/>
    <w:rsid w:val="00F676A8"/>
    <w:rsid w:val="00F72EB3"/>
    <w:rsid w:val="00F74E75"/>
    <w:rsid w:val="00F9760D"/>
    <w:rsid w:val="00FA02E5"/>
    <w:rsid w:val="00FD2A0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C0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F5"/>
    <w:pPr>
      <w:ind w:left="720"/>
      <w:contextualSpacing/>
    </w:pPr>
  </w:style>
  <w:style w:type="paragraph" w:styleId="BalloonText">
    <w:name w:val="Balloon Text"/>
    <w:basedOn w:val="Normal"/>
    <w:link w:val="BalloonTextChar"/>
    <w:uiPriority w:val="99"/>
    <w:semiHidden/>
    <w:unhideWhenUsed/>
    <w:rsid w:val="009623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33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62335"/>
    <w:rPr>
      <w:sz w:val="18"/>
      <w:szCs w:val="18"/>
    </w:rPr>
  </w:style>
  <w:style w:type="paragraph" w:styleId="CommentText">
    <w:name w:val="annotation text"/>
    <w:basedOn w:val="Normal"/>
    <w:link w:val="CommentTextChar"/>
    <w:uiPriority w:val="99"/>
    <w:semiHidden/>
    <w:unhideWhenUsed/>
    <w:rsid w:val="00962335"/>
  </w:style>
  <w:style w:type="character" w:customStyle="1" w:styleId="CommentTextChar">
    <w:name w:val="Comment Text Char"/>
    <w:basedOn w:val="DefaultParagraphFont"/>
    <w:link w:val="CommentText"/>
    <w:uiPriority w:val="99"/>
    <w:semiHidden/>
    <w:rsid w:val="00962335"/>
  </w:style>
  <w:style w:type="paragraph" w:styleId="CommentSubject">
    <w:name w:val="annotation subject"/>
    <w:basedOn w:val="CommentText"/>
    <w:next w:val="CommentText"/>
    <w:link w:val="CommentSubjectChar"/>
    <w:uiPriority w:val="99"/>
    <w:semiHidden/>
    <w:unhideWhenUsed/>
    <w:rsid w:val="00962335"/>
    <w:rPr>
      <w:b/>
      <w:bCs/>
      <w:sz w:val="20"/>
      <w:szCs w:val="20"/>
    </w:rPr>
  </w:style>
  <w:style w:type="character" w:customStyle="1" w:styleId="CommentSubjectChar">
    <w:name w:val="Comment Subject Char"/>
    <w:basedOn w:val="CommentTextChar"/>
    <w:link w:val="CommentSubject"/>
    <w:uiPriority w:val="99"/>
    <w:semiHidden/>
    <w:rsid w:val="00962335"/>
    <w:rPr>
      <w:b/>
      <w:bCs/>
      <w:sz w:val="20"/>
      <w:szCs w:val="20"/>
    </w:rPr>
  </w:style>
  <w:style w:type="paragraph" w:styleId="DocumentMap">
    <w:name w:val="Document Map"/>
    <w:basedOn w:val="Normal"/>
    <w:link w:val="DocumentMapChar"/>
    <w:uiPriority w:val="99"/>
    <w:semiHidden/>
    <w:unhideWhenUsed/>
    <w:rsid w:val="009C60EF"/>
    <w:rPr>
      <w:rFonts w:ascii="Times New Roman" w:hAnsi="Times New Roman" w:cs="Times New Roman"/>
    </w:rPr>
  </w:style>
  <w:style w:type="character" w:customStyle="1" w:styleId="DocumentMapChar">
    <w:name w:val="Document Map Char"/>
    <w:basedOn w:val="DefaultParagraphFont"/>
    <w:link w:val="DocumentMap"/>
    <w:uiPriority w:val="99"/>
    <w:semiHidden/>
    <w:rsid w:val="009C60EF"/>
    <w:rPr>
      <w:rFonts w:ascii="Times New Roman" w:hAnsi="Times New Roman" w:cs="Times New Roman"/>
    </w:rPr>
  </w:style>
  <w:style w:type="paragraph" w:styleId="FootnoteText">
    <w:name w:val="footnote text"/>
    <w:basedOn w:val="Normal"/>
    <w:link w:val="FootnoteTextChar"/>
    <w:uiPriority w:val="99"/>
    <w:unhideWhenUsed/>
    <w:rsid w:val="005D153C"/>
  </w:style>
  <w:style w:type="character" w:customStyle="1" w:styleId="FootnoteTextChar">
    <w:name w:val="Footnote Text Char"/>
    <w:basedOn w:val="DefaultParagraphFont"/>
    <w:link w:val="FootnoteText"/>
    <w:uiPriority w:val="99"/>
    <w:rsid w:val="005D153C"/>
  </w:style>
  <w:style w:type="character" w:styleId="FootnoteReference">
    <w:name w:val="footnote reference"/>
    <w:basedOn w:val="DefaultParagraphFont"/>
    <w:uiPriority w:val="99"/>
    <w:unhideWhenUsed/>
    <w:rsid w:val="005D1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395219">
      <w:bodyDiv w:val="1"/>
      <w:marLeft w:val="0"/>
      <w:marRight w:val="0"/>
      <w:marTop w:val="0"/>
      <w:marBottom w:val="0"/>
      <w:divBdr>
        <w:top w:val="none" w:sz="0" w:space="0" w:color="auto"/>
        <w:left w:val="none" w:sz="0" w:space="0" w:color="auto"/>
        <w:bottom w:val="none" w:sz="0" w:space="0" w:color="auto"/>
        <w:right w:val="none" w:sz="0" w:space="0" w:color="auto"/>
      </w:divBdr>
    </w:div>
    <w:div w:id="1952546076">
      <w:bodyDiv w:val="1"/>
      <w:marLeft w:val="0"/>
      <w:marRight w:val="0"/>
      <w:marTop w:val="0"/>
      <w:marBottom w:val="0"/>
      <w:divBdr>
        <w:top w:val="none" w:sz="0" w:space="0" w:color="auto"/>
        <w:left w:val="none" w:sz="0" w:space="0" w:color="auto"/>
        <w:bottom w:val="none" w:sz="0" w:space="0" w:color="auto"/>
        <w:right w:val="none" w:sz="0" w:space="0" w:color="auto"/>
      </w:divBdr>
      <w:divsChild>
        <w:div w:id="493884003">
          <w:marLeft w:val="0"/>
          <w:marRight w:val="0"/>
          <w:marTop w:val="0"/>
          <w:marBottom w:val="0"/>
          <w:divBdr>
            <w:top w:val="none" w:sz="0" w:space="0" w:color="auto"/>
            <w:left w:val="none" w:sz="0" w:space="0" w:color="auto"/>
            <w:bottom w:val="none" w:sz="0" w:space="0" w:color="auto"/>
            <w:right w:val="none" w:sz="0" w:space="0" w:color="auto"/>
          </w:divBdr>
        </w:div>
        <w:div w:id="1542551982">
          <w:marLeft w:val="0"/>
          <w:marRight w:val="0"/>
          <w:marTop w:val="0"/>
          <w:marBottom w:val="0"/>
          <w:divBdr>
            <w:top w:val="none" w:sz="0" w:space="0" w:color="auto"/>
            <w:left w:val="none" w:sz="0" w:space="0" w:color="auto"/>
            <w:bottom w:val="none" w:sz="0" w:space="0" w:color="auto"/>
            <w:right w:val="none" w:sz="0" w:space="0" w:color="auto"/>
          </w:divBdr>
        </w:div>
        <w:div w:id="569080228">
          <w:marLeft w:val="0"/>
          <w:marRight w:val="0"/>
          <w:marTop w:val="0"/>
          <w:marBottom w:val="0"/>
          <w:divBdr>
            <w:top w:val="none" w:sz="0" w:space="0" w:color="auto"/>
            <w:left w:val="none" w:sz="0" w:space="0" w:color="auto"/>
            <w:bottom w:val="none" w:sz="0" w:space="0" w:color="auto"/>
            <w:right w:val="none" w:sz="0" w:space="0" w:color="auto"/>
          </w:divBdr>
        </w:div>
        <w:div w:id="971865219">
          <w:marLeft w:val="0"/>
          <w:marRight w:val="0"/>
          <w:marTop w:val="0"/>
          <w:marBottom w:val="0"/>
          <w:divBdr>
            <w:top w:val="none" w:sz="0" w:space="0" w:color="auto"/>
            <w:left w:val="none" w:sz="0" w:space="0" w:color="auto"/>
            <w:bottom w:val="none" w:sz="0" w:space="0" w:color="auto"/>
            <w:right w:val="none" w:sz="0" w:space="0" w:color="auto"/>
          </w:divBdr>
        </w:div>
        <w:div w:id="1502551293">
          <w:marLeft w:val="0"/>
          <w:marRight w:val="0"/>
          <w:marTop w:val="0"/>
          <w:marBottom w:val="0"/>
          <w:divBdr>
            <w:top w:val="none" w:sz="0" w:space="0" w:color="auto"/>
            <w:left w:val="none" w:sz="0" w:space="0" w:color="auto"/>
            <w:bottom w:val="none" w:sz="0" w:space="0" w:color="auto"/>
            <w:right w:val="none" w:sz="0" w:space="0" w:color="auto"/>
          </w:divBdr>
        </w:div>
        <w:div w:id="576132487">
          <w:marLeft w:val="0"/>
          <w:marRight w:val="0"/>
          <w:marTop w:val="0"/>
          <w:marBottom w:val="0"/>
          <w:divBdr>
            <w:top w:val="none" w:sz="0" w:space="0" w:color="auto"/>
            <w:left w:val="none" w:sz="0" w:space="0" w:color="auto"/>
            <w:bottom w:val="none" w:sz="0" w:space="0" w:color="auto"/>
            <w:right w:val="none" w:sz="0" w:space="0" w:color="auto"/>
          </w:divBdr>
        </w:div>
        <w:div w:id="17466086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1441</ap:Words>
  <ap:Characters>8215</ap:Characters>
  <ap:DocSecurity>0</ap:DocSecurity>
  <ap:Lines>68</ap:Lines>
  <ap:Paragraphs>19</ap:Paragraphs>
  <ap:ScaleCrop>false</ap:ScaleCrop>
  <ap:HeadingPairs>
    <vt:vector baseType="variant" size="4">
      <vt:variant>
        <vt:lpstr>Title</vt:lpstr>
      </vt:variant>
      <vt:variant>
        <vt:i4>1</vt:i4>
      </vt:variant>
      <vt:variant>
        <vt:lpstr>Headings</vt:lpstr>
      </vt:variant>
      <vt:variant>
        <vt:i4>5</vt:i4>
      </vt:variant>
    </vt:vector>
  </ap:HeadingPairs>
  <ap:TitlesOfParts>
    <vt:vector baseType="lpstr" size="6">
      <vt:lpstr/>
      <vt:lpstr>Sustainable Finance Lab – Position Paper Financiële Aspecten van de Circulaire E</vt:lpstr>
      <vt:lpstr/>
      <vt:lpstr>Gericht aan de leden van de Tweede Kamer der Staten Generaal </vt:lpstr>
      <vt:lpstr>Financiële aspecten van circulaire economie – het Micro perspectief </vt:lpstr>
      <vt:lpstr>Hoe de overheid kan bijdragen aan een level playing field</vt:lpstr>
    </vt:vector>
  </ap:TitlesOfParts>
  <ap:LinksUpToDate>false</ap:LinksUpToDate>
  <ap:CharactersWithSpaces>9637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2017-06-09T14:29:00.0000000Z</dcterms:created>
  <dcterms:modified xsi:type="dcterms:W3CDTF">2017-06-09T15:02:00.0000000Z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0x010100D1633073BB7A784F91984945E9567479</vt:lpwstr>
  </property>
</Properties>
</file>