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11D5" w:rsidP="001B2599" w:rsidRDefault="00AD11D5">
      <w:pPr>
        <w:rPr>
          <w:rFonts w:asciiTheme="minorHAnsi" w:hAnsiTheme="minorHAnsi"/>
          <w:b/>
          <w:sz w:val="20"/>
          <w:szCs w:val="20"/>
        </w:rPr>
      </w:pPr>
    </w:p>
    <w:p w:rsidR="003F60A4" w:rsidP="001B2599" w:rsidRDefault="003F60A4">
      <w:pPr>
        <w:rPr>
          <w:rFonts w:asciiTheme="minorHAnsi" w:hAnsiTheme="minorHAnsi"/>
          <w:b/>
          <w:sz w:val="20"/>
          <w:szCs w:val="20"/>
        </w:rPr>
      </w:pPr>
      <w:bookmarkStart w:name="_GoBack" w:id="0"/>
      <w:r>
        <w:rPr>
          <w:rFonts w:asciiTheme="minorHAnsi" w:hAnsiTheme="minorHAnsi"/>
          <w:b/>
          <w:sz w:val="20"/>
          <w:szCs w:val="20"/>
        </w:rPr>
        <w:t>Subsidiariteitstoets op voorstellen sociale dimensie Wegvervoer (</w:t>
      </w:r>
      <w:proofErr w:type="spellStart"/>
      <w:r>
        <w:rPr>
          <w:rFonts w:asciiTheme="minorHAnsi" w:hAnsiTheme="minorHAnsi"/>
          <w:b/>
          <w:sz w:val="20"/>
          <w:szCs w:val="20"/>
        </w:rPr>
        <w:t>mobility</w:t>
      </w:r>
      <w:proofErr w:type="spellEnd"/>
      <w:r>
        <w:rPr>
          <w:rFonts w:asciiTheme="minorHAnsi" w:hAnsiTheme="minorHAnsi"/>
          <w:b/>
          <w:sz w:val="20"/>
          <w:szCs w:val="20"/>
        </w:rPr>
        <w:t xml:space="preserve"> package d.d. 31 mei)</w:t>
      </w:r>
    </w:p>
    <w:bookmarkEnd w:id="0"/>
    <w:p w:rsidR="003F60A4" w:rsidP="001B2599" w:rsidRDefault="003F60A4">
      <w:pPr>
        <w:rPr>
          <w:rFonts w:asciiTheme="minorHAnsi" w:hAnsiTheme="minorHAnsi"/>
          <w:b/>
          <w:sz w:val="20"/>
          <w:szCs w:val="20"/>
        </w:rPr>
      </w:pPr>
    </w:p>
    <w:p w:rsidRPr="00C34BE5" w:rsidR="00C34BE5" w:rsidP="001B2599" w:rsidRDefault="00C34BE5">
      <w:pPr>
        <w:rPr>
          <w:rFonts w:asciiTheme="minorHAnsi" w:hAnsiTheme="minorHAnsi"/>
          <w:b/>
          <w:sz w:val="20"/>
          <w:szCs w:val="20"/>
        </w:rPr>
      </w:pPr>
      <w:r w:rsidRPr="00C34BE5">
        <w:rPr>
          <w:rFonts w:asciiTheme="minorHAnsi" w:hAnsiTheme="minorHAnsi"/>
          <w:b/>
          <w:sz w:val="20"/>
          <w:szCs w:val="20"/>
        </w:rPr>
        <w:t>Aanleiding</w:t>
      </w:r>
    </w:p>
    <w:p w:rsidR="0093433F" w:rsidP="00B030E0" w:rsidRDefault="0093433F">
      <w:pPr>
        <w:pStyle w:val="Lijstalinea"/>
        <w:numPr>
          <w:ilvl w:val="0"/>
          <w:numId w:val="1"/>
        </w:numPr>
        <w:rPr>
          <w:rFonts w:asciiTheme="minorHAnsi" w:hAnsiTheme="minorHAnsi"/>
          <w:sz w:val="20"/>
          <w:szCs w:val="20"/>
        </w:rPr>
      </w:pPr>
      <w:r>
        <w:rPr>
          <w:rFonts w:asciiTheme="minorHAnsi" w:hAnsiTheme="minorHAnsi"/>
          <w:sz w:val="20"/>
          <w:szCs w:val="20"/>
        </w:rPr>
        <w:t xml:space="preserve">Bij de bespreking van het werkprogramma van de Europese Commissie voor 2017 heeft de Tweede Kamer een subsidiariteitstoets afgekondigd op de bovengenoemde voorstellen. </w:t>
      </w:r>
    </w:p>
    <w:p w:rsidR="0093433F" w:rsidP="0093433F" w:rsidRDefault="0093433F">
      <w:pPr>
        <w:pStyle w:val="Lijstalinea"/>
        <w:numPr>
          <w:ilvl w:val="0"/>
          <w:numId w:val="1"/>
        </w:numPr>
        <w:rPr>
          <w:rFonts w:asciiTheme="minorHAnsi" w:hAnsiTheme="minorHAnsi"/>
          <w:sz w:val="20"/>
          <w:szCs w:val="20"/>
        </w:rPr>
      </w:pPr>
      <w:r w:rsidRPr="00C34BE5">
        <w:rPr>
          <w:rFonts w:asciiTheme="minorHAnsi" w:hAnsiTheme="minorHAnsi"/>
          <w:sz w:val="20"/>
          <w:szCs w:val="20"/>
        </w:rPr>
        <w:t xml:space="preserve">Op </w:t>
      </w:r>
      <w:r>
        <w:rPr>
          <w:rFonts w:asciiTheme="minorHAnsi" w:hAnsiTheme="minorHAnsi"/>
          <w:sz w:val="20"/>
          <w:szCs w:val="20"/>
        </w:rPr>
        <w:t xml:space="preserve">31 mei jl. heeft de Europese Commissie het mobiliteitspakket uitgebracht, waaronder de drie bovengenoemde voorstellen. </w:t>
      </w:r>
    </w:p>
    <w:p w:rsidRPr="00C34BE5" w:rsidR="00B030E0" w:rsidP="00B030E0" w:rsidRDefault="0093433F">
      <w:pPr>
        <w:pStyle w:val="Lijstalinea"/>
        <w:numPr>
          <w:ilvl w:val="0"/>
          <w:numId w:val="1"/>
        </w:numPr>
        <w:rPr>
          <w:rFonts w:asciiTheme="minorHAnsi" w:hAnsiTheme="minorHAnsi"/>
          <w:sz w:val="20"/>
          <w:szCs w:val="20"/>
        </w:rPr>
      </w:pPr>
      <w:r>
        <w:rPr>
          <w:rFonts w:asciiTheme="minorHAnsi" w:hAnsiTheme="minorHAnsi"/>
          <w:sz w:val="20"/>
          <w:szCs w:val="20"/>
        </w:rPr>
        <w:t xml:space="preserve">In de procedurevergadering </w:t>
      </w:r>
      <w:r w:rsidRPr="00C34BE5" w:rsidR="00B030E0">
        <w:rPr>
          <w:rFonts w:asciiTheme="minorHAnsi" w:hAnsiTheme="minorHAnsi"/>
          <w:sz w:val="20"/>
          <w:szCs w:val="20"/>
        </w:rPr>
        <w:t xml:space="preserve">heeft uw commissie besloten </w:t>
      </w:r>
      <w:r>
        <w:rPr>
          <w:rFonts w:asciiTheme="minorHAnsi" w:hAnsiTheme="minorHAnsi"/>
          <w:sz w:val="20"/>
          <w:szCs w:val="20"/>
        </w:rPr>
        <w:t xml:space="preserve">inderdaad </w:t>
      </w:r>
      <w:r w:rsidRPr="00C34BE5" w:rsidR="00B030E0">
        <w:rPr>
          <w:rFonts w:asciiTheme="minorHAnsi" w:hAnsiTheme="minorHAnsi"/>
          <w:sz w:val="20"/>
          <w:szCs w:val="20"/>
        </w:rPr>
        <w:t xml:space="preserve">te toetsen of </w:t>
      </w:r>
      <w:r>
        <w:rPr>
          <w:rFonts w:asciiTheme="minorHAnsi" w:hAnsiTheme="minorHAnsi"/>
          <w:sz w:val="20"/>
          <w:szCs w:val="20"/>
        </w:rPr>
        <w:t xml:space="preserve">deze drie </w:t>
      </w:r>
      <w:r w:rsidRPr="00C34BE5" w:rsidR="00B030E0">
        <w:rPr>
          <w:rFonts w:asciiTheme="minorHAnsi" w:hAnsiTheme="minorHAnsi"/>
          <w:sz w:val="20"/>
          <w:szCs w:val="20"/>
        </w:rPr>
        <w:t>voorstel</w:t>
      </w:r>
      <w:r>
        <w:rPr>
          <w:rFonts w:asciiTheme="minorHAnsi" w:hAnsiTheme="minorHAnsi"/>
          <w:sz w:val="20"/>
          <w:szCs w:val="20"/>
        </w:rPr>
        <w:t>len</w:t>
      </w:r>
      <w:r w:rsidRPr="00C34BE5" w:rsidR="00B030E0">
        <w:rPr>
          <w:rFonts w:asciiTheme="minorHAnsi" w:hAnsiTheme="minorHAnsi"/>
          <w:sz w:val="20"/>
          <w:szCs w:val="20"/>
        </w:rPr>
        <w:t xml:space="preserve"> </w:t>
      </w:r>
      <w:r>
        <w:rPr>
          <w:rFonts w:asciiTheme="minorHAnsi" w:hAnsiTheme="minorHAnsi"/>
          <w:sz w:val="20"/>
          <w:szCs w:val="20"/>
        </w:rPr>
        <w:t>voldoen</w:t>
      </w:r>
      <w:r w:rsidRPr="00C34BE5" w:rsidR="00B030E0">
        <w:rPr>
          <w:rFonts w:asciiTheme="minorHAnsi" w:hAnsiTheme="minorHAnsi"/>
          <w:sz w:val="20"/>
          <w:szCs w:val="20"/>
        </w:rPr>
        <w:t xml:space="preserve"> aan het beginsel van subsidiaritei</w:t>
      </w:r>
      <w:r>
        <w:rPr>
          <w:rFonts w:asciiTheme="minorHAnsi" w:hAnsiTheme="minorHAnsi"/>
          <w:sz w:val="20"/>
          <w:szCs w:val="20"/>
        </w:rPr>
        <w:t xml:space="preserve">t. </w:t>
      </w:r>
    </w:p>
    <w:p w:rsidR="00B030E0" w:rsidP="00B030E0" w:rsidRDefault="0093433F">
      <w:pPr>
        <w:pStyle w:val="Lijstalinea"/>
        <w:numPr>
          <w:ilvl w:val="0"/>
          <w:numId w:val="1"/>
        </w:numPr>
        <w:rPr>
          <w:rFonts w:asciiTheme="minorHAnsi" w:hAnsiTheme="minorHAnsi"/>
          <w:sz w:val="20"/>
          <w:szCs w:val="20"/>
        </w:rPr>
      </w:pPr>
      <w:r>
        <w:rPr>
          <w:rFonts w:asciiTheme="minorHAnsi" w:hAnsiTheme="minorHAnsi"/>
          <w:sz w:val="20"/>
          <w:szCs w:val="20"/>
        </w:rPr>
        <w:t xml:space="preserve">In de </w:t>
      </w:r>
      <w:hyperlink w:history="1" r:id="rId8">
        <w:r w:rsidRPr="00B91C9D">
          <w:rPr>
            <w:rStyle w:val="Hyperlink"/>
            <w:rFonts w:asciiTheme="minorHAnsi" w:hAnsiTheme="minorHAnsi"/>
            <w:sz w:val="20"/>
            <w:szCs w:val="20"/>
          </w:rPr>
          <w:t>stafnotitie van 1 juni over dit onderwerp</w:t>
        </w:r>
      </w:hyperlink>
      <w:r>
        <w:rPr>
          <w:rFonts w:asciiTheme="minorHAnsi" w:hAnsiTheme="minorHAnsi"/>
          <w:sz w:val="20"/>
          <w:szCs w:val="20"/>
        </w:rPr>
        <w:t xml:space="preserve"> is al ingegaan op de </w:t>
      </w:r>
      <w:r w:rsidRPr="00C34BE5" w:rsidR="00C34BE5">
        <w:rPr>
          <w:rFonts w:asciiTheme="minorHAnsi" w:hAnsiTheme="minorHAnsi"/>
          <w:sz w:val="20"/>
          <w:szCs w:val="20"/>
        </w:rPr>
        <w:t>subsidiariteitsto</w:t>
      </w:r>
      <w:r>
        <w:rPr>
          <w:rFonts w:asciiTheme="minorHAnsi" w:hAnsiTheme="minorHAnsi"/>
          <w:sz w:val="20"/>
          <w:szCs w:val="20"/>
        </w:rPr>
        <w:t xml:space="preserve">ets (de gele-kaartprocedure) en </w:t>
      </w:r>
      <w:r w:rsidRPr="00C34BE5" w:rsidR="00C34BE5">
        <w:rPr>
          <w:rFonts w:asciiTheme="minorHAnsi" w:hAnsiTheme="minorHAnsi"/>
          <w:sz w:val="20"/>
          <w:szCs w:val="20"/>
        </w:rPr>
        <w:t xml:space="preserve">de </w:t>
      </w:r>
      <w:r>
        <w:rPr>
          <w:rFonts w:asciiTheme="minorHAnsi" w:hAnsiTheme="minorHAnsi"/>
          <w:sz w:val="20"/>
          <w:szCs w:val="20"/>
        </w:rPr>
        <w:t xml:space="preserve">korte </w:t>
      </w:r>
      <w:r w:rsidRPr="00C34BE5" w:rsidR="00C34BE5">
        <w:rPr>
          <w:rFonts w:asciiTheme="minorHAnsi" w:hAnsiTheme="minorHAnsi"/>
          <w:sz w:val="20"/>
          <w:szCs w:val="20"/>
        </w:rPr>
        <w:t xml:space="preserve">inhoud van de voorgestelde </w:t>
      </w:r>
      <w:r w:rsidR="00D32AEB">
        <w:rPr>
          <w:rFonts w:asciiTheme="minorHAnsi" w:hAnsiTheme="minorHAnsi"/>
          <w:sz w:val="20"/>
          <w:szCs w:val="20"/>
        </w:rPr>
        <w:t>richtlijn</w:t>
      </w:r>
      <w:r>
        <w:rPr>
          <w:rFonts w:asciiTheme="minorHAnsi" w:hAnsiTheme="minorHAnsi"/>
          <w:sz w:val="20"/>
          <w:szCs w:val="20"/>
        </w:rPr>
        <w:t>en</w:t>
      </w:r>
      <w:r w:rsidRPr="00C34BE5" w:rsidR="00C34BE5">
        <w:rPr>
          <w:rFonts w:asciiTheme="minorHAnsi" w:hAnsiTheme="minorHAnsi"/>
          <w:sz w:val="20"/>
          <w:szCs w:val="20"/>
        </w:rPr>
        <w:t>;</w:t>
      </w:r>
    </w:p>
    <w:p w:rsidR="0093433F" w:rsidP="00B030E0" w:rsidRDefault="0093433F">
      <w:pPr>
        <w:pStyle w:val="Lijstalinea"/>
        <w:numPr>
          <w:ilvl w:val="0"/>
          <w:numId w:val="1"/>
        </w:numPr>
        <w:rPr>
          <w:rFonts w:asciiTheme="minorHAnsi" w:hAnsiTheme="minorHAnsi"/>
          <w:sz w:val="20"/>
          <w:szCs w:val="20"/>
        </w:rPr>
      </w:pPr>
      <w:r>
        <w:rPr>
          <w:rFonts w:asciiTheme="minorHAnsi" w:hAnsiTheme="minorHAnsi"/>
          <w:sz w:val="20"/>
          <w:szCs w:val="20"/>
        </w:rPr>
        <w:t xml:space="preserve">Hieronder wordt dit </w:t>
      </w:r>
      <w:r w:rsidR="00B91C9D">
        <w:rPr>
          <w:rFonts w:asciiTheme="minorHAnsi" w:hAnsiTheme="minorHAnsi"/>
          <w:sz w:val="20"/>
          <w:szCs w:val="20"/>
        </w:rPr>
        <w:t xml:space="preserve">nog eens samengevat (zie kader). </w:t>
      </w:r>
    </w:p>
    <w:p w:rsidR="00B91C9D" w:rsidP="00B91C9D" w:rsidRDefault="00B91C9D">
      <w:pPr>
        <w:rPr>
          <w:rFonts w:asciiTheme="minorHAnsi" w:hAnsiTheme="minorHAnsi"/>
          <w:sz w:val="20"/>
          <w:szCs w:val="20"/>
        </w:rPr>
      </w:pPr>
    </w:p>
    <w:p w:rsidRPr="00B91C9D" w:rsidR="00B91C9D" w:rsidP="00B91C9D" w:rsidRDefault="00B91C9D">
      <w:pPr>
        <w:rPr>
          <w:rFonts w:asciiTheme="minorHAnsi" w:hAnsiTheme="minorHAnsi"/>
          <w:b/>
          <w:sz w:val="20"/>
          <w:szCs w:val="20"/>
        </w:rPr>
      </w:pPr>
      <w:r w:rsidRPr="00B91C9D">
        <w:rPr>
          <w:rFonts w:asciiTheme="minorHAnsi" w:hAnsiTheme="minorHAnsi"/>
          <w:b/>
          <w:sz w:val="20"/>
          <w:szCs w:val="20"/>
        </w:rPr>
        <w:t xml:space="preserve">U wordt verzocht om: </w:t>
      </w:r>
    </w:p>
    <w:p w:rsidR="00B91C9D" w:rsidP="00B91C9D" w:rsidRDefault="00B91C9D">
      <w:pPr>
        <w:rPr>
          <w:rFonts w:asciiTheme="minorHAnsi" w:hAnsiTheme="minorHAnsi"/>
          <w:sz w:val="20"/>
          <w:szCs w:val="20"/>
        </w:rPr>
      </w:pPr>
      <w:r>
        <w:rPr>
          <w:rFonts w:asciiTheme="minorHAnsi" w:hAnsiTheme="minorHAnsi"/>
          <w:sz w:val="20"/>
          <w:szCs w:val="20"/>
        </w:rPr>
        <w:t>In bijgevoegd format (</w:t>
      </w:r>
      <w:r w:rsidRPr="001026E3" w:rsidR="001026E3">
        <w:rPr>
          <w:rFonts w:asciiTheme="minorHAnsi" w:hAnsiTheme="minorHAnsi"/>
          <w:sz w:val="20"/>
          <w:szCs w:val="20"/>
          <w:u w:val="single"/>
        </w:rPr>
        <w:t xml:space="preserve">bijlage </w:t>
      </w:r>
      <w:r w:rsidRPr="001026E3">
        <w:rPr>
          <w:rFonts w:asciiTheme="minorHAnsi" w:hAnsiTheme="minorHAnsi"/>
          <w:sz w:val="20"/>
          <w:szCs w:val="20"/>
          <w:u w:val="single"/>
        </w:rPr>
        <w:t>1</w:t>
      </w:r>
      <w:r>
        <w:rPr>
          <w:rFonts w:asciiTheme="minorHAnsi" w:hAnsiTheme="minorHAnsi"/>
          <w:sz w:val="20"/>
          <w:szCs w:val="20"/>
        </w:rPr>
        <w:t xml:space="preserve">) </w:t>
      </w:r>
      <w:r w:rsidR="00C76542">
        <w:rPr>
          <w:rFonts w:asciiTheme="minorHAnsi" w:hAnsiTheme="minorHAnsi"/>
          <w:sz w:val="20"/>
          <w:szCs w:val="20"/>
        </w:rPr>
        <w:t>a</w:t>
      </w:r>
      <w:r>
        <w:rPr>
          <w:rFonts w:asciiTheme="minorHAnsi" w:hAnsiTheme="minorHAnsi"/>
          <w:sz w:val="20"/>
          <w:szCs w:val="20"/>
        </w:rPr>
        <w:t>an te geven wat uw oordeel is over</w:t>
      </w:r>
      <w:r w:rsidR="00C76542">
        <w:rPr>
          <w:rFonts w:asciiTheme="minorHAnsi" w:hAnsiTheme="minorHAnsi"/>
          <w:sz w:val="20"/>
          <w:szCs w:val="20"/>
        </w:rPr>
        <w:t>:</w:t>
      </w:r>
      <w:r>
        <w:rPr>
          <w:rFonts w:asciiTheme="minorHAnsi" w:hAnsiTheme="minorHAnsi"/>
          <w:sz w:val="20"/>
          <w:szCs w:val="20"/>
        </w:rPr>
        <w:t xml:space="preserve"> </w:t>
      </w:r>
    </w:p>
    <w:p w:rsidR="00B91C9D" w:rsidP="00B91C9D" w:rsidRDefault="00B91C9D">
      <w:pPr>
        <w:pStyle w:val="Lijstalinea"/>
        <w:numPr>
          <w:ilvl w:val="0"/>
          <w:numId w:val="7"/>
        </w:numPr>
        <w:rPr>
          <w:rFonts w:asciiTheme="minorHAnsi" w:hAnsiTheme="minorHAnsi"/>
          <w:sz w:val="20"/>
          <w:szCs w:val="20"/>
        </w:rPr>
      </w:pPr>
      <w:r w:rsidRPr="00B91C9D">
        <w:rPr>
          <w:rFonts w:asciiTheme="minorHAnsi" w:hAnsiTheme="minorHAnsi"/>
          <w:sz w:val="20"/>
          <w:szCs w:val="20"/>
        </w:rPr>
        <w:t>de subsidiariteit van het EU</w:t>
      </w:r>
      <w:r w:rsidR="00C76542">
        <w:rPr>
          <w:rFonts w:asciiTheme="minorHAnsi" w:hAnsiTheme="minorHAnsi"/>
          <w:sz w:val="20"/>
          <w:szCs w:val="20"/>
        </w:rPr>
        <w:t>-</w:t>
      </w:r>
      <w:r w:rsidRPr="00B91C9D">
        <w:rPr>
          <w:rFonts w:asciiTheme="minorHAnsi" w:hAnsiTheme="minorHAnsi"/>
          <w:sz w:val="20"/>
          <w:szCs w:val="20"/>
        </w:rPr>
        <w:t xml:space="preserve">voorstel; </w:t>
      </w:r>
    </w:p>
    <w:p w:rsidR="00B91C9D" w:rsidP="00B91C9D" w:rsidRDefault="00B91C9D">
      <w:pPr>
        <w:pStyle w:val="Lijstalinea"/>
        <w:numPr>
          <w:ilvl w:val="0"/>
          <w:numId w:val="7"/>
        </w:numPr>
        <w:rPr>
          <w:rFonts w:asciiTheme="minorHAnsi" w:hAnsiTheme="minorHAnsi"/>
          <w:sz w:val="20"/>
          <w:szCs w:val="20"/>
        </w:rPr>
      </w:pPr>
      <w:r>
        <w:rPr>
          <w:rFonts w:asciiTheme="minorHAnsi" w:hAnsiTheme="minorHAnsi"/>
          <w:sz w:val="20"/>
          <w:szCs w:val="20"/>
        </w:rPr>
        <w:t>(indien gewenst) de proportionaliteit van het EU</w:t>
      </w:r>
      <w:r w:rsidR="00C76542">
        <w:rPr>
          <w:rFonts w:asciiTheme="minorHAnsi" w:hAnsiTheme="minorHAnsi"/>
          <w:sz w:val="20"/>
          <w:szCs w:val="20"/>
        </w:rPr>
        <w:t>-</w:t>
      </w:r>
      <w:r>
        <w:rPr>
          <w:rFonts w:asciiTheme="minorHAnsi" w:hAnsiTheme="minorHAnsi"/>
          <w:sz w:val="20"/>
          <w:szCs w:val="20"/>
        </w:rPr>
        <w:t>voorstel</w:t>
      </w:r>
    </w:p>
    <w:p w:rsidRPr="00B91C9D" w:rsidR="00B91C9D" w:rsidP="00B91C9D" w:rsidRDefault="00B91C9D">
      <w:pPr>
        <w:pStyle w:val="Lijstalinea"/>
        <w:numPr>
          <w:ilvl w:val="0"/>
          <w:numId w:val="7"/>
        </w:numPr>
        <w:rPr>
          <w:rFonts w:asciiTheme="minorHAnsi" w:hAnsiTheme="minorHAnsi"/>
          <w:sz w:val="20"/>
          <w:szCs w:val="20"/>
        </w:rPr>
      </w:pPr>
      <w:r>
        <w:rPr>
          <w:rFonts w:asciiTheme="minorHAnsi" w:hAnsiTheme="minorHAnsi"/>
          <w:sz w:val="20"/>
          <w:szCs w:val="20"/>
        </w:rPr>
        <w:t>De politieke wenselijkheid van het EU</w:t>
      </w:r>
      <w:r w:rsidR="00C76542">
        <w:rPr>
          <w:rFonts w:asciiTheme="minorHAnsi" w:hAnsiTheme="minorHAnsi"/>
          <w:sz w:val="20"/>
          <w:szCs w:val="20"/>
        </w:rPr>
        <w:t>-</w:t>
      </w:r>
      <w:r>
        <w:rPr>
          <w:rFonts w:asciiTheme="minorHAnsi" w:hAnsiTheme="minorHAnsi"/>
          <w:sz w:val="20"/>
          <w:szCs w:val="20"/>
        </w:rPr>
        <w:t xml:space="preserve">voorstel. </w:t>
      </w:r>
    </w:p>
    <w:p w:rsidR="001026E3" w:rsidP="00B91C9D" w:rsidRDefault="001026E3">
      <w:pPr>
        <w:rPr>
          <w:rFonts w:asciiTheme="minorHAnsi" w:hAnsiTheme="minorHAnsi"/>
          <w:sz w:val="20"/>
          <w:szCs w:val="20"/>
        </w:rPr>
      </w:pPr>
      <w:r>
        <w:rPr>
          <w:rFonts w:asciiTheme="minorHAnsi" w:hAnsiTheme="minorHAnsi"/>
          <w:sz w:val="20"/>
          <w:szCs w:val="20"/>
        </w:rPr>
        <w:t xml:space="preserve">In bijlage 2 staan per </w:t>
      </w:r>
      <w:r w:rsidR="00C76542">
        <w:rPr>
          <w:rFonts w:asciiTheme="minorHAnsi" w:hAnsiTheme="minorHAnsi"/>
          <w:sz w:val="20"/>
          <w:szCs w:val="20"/>
        </w:rPr>
        <w:t>EU-</w:t>
      </w:r>
      <w:r>
        <w:rPr>
          <w:rFonts w:asciiTheme="minorHAnsi" w:hAnsiTheme="minorHAnsi"/>
          <w:sz w:val="20"/>
          <w:szCs w:val="20"/>
        </w:rPr>
        <w:t xml:space="preserve">voorstel de passages die de Commissie zelf heeft geschreven over subsidiariteit en proportionaliteit. U kunt aangeven of u het daar wel of niet mee eens bent. Zie voor proportionaliteit, en de reden om dit aspect eventueel ook in te vullen, onderstaand kader. </w:t>
      </w:r>
    </w:p>
    <w:p w:rsidR="00B91C9D" w:rsidP="00B91C9D" w:rsidRDefault="00B91C9D">
      <w:pPr>
        <w:rPr>
          <w:rFonts w:asciiTheme="minorHAnsi" w:hAnsiTheme="minorHAnsi"/>
          <w:sz w:val="20"/>
          <w:szCs w:val="20"/>
        </w:rPr>
      </w:pPr>
      <w:r>
        <w:rPr>
          <w:rFonts w:asciiTheme="minorHAnsi" w:hAnsiTheme="minorHAnsi"/>
          <w:sz w:val="20"/>
          <w:szCs w:val="20"/>
        </w:rPr>
        <w:t xml:space="preserve">Graag per onderdeel aangeven of </w:t>
      </w:r>
      <w:proofErr w:type="gramStart"/>
      <w:r>
        <w:rPr>
          <w:rFonts w:asciiTheme="minorHAnsi" w:hAnsiTheme="minorHAnsi"/>
          <w:sz w:val="20"/>
          <w:szCs w:val="20"/>
        </w:rPr>
        <w:t>dit</w:t>
      </w:r>
      <w:proofErr w:type="gramEnd"/>
      <w:r>
        <w:rPr>
          <w:rFonts w:asciiTheme="minorHAnsi" w:hAnsiTheme="minorHAnsi"/>
          <w:sz w:val="20"/>
          <w:szCs w:val="20"/>
        </w:rPr>
        <w:t xml:space="preserve"> betrekking heeft op één (of twee) van de drie voorstellen (en zo ja, op welk(e)) dan wel alle drie. </w:t>
      </w:r>
    </w:p>
    <w:p w:rsidR="008B2B7E" w:rsidP="00B91C9D" w:rsidRDefault="008B2B7E">
      <w:pPr>
        <w:rPr>
          <w:rFonts w:asciiTheme="minorHAnsi" w:hAnsiTheme="minorHAnsi"/>
          <w:sz w:val="20"/>
          <w:szCs w:val="20"/>
        </w:rPr>
      </w:pPr>
    </w:p>
    <w:p w:rsidR="008B2B7E" w:rsidP="00B91C9D" w:rsidRDefault="008B2B7E">
      <w:pPr>
        <w:rPr>
          <w:rFonts w:asciiTheme="minorHAnsi" w:hAnsiTheme="minorHAnsi"/>
          <w:b/>
          <w:sz w:val="20"/>
          <w:szCs w:val="20"/>
        </w:rPr>
      </w:pPr>
      <w:r>
        <w:rPr>
          <w:rFonts w:asciiTheme="minorHAnsi" w:hAnsiTheme="minorHAnsi"/>
          <w:b/>
          <w:sz w:val="20"/>
          <w:szCs w:val="20"/>
        </w:rPr>
        <w:t>Procedure</w:t>
      </w:r>
    </w:p>
    <w:p w:rsidR="008B2B7E" w:rsidP="00B91C9D" w:rsidRDefault="008B2B7E">
      <w:pPr>
        <w:rPr>
          <w:rFonts w:asciiTheme="minorHAnsi" w:hAnsiTheme="minorHAnsi"/>
          <w:sz w:val="20"/>
          <w:szCs w:val="20"/>
        </w:rPr>
      </w:pPr>
      <w:r>
        <w:rPr>
          <w:rFonts w:asciiTheme="minorHAnsi" w:hAnsiTheme="minorHAnsi"/>
          <w:sz w:val="20"/>
          <w:szCs w:val="20"/>
        </w:rPr>
        <w:t xml:space="preserve">In de volgende procedurevergadering zal een stafnotitie worden geagendeerd </w:t>
      </w:r>
      <w:r w:rsidR="004D27FA">
        <w:rPr>
          <w:rFonts w:asciiTheme="minorHAnsi" w:hAnsiTheme="minorHAnsi"/>
          <w:sz w:val="20"/>
          <w:szCs w:val="20"/>
        </w:rPr>
        <w:t xml:space="preserve">waarin </w:t>
      </w:r>
      <w:r>
        <w:rPr>
          <w:rFonts w:asciiTheme="minorHAnsi" w:hAnsiTheme="minorHAnsi"/>
          <w:sz w:val="20"/>
          <w:szCs w:val="20"/>
        </w:rPr>
        <w:t>de verzamelde inbreng</w:t>
      </w:r>
      <w:r w:rsidR="004D27FA">
        <w:rPr>
          <w:rFonts w:asciiTheme="minorHAnsi" w:hAnsiTheme="minorHAnsi"/>
          <w:sz w:val="20"/>
          <w:szCs w:val="20"/>
        </w:rPr>
        <w:t xml:space="preserve"> is verwerkt, ten behoeve van het meerderheidsbesluit</w:t>
      </w:r>
      <w:r w:rsidR="00C76542">
        <w:rPr>
          <w:rFonts w:asciiTheme="minorHAnsi" w:hAnsiTheme="minorHAnsi"/>
          <w:sz w:val="20"/>
          <w:szCs w:val="20"/>
        </w:rPr>
        <w:t>.</w:t>
      </w:r>
      <w:r>
        <w:rPr>
          <w:rFonts w:asciiTheme="minorHAnsi" w:hAnsiTheme="minorHAnsi"/>
          <w:sz w:val="20"/>
          <w:szCs w:val="20"/>
        </w:rPr>
        <w:t xml:space="preserve"> </w:t>
      </w:r>
      <w:r w:rsidR="00C76542">
        <w:rPr>
          <w:rFonts w:asciiTheme="minorHAnsi" w:hAnsiTheme="minorHAnsi"/>
          <w:sz w:val="20"/>
          <w:szCs w:val="20"/>
        </w:rPr>
        <w:t>Mocht</w:t>
      </w:r>
      <w:r>
        <w:rPr>
          <w:rFonts w:asciiTheme="minorHAnsi" w:hAnsiTheme="minorHAnsi"/>
          <w:sz w:val="20"/>
          <w:szCs w:val="20"/>
        </w:rPr>
        <w:t xml:space="preserve"> de </w:t>
      </w:r>
      <w:r w:rsidR="00C76542">
        <w:rPr>
          <w:rFonts w:asciiTheme="minorHAnsi" w:hAnsiTheme="minorHAnsi"/>
          <w:sz w:val="20"/>
          <w:szCs w:val="20"/>
        </w:rPr>
        <w:t>subsidiariteits</w:t>
      </w:r>
      <w:r>
        <w:rPr>
          <w:rFonts w:asciiTheme="minorHAnsi" w:hAnsiTheme="minorHAnsi"/>
          <w:sz w:val="20"/>
          <w:szCs w:val="20"/>
        </w:rPr>
        <w:t xml:space="preserve">toets </w:t>
      </w:r>
      <w:r w:rsidR="00136306">
        <w:rPr>
          <w:rFonts w:asciiTheme="minorHAnsi" w:hAnsiTheme="minorHAnsi"/>
          <w:sz w:val="20"/>
          <w:szCs w:val="20"/>
        </w:rPr>
        <w:t xml:space="preserve">leiden </w:t>
      </w:r>
      <w:r>
        <w:rPr>
          <w:rFonts w:asciiTheme="minorHAnsi" w:hAnsiTheme="minorHAnsi"/>
          <w:sz w:val="20"/>
          <w:szCs w:val="20"/>
        </w:rPr>
        <w:t>tot een negatief oordeel over (één of twee van</w:t>
      </w:r>
      <w:r w:rsidR="00136306">
        <w:rPr>
          <w:rFonts w:asciiTheme="minorHAnsi" w:hAnsiTheme="minorHAnsi"/>
          <w:sz w:val="20"/>
          <w:szCs w:val="20"/>
        </w:rPr>
        <w:t>)</w:t>
      </w:r>
      <w:r>
        <w:rPr>
          <w:rFonts w:asciiTheme="minorHAnsi" w:hAnsiTheme="minorHAnsi"/>
          <w:sz w:val="20"/>
          <w:szCs w:val="20"/>
        </w:rPr>
        <w:t xml:space="preserve"> de EU-voorstellen</w:t>
      </w:r>
      <w:r w:rsidR="00C76542">
        <w:rPr>
          <w:rFonts w:asciiTheme="minorHAnsi" w:hAnsiTheme="minorHAnsi"/>
          <w:sz w:val="20"/>
          <w:szCs w:val="20"/>
        </w:rPr>
        <w:t>, dan zal ook</w:t>
      </w:r>
      <w:r>
        <w:rPr>
          <w:rFonts w:asciiTheme="minorHAnsi" w:hAnsiTheme="minorHAnsi"/>
          <w:sz w:val="20"/>
          <w:szCs w:val="20"/>
        </w:rPr>
        <w:t xml:space="preserve"> een conceptbrief aan de Voorzitter van de Europese </w:t>
      </w:r>
      <w:r w:rsidR="00C76542">
        <w:rPr>
          <w:rFonts w:asciiTheme="minorHAnsi" w:hAnsiTheme="minorHAnsi"/>
          <w:sz w:val="20"/>
          <w:szCs w:val="20"/>
        </w:rPr>
        <w:t>C</w:t>
      </w:r>
      <w:r>
        <w:rPr>
          <w:rFonts w:asciiTheme="minorHAnsi" w:hAnsiTheme="minorHAnsi"/>
          <w:sz w:val="20"/>
          <w:szCs w:val="20"/>
        </w:rPr>
        <w:t>ommissie</w:t>
      </w:r>
      <w:r w:rsidR="004D27FA">
        <w:rPr>
          <w:rFonts w:asciiTheme="minorHAnsi" w:hAnsiTheme="minorHAnsi"/>
          <w:sz w:val="20"/>
          <w:szCs w:val="20"/>
        </w:rPr>
        <w:t xml:space="preserve"> (</w:t>
      </w:r>
      <w:proofErr w:type="spellStart"/>
      <w:r w:rsidR="004D27FA">
        <w:rPr>
          <w:rFonts w:asciiTheme="minorHAnsi" w:hAnsiTheme="minorHAnsi"/>
          <w:sz w:val="20"/>
          <w:szCs w:val="20"/>
        </w:rPr>
        <w:t>reasoned</w:t>
      </w:r>
      <w:proofErr w:type="spellEnd"/>
      <w:r w:rsidR="004D27FA">
        <w:rPr>
          <w:rFonts w:asciiTheme="minorHAnsi" w:hAnsiTheme="minorHAnsi"/>
          <w:sz w:val="20"/>
          <w:szCs w:val="20"/>
        </w:rPr>
        <w:t xml:space="preserve"> opinion)</w:t>
      </w:r>
      <w:r w:rsidR="00C76542">
        <w:rPr>
          <w:rFonts w:asciiTheme="minorHAnsi" w:hAnsiTheme="minorHAnsi"/>
          <w:sz w:val="20"/>
          <w:szCs w:val="20"/>
        </w:rPr>
        <w:t xml:space="preserve"> voor deze procedurevergadering worden geagendeerd</w:t>
      </w:r>
      <w:r>
        <w:rPr>
          <w:rFonts w:asciiTheme="minorHAnsi" w:hAnsiTheme="minorHAnsi"/>
          <w:sz w:val="20"/>
          <w:szCs w:val="20"/>
        </w:rPr>
        <w:t>.</w:t>
      </w:r>
      <w:r w:rsidR="004D27FA">
        <w:rPr>
          <w:rFonts w:asciiTheme="minorHAnsi" w:hAnsiTheme="minorHAnsi"/>
          <w:sz w:val="20"/>
          <w:szCs w:val="20"/>
        </w:rPr>
        <w:t xml:space="preserve"> Vervolgens zal op 27 juni </w:t>
      </w:r>
      <w:proofErr w:type="gramStart"/>
      <w:r w:rsidR="004D27FA">
        <w:rPr>
          <w:rFonts w:asciiTheme="minorHAnsi" w:hAnsiTheme="minorHAnsi"/>
          <w:sz w:val="20"/>
          <w:szCs w:val="20"/>
        </w:rPr>
        <w:t>plenair</w:t>
      </w:r>
      <w:proofErr w:type="gramEnd"/>
      <w:r w:rsidR="004D27FA">
        <w:rPr>
          <w:rFonts w:asciiTheme="minorHAnsi" w:hAnsiTheme="minorHAnsi"/>
          <w:sz w:val="20"/>
          <w:szCs w:val="20"/>
        </w:rPr>
        <w:t xml:space="preserve"> worden gestemd. </w:t>
      </w:r>
    </w:p>
    <w:p w:rsidR="008B2B7E" w:rsidP="00B91C9D" w:rsidRDefault="008B2B7E">
      <w:pPr>
        <w:rPr>
          <w:rFonts w:asciiTheme="minorHAnsi" w:hAnsiTheme="minorHAnsi"/>
          <w:sz w:val="20"/>
          <w:szCs w:val="20"/>
        </w:rPr>
      </w:pPr>
      <w:r>
        <w:rPr>
          <w:rFonts w:asciiTheme="minorHAnsi" w:hAnsiTheme="minorHAnsi"/>
          <w:sz w:val="20"/>
          <w:szCs w:val="20"/>
        </w:rPr>
        <w:t>Parallel</w:t>
      </w:r>
      <w:r w:rsidR="00C76542">
        <w:rPr>
          <w:rFonts w:asciiTheme="minorHAnsi" w:hAnsiTheme="minorHAnsi"/>
          <w:sz w:val="20"/>
          <w:szCs w:val="20"/>
        </w:rPr>
        <w:t xml:space="preserve"> hieraan</w:t>
      </w:r>
      <w:r>
        <w:rPr>
          <w:rFonts w:asciiTheme="minorHAnsi" w:hAnsiTheme="minorHAnsi"/>
          <w:sz w:val="20"/>
          <w:szCs w:val="20"/>
        </w:rPr>
        <w:t xml:space="preserve"> zal de Eerste Kamer worden geïnformeerd dat de Tweede Kamer een subsidiariteitstoets verricht. </w:t>
      </w:r>
    </w:p>
    <w:p w:rsidR="004D27FA" w:rsidRDefault="001026E3">
      <w:pPr>
        <w:rPr>
          <w:rFonts w:asciiTheme="minorHAnsi" w:hAnsiTheme="minorHAnsi"/>
          <w:sz w:val="20"/>
          <w:szCs w:val="20"/>
        </w:rPr>
      </w:pPr>
      <w:r w:rsidRPr="00D32AEB">
        <w:rPr>
          <w:rFonts w:asciiTheme="minorHAnsi" w:hAnsiTheme="minorHAnsi"/>
          <w:sz w:val="20"/>
          <w:szCs w:val="20"/>
        </w:rPr>
        <w:t xml:space="preserve">Voor het trekken van een Gele Kaart dient de nodige coalitievorming </w:t>
      </w:r>
      <w:r>
        <w:rPr>
          <w:rFonts w:asciiTheme="minorHAnsi" w:hAnsiTheme="minorHAnsi"/>
          <w:sz w:val="20"/>
          <w:szCs w:val="20"/>
        </w:rPr>
        <w:t xml:space="preserve">tussen parlementen </w:t>
      </w:r>
      <w:r w:rsidRPr="00D32AEB">
        <w:rPr>
          <w:rFonts w:asciiTheme="minorHAnsi" w:hAnsiTheme="minorHAnsi"/>
          <w:sz w:val="20"/>
          <w:szCs w:val="20"/>
        </w:rPr>
        <w:t xml:space="preserve">plaats te vinden. </w:t>
      </w:r>
      <w:r w:rsidR="00C76542">
        <w:rPr>
          <w:rFonts w:asciiTheme="minorHAnsi" w:hAnsiTheme="minorHAnsi"/>
          <w:sz w:val="20"/>
          <w:szCs w:val="20"/>
        </w:rPr>
        <w:t>Onze parlementaire vertegenwoordiging</w:t>
      </w:r>
      <w:r>
        <w:rPr>
          <w:rFonts w:asciiTheme="minorHAnsi" w:hAnsiTheme="minorHAnsi"/>
          <w:sz w:val="20"/>
          <w:szCs w:val="20"/>
        </w:rPr>
        <w:t xml:space="preserve"> in Brussel </w:t>
      </w:r>
      <w:r w:rsidR="00C76542">
        <w:rPr>
          <w:rFonts w:asciiTheme="minorHAnsi" w:hAnsiTheme="minorHAnsi"/>
          <w:sz w:val="20"/>
          <w:szCs w:val="20"/>
        </w:rPr>
        <w:t xml:space="preserve">zal worden </w:t>
      </w:r>
      <w:r>
        <w:rPr>
          <w:rFonts w:asciiTheme="minorHAnsi" w:hAnsiTheme="minorHAnsi"/>
          <w:sz w:val="20"/>
          <w:szCs w:val="20"/>
        </w:rPr>
        <w:t>geïnformeerd, zodat zij alvast kan verkennen hoe de andere parlementen reageren. U wordt</w:t>
      </w:r>
      <w:r w:rsidRPr="00D32AEB">
        <w:rPr>
          <w:rFonts w:asciiTheme="minorHAnsi" w:hAnsiTheme="minorHAnsi"/>
          <w:sz w:val="20"/>
          <w:szCs w:val="20"/>
        </w:rPr>
        <w:t xml:space="preserve"> aangeraden ook via politieke lijnen (zusterpartijen in andere lidstaten) het onderwerp en het u aangelegen standpunt onder de aandacht te brengen.</w:t>
      </w:r>
    </w:p>
    <w:p w:rsidR="004D27FA" w:rsidP="00B91C9D" w:rsidRDefault="004D27FA">
      <w:pPr>
        <w:rPr>
          <w:rFonts w:asciiTheme="minorHAnsi" w:hAnsiTheme="minorHAnsi"/>
          <w:sz w:val="20"/>
          <w:szCs w:val="20"/>
        </w:rPr>
      </w:pPr>
    </w:p>
    <w:p w:rsidRPr="00B91C9D" w:rsidR="00B91C9D" w:rsidP="00B91C9D" w:rsidRDefault="00B91C9D">
      <w:pPr>
        <w:pBdr>
          <w:top w:val="single" w:color="auto" w:sz="4" w:space="1"/>
          <w:left w:val="single" w:color="auto" w:sz="4" w:space="4"/>
          <w:bottom w:val="single" w:color="auto" w:sz="4" w:space="1"/>
          <w:right w:val="single" w:color="auto" w:sz="4" w:space="4"/>
        </w:pBdr>
        <w:rPr>
          <w:rFonts w:asciiTheme="minorHAnsi" w:hAnsiTheme="minorHAnsi"/>
          <w:b/>
          <w:sz w:val="20"/>
          <w:szCs w:val="20"/>
        </w:rPr>
      </w:pPr>
      <w:r w:rsidRPr="00B91C9D">
        <w:rPr>
          <w:rFonts w:asciiTheme="minorHAnsi" w:hAnsiTheme="minorHAnsi"/>
          <w:b/>
          <w:sz w:val="20"/>
          <w:szCs w:val="20"/>
        </w:rPr>
        <w:t xml:space="preserve">Wat betekent subsidiariteit in EU-context? </w:t>
      </w:r>
    </w:p>
    <w:p w:rsidRPr="00CD7966" w:rsidR="00B91C9D" w:rsidP="00B91C9D" w:rsidRDefault="00B91C9D">
      <w:pPr>
        <w:pBdr>
          <w:top w:val="single" w:color="auto" w:sz="4" w:space="1"/>
          <w:left w:val="single" w:color="auto" w:sz="4" w:space="4"/>
          <w:bottom w:val="single" w:color="auto" w:sz="4" w:space="1"/>
          <w:right w:val="single" w:color="auto" w:sz="4" w:space="4"/>
        </w:pBdr>
        <w:rPr>
          <w:rFonts w:asciiTheme="minorHAnsi" w:hAnsiTheme="minorHAnsi"/>
          <w:sz w:val="20"/>
          <w:szCs w:val="20"/>
        </w:rPr>
      </w:pPr>
      <w:r w:rsidRPr="00954048">
        <w:rPr>
          <w:rFonts w:asciiTheme="minorHAnsi" w:hAnsiTheme="minorHAnsi"/>
          <w:sz w:val="20"/>
          <w:szCs w:val="20"/>
        </w:rPr>
        <w:t>Het subsidiariteitsbeginsel bakent de bevoegdheidsverdeling tussen de lidstaten en de Unie af. Indien de EU gedeelde bevoegdheid</w:t>
      </w:r>
      <w:r>
        <w:rPr>
          <w:rFonts w:asciiTheme="minorHAnsi" w:hAnsiTheme="minorHAnsi"/>
          <w:sz w:val="20"/>
          <w:szCs w:val="20"/>
        </w:rPr>
        <w:t xml:space="preserve"> heeft (zoals in dit geval)</w:t>
      </w:r>
      <w:r w:rsidRPr="00954048">
        <w:rPr>
          <w:rFonts w:asciiTheme="minorHAnsi" w:hAnsiTheme="minorHAnsi"/>
          <w:sz w:val="20"/>
          <w:szCs w:val="20"/>
        </w:rPr>
        <w:t xml:space="preserve">, wordt ervan uitgegaan dat in beginsel de lidstaten handelen. </w:t>
      </w:r>
      <w:r w:rsidRPr="00CD7966">
        <w:rPr>
          <w:rFonts w:asciiTheme="minorHAnsi" w:hAnsiTheme="minorHAnsi"/>
          <w:sz w:val="20"/>
          <w:szCs w:val="20"/>
        </w:rPr>
        <w:t>Bij gedeelde bevoegdheid handelt de Unie alleen als de doelstellingen uit het verdrag</w:t>
      </w:r>
      <w:proofErr w:type="gramStart"/>
      <w:r w:rsidR="00C76542">
        <w:rPr>
          <w:rFonts w:asciiTheme="minorHAnsi" w:hAnsiTheme="minorHAnsi"/>
          <w:sz w:val="20"/>
          <w:szCs w:val="20"/>
        </w:rPr>
        <w:t>:</w:t>
      </w:r>
      <w:r>
        <w:rPr>
          <w:rFonts w:asciiTheme="minorHAnsi" w:hAnsiTheme="minorHAnsi"/>
          <w:sz w:val="20"/>
          <w:szCs w:val="20"/>
        </w:rPr>
        <w:br/>
      </w:r>
      <w:r>
        <w:rPr>
          <w:rFonts w:asciiTheme="minorHAnsi" w:hAnsiTheme="minorHAnsi"/>
          <w:sz w:val="20"/>
          <w:szCs w:val="20"/>
        </w:rPr>
        <w:br/>
        <w:t>*</w:t>
      </w:r>
      <w:r w:rsidRPr="00CD7966">
        <w:rPr>
          <w:rFonts w:asciiTheme="minorHAnsi" w:hAnsiTheme="minorHAnsi"/>
          <w:sz w:val="20"/>
          <w:szCs w:val="20"/>
        </w:rPr>
        <w:t>enerzijds</w:t>
      </w:r>
      <w:proofErr w:type="gramEnd"/>
      <w:r w:rsidRPr="00CD7966">
        <w:rPr>
          <w:rFonts w:asciiTheme="minorHAnsi" w:hAnsiTheme="minorHAnsi"/>
          <w:sz w:val="20"/>
          <w:szCs w:val="20"/>
        </w:rPr>
        <w:t xml:space="preserve"> onvoldoende bereikt kunnen worden door de lidstaten, </w:t>
      </w:r>
    </w:p>
    <w:p w:rsidRPr="00B91C9D" w:rsidR="00B91C9D" w:rsidP="00B91C9D" w:rsidRDefault="00B91C9D">
      <w:pPr>
        <w:pBdr>
          <w:top w:val="single" w:color="auto" w:sz="4" w:space="1"/>
          <w:left w:val="single" w:color="auto" w:sz="4" w:space="4"/>
          <w:bottom w:val="single" w:color="auto" w:sz="4" w:space="1"/>
          <w:right w:val="single" w:color="auto" w:sz="4" w:space="4"/>
        </w:pBdr>
        <w:rPr>
          <w:rFonts w:asciiTheme="minorHAnsi" w:hAnsiTheme="minorHAnsi"/>
          <w:sz w:val="20"/>
          <w:szCs w:val="20"/>
        </w:rPr>
      </w:pPr>
      <w:r>
        <w:rPr>
          <w:rFonts w:asciiTheme="minorHAnsi" w:hAnsiTheme="minorHAnsi"/>
          <w:sz w:val="20"/>
          <w:szCs w:val="20"/>
        </w:rPr>
        <w:t>*</w:t>
      </w:r>
      <w:proofErr w:type="gramStart"/>
      <w:r w:rsidRPr="00B91C9D">
        <w:rPr>
          <w:rFonts w:asciiTheme="minorHAnsi" w:hAnsiTheme="minorHAnsi"/>
          <w:sz w:val="20"/>
          <w:szCs w:val="20"/>
        </w:rPr>
        <w:t>anderzijds</w:t>
      </w:r>
      <w:proofErr w:type="gramEnd"/>
      <w:r w:rsidRPr="00B91C9D">
        <w:rPr>
          <w:rFonts w:asciiTheme="minorHAnsi" w:hAnsiTheme="minorHAnsi"/>
          <w:sz w:val="20"/>
          <w:szCs w:val="20"/>
        </w:rPr>
        <w:t xml:space="preserve"> beter door de EU kunnen worden bereikt. </w:t>
      </w:r>
    </w:p>
    <w:p w:rsidRPr="00954048" w:rsidR="00B91C9D" w:rsidP="00B91C9D" w:rsidRDefault="00B91C9D">
      <w:pPr>
        <w:pBdr>
          <w:top w:val="single" w:color="auto" w:sz="4" w:space="1"/>
          <w:left w:val="single" w:color="auto" w:sz="4" w:space="4"/>
          <w:bottom w:val="single" w:color="auto" w:sz="4" w:space="1"/>
          <w:right w:val="single" w:color="auto" w:sz="4" w:space="4"/>
        </w:pBdr>
        <w:rPr>
          <w:rFonts w:asciiTheme="minorHAnsi" w:hAnsiTheme="minorHAnsi"/>
          <w:i/>
          <w:sz w:val="20"/>
          <w:szCs w:val="20"/>
        </w:rPr>
      </w:pPr>
    </w:p>
    <w:p w:rsidR="00B91C9D" w:rsidP="00B91C9D" w:rsidRDefault="00B91C9D">
      <w:pPr>
        <w:pBdr>
          <w:top w:val="single" w:color="auto" w:sz="4" w:space="1"/>
          <w:left w:val="single" w:color="auto" w:sz="4" w:space="4"/>
          <w:bottom w:val="single" w:color="auto" w:sz="4" w:space="1"/>
          <w:right w:val="single" w:color="auto" w:sz="4" w:space="4"/>
        </w:pBdr>
        <w:rPr>
          <w:rFonts w:asciiTheme="minorHAnsi" w:hAnsiTheme="minorHAnsi"/>
          <w:sz w:val="20"/>
          <w:szCs w:val="20"/>
        </w:rPr>
      </w:pPr>
      <w:r w:rsidRPr="00954048">
        <w:rPr>
          <w:rFonts w:asciiTheme="minorHAnsi" w:hAnsiTheme="minorHAnsi"/>
          <w:sz w:val="20"/>
          <w:szCs w:val="20"/>
        </w:rPr>
        <w:t xml:space="preserve">Om deze twee criteria te beoordelen, zijn de volgende vragen aan de orde: </w:t>
      </w:r>
      <w:r>
        <w:rPr>
          <w:rFonts w:asciiTheme="minorHAnsi" w:hAnsiTheme="minorHAnsi"/>
          <w:sz w:val="20"/>
          <w:szCs w:val="20"/>
        </w:rPr>
        <w:br/>
        <w:t xml:space="preserve"> </w:t>
      </w:r>
      <w:r w:rsidR="00C76542">
        <w:rPr>
          <w:rFonts w:asciiTheme="minorHAnsi" w:hAnsiTheme="minorHAnsi"/>
          <w:sz w:val="20"/>
          <w:szCs w:val="20"/>
        </w:rPr>
        <w:t xml:space="preserve">- </w:t>
      </w:r>
      <w:r>
        <w:rPr>
          <w:rFonts w:asciiTheme="minorHAnsi" w:hAnsiTheme="minorHAnsi"/>
          <w:sz w:val="20"/>
          <w:szCs w:val="20"/>
        </w:rPr>
        <w:t xml:space="preserve">Bevat de </w:t>
      </w:r>
      <w:r w:rsidRPr="00954048">
        <w:rPr>
          <w:rFonts w:asciiTheme="minorHAnsi" w:hAnsiTheme="minorHAnsi"/>
          <w:sz w:val="20"/>
          <w:szCs w:val="20"/>
        </w:rPr>
        <w:t xml:space="preserve">kwestie transnationale aspecten </w:t>
      </w:r>
      <w:r w:rsidRPr="0093433F">
        <w:rPr>
          <w:rFonts w:asciiTheme="minorHAnsi" w:hAnsiTheme="minorHAnsi"/>
          <w:b/>
          <w:i/>
          <w:sz w:val="20"/>
          <w:szCs w:val="20"/>
        </w:rPr>
        <w:t>die door afzonderlijk optreden van de lidstaten niet adequaat kunnen worden geregeld</w:t>
      </w:r>
      <w:r w:rsidRPr="00954048">
        <w:rPr>
          <w:rFonts w:asciiTheme="minorHAnsi" w:hAnsiTheme="minorHAnsi"/>
          <w:sz w:val="20"/>
          <w:szCs w:val="20"/>
        </w:rPr>
        <w:t>?</w:t>
      </w:r>
    </w:p>
    <w:p w:rsidR="00B91C9D" w:rsidP="00B91C9D" w:rsidRDefault="00B91C9D">
      <w:pPr>
        <w:pBdr>
          <w:top w:val="single" w:color="auto" w:sz="4" w:space="1"/>
          <w:left w:val="single" w:color="auto" w:sz="4" w:space="4"/>
          <w:bottom w:val="single" w:color="auto" w:sz="4" w:space="1"/>
          <w:right w:val="single" w:color="auto" w:sz="4" w:space="4"/>
        </w:pBdr>
        <w:rPr>
          <w:rFonts w:asciiTheme="minorHAnsi" w:hAnsiTheme="minorHAnsi"/>
          <w:sz w:val="20"/>
          <w:szCs w:val="20"/>
        </w:rPr>
      </w:pPr>
      <w:r>
        <w:rPr>
          <w:rFonts w:asciiTheme="minorHAnsi" w:hAnsiTheme="minorHAnsi"/>
          <w:sz w:val="20"/>
          <w:szCs w:val="20"/>
        </w:rPr>
        <w:t xml:space="preserve"> </w:t>
      </w:r>
      <w:proofErr w:type="gramStart"/>
      <w:r w:rsidR="008E7182">
        <w:rPr>
          <w:rFonts w:asciiTheme="minorHAnsi" w:hAnsiTheme="minorHAnsi"/>
          <w:sz w:val="20"/>
          <w:szCs w:val="20"/>
        </w:rPr>
        <w:t>-</w:t>
      </w:r>
      <w:r w:rsidRPr="00954048">
        <w:rPr>
          <w:rFonts w:asciiTheme="minorHAnsi" w:hAnsiTheme="minorHAnsi"/>
          <w:sz w:val="20"/>
          <w:szCs w:val="20"/>
        </w:rPr>
        <w:t>Is</w:t>
      </w:r>
      <w:proofErr w:type="gramEnd"/>
      <w:r w:rsidRPr="00954048">
        <w:rPr>
          <w:rFonts w:asciiTheme="minorHAnsi" w:hAnsiTheme="minorHAnsi"/>
          <w:sz w:val="20"/>
          <w:szCs w:val="20"/>
        </w:rPr>
        <w:t xml:space="preserve"> het optreden </w:t>
      </w:r>
      <w:r w:rsidRPr="0093433F">
        <w:rPr>
          <w:rFonts w:asciiTheme="minorHAnsi" w:hAnsiTheme="minorHAnsi"/>
          <w:b/>
          <w:i/>
          <w:sz w:val="20"/>
          <w:szCs w:val="20"/>
        </w:rPr>
        <w:t>van lidstaten</w:t>
      </w:r>
      <w:r w:rsidRPr="00954048">
        <w:rPr>
          <w:rFonts w:asciiTheme="minorHAnsi" w:hAnsiTheme="minorHAnsi"/>
          <w:sz w:val="20"/>
          <w:szCs w:val="20"/>
        </w:rPr>
        <w:t xml:space="preserve"> </w:t>
      </w:r>
      <w:r w:rsidRPr="0093433F">
        <w:rPr>
          <w:rFonts w:asciiTheme="minorHAnsi" w:hAnsiTheme="minorHAnsi"/>
          <w:b/>
          <w:i/>
          <w:sz w:val="20"/>
          <w:szCs w:val="20"/>
        </w:rPr>
        <w:t>alleen of het niet optreden van de Unie in strijd met de voorschriften van het Verdrag</w:t>
      </w:r>
      <w:r w:rsidRPr="00954048">
        <w:rPr>
          <w:rFonts w:asciiTheme="minorHAnsi" w:hAnsiTheme="minorHAnsi"/>
          <w:sz w:val="20"/>
          <w:szCs w:val="20"/>
        </w:rPr>
        <w:t xml:space="preserve"> (zoals de noodzaak om concurrentievervalsing tegen te gaan of verkapte handelsbeperkingen te voorkomen of de economische en sociale samenhang te versterken) of zou dit op een andere manier de belangen van de lidstaten aanzienlijk schaden?</w:t>
      </w:r>
    </w:p>
    <w:p w:rsidR="00B91C9D" w:rsidP="00B91C9D" w:rsidRDefault="00B91C9D">
      <w:pPr>
        <w:pBdr>
          <w:top w:val="single" w:color="auto" w:sz="4" w:space="1"/>
          <w:left w:val="single" w:color="auto" w:sz="4" w:space="4"/>
          <w:bottom w:val="single" w:color="auto" w:sz="4" w:space="1"/>
          <w:right w:val="single" w:color="auto" w:sz="4" w:space="4"/>
        </w:pBdr>
        <w:rPr>
          <w:rFonts w:asciiTheme="minorHAnsi" w:hAnsiTheme="minorHAnsi"/>
          <w:sz w:val="20"/>
          <w:szCs w:val="20"/>
        </w:rPr>
      </w:pPr>
      <w:r>
        <w:rPr>
          <w:rFonts w:asciiTheme="minorHAnsi" w:hAnsiTheme="minorHAnsi"/>
          <w:sz w:val="20"/>
          <w:szCs w:val="20"/>
        </w:rPr>
        <w:t xml:space="preserve"> </w:t>
      </w:r>
      <w:proofErr w:type="gramStart"/>
      <w:r w:rsidR="008E7182">
        <w:rPr>
          <w:rFonts w:asciiTheme="minorHAnsi" w:hAnsiTheme="minorHAnsi"/>
          <w:sz w:val="20"/>
          <w:szCs w:val="20"/>
        </w:rPr>
        <w:t>-</w:t>
      </w:r>
      <w:r w:rsidRPr="00954048">
        <w:rPr>
          <w:rFonts w:asciiTheme="minorHAnsi" w:hAnsiTheme="minorHAnsi"/>
          <w:sz w:val="20"/>
          <w:szCs w:val="20"/>
        </w:rPr>
        <w:t>Zal</w:t>
      </w:r>
      <w:proofErr w:type="gramEnd"/>
      <w:r w:rsidRPr="00954048">
        <w:rPr>
          <w:rFonts w:asciiTheme="minorHAnsi" w:hAnsiTheme="minorHAnsi"/>
          <w:sz w:val="20"/>
          <w:szCs w:val="20"/>
        </w:rPr>
        <w:t xml:space="preserve"> een optreden op communautair niveau vanwege de schaal of de gevolgen ervan </w:t>
      </w:r>
      <w:r w:rsidRPr="0093433F">
        <w:rPr>
          <w:rFonts w:asciiTheme="minorHAnsi" w:hAnsiTheme="minorHAnsi"/>
          <w:b/>
          <w:i/>
          <w:sz w:val="20"/>
          <w:szCs w:val="20"/>
        </w:rPr>
        <w:t xml:space="preserve">duidelijke voordelen </w:t>
      </w:r>
      <w:r w:rsidRPr="00954048">
        <w:rPr>
          <w:rFonts w:asciiTheme="minorHAnsi" w:hAnsiTheme="minorHAnsi"/>
          <w:sz w:val="20"/>
          <w:szCs w:val="20"/>
        </w:rPr>
        <w:t xml:space="preserve">opleveren ten opzichte van een nationaal optreden? (d.w.z. is het optreden op Unieniveau effectiever vergeleken met: </w:t>
      </w:r>
      <w:r>
        <w:rPr>
          <w:rFonts w:asciiTheme="minorHAnsi" w:hAnsiTheme="minorHAnsi"/>
          <w:sz w:val="20"/>
          <w:szCs w:val="20"/>
        </w:rPr>
        <w:br/>
        <w:t xml:space="preserve"> -</w:t>
      </w:r>
      <w:r w:rsidR="008E7182">
        <w:rPr>
          <w:rFonts w:asciiTheme="minorHAnsi" w:hAnsiTheme="minorHAnsi"/>
          <w:sz w:val="20"/>
          <w:szCs w:val="20"/>
        </w:rPr>
        <w:t>g</w:t>
      </w:r>
      <w:r w:rsidRPr="00954048">
        <w:rPr>
          <w:rFonts w:asciiTheme="minorHAnsi" w:hAnsiTheme="minorHAnsi"/>
          <w:sz w:val="20"/>
          <w:szCs w:val="20"/>
        </w:rPr>
        <w:t>ezamenlijk of afzonderlijk nationaal optreden,</w:t>
      </w:r>
    </w:p>
    <w:p w:rsidR="00B91C9D" w:rsidP="00B91C9D" w:rsidRDefault="00B91C9D">
      <w:pPr>
        <w:pBdr>
          <w:top w:val="single" w:color="auto" w:sz="4" w:space="1"/>
          <w:left w:val="single" w:color="auto" w:sz="4" w:space="4"/>
          <w:bottom w:val="single" w:color="auto" w:sz="4" w:space="1"/>
          <w:right w:val="single" w:color="auto" w:sz="4" w:space="4"/>
        </w:pBdr>
        <w:rPr>
          <w:rFonts w:asciiTheme="minorHAnsi" w:hAnsiTheme="minorHAnsi"/>
          <w:sz w:val="20"/>
          <w:szCs w:val="20"/>
        </w:rPr>
      </w:pPr>
      <w:r>
        <w:rPr>
          <w:rFonts w:asciiTheme="minorHAnsi" w:hAnsiTheme="minorHAnsi"/>
          <w:sz w:val="20"/>
          <w:szCs w:val="20"/>
        </w:rPr>
        <w:lastRenderedPageBreak/>
        <w:t xml:space="preserve"> </w:t>
      </w:r>
      <w:proofErr w:type="gramStart"/>
      <w:r>
        <w:rPr>
          <w:rFonts w:asciiTheme="minorHAnsi" w:hAnsiTheme="minorHAnsi"/>
          <w:sz w:val="20"/>
          <w:szCs w:val="20"/>
        </w:rPr>
        <w:t>-</w:t>
      </w:r>
      <w:r w:rsidRPr="00B91C9D">
        <w:rPr>
          <w:rFonts w:asciiTheme="minorHAnsi" w:hAnsiTheme="minorHAnsi"/>
          <w:sz w:val="20"/>
          <w:szCs w:val="20"/>
        </w:rPr>
        <w:t>optreden</w:t>
      </w:r>
      <w:proofErr w:type="gramEnd"/>
      <w:r w:rsidRPr="00B91C9D">
        <w:rPr>
          <w:rFonts w:asciiTheme="minorHAnsi" w:hAnsiTheme="minorHAnsi"/>
          <w:sz w:val="20"/>
          <w:szCs w:val="20"/>
        </w:rPr>
        <w:t xml:space="preserve"> in andere internationale fora (zoals in internationale fora overeengekomen regelgeving waaraan het grootste deel van de lidstaten al is gebonden),</w:t>
      </w:r>
    </w:p>
    <w:p w:rsidRPr="00954048" w:rsidR="00B91C9D" w:rsidP="00B91C9D" w:rsidRDefault="00B91C9D">
      <w:pPr>
        <w:pBdr>
          <w:top w:val="single" w:color="auto" w:sz="4" w:space="1"/>
          <w:left w:val="single" w:color="auto" w:sz="4" w:space="4"/>
          <w:bottom w:val="single" w:color="auto" w:sz="4" w:space="1"/>
          <w:right w:val="single" w:color="auto" w:sz="4" w:space="4"/>
        </w:pBdr>
        <w:rPr>
          <w:rFonts w:asciiTheme="minorHAnsi" w:hAnsiTheme="minorHAnsi"/>
          <w:sz w:val="20"/>
          <w:szCs w:val="20"/>
        </w:rPr>
      </w:pPr>
      <w:r>
        <w:rPr>
          <w:rFonts w:asciiTheme="minorHAnsi" w:hAnsiTheme="minorHAnsi"/>
          <w:sz w:val="20"/>
          <w:szCs w:val="20"/>
        </w:rPr>
        <w:t xml:space="preserve"> </w:t>
      </w:r>
      <w:proofErr w:type="gramStart"/>
      <w:r>
        <w:rPr>
          <w:rFonts w:asciiTheme="minorHAnsi" w:hAnsiTheme="minorHAnsi"/>
          <w:sz w:val="20"/>
          <w:szCs w:val="20"/>
        </w:rPr>
        <w:t>-</w:t>
      </w:r>
      <w:r w:rsidRPr="00954048">
        <w:rPr>
          <w:rFonts w:asciiTheme="minorHAnsi" w:hAnsiTheme="minorHAnsi"/>
          <w:sz w:val="20"/>
          <w:szCs w:val="20"/>
        </w:rPr>
        <w:t>in</w:t>
      </w:r>
      <w:proofErr w:type="gramEnd"/>
      <w:r w:rsidRPr="00954048">
        <w:rPr>
          <w:rFonts w:asciiTheme="minorHAnsi" w:hAnsiTheme="minorHAnsi"/>
          <w:sz w:val="20"/>
          <w:szCs w:val="20"/>
        </w:rPr>
        <w:t xml:space="preserve"> het geheel niet optreden (zelfregulering, afspraken – codes – tussen marktpartijen of sociale partners)</w:t>
      </w:r>
    </w:p>
    <w:p w:rsidRPr="00954048" w:rsidR="00B91C9D" w:rsidP="00B91C9D" w:rsidRDefault="00B91C9D">
      <w:pPr>
        <w:pBdr>
          <w:top w:val="single" w:color="auto" w:sz="4" w:space="1"/>
          <w:left w:val="single" w:color="auto" w:sz="4" w:space="4"/>
          <w:bottom w:val="single" w:color="auto" w:sz="4" w:space="1"/>
          <w:right w:val="single" w:color="auto" w:sz="4" w:space="4"/>
        </w:pBdr>
        <w:rPr>
          <w:rFonts w:asciiTheme="minorHAnsi" w:hAnsiTheme="minorHAnsi"/>
          <w:sz w:val="20"/>
          <w:szCs w:val="20"/>
        </w:rPr>
      </w:pPr>
    </w:p>
    <w:p w:rsidRPr="00954048" w:rsidR="00B91C9D" w:rsidP="00B91C9D" w:rsidRDefault="00B91C9D">
      <w:pPr>
        <w:pBdr>
          <w:top w:val="single" w:color="auto" w:sz="4" w:space="1"/>
          <w:left w:val="single" w:color="auto" w:sz="4" w:space="4"/>
          <w:bottom w:val="single" w:color="auto" w:sz="4" w:space="1"/>
          <w:right w:val="single" w:color="auto" w:sz="4" w:space="4"/>
        </w:pBdr>
        <w:rPr>
          <w:rFonts w:asciiTheme="minorHAnsi" w:hAnsiTheme="minorHAnsi"/>
          <w:i/>
          <w:sz w:val="20"/>
          <w:szCs w:val="20"/>
        </w:rPr>
      </w:pPr>
      <w:r w:rsidRPr="00954048">
        <w:rPr>
          <w:rFonts w:asciiTheme="minorHAnsi" w:hAnsiTheme="minorHAnsi"/>
          <w:i/>
          <w:sz w:val="20"/>
          <w:szCs w:val="20"/>
        </w:rPr>
        <w:t>Wat betekent subsidiariteit in EU-context niet?</w:t>
      </w:r>
    </w:p>
    <w:p w:rsidR="00B91C9D" w:rsidP="00B91C9D" w:rsidRDefault="00B91C9D">
      <w:pPr>
        <w:pBdr>
          <w:top w:val="single" w:color="auto" w:sz="4" w:space="1"/>
          <w:left w:val="single" w:color="auto" w:sz="4" w:space="4"/>
          <w:bottom w:val="single" w:color="auto" w:sz="4" w:space="1"/>
          <w:right w:val="single" w:color="auto" w:sz="4" w:space="4"/>
        </w:pBdr>
        <w:rPr>
          <w:rFonts w:asciiTheme="minorHAnsi" w:hAnsiTheme="minorHAnsi"/>
          <w:sz w:val="20"/>
          <w:szCs w:val="20"/>
        </w:rPr>
      </w:pPr>
      <w:r w:rsidRPr="00954048">
        <w:rPr>
          <w:rFonts w:asciiTheme="minorHAnsi" w:hAnsiTheme="minorHAnsi"/>
          <w:sz w:val="20"/>
          <w:szCs w:val="20"/>
        </w:rPr>
        <w:t xml:space="preserve">Het Verdrag van Lissabon (artikel 6 van protocol 2) kent nationale parlementen enkel de bevoegdheid toe tot het maken van subsidiariteitsbezwaren in het kader van een ‘Gele Kaart.’ Bezwaren die zien op de proportionaliteit van het voorstel of </w:t>
      </w:r>
      <w:proofErr w:type="gramStart"/>
      <w:r w:rsidRPr="00954048">
        <w:rPr>
          <w:rFonts w:asciiTheme="minorHAnsi" w:hAnsiTheme="minorHAnsi"/>
          <w:sz w:val="20"/>
          <w:szCs w:val="20"/>
        </w:rPr>
        <w:t>anderszins</w:t>
      </w:r>
      <w:proofErr w:type="gramEnd"/>
      <w:r w:rsidRPr="00954048">
        <w:rPr>
          <w:rFonts w:asciiTheme="minorHAnsi" w:hAnsiTheme="minorHAnsi"/>
          <w:sz w:val="20"/>
          <w:szCs w:val="20"/>
        </w:rPr>
        <w:t xml:space="preserve">, vallen </w:t>
      </w:r>
      <w:r w:rsidRPr="001026E3">
        <w:rPr>
          <w:rFonts w:asciiTheme="minorHAnsi" w:hAnsiTheme="minorHAnsi"/>
          <w:i/>
          <w:sz w:val="20"/>
          <w:szCs w:val="20"/>
        </w:rPr>
        <w:t>formeel</w:t>
      </w:r>
      <w:r>
        <w:rPr>
          <w:rFonts w:asciiTheme="minorHAnsi" w:hAnsiTheme="minorHAnsi"/>
          <w:sz w:val="20"/>
          <w:szCs w:val="20"/>
        </w:rPr>
        <w:t xml:space="preserve"> </w:t>
      </w:r>
      <w:r w:rsidRPr="00954048">
        <w:rPr>
          <w:rFonts w:asciiTheme="minorHAnsi" w:hAnsiTheme="minorHAnsi"/>
          <w:sz w:val="20"/>
          <w:szCs w:val="20"/>
        </w:rPr>
        <w:t xml:space="preserve">buiten het bereik van de procedure. </w:t>
      </w:r>
      <w:r>
        <w:rPr>
          <w:rFonts w:asciiTheme="minorHAnsi" w:hAnsiTheme="minorHAnsi"/>
          <w:sz w:val="20"/>
          <w:szCs w:val="20"/>
        </w:rPr>
        <w:t>In de memorie van toelichting bij de goedkeuringswet van het Verdrag van Lissabon is hier echter door de regering het volgende over opgemerkt:</w:t>
      </w:r>
    </w:p>
    <w:p w:rsidR="00B91C9D" w:rsidP="00B91C9D" w:rsidRDefault="00B91C9D">
      <w:pPr>
        <w:pBdr>
          <w:top w:val="single" w:color="auto" w:sz="4" w:space="1"/>
          <w:left w:val="single" w:color="auto" w:sz="4" w:space="4"/>
          <w:bottom w:val="single" w:color="auto" w:sz="4" w:space="1"/>
          <w:right w:val="single" w:color="auto" w:sz="4" w:space="4"/>
        </w:pBdr>
        <w:rPr>
          <w:rFonts w:asciiTheme="minorHAnsi" w:hAnsiTheme="minorHAnsi"/>
          <w:sz w:val="20"/>
          <w:szCs w:val="20"/>
        </w:rPr>
      </w:pPr>
    </w:p>
    <w:p w:rsidRPr="00272684" w:rsidR="00B91C9D" w:rsidP="00B91C9D" w:rsidRDefault="00B91C9D">
      <w:pPr>
        <w:pBdr>
          <w:top w:val="single" w:color="auto" w:sz="4" w:space="1"/>
          <w:left w:val="single" w:color="auto" w:sz="4" w:space="4"/>
          <w:bottom w:val="single" w:color="auto" w:sz="4" w:space="1"/>
          <w:right w:val="single" w:color="auto" w:sz="4" w:space="4"/>
        </w:pBdr>
        <w:rPr>
          <w:rFonts w:asciiTheme="minorHAnsi" w:hAnsiTheme="minorHAnsi"/>
          <w:i/>
          <w:sz w:val="20"/>
          <w:szCs w:val="20"/>
        </w:rPr>
      </w:pPr>
      <w:r w:rsidRPr="00272684">
        <w:rPr>
          <w:rFonts w:asciiTheme="minorHAnsi" w:hAnsiTheme="minorHAnsi"/>
          <w:i/>
          <w:sz w:val="20"/>
          <w:szCs w:val="20"/>
        </w:rPr>
        <w:t xml:space="preserve">“Er is voorafgaand aan de totstandkoming van het Verdrag van Lissabon </w:t>
      </w:r>
      <w:proofErr w:type="gramStart"/>
      <w:r w:rsidRPr="00272684">
        <w:rPr>
          <w:rFonts w:asciiTheme="minorHAnsi" w:hAnsiTheme="minorHAnsi"/>
          <w:i/>
          <w:sz w:val="20"/>
          <w:szCs w:val="20"/>
        </w:rPr>
        <w:t>evenwel</w:t>
      </w:r>
      <w:proofErr w:type="gramEnd"/>
      <w:r w:rsidRPr="00272684">
        <w:rPr>
          <w:rFonts w:asciiTheme="minorHAnsi" w:hAnsiTheme="minorHAnsi"/>
          <w:i/>
          <w:sz w:val="20"/>
          <w:szCs w:val="20"/>
        </w:rPr>
        <w:t xml:space="preserve"> een praktijk ontstaan waarbij nationale parlementen ontwerp-EU-regelgeving ook toetsen aan het beginsel van </w:t>
      </w:r>
      <w:r w:rsidR="001026E3">
        <w:rPr>
          <w:rFonts w:asciiTheme="minorHAnsi" w:hAnsiTheme="minorHAnsi"/>
          <w:i/>
          <w:sz w:val="20"/>
          <w:szCs w:val="20"/>
        </w:rPr>
        <w:t>proportionaliteit</w:t>
      </w:r>
      <w:r w:rsidRPr="00272684">
        <w:rPr>
          <w:rFonts w:asciiTheme="minorHAnsi" w:hAnsiTheme="minorHAnsi"/>
          <w:i/>
          <w:sz w:val="20"/>
          <w:szCs w:val="20"/>
        </w:rPr>
        <w:t>. De regering ziet een belangrijke rol voor de nationale parlementen, al dan niet in het verband van de COSAC, er zorg voor te dragen dat deze praktijk na inwerkingtreding van het Verdrag van Lissabon wordt voortgezet.”</w:t>
      </w:r>
    </w:p>
    <w:p w:rsidRPr="00954048" w:rsidR="00B91C9D" w:rsidP="00B91C9D" w:rsidRDefault="00B91C9D">
      <w:pPr>
        <w:pBdr>
          <w:top w:val="single" w:color="auto" w:sz="4" w:space="1"/>
          <w:left w:val="single" w:color="auto" w:sz="4" w:space="4"/>
          <w:bottom w:val="single" w:color="auto" w:sz="4" w:space="1"/>
          <w:right w:val="single" w:color="auto" w:sz="4" w:space="4"/>
        </w:pBdr>
        <w:rPr>
          <w:rFonts w:asciiTheme="minorHAnsi" w:hAnsiTheme="minorHAnsi"/>
          <w:sz w:val="20"/>
          <w:szCs w:val="20"/>
        </w:rPr>
      </w:pPr>
    </w:p>
    <w:p w:rsidRPr="00954048" w:rsidR="00B91C9D" w:rsidP="00B91C9D" w:rsidRDefault="00B91C9D">
      <w:pPr>
        <w:pBdr>
          <w:top w:val="single" w:color="auto" w:sz="4" w:space="1"/>
          <w:left w:val="single" w:color="auto" w:sz="4" w:space="4"/>
          <w:bottom w:val="single" w:color="auto" w:sz="4" w:space="1"/>
          <w:right w:val="single" w:color="auto" w:sz="4" w:space="4"/>
        </w:pBdr>
        <w:rPr>
          <w:rFonts w:asciiTheme="minorHAnsi" w:hAnsiTheme="minorHAnsi"/>
          <w:sz w:val="20"/>
          <w:szCs w:val="20"/>
        </w:rPr>
      </w:pPr>
      <w:r w:rsidRPr="00954048">
        <w:rPr>
          <w:rFonts w:asciiTheme="minorHAnsi" w:hAnsiTheme="minorHAnsi"/>
          <w:sz w:val="20"/>
          <w:szCs w:val="20"/>
        </w:rPr>
        <w:t xml:space="preserve">Overigens betekent een subsidiariteitstoets </w:t>
      </w:r>
      <w:r>
        <w:rPr>
          <w:rFonts w:asciiTheme="minorHAnsi" w:hAnsiTheme="minorHAnsi"/>
          <w:sz w:val="20"/>
          <w:szCs w:val="20"/>
        </w:rPr>
        <w:t xml:space="preserve">formeel gezien </w:t>
      </w:r>
      <w:r w:rsidRPr="00954048">
        <w:rPr>
          <w:rFonts w:asciiTheme="minorHAnsi" w:hAnsiTheme="minorHAnsi"/>
          <w:sz w:val="20"/>
          <w:szCs w:val="20"/>
        </w:rPr>
        <w:t>niet dat u inhoudelijk tegen het voorstel of aspecten daarvan ben</w:t>
      </w:r>
      <w:r>
        <w:rPr>
          <w:rFonts w:asciiTheme="minorHAnsi" w:hAnsiTheme="minorHAnsi"/>
          <w:sz w:val="20"/>
          <w:szCs w:val="20"/>
        </w:rPr>
        <w:t>t</w:t>
      </w:r>
      <w:r w:rsidRPr="00954048">
        <w:rPr>
          <w:rFonts w:asciiTheme="minorHAnsi" w:hAnsiTheme="minorHAnsi"/>
          <w:sz w:val="20"/>
          <w:szCs w:val="20"/>
        </w:rPr>
        <w:t>. U toetst slechts of de bevoegdheid op het juiste niveau belegd is.</w:t>
      </w:r>
    </w:p>
    <w:p w:rsidR="00B91C9D" w:rsidP="00B91C9D" w:rsidRDefault="00B91C9D">
      <w:pPr>
        <w:rPr>
          <w:rFonts w:asciiTheme="minorHAnsi" w:hAnsiTheme="minorHAnsi"/>
          <w:sz w:val="20"/>
          <w:szCs w:val="20"/>
        </w:rPr>
      </w:pPr>
    </w:p>
    <w:p w:rsidR="004D27FA" w:rsidRDefault="004D27FA">
      <w:pPr>
        <w:rPr>
          <w:rFonts w:asciiTheme="minorHAnsi" w:hAnsiTheme="minorHAnsi"/>
          <w:b/>
          <w:sz w:val="20"/>
          <w:szCs w:val="20"/>
        </w:rPr>
      </w:pPr>
      <w:r>
        <w:rPr>
          <w:rFonts w:asciiTheme="minorHAnsi" w:hAnsiTheme="minorHAnsi"/>
          <w:b/>
          <w:sz w:val="20"/>
          <w:szCs w:val="20"/>
        </w:rPr>
        <w:br w:type="page"/>
      </w:r>
    </w:p>
    <w:p w:rsidRPr="00184ED0" w:rsidR="00184ED0" w:rsidRDefault="00184ED0">
      <w:pPr>
        <w:rPr>
          <w:rFonts w:asciiTheme="minorHAnsi" w:hAnsiTheme="minorHAnsi"/>
          <w:b/>
        </w:rPr>
      </w:pPr>
      <w:r w:rsidRPr="00184ED0">
        <w:rPr>
          <w:rFonts w:asciiTheme="minorHAnsi" w:hAnsiTheme="minorHAnsi"/>
          <w:b/>
        </w:rPr>
        <w:lastRenderedPageBreak/>
        <w:t xml:space="preserve">Bijlage 1 </w:t>
      </w:r>
    </w:p>
    <w:p w:rsidR="00184ED0" w:rsidRDefault="00184ED0">
      <w:pPr>
        <w:rPr>
          <w:rFonts w:asciiTheme="minorHAnsi" w:hAnsiTheme="minorHAnsi"/>
          <w:b/>
          <w:color w:val="FF0000"/>
          <w:sz w:val="20"/>
          <w:szCs w:val="20"/>
        </w:rPr>
      </w:pPr>
    </w:p>
    <w:p w:rsidRPr="004D27FA" w:rsidR="004D27FA" w:rsidRDefault="004D27FA">
      <w:pPr>
        <w:rPr>
          <w:rFonts w:asciiTheme="minorHAnsi" w:hAnsiTheme="minorHAnsi"/>
          <w:b/>
          <w:color w:val="FF0000"/>
          <w:sz w:val="20"/>
          <w:szCs w:val="20"/>
        </w:rPr>
      </w:pPr>
      <w:r w:rsidRPr="004D27FA">
        <w:rPr>
          <w:rFonts w:asciiTheme="minorHAnsi" w:hAnsiTheme="minorHAnsi"/>
          <w:b/>
          <w:color w:val="FF0000"/>
          <w:sz w:val="20"/>
          <w:szCs w:val="20"/>
        </w:rPr>
        <w:t>FORMAT ter invulling</w:t>
      </w:r>
    </w:p>
    <w:p w:rsidRPr="004D27FA" w:rsidR="004D27FA" w:rsidRDefault="004D27FA">
      <w:pPr>
        <w:rPr>
          <w:rFonts w:asciiTheme="minorHAnsi" w:hAnsiTheme="minorHAnsi"/>
          <w:b/>
          <w:color w:val="FF0000"/>
          <w:sz w:val="20"/>
          <w:szCs w:val="20"/>
        </w:rPr>
      </w:pPr>
    </w:p>
    <w:p w:rsidRPr="004D27FA" w:rsidR="004D27FA" w:rsidP="004D27FA" w:rsidRDefault="004D27FA">
      <w:pPr>
        <w:autoSpaceDE w:val="0"/>
        <w:autoSpaceDN w:val="0"/>
        <w:adjustRightInd w:val="0"/>
        <w:rPr>
          <w:rFonts w:ascii="Arial" w:hAnsi="Arial" w:cs="Arial"/>
          <w:b/>
          <w:bCs/>
          <w:iCs/>
          <w:color w:val="FF0000"/>
          <w:sz w:val="20"/>
          <w:szCs w:val="20"/>
          <w:u w:val="single"/>
        </w:rPr>
      </w:pPr>
      <w:r w:rsidRPr="004D27FA">
        <w:rPr>
          <w:rFonts w:ascii="Arial" w:hAnsi="Arial" w:cs="Arial"/>
          <w:b/>
          <w:bCs/>
          <w:iCs/>
          <w:color w:val="FF0000"/>
          <w:sz w:val="20"/>
          <w:szCs w:val="20"/>
          <w:u w:val="single"/>
        </w:rPr>
        <w:t>Subsidiariteitsoordeel met betrekking tot de EU-voorstellen voor sociale transportregelgeving</w:t>
      </w:r>
    </w:p>
    <w:p w:rsidRPr="004D27FA" w:rsidR="004D27FA" w:rsidP="004D27FA" w:rsidRDefault="004D27FA">
      <w:pPr>
        <w:autoSpaceDE w:val="0"/>
        <w:autoSpaceDN w:val="0"/>
        <w:adjustRightInd w:val="0"/>
        <w:rPr>
          <w:rFonts w:ascii="Arial" w:hAnsi="Arial" w:cs="Arial"/>
          <w:b/>
          <w:bCs/>
          <w:i/>
          <w:iCs/>
          <w:color w:val="FF0000"/>
          <w:sz w:val="20"/>
          <w:szCs w:val="20"/>
          <w:u w:val="single"/>
        </w:rPr>
      </w:pPr>
    </w:p>
    <w:p w:rsidRPr="004D27FA" w:rsidR="004D27FA" w:rsidP="004D27FA" w:rsidRDefault="004D27FA">
      <w:pPr>
        <w:autoSpaceDE w:val="0"/>
        <w:autoSpaceDN w:val="0"/>
        <w:adjustRightInd w:val="0"/>
        <w:rPr>
          <w:rFonts w:ascii="Arial" w:hAnsi="Arial" w:cs="Arial"/>
          <w:bCs/>
          <w:i/>
          <w:iCs/>
          <w:sz w:val="20"/>
          <w:szCs w:val="20"/>
        </w:rPr>
      </w:pPr>
      <w:r w:rsidRPr="004D27FA">
        <w:rPr>
          <w:rFonts w:ascii="Arial" w:hAnsi="Arial" w:cs="Arial"/>
          <w:bCs/>
          <w:iCs/>
          <w:sz w:val="20"/>
          <w:szCs w:val="20"/>
        </w:rPr>
        <w:t xml:space="preserve">Naam fractie: </w:t>
      </w:r>
      <w:r w:rsidRPr="004D27FA">
        <w:rPr>
          <w:rFonts w:ascii="Arial" w:hAnsi="Arial" w:cs="Arial"/>
          <w:bCs/>
          <w:i/>
          <w:iCs/>
          <w:sz w:val="20"/>
          <w:szCs w:val="20"/>
        </w:rPr>
        <w:t>[hier de fractienaam invullen]</w:t>
      </w:r>
    </w:p>
    <w:p w:rsidRPr="004D27FA" w:rsidR="004D27FA" w:rsidP="004D27FA" w:rsidRDefault="004D27FA">
      <w:pPr>
        <w:pBdr>
          <w:bottom w:val="single" w:color="auto" w:sz="6" w:space="1"/>
        </w:pBdr>
        <w:autoSpaceDE w:val="0"/>
        <w:autoSpaceDN w:val="0"/>
        <w:adjustRightInd w:val="0"/>
        <w:rPr>
          <w:rFonts w:ascii="Arial" w:hAnsi="Arial" w:cs="Arial"/>
          <w:bCs/>
          <w:i/>
          <w:iCs/>
          <w:sz w:val="20"/>
          <w:szCs w:val="20"/>
        </w:rPr>
      </w:pPr>
    </w:p>
    <w:p w:rsidRPr="004D27FA" w:rsidR="004D27FA" w:rsidP="004D27FA" w:rsidRDefault="004D27FA">
      <w:pPr>
        <w:autoSpaceDE w:val="0"/>
        <w:autoSpaceDN w:val="0"/>
        <w:adjustRightInd w:val="0"/>
        <w:rPr>
          <w:rFonts w:ascii="Arial" w:hAnsi="Arial" w:cs="Arial"/>
          <w:bCs/>
          <w:i/>
          <w:iCs/>
          <w:sz w:val="20"/>
          <w:szCs w:val="20"/>
        </w:rPr>
      </w:pPr>
    </w:p>
    <w:p w:rsidRPr="004D27FA" w:rsidR="004D27FA" w:rsidP="004D27FA" w:rsidRDefault="004D27FA">
      <w:pPr>
        <w:autoSpaceDE w:val="0"/>
        <w:autoSpaceDN w:val="0"/>
        <w:adjustRightInd w:val="0"/>
        <w:rPr>
          <w:rFonts w:ascii="Arial" w:hAnsi="Arial" w:cs="Arial"/>
          <w:bCs/>
          <w:iCs/>
          <w:sz w:val="20"/>
          <w:szCs w:val="20"/>
        </w:rPr>
      </w:pPr>
    </w:p>
    <w:p w:rsidRPr="004D27FA" w:rsidR="004D27FA" w:rsidP="004D27FA" w:rsidRDefault="004D27FA">
      <w:pPr>
        <w:autoSpaceDE w:val="0"/>
        <w:autoSpaceDN w:val="0"/>
        <w:adjustRightInd w:val="0"/>
        <w:rPr>
          <w:rFonts w:ascii="Arial" w:hAnsi="Arial" w:cs="Arial"/>
          <w:b/>
          <w:bCs/>
          <w:iCs/>
          <w:sz w:val="20"/>
          <w:szCs w:val="20"/>
        </w:rPr>
      </w:pPr>
      <w:r w:rsidRPr="004D27FA">
        <w:rPr>
          <w:rFonts w:ascii="Arial" w:hAnsi="Arial" w:cs="Arial"/>
          <w:b/>
          <w:bCs/>
          <w:iCs/>
          <w:sz w:val="20"/>
          <w:szCs w:val="20"/>
        </w:rPr>
        <w:t>Oordeel over de subsidiariteit van het EU-voorstel</w:t>
      </w:r>
    </w:p>
    <w:p w:rsidRPr="004D27FA" w:rsidR="004D27FA" w:rsidP="004D27FA" w:rsidRDefault="004D27FA">
      <w:pPr>
        <w:autoSpaceDE w:val="0"/>
        <w:autoSpaceDN w:val="0"/>
        <w:adjustRightInd w:val="0"/>
        <w:rPr>
          <w:i/>
          <w:sz w:val="22"/>
          <w:szCs w:val="22"/>
        </w:rPr>
      </w:pPr>
    </w:p>
    <w:p w:rsidRPr="004D27FA" w:rsidR="004D27FA" w:rsidP="004D27FA" w:rsidRDefault="004D27FA">
      <w:pPr>
        <w:autoSpaceDE w:val="0"/>
        <w:autoSpaceDN w:val="0"/>
        <w:adjustRightInd w:val="0"/>
        <w:rPr>
          <w:rFonts w:ascii="Arial" w:hAnsi="Arial" w:cs="Arial"/>
          <w:i/>
          <w:iCs/>
          <w:color w:val="808080"/>
          <w:sz w:val="20"/>
          <w:szCs w:val="20"/>
        </w:rPr>
      </w:pPr>
      <w:r w:rsidRPr="004D27FA">
        <w:rPr>
          <w:rFonts w:ascii="Arial" w:hAnsi="Arial" w:cs="Arial"/>
          <w:i/>
          <w:iCs/>
          <w:color w:val="808080"/>
          <w:sz w:val="20"/>
          <w:szCs w:val="20"/>
        </w:rPr>
        <w:t xml:space="preserve">[Na invullen deze passage verwijderen </w:t>
      </w:r>
      <w:proofErr w:type="gramStart"/>
      <w:r w:rsidRPr="004D27FA">
        <w:rPr>
          <w:rFonts w:ascii="Arial" w:hAnsi="Arial" w:cs="Arial"/>
          <w:i/>
          <w:iCs/>
          <w:color w:val="808080"/>
          <w:sz w:val="20"/>
          <w:szCs w:val="20"/>
        </w:rPr>
        <w:t xml:space="preserve">-  </w:t>
      </w:r>
      <w:proofErr w:type="gramEnd"/>
      <w:r w:rsidRPr="004D27FA">
        <w:rPr>
          <w:rFonts w:ascii="Arial" w:hAnsi="Arial" w:cs="Arial"/>
          <w:i/>
          <w:iCs/>
          <w:color w:val="808080"/>
          <w:sz w:val="20"/>
          <w:szCs w:val="20"/>
        </w:rPr>
        <w:t xml:space="preserve">Bij de beoordeling van de subsidiariteit van het voorstel staat de vraag centraal of overtuigend is aangetoond dat Europees optreden voordelen heeft ten opzichte van het optreden van individuele lidstaten. De voordelen moeten vooral liggen in de aanpak van grensoverschrijdende problemen die de lidstaten niet alleen kunnen oplossen; en in de verwachte meerwaarde van </w:t>
      </w:r>
      <w:proofErr w:type="gramStart"/>
      <w:r w:rsidRPr="004D27FA">
        <w:rPr>
          <w:rFonts w:ascii="Arial" w:hAnsi="Arial" w:cs="Arial"/>
          <w:i/>
          <w:iCs/>
          <w:color w:val="808080"/>
          <w:sz w:val="20"/>
          <w:szCs w:val="20"/>
        </w:rPr>
        <w:t xml:space="preserve">gezamenlijk  </w:t>
      </w:r>
      <w:proofErr w:type="gramEnd"/>
      <w:r w:rsidRPr="004D27FA">
        <w:rPr>
          <w:rFonts w:ascii="Arial" w:hAnsi="Arial" w:cs="Arial"/>
          <w:i/>
          <w:iCs/>
          <w:color w:val="808080"/>
          <w:sz w:val="20"/>
          <w:szCs w:val="20"/>
        </w:rPr>
        <w:t xml:space="preserve">optreden. Verder moet de EU zoveel mogelijk ruimte overlaten aan de lidstaten voor een nationale invulling. </w:t>
      </w:r>
    </w:p>
    <w:p w:rsidRPr="004D27FA" w:rsidR="004D27FA" w:rsidP="004D27FA" w:rsidRDefault="004D27FA">
      <w:pPr>
        <w:autoSpaceDE w:val="0"/>
        <w:autoSpaceDN w:val="0"/>
        <w:adjustRightInd w:val="0"/>
        <w:rPr>
          <w:rFonts w:ascii="Arial" w:hAnsi="Arial" w:cs="Arial"/>
          <w:i/>
          <w:iCs/>
          <w:color w:val="808080"/>
          <w:sz w:val="20"/>
          <w:szCs w:val="20"/>
        </w:rPr>
      </w:pPr>
    </w:p>
    <w:p w:rsidRPr="004D27FA" w:rsidR="004D27FA" w:rsidP="004D27FA" w:rsidRDefault="004D27FA">
      <w:pPr>
        <w:autoSpaceDE w:val="0"/>
        <w:autoSpaceDN w:val="0"/>
        <w:adjustRightInd w:val="0"/>
        <w:rPr>
          <w:i/>
          <w:color w:val="808080"/>
          <w:sz w:val="22"/>
          <w:szCs w:val="22"/>
        </w:rPr>
      </w:pPr>
      <w:r w:rsidRPr="004D27FA">
        <w:rPr>
          <w:rFonts w:ascii="Arial" w:hAnsi="Arial" w:cs="Arial"/>
          <w:i/>
          <w:iCs/>
          <w:color w:val="808080"/>
          <w:sz w:val="20"/>
          <w:szCs w:val="20"/>
        </w:rPr>
        <w:t xml:space="preserve">Zie in de toelichting </w:t>
      </w:r>
      <w:r w:rsidR="001026E3">
        <w:rPr>
          <w:rFonts w:ascii="Arial" w:hAnsi="Arial" w:cs="Arial"/>
          <w:i/>
          <w:iCs/>
          <w:color w:val="808080"/>
          <w:sz w:val="20"/>
          <w:szCs w:val="20"/>
        </w:rPr>
        <w:t xml:space="preserve">op de volgende bladzijden </w:t>
      </w:r>
      <w:r w:rsidRPr="004D27FA">
        <w:rPr>
          <w:rFonts w:ascii="Arial" w:hAnsi="Arial" w:cs="Arial"/>
          <w:i/>
          <w:iCs/>
          <w:color w:val="808080"/>
          <w:sz w:val="20"/>
          <w:szCs w:val="20"/>
        </w:rPr>
        <w:t>de belangrijkste argumenten van de Europese Commissie met betrekking tot deze afweging. Kunt u toelichten met welke argumenten u het eens bent en met welke niet, en waarom?]</w:t>
      </w:r>
    </w:p>
    <w:p w:rsidRPr="004D27FA" w:rsidR="004D27FA" w:rsidP="004D27FA" w:rsidRDefault="004D27FA">
      <w:pPr>
        <w:autoSpaceDE w:val="0"/>
        <w:autoSpaceDN w:val="0"/>
        <w:adjustRightInd w:val="0"/>
        <w:rPr>
          <w:rFonts w:ascii="Arial" w:hAnsi="Arial" w:cs="Arial"/>
          <w:b/>
          <w:bCs/>
          <w:i/>
          <w:iCs/>
          <w:sz w:val="20"/>
          <w:szCs w:val="20"/>
          <w:u w:val="single"/>
        </w:rPr>
      </w:pPr>
    </w:p>
    <w:p w:rsidRPr="004D27FA" w:rsidR="004D27FA" w:rsidP="004D27FA" w:rsidRDefault="004D27FA">
      <w:pPr>
        <w:autoSpaceDE w:val="0"/>
        <w:autoSpaceDN w:val="0"/>
        <w:adjustRightInd w:val="0"/>
        <w:rPr>
          <w:rFonts w:ascii="Arial" w:hAnsi="Arial" w:cs="Arial"/>
          <w:b/>
          <w:bCs/>
          <w:iCs/>
          <w:sz w:val="20"/>
          <w:szCs w:val="20"/>
        </w:rPr>
      </w:pPr>
      <w:r w:rsidRPr="004D27FA">
        <w:rPr>
          <w:rFonts w:ascii="Arial" w:hAnsi="Arial" w:cs="Arial"/>
          <w:b/>
          <w:bCs/>
          <w:iCs/>
          <w:sz w:val="20"/>
          <w:szCs w:val="20"/>
        </w:rPr>
        <w:t>Oordeel over de proportionaliteit van het EU-voorstel</w:t>
      </w:r>
    </w:p>
    <w:p w:rsidRPr="004D27FA" w:rsidR="004D27FA" w:rsidP="004D27FA" w:rsidRDefault="004D27FA">
      <w:pPr>
        <w:autoSpaceDE w:val="0"/>
        <w:autoSpaceDN w:val="0"/>
        <w:adjustRightInd w:val="0"/>
        <w:rPr>
          <w:rFonts w:ascii="Arial" w:hAnsi="Arial" w:cs="Arial"/>
          <w:i/>
          <w:color w:val="999999"/>
          <w:sz w:val="20"/>
          <w:szCs w:val="20"/>
        </w:rPr>
      </w:pPr>
    </w:p>
    <w:p w:rsidRPr="001026E3" w:rsidR="004D27FA" w:rsidP="001026E3" w:rsidRDefault="004D27FA">
      <w:pPr>
        <w:autoSpaceDE w:val="0"/>
        <w:autoSpaceDN w:val="0"/>
        <w:adjustRightInd w:val="0"/>
        <w:rPr>
          <w:rFonts w:ascii="Arial" w:hAnsi="Arial" w:cs="Arial"/>
          <w:i/>
          <w:iCs/>
          <w:color w:val="808080"/>
          <w:sz w:val="20"/>
          <w:szCs w:val="20"/>
        </w:rPr>
      </w:pPr>
      <w:r w:rsidRPr="004D27FA">
        <w:rPr>
          <w:rFonts w:ascii="Arial" w:hAnsi="Arial" w:cs="Arial"/>
          <w:i/>
          <w:color w:val="808080"/>
          <w:sz w:val="20"/>
          <w:szCs w:val="20"/>
        </w:rPr>
        <w:t>[</w:t>
      </w:r>
      <w:r w:rsidRPr="004D27FA">
        <w:rPr>
          <w:rFonts w:ascii="Arial" w:hAnsi="Arial" w:cs="Arial"/>
          <w:i/>
          <w:iCs/>
          <w:color w:val="808080"/>
          <w:sz w:val="20"/>
          <w:szCs w:val="20"/>
        </w:rPr>
        <w:t xml:space="preserve">Na invullen deze passage verwijderen - </w:t>
      </w:r>
      <w:r w:rsidRPr="004D27FA">
        <w:rPr>
          <w:rFonts w:ascii="Arial" w:hAnsi="Arial" w:cs="Arial"/>
          <w:i/>
          <w:color w:val="808080"/>
          <w:sz w:val="20"/>
          <w:szCs w:val="20"/>
        </w:rPr>
        <w:t xml:space="preserve">Bij de beoordeling van de proportionaliteit van het voorstel staat de vraag centraal of het optreden van de </w:t>
      </w:r>
      <w:proofErr w:type="gramStart"/>
      <w:r w:rsidRPr="004D27FA">
        <w:rPr>
          <w:rFonts w:ascii="Arial" w:hAnsi="Arial" w:cs="Arial"/>
          <w:i/>
          <w:color w:val="808080"/>
          <w:sz w:val="20"/>
          <w:szCs w:val="20"/>
        </w:rPr>
        <w:t xml:space="preserve">EU  </w:t>
      </w:r>
      <w:proofErr w:type="gramEnd"/>
      <w:r w:rsidRPr="004D27FA">
        <w:rPr>
          <w:rFonts w:ascii="Arial" w:hAnsi="Arial" w:cs="Arial"/>
          <w:i/>
          <w:color w:val="808080"/>
          <w:sz w:val="20"/>
          <w:szCs w:val="20"/>
        </w:rPr>
        <w:t xml:space="preserve">niet verder gaat dan wat nodig is om de doelstellingen van het Verdrag te verwezenlijken. Zie in de toelichting hieronder bij </w:t>
      </w:r>
      <w:r w:rsidR="001026E3">
        <w:rPr>
          <w:rFonts w:ascii="Arial" w:hAnsi="Arial" w:cs="Arial"/>
          <w:i/>
          <w:color w:val="808080"/>
          <w:sz w:val="20"/>
          <w:szCs w:val="20"/>
        </w:rPr>
        <w:t xml:space="preserve">proportionaliteit </w:t>
      </w:r>
      <w:r w:rsidRPr="004D27FA">
        <w:rPr>
          <w:rFonts w:ascii="Arial" w:hAnsi="Arial" w:cs="Arial"/>
          <w:i/>
          <w:color w:val="808080"/>
          <w:sz w:val="20"/>
          <w:szCs w:val="20"/>
        </w:rPr>
        <w:t>de argumenten van de Europese Commissie. Kunt u toelichten of u zich wel of niet kunt vinden in de argumenten van de Europese Commissie, en waarom?]</w:t>
      </w:r>
    </w:p>
    <w:p w:rsidRPr="004D27FA" w:rsidR="001026E3" w:rsidP="001026E3" w:rsidRDefault="001026E3">
      <w:pPr>
        <w:autoSpaceDE w:val="0"/>
        <w:autoSpaceDN w:val="0"/>
        <w:adjustRightInd w:val="0"/>
        <w:rPr>
          <w:rFonts w:ascii="Arial" w:hAnsi="Arial" w:cs="Arial"/>
          <w:i/>
          <w:iCs/>
          <w:color w:val="808080"/>
          <w:sz w:val="20"/>
          <w:szCs w:val="20"/>
        </w:rPr>
      </w:pPr>
    </w:p>
    <w:p w:rsidRPr="004D27FA" w:rsidR="004D27FA" w:rsidP="004D27FA" w:rsidRDefault="004D27FA">
      <w:pPr>
        <w:rPr>
          <w:rFonts w:ascii="Arial" w:hAnsi="Arial" w:cs="Arial"/>
          <w:b/>
          <w:sz w:val="20"/>
          <w:szCs w:val="20"/>
        </w:rPr>
      </w:pPr>
      <w:r w:rsidRPr="004D27FA">
        <w:rPr>
          <w:rFonts w:ascii="Arial" w:hAnsi="Arial" w:cs="Arial"/>
          <w:b/>
          <w:sz w:val="20"/>
          <w:szCs w:val="20"/>
        </w:rPr>
        <w:t>Oordeel over de politieke wenselijkheid van het EU-voorstel</w:t>
      </w:r>
    </w:p>
    <w:p w:rsidRPr="004D27FA" w:rsidR="004D27FA" w:rsidP="004D27FA" w:rsidRDefault="004D27FA">
      <w:pPr>
        <w:rPr>
          <w:rFonts w:ascii="Arial" w:hAnsi="Arial" w:cs="Arial"/>
          <w:b/>
          <w:sz w:val="20"/>
          <w:szCs w:val="20"/>
        </w:rPr>
      </w:pPr>
    </w:p>
    <w:p w:rsidRPr="004D27FA" w:rsidR="004D27FA" w:rsidP="004D27FA" w:rsidRDefault="004D27FA">
      <w:pPr>
        <w:rPr>
          <w:rFonts w:ascii="Arial" w:hAnsi="Arial" w:cs="Arial"/>
          <w:i/>
          <w:color w:val="808080"/>
          <w:sz w:val="20"/>
          <w:szCs w:val="20"/>
        </w:rPr>
      </w:pPr>
      <w:r w:rsidRPr="004D27FA">
        <w:rPr>
          <w:rFonts w:ascii="Arial" w:hAnsi="Arial" w:cs="Arial"/>
          <w:i/>
          <w:color w:val="808080"/>
          <w:sz w:val="20"/>
          <w:szCs w:val="20"/>
        </w:rPr>
        <w:t>[</w:t>
      </w:r>
      <w:r w:rsidRPr="004D27FA">
        <w:rPr>
          <w:rFonts w:ascii="Arial" w:hAnsi="Arial" w:cs="Arial"/>
          <w:i/>
          <w:iCs/>
          <w:color w:val="808080"/>
          <w:sz w:val="20"/>
          <w:szCs w:val="20"/>
        </w:rPr>
        <w:t xml:space="preserve">Na invullen deze passage verwijderen </w:t>
      </w:r>
      <w:proofErr w:type="gramStart"/>
      <w:r w:rsidRPr="004D27FA">
        <w:rPr>
          <w:rFonts w:ascii="Arial" w:hAnsi="Arial" w:cs="Arial"/>
          <w:i/>
          <w:iCs/>
          <w:color w:val="808080"/>
          <w:sz w:val="20"/>
          <w:szCs w:val="20"/>
        </w:rPr>
        <w:t xml:space="preserve">- </w:t>
      </w:r>
      <w:r w:rsidRPr="004D27FA">
        <w:rPr>
          <w:rFonts w:ascii="Arial" w:hAnsi="Arial" w:cs="Arial"/>
          <w:i/>
          <w:color w:val="808080"/>
          <w:sz w:val="20"/>
          <w:szCs w:val="20"/>
        </w:rPr>
        <w:t xml:space="preserve"> </w:t>
      </w:r>
      <w:proofErr w:type="gramEnd"/>
      <w:r w:rsidRPr="004D27FA">
        <w:rPr>
          <w:rFonts w:ascii="Arial" w:hAnsi="Arial" w:cs="Arial"/>
          <w:i/>
          <w:color w:val="808080"/>
          <w:sz w:val="20"/>
          <w:szCs w:val="20"/>
        </w:rPr>
        <w:t xml:space="preserve">Het is goed mogelijk dat u na het geven van een specifiek oordeel over de subsidiariteit, proportionaliteit en rechtsgrondslag van het voorstel nog aanvullende opmerkingen wilt maken. Deze opmerkingen kunt u hier </w:t>
      </w:r>
      <w:proofErr w:type="gramStart"/>
      <w:r w:rsidRPr="004D27FA">
        <w:rPr>
          <w:rFonts w:ascii="Arial" w:hAnsi="Arial" w:cs="Arial"/>
          <w:i/>
          <w:color w:val="808080"/>
          <w:sz w:val="20"/>
          <w:szCs w:val="20"/>
        </w:rPr>
        <w:t xml:space="preserve">invullen  </w:t>
      </w:r>
      <w:proofErr w:type="gramEnd"/>
      <w:r w:rsidRPr="004D27FA">
        <w:rPr>
          <w:rFonts w:ascii="Arial" w:hAnsi="Arial" w:cs="Arial"/>
          <w:i/>
          <w:color w:val="808080"/>
          <w:sz w:val="20"/>
          <w:szCs w:val="20"/>
        </w:rPr>
        <w:t xml:space="preserve">bij uw oordeel over de politieke wenselijkheid van het voorstel. Deze overwegingen maken geen onderdeel uit van de subsidiariteitstoets, maar kunnen in de brief naar de Europese Commissie wel “ter informatie” worden meegegeven. </w:t>
      </w:r>
    </w:p>
    <w:p w:rsidRPr="004D27FA" w:rsidR="004D27FA" w:rsidP="004D27FA" w:rsidRDefault="004D27FA">
      <w:pPr>
        <w:rPr>
          <w:sz w:val="22"/>
          <w:szCs w:val="20"/>
        </w:rPr>
      </w:pPr>
    </w:p>
    <w:p w:rsidRPr="004D27FA" w:rsidR="004D27FA" w:rsidP="004D27FA" w:rsidRDefault="004D27FA">
      <w:pPr>
        <w:rPr>
          <w:sz w:val="22"/>
          <w:szCs w:val="20"/>
        </w:rPr>
      </w:pPr>
    </w:p>
    <w:p w:rsidRPr="004D27FA" w:rsidR="004D27FA" w:rsidP="004D27FA" w:rsidRDefault="004D27FA">
      <w:pPr>
        <w:pBdr>
          <w:bottom w:val="single" w:color="auto" w:sz="6" w:space="1"/>
        </w:pBdr>
        <w:rPr>
          <w:sz w:val="22"/>
          <w:szCs w:val="20"/>
        </w:rPr>
      </w:pPr>
    </w:p>
    <w:p w:rsidRPr="004D27FA" w:rsidR="004D27FA" w:rsidP="004D27FA" w:rsidRDefault="004D27FA">
      <w:pPr>
        <w:rPr>
          <w:sz w:val="22"/>
          <w:szCs w:val="20"/>
        </w:rPr>
      </w:pPr>
    </w:p>
    <w:p w:rsidRPr="004D27FA" w:rsidR="004D27FA" w:rsidP="004D27FA" w:rsidRDefault="004D27FA">
      <w:pPr>
        <w:rPr>
          <w:sz w:val="22"/>
          <w:szCs w:val="20"/>
        </w:rPr>
      </w:pPr>
    </w:p>
    <w:p w:rsidRPr="004D27FA" w:rsidR="004D27FA" w:rsidP="004D27FA" w:rsidRDefault="004D27FA">
      <w:pPr>
        <w:rPr>
          <w:sz w:val="22"/>
          <w:szCs w:val="20"/>
        </w:rPr>
      </w:pPr>
    </w:p>
    <w:p w:rsidRPr="004D27FA" w:rsidR="004D27FA" w:rsidP="004D27FA" w:rsidRDefault="004D27FA">
      <w:pPr>
        <w:rPr>
          <w:sz w:val="22"/>
          <w:szCs w:val="20"/>
        </w:rPr>
      </w:pPr>
    </w:p>
    <w:p w:rsidR="00642800" w:rsidRDefault="00642800">
      <w:pPr>
        <w:rPr>
          <w:rFonts w:ascii="Arial" w:hAnsi="Arial" w:cs="Arial"/>
          <w:b/>
          <w:sz w:val="20"/>
          <w:szCs w:val="20"/>
        </w:rPr>
      </w:pPr>
      <w:r>
        <w:rPr>
          <w:rFonts w:ascii="Arial" w:hAnsi="Arial" w:cs="Arial"/>
          <w:b/>
          <w:sz w:val="20"/>
          <w:szCs w:val="20"/>
        </w:rPr>
        <w:br w:type="page"/>
      </w:r>
    </w:p>
    <w:p w:rsidR="00642800" w:rsidP="004D27FA" w:rsidRDefault="004D27FA">
      <w:pPr>
        <w:rPr>
          <w:rFonts w:ascii="Arial" w:hAnsi="Arial" w:cs="Arial"/>
          <w:b/>
          <w:sz w:val="20"/>
          <w:szCs w:val="20"/>
        </w:rPr>
      </w:pPr>
      <w:r w:rsidRPr="004D27FA">
        <w:rPr>
          <w:rFonts w:ascii="Arial" w:hAnsi="Arial" w:cs="Arial"/>
          <w:b/>
          <w:sz w:val="20"/>
          <w:szCs w:val="20"/>
        </w:rPr>
        <w:lastRenderedPageBreak/>
        <w:t xml:space="preserve">Bijlage </w:t>
      </w:r>
      <w:r w:rsidR="00642800">
        <w:rPr>
          <w:rFonts w:ascii="Arial" w:hAnsi="Arial" w:cs="Arial"/>
          <w:b/>
          <w:sz w:val="20"/>
          <w:szCs w:val="20"/>
        </w:rPr>
        <w:t>2</w:t>
      </w:r>
      <w:r w:rsidRPr="004D27FA">
        <w:rPr>
          <w:rFonts w:ascii="Arial" w:hAnsi="Arial" w:cs="Arial"/>
          <w:b/>
          <w:sz w:val="20"/>
          <w:szCs w:val="20"/>
        </w:rPr>
        <w:t xml:space="preserve">: </w:t>
      </w:r>
    </w:p>
    <w:p w:rsidR="00642800" w:rsidP="004D27FA" w:rsidRDefault="00642800">
      <w:pPr>
        <w:rPr>
          <w:rFonts w:ascii="Arial" w:hAnsi="Arial" w:cs="Arial"/>
          <w:b/>
          <w:sz w:val="20"/>
          <w:szCs w:val="20"/>
        </w:rPr>
      </w:pPr>
    </w:p>
    <w:p w:rsidRPr="00642800" w:rsidR="004D27FA" w:rsidP="004D27FA" w:rsidRDefault="00642800">
      <w:pPr>
        <w:rPr>
          <w:rFonts w:cs="Arial" w:asciiTheme="minorHAnsi" w:hAnsiTheme="minorHAnsi"/>
          <w:b/>
        </w:rPr>
      </w:pPr>
      <w:proofErr w:type="gramStart"/>
      <w:r w:rsidRPr="00642800">
        <w:rPr>
          <w:rFonts w:cs="Arial" w:asciiTheme="minorHAnsi" w:hAnsiTheme="minorHAnsi"/>
          <w:b/>
        </w:rPr>
        <w:t>uit</w:t>
      </w:r>
      <w:proofErr w:type="gramEnd"/>
      <w:r w:rsidRPr="00642800">
        <w:rPr>
          <w:rFonts w:cs="Arial" w:asciiTheme="minorHAnsi" w:hAnsiTheme="minorHAnsi"/>
          <w:b/>
        </w:rPr>
        <w:t xml:space="preserve"> het voorstel rust- en rijtijden</w:t>
      </w:r>
      <w:r>
        <w:rPr>
          <w:rFonts w:cs="Arial" w:asciiTheme="minorHAnsi" w:hAnsiTheme="minorHAnsi"/>
          <w:b/>
        </w:rPr>
        <w:t xml:space="preserve"> (COM (2017) 277)</w:t>
      </w:r>
    </w:p>
    <w:p w:rsidR="00642800" w:rsidP="00642800" w:rsidRDefault="00642800">
      <w:pPr>
        <w:pStyle w:val="Default"/>
        <w:rPr>
          <w:rFonts w:asciiTheme="minorHAnsi" w:hAnsiTheme="minorHAnsi"/>
          <w:b/>
          <w:bCs/>
          <w:sz w:val="20"/>
          <w:szCs w:val="20"/>
        </w:rPr>
      </w:pPr>
    </w:p>
    <w:p w:rsidRPr="00136306" w:rsidR="00642800" w:rsidP="00642800" w:rsidRDefault="00642800">
      <w:pPr>
        <w:pStyle w:val="Default"/>
        <w:rPr>
          <w:rFonts w:asciiTheme="minorHAnsi" w:hAnsiTheme="minorHAnsi"/>
          <w:sz w:val="20"/>
          <w:szCs w:val="20"/>
          <w:lang w:val="en-GB"/>
        </w:rPr>
      </w:pPr>
      <w:proofErr w:type="spellStart"/>
      <w:r w:rsidRPr="00136306">
        <w:rPr>
          <w:rFonts w:asciiTheme="minorHAnsi" w:hAnsiTheme="minorHAnsi"/>
          <w:b/>
          <w:bCs/>
          <w:sz w:val="20"/>
          <w:szCs w:val="20"/>
          <w:lang w:val="en-GB"/>
        </w:rPr>
        <w:t>Rechtsgrondslag</w:t>
      </w:r>
      <w:proofErr w:type="spellEnd"/>
      <w:r w:rsidRPr="00136306">
        <w:rPr>
          <w:rFonts w:asciiTheme="minorHAnsi" w:hAnsiTheme="minorHAnsi"/>
          <w:b/>
          <w:bCs/>
          <w:sz w:val="20"/>
          <w:szCs w:val="20"/>
          <w:lang w:val="en-GB"/>
        </w:rPr>
        <w:t xml:space="preserve"> </w:t>
      </w:r>
    </w:p>
    <w:p w:rsidRPr="00642800" w:rsidR="00642800" w:rsidP="00642800" w:rsidRDefault="00642800">
      <w:pPr>
        <w:pStyle w:val="Default"/>
        <w:rPr>
          <w:rFonts w:asciiTheme="minorHAnsi" w:hAnsiTheme="minorHAnsi"/>
          <w:sz w:val="20"/>
          <w:szCs w:val="20"/>
          <w:lang w:val="en-GB"/>
        </w:rPr>
      </w:pPr>
      <w:r w:rsidRPr="00642800">
        <w:rPr>
          <w:rFonts w:asciiTheme="minorHAnsi" w:hAnsiTheme="minorHAnsi"/>
          <w:sz w:val="20"/>
          <w:szCs w:val="20"/>
          <w:lang w:val="en-GB"/>
        </w:rPr>
        <w:t xml:space="preserve">This proposal amends Regulations (EC) No 561/2006 and (EU) 165/2014 and is therefore based on the same legal basis, namely Article 91(1) of the Treaty on the Functioning of the EU (TFEU) </w:t>
      </w:r>
    </w:p>
    <w:p w:rsidRPr="00642800" w:rsidR="00642800" w:rsidP="00642800" w:rsidRDefault="00642800">
      <w:pPr>
        <w:pStyle w:val="Default"/>
        <w:rPr>
          <w:rFonts w:asciiTheme="minorHAnsi" w:hAnsiTheme="minorHAnsi"/>
          <w:sz w:val="20"/>
          <w:szCs w:val="20"/>
          <w:lang w:val="en-GB"/>
        </w:rPr>
      </w:pPr>
      <w:proofErr w:type="spellStart"/>
      <w:r w:rsidRPr="00642800">
        <w:rPr>
          <w:rFonts w:asciiTheme="minorHAnsi" w:hAnsiTheme="minorHAnsi"/>
          <w:b/>
          <w:bCs/>
          <w:sz w:val="20"/>
          <w:szCs w:val="20"/>
          <w:lang w:val="en-GB"/>
        </w:rPr>
        <w:t>Subsidiari</w:t>
      </w:r>
      <w:r>
        <w:rPr>
          <w:rFonts w:asciiTheme="minorHAnsi" w:hAnsiTheme="minorHAnsi"/>
          <w:b/>
          <w:bCs/>
          <w:sz w:val="20"/>
          <w:szCs w:val="20"/>
          <w:lang w:val="en-GB"/>
        </w:rPr>
        <w:t>teit</w:t>
      </w:r>
      <w:proofErr w:type="spellEnd"/>
    </w:p>
    <w:p w:rsidRPr="00642800" w:rsidR="00642800" w:rsidP="00642800" w:rsidRDefault="00642800">
      <w:pPr>
        <w:pStyle w:val="Default"/>
        <w:rPr>
          <w:rFonts w:asciiTheme="minorHAnsi" w:hAnsiTheme="minorHAnsi"/>
          <w:sz w:val="20"/>
          <w:szCs w:val="20"/>
          <w:lang w:val="en-GB"/>
        </w:rPr>
      </w:pPr>
      <w:r w:rsidRPr="00642800">
        <w:rPr>
          <w:rFonts w:asciiTheme="minorHAnsi" w:hAnsiTheme="minorHAnsi"/>
          <w:sz w:val="20"/>
          <w:szCs w:val="20"/>
          <w:lang w:val="en-GB"/>
        </w:rPr>
        <w:t>Under Article 4(2</w:t>
      </w:r>
      <w:proofErr w:type="gramStart"/>
      <w:r w:rsidRPr="00642800">
        <w:rPr>
          <w:rFonts w:asciiTheme="minorHAnsi" w:hAnsiTheme="minorHAnsi"/>
          <w:sz w:val="20"/>
          <w:szCs w:val="20"/>
          <w:lang w:val="en-GB"/>
        </w:rPr>
        <w:t>)(</w:t>
      </w:r>
      <w:proofErr w:type="gramEnd"/>
      <w:r w:rsidRPr="00642800">
        <w:rPr>
          <w:rFonts w:asciiTheme="minorHAnsi" w:hAnsiTheme="minorHAnsi"/>
          <w:sz w:val="20"/>
          <w:szCs w:val="20"/>
          <w:lang w:val="en-GB"/>
        </w:rPr>
        <w:t xml:space="preserve">g) TFEU, the Union shares competence with Member States to regulate in the field of transport. However, existing rules can only be amended by the Union legislator. </w:t>
      </w:r>
    </w:p>
    <w:p w:rsidRPr="00642800" w:rsidR="00642800" w:rsidP="00642800" w:rsidRDefault="00642800">
      <w:pPr>
        <w:pStyle w:val="Default"/>
        <w:rPr>
          <w:rFonts w:asciiTheme="minorHAnsi" w:hAnsiTheme="minorHAnsi"/>
          <w:sz w:val="20"/>
          <w:szCs w:val="20"/>
          <w:lang w:val="en-GB"/>
        </w:rPr>
      </w:pPr>
      <w:r w:rsidRPr="00642800">
        <w:rPr>
          <w:rFonts w:asciiTheme="minorHAnsi" w:hAnsiTheme="minorHAnsi"/>
          <w:sz w:val="20"/>
          <w:szCs w:val="20"/>
          <w:lang w:val="en-GB"/>
        </w:rPr>
        <w:t xml:space="preserve">Shortcomings in the current legislation mean that Member States implement and enforce the EU social rules differently. Commission guidelines or self-regulation by Member States would not be adequate to ensure that the social rules in road transport are consistently applied and enforced throughout the Union. An action at the Union level is therefore justified. </w:t>
      </w:r>
    </w:p>
    <w:p w:rsidRPr="00642800" w:rsidR="00642800" w:rsidP="00642800" w:rsidRDefault="00642800">
      <w:pPr>
        <w:pStyle w:val="Default"/>
        <w:rPr>
          <w:rFonts w:asciiTheme="minorHAnsi" w:hAnsiTheme="minorHAnsi"/>
          <w:sz w:val="20"/>
          <w:szCs w:val="20"/>
          <w:lang w:val="en-GB"/>
        </w:rPr>
      </w:pPr>
      <w:r w:rsidRPr="00642800">
        <w:rPr>
          <w:rFonts w:asciiTheme="minorHAnsi" w:hAnsiTheme="minorHAnsi"/>
          <w:sz w:val="20"/>
          <w:szCs w:val="20"/>
          <w:lang w:val="en-GB"/>
        </w:rPr>
        <w:t xml:space="preserve">In line with Article 154 TFEU, which embodies the social partner organisations at European level to be consulted on issues concerning employment and social affairs set out in Article 153 of the Treaty, the Commission will launch a consultation process to seek the views of the social partners on the possible direction of Union action regarding Directive 2002/15/EC, which complements provisions of Regulation (EC) No 561/2006. </w:t>
      </w:r>
    </w:p>
    <w:p w:rsidRPr="00642800" w:rsidR="00642800" w:rsidP="00642800" w:rsidRDefault="00642800">
      <w:pPr>
        <w:pStyle w:val="Default"/>
        <w:rPr>
          <w:rFonts w:asciiTheme="minorHAnsi" w:hAnsiTheme="minorHAnsi"/>
          <w:sz w:val="20"/>
          <w:szCs w:val="20"/>
          <w:lang w:val="en-GB"/>
        </w:rPr>
      </w:pPr>
      <w:proofErr w:type="spellStart"/>
      <w:r w:rsidRPr="00642800">
        <w:rPr>
          <w:rFonts w:asciiTheme="minorHAnsi" w:hAnsiTheme="minorHAnsi"/>
          <w:b/>
          <w:bCs/>
          <w:sz w:val="20"/>
          <w:szCs w:val="20"/>
          <w:lang w:val="en-GB"/>
        </w:rPr>
        <w:t>Proportionali</w:t>
      </w:r>
      <w:r>
        <w:rPr>
          <w:rFonts w:asciiTheme="minorHAnsi" w:hAnsiTheme="minorHAnsi"/>
          <w:b/>
          <w:bCs/>
          <w:sz w:val="20"/>
          <w:szCs w:val="20"/>
          <w:lang w:val="en-GB"/>
        </w:rPr>
        <w:t>teit</w:t>
      </w:r>
      <w:proofErr w:type="spellEnd"/>
    </w:p>
    <w:p w:rsidRPr="00642800" w:rsidR="00642800" w:rsidP="00642800" w:rsidRDefault="00642800">
      <w:pPr>
        <w:pStyle w:val="Default"/>
        <w:rPr>
          <w:rFonts w:asciiTheme="minorHAnsi" w:hAnsiTheme="minorHAnsi"/>
          <w:sz w:val="20"/>
          <w:szCs w:val="20"/>
          <w:lang w:val="en-GB"/>
        </w:rPr>
      </w:pPr>
      <w:r w:rsidRPr="00642800">
        <w:rPr>
          <w:rFonts w:asciiTheme="minorHAnsi" w:hAnsiTheme="minorHAnsi"/>
          <w:sz w:val="20"/>
          <w:szCs w:val="20"/>
          <w:lang w:val="en-GB"/>
        </w:rPr>
        <w:t xml:space="preserve">The proposal does not go beyond what is necessary to address the identified problems of inadequate working conditions for drivers and distortions of competition between operators. </w:t>
      </w:r>
    </w:p>
    <w:p w:rsidRPr="00642800" w:rsidR="00642800" w:rsidP="00642800" w:rsidRDefault="00642800">
      <w:pPr>
        <w:pStyle w:val="Default"/>
        <w:rPr>
          <w:rFonts w:asciiTheme="minorHAnsi" w:hAnsiTheme="minorHAnsi"/>
          <w:color w:val="auto"/>
          <w:sz w:val="20"/>
          <w:szCs w:val="20"/>
          <w:lang w:val="en-GB"/>
        </w:rPr>
      </w:pPr>
      <w:r w:rsidRPr="00642800">
        <w:rPr>
          <w:rFonts w:asciiTheme="minorHAnsi" w:hAnsiTheme="minorHAnsi"/>
          <w:sz w:val="20"/>
          <w:szCs w:val="20"/>
          <w:lang w:val="en-GB"/>
        </w:rPr>
        <w:t xml:space="preserve">As indicated in Section 7.2 of the impact assessment, the proposal implements the policy option considered the most suitable and proportionate solution. This solution provides a </w:t>
      </w:r>
      <w:r w:rsidRPr="00642800">
        <w:rPr>
          <w:rFonts w:asciiTheme="minorHAnsi" w:hAnsiTheme="minorHAnsi"/>
          <w:color w:val="auto"/>
          <w:sz w:val="20"/>
          <w:szCs w:val="20"/>
          <w:lang w:val="en-GB"/>
        </w:rPr>
        <w:t xml:space="preserve">balance between improving working and resting conditions for drivers while enabling the operators to organise transport operations as efficiently as possible, and enforcing the existing rules effectively and consistently across borders. </w:t>
      </w:r>
    </w:p>
    <w:p w:rsidRPr="004D27FA" w:rsidR="00642800" w:rsidP="00642800" w:rsidRDefault="00642800">
      <w:pPr>
        <w:rPr>
          <w:rFonts w:cs="Arial" w:asciiTheme="minorHAnsi" w:hAnsiTheme="minorHAnsi"/>
          <w:b/>
          <w:sz w:val="20"/>
          <w:szCs w:val="20"/>
          <w:lang w:val="en-GB"/>
        </w:rPr>
      </w:pPr>
      <w:r w:rsidRPr="00642800">
        <w:rPr>
          <w:rFonts w:asciiTheme="minorHAnsi" w:hAnsiTheme="minorHAnsi"/>
          <w:sz w:val="20"/>
          <w:szCs w:val="20"/>
          <w:lang w:val="en-GB"/>
        </w:rPr>
        <w:t>The proposal focuses on simplifying and clarifying existing rules and adjusting certain rules to the needs of the sector. This will make the rules easier to comply with and to enforce in a coherent manner throughout the Union. The proposal will reduce administrative burden for operators and ensure that the requirements for administrative cooperation and mutual assistance between Member States are proportionate to the problems identified. The impact assessment concluded that the envisaged policy measures will have no disproportionate impact on SMEs.</w:t>
      </w:r>
    </w:p>
    <w:p w:rsidRPr="00642800" w:rsidR="004D27FA" w:rsidP="004D27FA" w:rsidRDefault="004D27FA">
      <w:pPr>
        <w:rPr>
          <w:rFonts w:asciiTheme="minorHAnsi" w:hAnsiTheme="minorHAnsi"/>
          <w:lang w:val="en-GB"/>
        </w:rPr>
      </w:pPr>
    </w:p>
    <w:p w:rsidRPr="00642800" w:rsidR="00642800" w:rsidP="004D27FA" w:rsidRDefault="00642800">
      <w:pPr>
        <w:rPr>
          <w:rFonts w:asciiTheme="minorHAnsi" w:hAnsiTheme="minorHAnsi"/>
          <w:b/>
        </w:rPr>
      </w:pPr>
      <w:r w:rsidRPr="00642800">
        <w:rPr>
          <w:rFonts w:asciiTheme="minorHAnsi" w:hAnsiTheme="minorHAnsi"/>
          <w:b/>
        </w:rPr>
        <w:t xml:space="preserve">Uit het </w:t>
      </w:r>
      <w:proofErr w:type="gramStart"/>
      <w:r w:rsidRPr="00642800">
        <w:rPr>
          <w:rFonts w:asciiTheme="minorHAnsi" w:hAnsiTheme="minorHAnsi"/>
          <w:b/>
        </w:rPr>
        <w:t xml:space="preserve">voorstel  </w:t>
      </w:r>
      <w:proofErr w:type="gramEnd"/>
      <w:r w:rsidRPr="00642800">
        <w:rPr>
          <w:rFonts w:asciiTheme="minorHAnsi" w:hAnsiTheme="minorHAnsi"/>
          <w:b/>
        </w:rPr>
        <w:t>detachering chauffeurs wegtransport (COM (2017) 278)</w:t>
      </w:r>
    </w:p>
    <w:p w:rsidR="00642800" w:rsidP="004D27FA" w:rsidRDefault="00642800">
      <w:pPr>
        <w:rPr>
          <w:rFonts w:asciiTheme="minorHAnsi" w:hAnsiTheme="minorHAnsi"/>
          <w:sz w:val="20"/>
          <w:szCs w:val="20"/>
        </w:rPr>
      </w:pPr>
    </w:p>
    <w:p w:rsidRPr="00136306" w:rsidR="00642800" w:rsidP="004D27FA" w:rsidRDefault="00642800">
      <w:pPr>
        <w:rPr>
          <w:rFonts w:asciiTheme="minorHAnsi" w:hAnsiTheme="minorHAnsi"/>
          <w:b/>
          <w:sz w:val="20"/>
          <w:szCs w:val="20"/>
          <w:lang w:val="en-GB"/>
        </w:rPr>
      </w:pPr>
      <w:proofErr w:type="spellStart"/>
      <w:r w:rsidRPr="00136306">
        <w:rPr>
          <w:rFonts w:asciiTheme="minorHAnsi" w:hAnsiTheme="minorHAnsi"/>
          <w:b/>
          <w:sz w:val="20"/>
          <w:szCs w:val="20"/>
          <w:lang w:val="en-GB"/>
        </w:rPr>
        <w:t>Rechtsgrondslag</w:t>
      </w:r>
      <w:proofErr w:type="spellEnd"/>
    </w:p>
    <w:p w:rsidRPr="00642800" w:rsidR="00642800" w:rsidP="00642800" w:rsidRDefault="00642800">
      <w:pPr>
        <w:pStyle w:val="Default"/>
        <w:rPr>
          <w:rFonts w:asciiTheme="minorHAnsi" w:hAnsiTheme="minorHAnsi"/>
          <w:sz w:val="20"/>
          <w:szCs w:val="20"/>
          <w:lang w:val="en-GB"/>
        </w:rPr>
      </w:pPr>
      <w:r w:rsidRPr="00642800">
        <w:rPr>
          <w:rFonts w:asciiTheme="minorHAnsi" w:hAnsiTheme="minorHAnsi"/>
          <w:sz w:val="20"/>
          <w:szCs w:val="20"/>
          <w:lang w:val="en-GB"/>
        </w:rPr>
        <w:t xml:space="preserve">This proposal amends Directive 2006/22/EC and lays down sector-specific rules on the posting of workers in relation to Directives 96/71/EC and 2014/67/EU. </w:t>
      </w:r>
    </w:p>
    <w:p w:rsidRPr="00642800" w:rsidR="00642800" w:rsidP="00642800" w:rsidRDefault="00642800">
      <w:pPr>
        <w:pStyle w:val="Default"/>
        <w:rPr>
          <w:rFonts w:asciiTheme="minorHAnsi" w:hAnsiTheme="minorHAnsi"/>
          <w:sz w:val="20"/>
          <w:szCs w:val="20"/>
          <w:lang w:val="en-GB"/>
        </w:rPr>
      </w:pPr>
      <w:r w:rsidRPr="00642800">
        <w:rPr>
          <w:rFonts w:asciiTheme="minorHAnsi" w:hAnsiTheme="minorHAnsi"/>
          <w:sz w:val="20"/>
          <w:szCs w:val="20"/>
          <w:lang w:val="en-GB"/>
        </w:rPr>
        <w:t xml:space="preserve">Directive 2006/22/EC is based on what is now Article 91(1) of the Treaty on the Functioning of the EU (TFEU), and this provision should also be relied upon for its amendment. </w:t>
      </w:r>
    </w:p>
    <w:p w:rsidRPr="00136306" w:rsidR="00642800" w:rsidP="00642800" w:rsidRDefault="00642800">
      <w:pPr>
        <w:pStyle w:val="Default"/>
        <w:rPr>
          <w:rFonts w:cs="Arial" w:asciiTheme="minorHAnsi" w:hAnsiTheme="minorHAnsi"/>
          <w:sz w:val="20"/>
          <w:szCs w:val="20"/>
          <w:lang w:val="en-GB"/>
        </w:rPr>
      </w:pPr>
      <w:r w:rsidRPr="00642800">
        <w:rPr>
          <w:rFonts w:asciiTheme="minorHAnsi" w:hAnsiTheme="minorHAnsi"/>
          <w:sz w:val="20"/>
          <w:szCs w:val="20"/>
          <w:lang w:val="en-GB"/>
        </w:rPr>
        <w:t xml:space="preserve">Directives 96/71/EC and 2014/67/EU are founded on (what is now) Article 53(1) TFEU. However, since the rules proposed here exclusively pertain to situations specific to the provision of transport services, Article 91(1) TFEU should be relied upon. </w:t>
      </w:r>
    </w:p>
    <w:p w:rsidRPr="00136306" w:rsidR="00642800" w:rsidP="00642800" w:rsidRDefault="00642800">
      <w:pPr>
        <w:pStyle w:val="Default"/>
        <w:rPr>
          <w:rFonts w:asciiTheme="minorHAnsi" w:hAnsiTheme="minorHAnsi"/>
          <w:color w:val="auto"/>
          <w:sz w:val="20"/>
          <w:szCs w:val="20"/>
          <w:lang w:val="en-GB"/>
        </w:rPr>
      </w:pPr>
    </w:p>
    <w:p w:rsidRPr="00642800" w:rsidR="00642800" w:rsidP="00642800" w:rsidRDefault="00642800">
      <w:pPr>
        <w:pStyle w:val="Default"/>
        <w:pageBreakBefore/>
        <w:rPr>
          <w:rFonts w:asciiTheme="minorHAnsi" w:hAnsiTheme="minorHAnsi"/>
          <w:color w:val="auto"/>
          <w:sz w:val="20"/>
          <w:szCs w:val="20"/>
          <w:lang w:val="en-GB"/>
        </w:rPr>
      </w:pPr>
      <w:r w:rsidRPr="00642800">
        <w:rPr>
          <w:rFonts w:asciiTheme="minorHAnsi" w:hAnsiTheme="minorHAnsi"/>
          <w:color w:val="auto"/>
          <w:sz w:val="20"/>
          <w:szCs w:val="20"/>
          <w:lang w:val="en-GB"/>
        </w:rPr>
        <w:lastRenderedPageBreak/>
        <w:t xml:space="preserve">. </w:t>
      </w:r>
    </w:p>
    <w:p w:rsidRPr="00642800" w:rsidR="00642800" w:rsidP="00642800" w:rsidRDefault="00642800">
      <w:pPr>
        <w:pStyle w:val="Default"/>
        <w:rPr>
          <w:rFonts w:asciiTheme="minorHAnsi" w:hAnsiTheme="minorHAnsi"/>
          <w:color w:val="auto"/>
          <w:sz w:val="20"/>
          <w:szCs w:val="20"/>
          <w:lang w:val="en-GB"/>
        </w:rPr>
      </w:pPr>
      <w:proofErr w:type="spellStart"/>
      <w:r w:rsidRPr="00642800">
        <w:rPr>
          <w:rFonts w:asciiTheme="minorHAnsi" w:hAnsiTheme="minorHAnsi"/>
          <w:b/>
          <w:bCs/>
          <w:color w:val="auto"/>
          <w:sz w:val="20"/>
          <w:szCs w:val="20"/>
          <w:lang w:val="en-GB"/>
        </w:rPr>
        <w:t>Subsidiarit</w:t>
      </w:r>
      <w:r>
        <w:rPr>
          <w:rFonts w:asciiTheme="minorHAnsi" w:hAnsiTheme="minorHAnsi"/>
          <w:b/>
          <w:bCs/>
          <w:color w:val="auto"/>
          <w:sz w:val="20"/>
          <w:szCs w:val="20"/>
          <w:lang w:val="en-GB"/>
        </w:rPr>
        <w:t>eit</w:t>
      </w:r>
      <w:proofErr w:type="spellEnd"/>
    </w:p>
    <w:p w:rsidRPr="00642800" w:rsidR="00642800" w:rsidP="00642800" w:rsidRDefault="00642800">
      <w:pPr>
        <w:pStyle w:val="Default"/>
        <w:rPr>
          <w:rFonts w:asciiTheme="minorHAnsi" w:hAnsiTheme="minorHAnsi"/>
          <w:color w:val="auto"/>
          <w:sz w:val="20"/>
          <w:szCs w:val="20"/>
          <w:lang w:val="en-GB"/>
        </w:rPr>
      </w:pPr>
      <w:r w:rsidRPr="00642800">
        <w:rPr>
          <w:rFonts w:asciiTheme="minorHAnsi" w:hAnsiTheme="minorHAnsi"/>
          <w:color w:val="auto"/>
          <w:sz w:val="20"/>
          <w:szCs w:val="20"/>
          <w:lang w:val="en-GB"/>
        </w:rPr>
        <w:t>Under Article 4(2</w:t>
      </w:r>
      <w:proofErr w:type="gramStart"/>
      <w:r w:rsidRPr="00642800">
        <w:rPr>
          <w:rFonts w:asciiTheme="minorHAnsi" w:hAnsiTheme="minorHAnsi"/>
          <w:color w:val="auto"/>
          <w:sz w:val="20"/>
          <w:szCs w:val="20"/>
          <w:lang w:val="en-GB"/>
        </w:rPr>
        <w:t>)(</w:t>
      </w:r>
      <w:proofErr w:type="gramEnd"/>
      <w:r w:rsidRPr="00642800">
        <w:rPr>
          <w:rFonts w:asciiTheme="minorHAnsi" w:hAnsiTheme="minorHAnsi"/>
          <w:color w:val="auto"/>
          <w:sz w:val="20"/>
          <w:szCs w:val="20"/>
          <w:lang w:val="en-GB"/>
        </w:rPr>
        <w:t xml:space="preserve">g) TFEU, the EU shares regulatory competence in the field of transport with Member States. However, existing rules can only be amended by the EU legislator. </w:t>
      </w:r>
    </w:p>
    <w:p w:rsidRPr="00642800" w:rsidR="00642800" w:rsidP="00642800" w:rsidRDefault="00642800">
      <w:pPr>
        <w:pStyle w:val="Default"/>
        <w:rPr>
          <w:rFonts w:asciiTheme="minorHAnsi" w:hAnsiTheme="minorHAnsi"/>
          <w:color w:val="auto"/>
          <w:sz w:val="20"/>
          <w:szCs w:val="20"/>
          <w:lang w:val="en-GB"/>
        </w:rPr>
      </w:pPr>
      <w:r w:rsidRPr="00642800">
        <w:rPr>
          <w:rFonts w:asciiTheme="minorHAnsi" w:hAnsiTheme="minorHAnsi"/>
          <w:color w:val="auto"/>
          <w:sz w:val="20"/>
          <w:szCs w:val="20"/>
          <w:lang w:val="en-GB"/>
        </w:rPr>
        <w:t xml:space="preserve">Shortcomings in the current legislation mean that Member States implement and enforce EU social rules differently, including those on the posting of workers. Guidelines or self-regulation by Member State would not be sufficient to ensure that the social rules in road transport are consistently applied and enforced throughout the EU. And action at EU level is therefore justified. </w:t>
      </w:r>
    </w:p>
    <w:p w:rsidRPr="00642800" w:rsidR="00642800" w:rsidP="00642800" w:rsidRDefault="00642800">
      <w:pPr>
        <w:pStyle w:val="Default"/>
        <w:rPr>
          <w:rFonts w:asciiTheme="minorHAnsi" w:hAnsiTheme="minorHAnsi"/>
          <w:color w:val="auto"/>
          <w:sz w:val="20"/>
          <w:szCs w:val="20"/>
          <w:lang w:val="en-GB"/>
        </w:rPr>
      </w:pPr>
      <w:proofErr w:type="spellStart"/>
      <w:r w:rsidRPr="00642800">
        <w:rPr>
          <w:rFonts w:asciiTheme="minorHAnsi" w:hAnsiTheme="minorHAnsi"/>
          <w:b/>
          <w:bCs/>
          <w:color w:val="auto"/>
          <w:sz w:val="20"/>
          <w:szCs w:val="20"/>
          <w:lang w:val="en-GB"/>
        </w:rPr>
        <w:t>Proportionalit</w:t>
      </w:r>
      <w:r>
        <w:rPr>
          <w:rFonts w:asciiTheme="minorHAnsi" w:hAnsiTheme="minorHAnsi"/>
          <w:b/>
          <w:bCs/>
          <w:color w:val="auto"/>
          <w:sz w:val="20"/>
          <w:szCs w:val="20"/>
          <w:lang w:val="en-GB"/>
        </w:rPr>
        <w:t>eit</w:t>
      </w:r>
      <w:proofErr w:type="spellEnd"/>
    </w:p>
    <w:p w:rsidRPr="00642800" w:rsidR="00642800" w:rsidP="00642800" w:rsidRDefault="00642800">
      <w:pPr>
        <w:pStyle w:val="Default"/>
        <w:rPr>
          <w:rFonts w:asciiTheme="minorHAnsi" w:hAnsiTheme="minorHAnsi"/>
          <w:color w:val="auto"/>
          <w:sz w:val="20"/>
          <w:szCs w:val="20"/>
          <w:lang w:val="en-GB"/>
        </w:rPr>
      </w:pPr>
      <w:r w:rsidRPr="00642800">
        <w:rPr>
          <w:rFonts w:asciiTheme="minorHAnsi" w:hAnsiTheme="minorHAnsi"/>
          <w:color w:val="auto"/>
          <w:sz w:val="20"/>
          <w:szCs w:val="20"/>
          <w:lang w:val="en-GB"/>
        </w:rPr>
        <w:t xml:space="preserve">The proposal does not go beyond what is necessary to address the identified problems of inadequate working conditions for drivers and distortions of competition between operators. </w:t>
      </w:r>
    </w:p>
    <w:p w:rsidRPr="00642800" w:rsidR="00642800" w:rsidP="00642800" w:rsidRDefault="00642800">
      <w:pPr>
        <w:pStyle w:val="Default"/>
        <w:rPr>
          <w:rFonts w:asciiTheme="minorHAnsi" w:hAnsiTheme="minorHAnsi"/>
          <w:color w:val="auto"/>
          <w:sz w:val="20"/>
          <w:szCs w:val="20"/>
          <w:lang w:val="en-GB"/>
        </w:rPr>
      </w:pPr>
      <w:r w:rsidRPr="00642800">
        <w:rPr>
          <w:rFonts w:asciiTheme="minorHAnsi" w:hAnsiTheme="minorHAnsi"/>
          <w:color w:val="auto"/>
          <w:sz w:val="20"/>
          <w:szCs w:val="20"/>
          <w:lang w:val="en-GB"/>
        </w:rPr>
        <w:t xml:space="preserve">As stated in Section 7.2 of the impact assessment, the proposal puts forward the policy option considered the most suitable and proportionate, providing a balance between enhancing working conditions for drivers, reducing regulatory burdens for operators and enforcing the rules effectively across borders. </w:t>
      </w:r>
    </w:p>
    <w:p w:rsidR="00642800" w:rsidP="00642800" w:rsidRDefault="00642800">
      <w:pPr>
        <w:rPr>
          <w:rFonts w:asciiTheme="minorHAnsi" w:hAnsiTheme="minorHAnsi"/>
          <w:sz w:val="20"/>
          <w:szCs w:val="20"/>
          <w:lang w:val="en-GB"/>
        </w:rPr>
      </w:pPr>
      <w:r w:rsidRPr="00642800">
        <w:rPr>
          <w:rFonts w:asciiTheme="minorHAnsi" w:hAnsiTheme="minorHAnsi"/>
          <w:sz w:val="20"/>
          <w:szCs w:val="20"/>
          <w:lang w:val="en-GB"/>
        </w:rPr>
        <w:t xml:space="preserve">The proposal focuses on simplifying, clarifying and adjusting certain rules to meet the needs of the sector. It avoids any unnecessary administrative burden on operators and aims to ensure that the requirements for administrative cooperation and mutual assistance between Member States are proportionate. The impact assessment concluded that the envisaged policy measures will have no disproportionate impact on SMEs. </w:t>
      </w:r>
    </w:p>
    <w:p w:rsidR="00642800" w:rsidP="00642800" w:rsidRDefault="00642800">
      <w:pPr>
        <w:rPr>
          <w:rFonts w:asciiTheme="minorHAnsi" w:hAnsiTheme="minorHAnsi"/>
          <w:sz w:val="20"/>
          <w:szCs w:val="20"/>
          <w:lang w:val="en-GB"/>
        </w:rPr>
      </w:pPr>
    </w:p>
    <w:p w:rsidRPr="001026E3" w:rsidR="00B91C9D" w:rsidP="00642800" w:rsidRDefault="00642800">
      <w:pPr>
        <w:rPr>
          <w:rFonts w:asciiTheme="minorHAnsi" w:hAnsiTheme="minorHAnsi"/>
          <w:b/>
        </w:rPr>
      </w:pPr>
      <w:r w:rsidRPr="001026E3">
        <w:rPr>
          <w:rFonts w:asciiTheme="minorHAnsi" w:hAnsiTheme="minorHAnsi"/>
          <w:b/>
        </w:rPr>
        <w:t xml:space="preserve">Uit het voorstel </w:t>
      </w:r>
      <w:proofErr w:type="spellStart"/>
      <w:r w:rsidRPr="001026E3">
        <w:rPr>
          <w:rFonts w:asciiTheme="minorHAnsi" w:hAnsiTheme="minorHAnsi"/>
          <w:b/>
          <w:i/>
        </w:rPr>
        <w:t>haulage</w:t>
      </w:r>
      <w:proofErr w:type="spellEnd"/>
      <w:r w:rsidRPr="001026E3">
        <w:rPr>
          <w:rFonts w:asciiTheme="minorHAnsi" w:hAnsiTheme="minorHAnsi"/>
          <w:b/>
        </w:rPr>
        <w:t xml:space="preserve"> (toegang tot beroep van wegvervoerder en tot internationaal wegtransport - COM </w:t>
      </w:r>
      <w:proofErr w:type="gramStart"/>
      <w:r w:rsidRPr="001026E3">
        <w:rPr>
          <w:rFonts w:asciiTheme="minorHAnsi" w:hAnsiTheme="minorHAnsi"/>
          <w:b/>
        </w:rPr>
        <w:t>(</w:t>
      </w:r>
      <w:proofErr w:type="gramEnd"/>
      <w:r w:rsidRPr="001026E3">
        <w:rPr>
          <w:rFonts w:asciiTheme="minorHAnsi" w:hAnsiTheme="minorHAnsi"/>
          <w:b/>
        </w:rPr>
        <w:t>2017) 281</w:t>
      </w:r>
    </w:p>
    <w:p w:rsidR="00642800" w:rsidP="00642800" w:rsidRDefault="00642800">
      <w:pPr>
        <w:rPr>
          <w:rFonts w:asciiTheme="minorHAnsi" w:hAnsiTheme="minorHAnsi"/>
          <w:b/>
          <w:sz w:val="20"/>
          <w:szCs w:val="20"/>
        </w:rPr>
      </w:pPr>
    </w:p>
    <w:p w:rsidRPr="001026E3" w:rsidR="001026E3" w:rsidP="001026E3" w:rsidRDefault="001026E3">
      <w:pPr>
        <w:pStyle w:val="Default"/>
        <w:rPr>
          <w:rFonts w:asciiTheme="minorHAnsi" w:hAnsiTheme="minorHAnsi"/>
          <w:sz w:val="20"/>
          <w:szCs w:val="20"/>
          <w:lang w:val="en-GB"/>
        </w:rPr>
      </w:pPr>
      <w:proofErr w:type="spellStart"/>
      <w:r>
        <w:rPr>
          <w:rFonts w:asciiTheme="minorHAnsi" w:hAnsiTheme="minorHAnsi"/>
          <w:b/>
          <w:bCs/>
          <w:sz w:val="20"/>
          <w:szCs w:val="20"/>
          <w:lang w:val="en-GB"/>
        </w:rPr>
        <w:t>Rechtsbasis</w:t>
      </w:r>
      <w:proofErr w:type="spellEnd"/>
    </w:p>
    <w:p w:rsidRPr="001026E3" w:rsidR="001026E3" w:rsidP="001026E3" w:rsidRDefault="001026E3">
      <w:pPr>
        <w:pStyle w:val="Default"/>
        <w:rPr>
          <w:rFonts w:asciiTheme="minorHAnsi" w:hAnsiTheme="minorHAnsi"/>
          <w:sz w:val="20"/>
          <w:szCs w:val="20"/>
          <w:lang w:val="en-GB"/>
        </w:rPr>
      </w:pPr>
      <w:r w:rsidRPr="001026E3">
        <w:rPr>
          <w:rFonts w:asciiTheme="minorHAnsi" w:hAnsiTheme="minorHAnsi"/>
          <w:sz w:val="20"/>
          <w:szCs w:val="20"/>
          <w:lang w:val="en-GB"/>
        </w:rPr>
        <w:t xml:space="preserve">The legal basis for the Regulations and for the proposed amendment is Article 91(1)of the Treaty on the Functioning of the European Union ('TFEU') (formerly Article 71 TEC).This article provides the basis for the adoption of EU legislation laying down notably: (i) common rules applicable to international transport to or from the territory of a Member State or passing across the territory of one or more Member States (Article 91(1)(a) TFEU); and (ii) the conditions under which non-resident carriers may operate transport services within a Member State (Article 91(1)(b) TFEU). </w:t>
      </w:r>
    </w:p>
    <w:p w:rsidRPr="001026E3" w:rsidR="001026E3" w:rsidP="001026E3" w:rsidRDefault="001026E3">
      <w:pPr>
        <w:pStyle w:val="Default"/>
        <w:rPr>
          <w:rFonts w:asciiTheme="minorHAnsi" w:hAnsiTheme="minorHAnsi"/>
          <w:sz w:val="20"/>
          <w:szCs w:val="20"/>
          <w:lang w:val="en-GB"/>
        </w:rPr>
      </w:pPr>
      <w:proofErr w:type="spellStart"/>
      <w:r w:rsidRPr="001026E3">
        <w:rPr>
          <w:rFonts w:asciiTheme="minorHAnsi" w:hAnsiTheme="minorHAnsi"/>
          <w:b/>
          <w:bCs/>
          <w:sz w:val="20"/>
          <w:szCs w:val="20"/>
          <w:lang w:val="en-GB"/>
        </w:rPr>
        <w:t>Subsidiarit</w:t>
      </w:r>
      <w:r>
        <w:rPr>
          <w:rFonts w:asciiTheme="minorHAnsi" w:hAnsiTheme="minorHAnsi"/>
          <w:b/>
          <w:bCs/>
          <w:sz w:val="20"/>
          <w:szCs w:val="20"/>
          <w:lang w:val="en-GB"/>
        </w:rPr>
        <w:t>eit</w:t>
      </w:r>
      <w:proofErr w:type="spellEnd"/>
    </w:p>
    <w:p w:rsidRPr="001026E3" w:rsidR="001026E3" w:rsidP="001026E3" w:rsidRDefault="001026E3">
      <w:pPr>
        <w:pStyle w:val="Default"/>
        <w:rPr>
          <w:rFonts w:asciiTheme="minorHAnsi" w:hAnsiTheme="minorHAnsi"/>
          <w:sz w:val="20"/>
          <w:szCs w:val="20"/>
          <w:lang w:val="en-GB"/>
        </w:rPr>
      </w:pPr>
      <w:r w:rsidRPr="001026E3">
        <w:rPr>
          <w:rFonts w:asciiTheme="minorHAnsi" w:hAnsiTheme="minorHAnsi"/>
          <w:sz w:val="20"/>
          <w:szCs w:val="20"/>
          <w:lang w:val="en-GB"/>
        </w:rPr>
        <w:t>The EU shares competence with Member States to regulate in the field of transport pursuant to Article 4(2</w:t>
      </w:r>
      <w:proofErr w:type="gramStart"/>
      <w:r w:rsidRPr="001026E3">
        <w:rPr>
          <w:rFonts w:asciiTheme="minorHAnsi" w:hAnsiTheme="minorHAnsi"/>
          <w:sz w:val="20"/>
          <w:szCs w:val="20"/>
          <w:lang w:val="en-GB"/>
        </w:rPr>
        <w:t>)(</w:t>
      </w:r>
      <w:proofErr w:type="gramEnd"/>
      <w:r w:rsidRPr="001026E3">
        <w:rPr>
          <w:rFonts w:asciiTheme="minorHAnsi" w:hAnsiTheme="minorHAnsi"/>
          <w:sz w:val="20"/>
          <w:szCs w:val="20"/>
          <w:lang w:val="en-GB"/>
        </w:rPr>
        <w:t xml:space="preserve">g) TFEU. However, amendments to existing rules can only be made by the EU legislator itself. </w:t>
      </w:r>
    </w:p>
    <w:p w:rsidRPr="001026E3" w:rsidR="001026E3" w:rsidP="001026E3" w:rsidRDefault="001026E3">
      <w:pPr>
        <w:pStyle w:val="Default"/>
        <w:rPr>
          <w:rFonts w:asciiTheme="minorHAnsi" w:hAnsiTheme="minorHAnsi"/>
          <w:sz w:val="20"/>
          <w:szCs w:val="20"/>
          <w:lang w:val="en-GB"/>
        </w:rPr>
      </w:pPr>
      <w:r w:rsidRPr="001026E3">
        <w:rPr>
          <w:rFonts w:asciiTheme="minorHAnsi" w:hAnsiTheme="minorHAnsi"/>
          <w:sz w:val="20"/>
          <w:szCs w:val="20"/>
          <w:lang w:val="en-GB"/>
        </w:rPr>
        <w:t xml:space="preserve">Besides, the existing differences in Member States practices and weaknesses in respect of enforcement are detrimental to the operation of the single market, are intrinsically tied to shortcomings in harmonisation and can therefore effectively be addressed only by the Union. </w:t>
      </w:r>
    </w:p>
    <w:p w:rsidRPr="00136306" w:rsidR="001026E3" w:rsidP="001026E3" w:rsidRDefault="001026E3">
      <w:pPr>
        <w:pStyle w:val="Default"/>
        <w:rPr>
          <w:rFonts w:asciiTheme="minorHAnsi" w:hAnsiTheme="minorHAnsi"/>
          <w:sz w:val="20"/>
          <w:szCs w:val="20"/>
          <w:lang w:val="en-GB"/>
        </w:rPr>
      </w:pPr>
      <w:proofErr w:type="spellStart"/>
      <w:r w:rsidRPr="00136306">
        <w:rPr>
          <w:rFonts w:asciiTheme="minorHAnsi" w:hAnsiTheme="minorHAnsi"/>
          <w:b/>
          <w:bCs/>
          <w:sz w:val="20"/>
          <w:szCs w:val="20"/>
          <w:lang w:val="en-GB"/>
        </w:rPr>
        <w:t>Proportionaliteit</w:t>
      </w:r>
      <w:proofErr w:type="spellEnd"/>
    </w:p>
    <w:p w:rsidRPr="001026E3" w:rsidR="001026E3" w:rsidP="001026E3" w:rsidRDefault="001026E3">
      <w:pPr>
        <w:rPr>
          <w:rFonts w:asciiTheme="minorHAnsi" w:hAnsiTheme="minorHAnsi"/>
          <w:b/>
          <w:sz w:val="20"/>
          <w:szCs w:val="20"/>
          <w:lang w:val="en-GB"/>
        </w:rPr>
      </w:pPr>
      <w:r w:rsidRPr="001026E3">
        <w:rPr>
          <w:rFonts w:asciiTheme="minorHAnsi" w:hAnsiTheme="minorHAnsi"/>
          <w:sz w:val="20"/>
          <w:szCs w:val="20"/>
          <w:lang w:val="en-GB"/>
        </w:rPr>
        <w:t>As indicated in Section 6.3 of the impact assessment report, the policy proposal is proportionate to the problems that have been identified and it does not go beyond what is needed to solve them. On SMEs, in particular, the envisaged policy measures would in general have no disproportional impact. The proposal is mainly focused on a simplification and clarification of the existing regulatory framework, together with more robust enforcement requirements, and it does not create additional regulatory requirements for interested parties which would not be proportionate to the identified problems.</w:t>
      </w:r>
    </w:p>
    <w:p w:rsidRPr="001026E3" w:rsidR="001026E3" w:rsidP="00642800" w:rsidRDefault="001026E3">
      <w:pPr>
        <w:rPr>
          <w:rFonts w:asciiTheme="minorHAnsi" w:hAnsiTheme="minorHAnsi"/>
          <w:b/>
          <w:sz w:val="20"/>
          <w:szCs w:val="20"/>
          <w:lang w:val="en-GB"/>
        </w:rPr>
      </w:pPr>
    </w:p>
    <w:p w:rsidR="001026E3" w:rsidP="00642800" w:rsidRDefault="001026E3">
      <w:pPr>
        <w:rPr>
          <w:rFonts w:asciiTheme="minorHAnsi" w:hAnsiTheme="minorHAnsi"/>
          <w:b/>
          <w:sz w:val="20"/>
          <w:szCs w:val="20"/>
          <w:lang w:val="en-GB"/>
        </w:rPr>
      </w:pPr>
    </w:p>
    <w:p w:rsidRPr="001026E3" w:rsidR="001026E3" w:rsidP="00642800" w:rsidRDefault="001026E3">
      <w:pPr>
        <w:rPr>
          <w:rFonts w:asciiTheme="minorHAnsi" w:hAnsiTheme="minorHAnsi"/>
          <w:b/>
          <w:sz w:val="20"/>
          <w:szCs w:val="20"/>
          <w:lang w:val="en-GB"/>
        </w:rPr>
      </w:pPr>
    </w:p>
    <w:p w:rsidRPr="00136306" w:rsidR="00954048" w:rsidP="00954048" w:rsidRDefault="00954048">
      <w:pPr>
        <w:rPr>
          <w:rFonts w:asciiTheme="minorHAnsi" w:hAnsiTheme="minorHAnsi"/>
          <w:b/>
          <w:sz w:val="20"/>
          <w:szCs w:val="20"/>
          <w:lang w:val="en-GB"/>
        </w:rPr>
      </w:pPr>
    </w:p>
    <w:sectPr w:rsidRPr="00136306" w:rsidR="0095404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3AD2" w:rsidRDefault="00113AD2" w:rsidP="001B2599">
      <w:r>
        <w:separator/>
      </w:r>
    </w:p>
  </w:endnote>
  <w:endnote w:type="continuationSeparator" w:id="0">
    <w:p w:rsidR="00113AD2" w:rsidRDefault="00113AD2" w:rsidP="001B2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3AD2" w:rsidRDefault="00113AD2" w:rsidP="001B2599">
      <w:r>
        <w:separator/>
      </w:r>
    </w:p>
  </w:footnote>
  <w:footnote w:type="continuationSeparator" w:id="0">
    <w:p w:rsidR="00113AD2" w:rsidRDefault="00113AD2" w:rsidP="001B25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95DE2"/>
    <w:multiLevelType w:val="hybridMultilevel"/>
    <w:tmpl w:val="7652A6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11DF48E0"/>
    <w:multiLevelType w:val="hybridMultilevel"/>
    <w:tmpl w:val="7A6E3FF8"/>
    <w:lvl w:ilvl="0" w:tplc="BE6CBCEE">
      <w:numFmt w:val="bullet"/>
      <w:lvlText w:val=""/>
      <w:lvlJc w:val="left"/>
      <w:pPr>
        <w:ind w:left="405" w:hanging="360"/>
      </w:pPr>
      <w:rPr>
        <w:rFonts w:ascii="Symbol" w:eastAsia="Times New Roman" w:hAnsi="Symbol" w:cs="Times New Roman" w:hint="default"/>
      </w:rPr>
    </w:lvl>
    <w:lvl w:ilvl="1" w:tplc="04130003" w:tentative="1">
      <w:start w:val="1"/>
      <w:numFmt w:val="bullet"/>
      <w:lvlText w:val="o"/>
      <w:lvlJc w:val="left"/>
      <w:pPr>
        <w:ind w:left="1125" w:hanging="360"/>
      </w:pPr>
      <w:rPr>
        <w:rFonts w:ascii="Courier New" w:hAnsi="Courier New" w:cs="Courier New" w:hint="default"/>
      </w:rPr>
    </w:lvl>
    <w:lvl w:ilvl="2" w:tplc="04130005" w:tentative="1">
      <w:start w:val="1"/>
      <w:numFmt w:val="bullet"/>
      <w:lvlText w:val=""/>
      <w:lvlJc w:val="left"/>
      <w:pPr>
        <w:ind w:left="1845" w:hanging="360"/>
      </w:pPr>
      <w:rPr>
        <w:rFonts w:ascii="Wingdings" w:hAnsi="Wingdings" w:hint="default"/>
      </w:rPr>
    </w:lvl>
    <w:lvl w:ilvl="3" w:tplc="04130001" w:tentative="1">
      <w:start w:val="1"/>
      <w:numFmt w:val="bullet"/>
      <w:lvlText w:val=""/>
      <w:lvlJc w:val="left"/>
      <w:pPr>
        <w:ind w:left="2565" w:hanging="360"/>
      </w:pPr>
      <w:rPr>
        <w:rFonts w:ascii="Symbol" w:hAnsi="Symbol" w:hint="default"/>
      </w:rPr>
    </w:lvl>
    <w:lvl w:ilvl="4" w:tplc="04130003" w:tentative="1">
      <w:start w:val="1"/>
      <w:numFmt w:val="bullet"/>
      <w:lvlText w:val="o"/>
      <w:lvlJc w:val="left"/>
      <w:pPr>
        <w:ind w:left="3285" w:hanging="360"/>
      </w:pPr>
      <w:rPr>
        <w:rFonts w:ascii="Courier New" w:hAnsi="Courier New" w:cs="Courier New" w:hint="default"/>
      </w:rPr>
    </w:lvl>
    <w:lvl w:ilvl="5" w:tplc="04130005" w:tentative="1">
      <w:start w:val="1"/>
      <w:numFmt w:val="bullet"/>
      <w:lvlText w:val=""/>
      <w:lvlJc w:val="left"/>
      <w:pPr>
        <w:ind w:left="4005" w:hanging="360"/>
      </w:pPr>
      <w:rPr>
        <w:rFonts w:ascii="Wingdings" w:hAnsi="Wingdings" w:hint="default"/>
      </w:rPr>
    </w:lvl>
    <w:lvl w:ilvl="6" w:tplc="04130001" w:tentative="1">
      <w:start w:val="1"/>
      <w:numFmt w:val="bullet"/>
      <w:lvlText w:val=""/>
      <w:lvlJc w:val="left"/>
      <w:pPr>
        <w:ind w:left="4725" w:hanging="360"/>
      </w:pPr>
      <w:rPr>
        <w:rFonts w:ascii="Symbol" w:hAnsi="Symbol" w:hint="default"/>
      </w:rPr>
    </w:lvl>
    <w:lvl w:ilvl="7" w:tplc="04130003" w:tentative="1">
      <w:start w:val="1"/>
      <w:numFmt w:val="bullet"/>
      <w:lvlText w:val="o"/>
      <w:lvlJc w:val="left"/>
      <w:pPr>
        <w:ind w:left="5445" w:hanging="360"/>
      </w:pPr>
      <w:rPr>
        <w:rFonts w:ascii="Courier New" w:hAnsi="Courier New" w:cs="Courier New" w:hint="default"/>
      </w:rPr>
    </w:lvl>
    <w:lvl w:ilvl="8" w:tplc="04130005" w:tentative="1">
      <w:start w:val="1"/>
      <w:numFmt w:val="bullet"/>
      <w:lvlText w:val=""/>
      <w:lvlJc w:val="left"/>
      <w:pPr>
        <w:ind w:left="6165" w:hanging="360"/>
      </w:pPr>
      <w:rPr>
        <w:rFonts w:ascii="Wingdings" w:hAnsi="Wingdings" w:hint="default"/>
      </w:rPr>
    </w:lvl>
  </w:abstractNum>
  <w:abstractNum w:abstractNumId="2">
    <w:nsid w:val="3C91341D"/>
    <w:multiLevelType w:val="hybridMultilevel"/>
    <w:tmpl w:val="0FCC5C2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44FD676E"/>
    <w:multiLevelType w:val="hybridMultilevel"/>
    <w:tmpl w:val="96C8F24A"/>
    <w:lvl w:ilvl="0" w:tplc="5C56E8D4">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nsid w:val="61314E62"/>
    <w:multiLevelType w:val="hybridMultilevel"/>
    <w:tmpl w:val="27B0D624"/>
    <w:lvl w:ilvl="0" w:tplc="7CE4D8A0">
      <w:start w:val="1"/>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6B6300C0"/>
    <w:multiLevelType w:val="hybridMultilevel"/>
    <w:tmpl w:val="5E740A24"/>
    <w:lvl w:ilvl="0" w:tplc="04130001">
      <w:numFmt w:val="bullet"/>
      <w:lvlText w:val=""/>
      <w:lvlJc w:val="left"/>
      <w:pPr>
        <w:ind w:left="720" w:hanging="360"/>
      </w:pPr>
      <w:rPr>
        <w:rFonts w:ascii="Symbol" w:eastAsia="Times New Roman"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nsid w:val="7D587194"/>
    <w:multiLevelType w:val="hybridMultilevel"/>
    <w:tmpl w:val="2A38F4F2"/>
    <w:lvl w:ilvl="0" w:tplc="CD04A8BE">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2"/>
  </w:num>
  <w:num w:numId="4">
    <w:abstractNumId w:val="5"/>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599"/>
    <w:rsid w:val="001026E3"/>
    <w:rsid w:val="00113AD2"/>
    <w:rsid w:val="001241C3"/>
    <w:rsid w:val="00136306"/>
    <w:rsid w:val="00184ED0"/>
    <w:rsid w:val="001B2599"/>
    <w:rsid w:val="0022160F"/>
    <w:rsid w:val="00272684"/>
    <w:rsid w:val="00331D98"/>
    <w:rsid w:val="00384AA7"/>
    <w:rsid w:val="003F60A4"/>
    <w:rsid w:val="00433D6E"/>
    <w:rsid w:val="00473F94"/>
    <w:rsid w:val="004978B2"/>
    <w:rsid w:val="004D27FA"/>
    <w:rsid w:val="006330E6"/>
    <w:rsid w:val="00642800"/>
    <w:rsid w:val="00662B6D"/>
    <w:rsid w:val="008B2B7E"/>
    <w:rsid w:val="008E7182"/>
    <w:rsid w:val="0090136F"/>
    <w:rsid w:val="0093433F"/>
    <w:rsid w:val="00954048"/>
    <w:rsid w:val="00AD11D5"/>
    <w:rsid w:val="00B030E0"/>
    <w:rsid w:val="00B738A9"/>
    <w:rsid w:val="00B91C9D"/>
    <w:rsid w:val="00C34BE5"/>
    <w:rsid w:val="00C418A6"/>
    <w:rsid w:val="00C76542"/>
    <w:rsid w:val="00CD7966"/>
    <w:rsid w:val="00CE705E"/>
    <w:rsid w:val="00D32AEB"/>
    <w:rsid w:val="00DF2D7C"/>
    <w:rsid w:val="00E06CD1"/>
    <w:rsid w:val="00E856CB"/>
    <w:rsid w:val="00F128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rsid w:val="001B2599"/>
    <w:rPr>
      <w:sz w:val="20"/>
      <w:szCs w:val="20"/>
    </w:rPr>
  </w:style>
  <w:style w:type="character" w:customStyle="1" w:styleId="VoetnoottekstChar">
    <w:name w:val="Voetnoottekst Char"/>
    <w:basedOn w:val="Standaardalinea-lettertype"/>
    <w:link w:val="Voetnoottekst"/>
    <w:rsid w:val="001B2599"/>
  </w:style>
  <w:style w:type="character" w:styleId="Voetnootmarkering">
    <w:name w:val="footnote reference"/>
    <w:basedOn w:val="Standaardalinea-lettertype"/>
    <w:rsid w:val="001B2599"/>
    <w:rPr>
      <w:vertAlign w:val="superscript"/>
    </w:rPr>
  </w:style>
  <w:style w:type="table" w:styleId="Tabelraster">
    <w:name w:val="Table Grid"/>
    <w:basedOn w:val="Standaardtabel"/>
    <w:rsid w:val="001B25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B030E0"/>
    <w:pPr>
      <w:ind w:left="720"/>
      <w:contextualSpacing/>
    </w:pPr>
  </w:style>
  <w:style w:type="character" w:styleId="Hyperlink">
    <w:name w:val="Hyperlink"/>
    <w:basedOn w:val="Standaardalinea-lettertype"/>
    <w:rsid w:val="00B91C9D"/>
    <w:rPr>
      <w:color w:val="0000FF" w:themeColor="hyperlink"/>
      <w:u w:val="single"/>
    </w:rPr>
  </w:style>
  <w:style w:type="character" w:styleId="GevolgdeHyperlink">
    <w:name w:val="FollowedHyperlink"/>
    <w:basedOn w:val="Standaardalinea-lettertype"/>
    <w:rsid w:val="00642800"/>
    <w:rPr>
      <w:color w:val="800080" w:themeColor="followedHyperlink"/>
      <w:u w:val="single"/>
    </w:rPr>
  </w:style>
  <w:style w:type="paragraph" w:customStyle="1" w:styleId="Default">
    <w:name w:val="Default"/>
    <w:rsid w:val="00642800"/>
    <w:pPr>
      <w:autoSpaceDE w:val="0"/>
      <w:autoSpaceDN w:val="0"/>
      <w:adjustRightInd w:val="0"/>
    </w:pPr>
    <w:rPr>
      <w:color w:val="000000"/>
      <w:sz w:val="24"/>
      <w:szCs w:val="24"/>
    </w:rPr>
  </w:style>
  <w:style w:type="paragraph" w:styleId="Ballontekst">
    <w:name w:val="Balloon Text"/>
    <w:basedOn w:val="Standaard"/>
    <w:link w:val="BallontekstChar"/>
    <w:rsid w:val="00473F94"/>
    <w:rPr>
      <w:rFonts w:ascii="Tahoma" w:hAnsi="Tahoma" w:cs="Tahoma"/>
      <w:sz w:val="16"/>
      <w:szCs w:val="16"/>
    </w:rPr>
  </w:style>
  <w:style w:type="character" w:customStyle="1" w:styleId="BallontekstChar">
    <w:name w:val="Ballontekst Char"/>
    <w:basedOn w:val="Standaardalinea-lettertype"/>
    <w:link w:val="Ballontekst"/>
    <w:rsid w:val="00473F94"/>
    <w:rPr>
      <w:rFonts w:ascii="Tahoma" w:hAnsi="Tahoma" w:cs="Tahoma"/>
      <w:sz w:val="16"/>
      <w:szCs w:val="16"/>
    </w:rPr>
  </w:style>
  <w:style w:type="character" w:styleId="Verwijzingopmerking">
    <w:name w:val="annotation reference"/>
    <w:basedOn w:val="Standaardalinea-lettertype"/>
    <w:rsid w:val="00473F94"/>
    <w:rPr>
      <w:sz w:val="16"/>
      <w:szCs w:val="16"/>
    </w:rPr>
  </w:style>
  <w:style w:type="paragraph" w:styleId="Tekstopmerking">
    <w:name w:val="annotation text"/>
    <w:basedOn w:val="Standaard"/>
    <w:link w:val="TekstopmerkingChar"/>
    <w:rsid w:val="00473F94"/>
    <w:rPr>
      <w:sz w:val="20"/>
      <w:szCs w:val="20"/>
    </w:rPr>
  </w:style>
  <w:style w:type="character" w:customStyle="1" w:styleId="TekstopmerkingChar">
    <w:name w:val="Tekst opmerking Char"/>
    <w:basedOn w:val="Standaardalinea-lettertype"/>
    <w:link w:val="Tekstopmerking"/>
    <w:rsid w:val="00473F94"/>
  </w:style>
  <w:style w:type="paragraph" w:styleId="Onderwerpvanopmerking">
    <w:name w:val="annotation subject"/>
    <w:basedOn w:val="Tekstopmerking"/>
    <w:next w:val="Tekstopmerking"/>
    <w:link w:val="OnderwerpvanopmerkingChar"/>
    <w:rsid w:val="00473F94"/>
    <w:rPr>
      <w:b/>
      <w:bCs/>
    </w:rPr>
  </w:style>
  <w:style w:type="character" w:customStyle="1" w:styleId="OnderwerpvanopmerkingChar">
    <w:name w:val="Onderwerp van opmerking Char"/>
    <w:basedOn w:val="TekstopmerkingChar"/>
    <w:link w:val="Onderwerpvanopmerking"/>
    <w:rsid w:val="00473F9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rsid w:val="001B2599"/>
    <w:rPr>
      <w:sz w:val="20"/>
      <w:szCs w:val="20"/>
    </w:rPr>
  </w:style>
  <w:style w:type="character" w:customStyle="1" w:styleId="VoetnoottekstChar">
    <w:name w:val="Voetnoottekst Char"/>
    <w:basedOn w:val="Standaardalinea-lettertype"/>
    <w:link w:val="Voetnoottekst"/>
    <w:rsid w:val="001B2599"/>
  </w:style>
  <w:style w:type="character" w:styleId="Voetnootmarkering">
    <w:name w:val="footnote reference"/>
    <w:basedOn w:val="Standaardalinea-lettertype"/>
    <w:rsid w:val="001B2599"/>
    <w:rPr>
      <w:vertAlign w:val="superscript"/>
    </w:rPr>
  </w:style>
  <w:style w:type="table" w:styleId="Tabelraster">
    <w:name w:val="Table Grid"/>
    <w:basedOn w:val="Standaardtabel"/>
    <w:rsid w:val="001B25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B030E0"/>
    <w:pPr>
      <w:ind w:left="720"/>
      <w:contextualSpacing/>
    </w:pPr>
  </w:style>
  <w:style w:type="character" w:styleId="Hyperlink">
    <w:name w:val="Hyperlink"/>
    <w:basedOn w:val="Standaardalinea-lettertype"/>
    <w:rsid w:val="00B91C9D"/>
    <w:rPr>
      <w:color w:val="0000FF" w:themeColor="hyperlink"/>
      <w:u w:val="single"/>
    </w:rPr>
  </w:style>
  <w:style w:type="character" w:styleId="GevolgdeHyperlink">
    <w:name w:val="FollowedHyperlink"/>
    <w:basedOn w:val="Standaardalinea-lettertype"/>
    <w:rsid w:val="00642800"/>
    <w:rPr>
      <w:color w:val="800080" w:themeColor="followedHyperlink"/>
      <w:u w:val="single"/>
    </w:rPr>
  </w:style>
  <w:style w:type="paragraph" w:customStyle="1" w:styleId="Default">
    <w:name w:val="Default"/>
    <w:rsid w:val="00642800"/>
    <w:pPr>
      <w:autoSpaceDE w:val="0"/>
      <w:autoSpaceDN w:val="0"/>
      <w:adjustRightInd w:val="0"/>
    </w:pPr>
    <w:rPr>
      <w:color w:val="000000"/>
      <w:sz w:val="24"/>
      <w:szCs w:val="24"/>
    </w:rPr>
  </w:style>
  <w:style w:type="paragraph" w:styleId="Ballontekst">
    <w:name w:val="Balloon Text"/>
    <w:basedOn w:val="Standaard"/>
    <w:link w:val="BallontekstChar"/>
    <w:rsid w:val="00473F94"/>
    <w:rPr>
      <w:rFonts w:ascii="Tahoma" w:hAnsi="Tahoma" w:cs="Tahoma"/>
      <w:sz w:val="16"/>
      <w:szCs w:val="16"/>
    </w:rPr>
  </w:style>
  <w:style w:type="character" w:customStyle="1" w:styleId="BallontekstChar">
    <w:name w:val="Ballontekst Char"/>
    <w:basedOn w:val="Standaardalinea-lettertype"/>
    <w:link w:val="Ballontekst"/>
    <w:rsid w:val="00473F94"/>
    <w:rPr>
      <w:rFonts w:ascii="Tahoma" w:hAnsi="Tahoma" w:cs="Tahoma"/>
      <w:sz w:val="16"/>
      <w:szCs w:val="16"/>
    </w:rPr>
  </w:style>
  <w:style w:type="character" w:styleId="Verwijzingopmerking">
    <w:name w:val="annotation reference"/>
    <w:basedOn w:val="Standaardalinea-lettertype"/>
    <w:rsid w:val="00473F94"/>
    <w:rPr>
      <w:sz w:val="16"/>
      <w:szCs w:val="16"/>
    </w:rPr>
  </w:style>
  <w:style w:type="paragraph" w:styleId="Tekstopmerking">
    <w:name w:val="annotation text"/>
    <w:basedOn w:val="Standaard"/>
    <w:link w:val="TekstopmerkingChar"/>
    <w:rsid w:val="00473F94"/>
    <w:rPr>
      <w:sz w:val="20"/>
      <w:szCs w:val="20"/>
    </w:rPr>
  </w:style>
  <w:style w:type="character" w:customStyle="1" w:styleId="TekstopmerkingChar">
    <w:name w:val="Tekst opmerking Char"/>
    <w:basedOn w:val="Standaardalinea-lettertype"/>
    <w:link w:val="Tekstopmerking"/>
    <w:rsid w:val="00473F94"/>
  </w:style>
  <w:style w:type="paragraph" w:styleId="Onderwerpvanopmerking">
    <w:name w:val="annotation subject"/>
    <w:basedOn w:val="Tekstopmerking"/>
    <w:next w:val="Tekstopmerking"/>
    <w:link w:val="OnderwerpvanopmerkingChar"/>
    <w:rsid w:val="00473F94"/>
    <w:rPr>
      <w:b/>
      <w:bCs/>
    </w:rPr>
  </w:style>
  <w:style w:type="character" w:customStyle="1" w:styleId="OnderwerpvanopmerkingChar">
    <w:name w:val="Onderwerp van opmerking Char"/>
    <w:basedOn w:val="TekstopmerkingChar"/>
    <w:link w:val="Onderwerpvanopmerking"/>
    <w:rsid w:val="00473F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700151">
      <w:bodyDiv w:val="1"/>
      <w:marLeft w:val="0"/>
      <w:marRight w:val="0"/>
      <w:marTop w:val="0"/>
      <w:marBottom w:val="0"/>
      <w:divBdr>
        <w:top w:val="none" w:sz="0" w:space="0" w:color="auto"/>
        <w:left w:val="none" w:sz="0" w:space="0" w:color="auto"/>
        <w:bottom w:val="none" w:sz="0" w:space="0" w:color="auto"/>
        <w:right w:val="none" w:sz="0" w:space="0" w:color="auto"/>
      </w:divBdr>
      <w:divsChild>
        <w:div w:id="481895560">
          <w:marLeft w:val="0"/>
          <w:marRight w:val="0"/>
          <w:marTop w:val="0"/>
          <w:marBottom w:val="0"/>
          <w:divBdr>
            <w:top w:val="none" w:sz="0" w:space="0" w:color="auto"/>
            <w:left w:val="none" w:sz="0" w:space="0" w:color="auto"/>
            <w:bottom w:val="none" w:sz="0" w:space="0" w:color="auto"/>
            <w:right w:val="none" w:sz="0" w:space="0" w:color="auto"/>
          </w:divBdr>
          <w:divsChild>
            <w:div w:id="33192415">
              <w:marLeft w:val="0"/>
              <w:marRight w:val="0"/>
              <w:marTop w:val="0"/>
              <w:marBottom w:val="0"/>
              <w:divBdr>
                <w:top w:val="none" w:sz="0" w:space="0" w:color="auto"/>
                <w:left w:val="none" w:sz="0" w:space="0" w:color="auto"/>
                <w:bottom w:val="none" w:sz="0" w:space="0" w:color="auto"/>
                <w:right w:val="none" w:sz="0" w:space="0" w:color="auto"/>
              </w:divBdr>
              <w:divsChild>
                <w:div w:id="1655714539">
                  <w:marLeft w:val="0"/>
                  <w:marRight w:val="0"/>
                  <w:marTop w:val="0"/>
                  <w:marBottom w:val="0"/>
                  <w:divBdr>
                    <w:top w:val="none" w:sz="0" w:space="0" w:color="auto"/>
                    <w:left w:val="none" w:sz="0" w:space="0" w:color="auto"/>
                    <w:bottom w:val="none" w:sz="0" w:space="0" w:color="auto"/>
                    <w:right w:val="none" w:sz="0" w:space="0" w:color="auto"/>
                  </w:divBdr>
                  <w:divsChild>
                    <w:div w:id="2039970530">
                      <w:marLeft w:val="1"/>
                      <w:marRight w:val="1"/>
                      <w:marTop w:val="0"/>
                      <w:marBottom w:val="0"/>
                      <w:divBdr>
                        <w:top w:val="none" w:sz="0" w:space="0" w:color="auto"/>
                        <w:left w:val="none" w:sz="0" w:space="0" w:color="auto"/>
                        <w:bottom w:val="none" w:sz="0" w:space="0" w:color="auto"/>
                        <w:right w:val="none" w:sz="0" w:space="0" w:color="auto"/>
                      </w:divBdr>
                      <w:divsChild>
                        <w:div w:id="1830557307">
                          <w:marLeft w:val="0"/>
                          <w:marRight w:val="0"/>
                          <w:marTop w:val="0"/>
                          <w:marBottom w:val="0"/>
                          <w:divBdr>
                            <w:top w:val="none" w:sz="0" w:space="0" w:color="auto"/>
                            <w:left w:val="none" w:sz="0" w:space="0" w:color="auto"/>
                            <w:bottom w:val="none" w:sz="0" w:space="0" w:color="auto"/>
                            <w:right w:val="none" w:sz="0" w:space="0" w:color="auto"/>
                          </w:divBdr>
                          <w:divsChild>
                            <w:div w:id="1176262288">
                              <w:marLeft w:val="0"/>
                              <w:marRight w:val="0"/>
                              <w:marTop w:val="0"/>
                              <w:marBottom w:val="360"/>
                              <w:divBdr>
                                <w:top w:val="none" w:sz="0" w:space="0" w:color="auto"/>
                                <w:left w:val="none" w:sz="0" w:space="0" w:color="auto"/>
                                <w:bottom w:val="none" w:sz="0" w:space="0" w:color="auto"/>
                                <w:right w:val="none" w:sz="0" w:space="0" w:color="auto"/>
                              </w:divBdr>
                              <w:divsChild>
                                <w:div w:id="2063282204">
                                  <w:marLeft w:val="0"/>
                                  <w:marRight w:val="0"/>
                                  <w:marTop w:val="0"/>
                                  <w:marBottom w:val="0"/>
                                  <w:divBdr>
                                    <w:top w:val="none" w:sz="0" w:space="0" w:color="auto"/>
                                    <w:left w:val="none" w:sz="0" w:space="0" w:color="auto"/>
                                    <w:bottom w:val="none" w:sz="0" w:space="0" w:color="auto"/>
                                    <w:right w:val="none" w:sz="0" w:space="0" w:color="auto"/>
                                  </w:divBdr>
                                  <w:divsChild>
                                    <w:div w:id="762727436">
                                      <w:marLeft w:val="0"/>
                                      <w:marRight w:val="0"/>
                                      <w:marTop w:val="0"/>
                                      <w:marBottom w:val="0"/>
                                      <w:divBdr>
                                        <w:top w:val="none" w:sz="0" w:space="0" w:color="auto"/>
                                        <w:left w:val="none" w:sz="0" w:space="0" w:color="auto"/>
                                        <w:bottom w:val="none" w:sz="0" w:space="0" w:color="auto"/>
                                        <w:right w:val="none" w:sz="0" w:space="0" w:color="auto"/>
                                      </w:divBdr>
                                      <w:divsChild>
                                        <w:div w:id="953252347">
                                          <w:marLeft w:val="0"/>
                                          <w:marRight w:val="0"/>
                                          <w:marTop w:val="0"/>
                                          <w:marBottom w:val="0"/>
                                          <w:divBdr>
                                            <w:top w:val="none" w:sz="0" w:space="0" w:color="auto"/>
                                            <w:left w:val="none" w:sz="0" w:space="0" w:color="auto"/>
                                            <w:bottom w:val="none" w:sz="0" w:space="0" w:color="auto"/>
                                            <w:right w:val="none" w:sz="0" w:space="0" w:color="auto"/>
                                          </w:divBdr>
                                          <w:divsChild>
                                            <w:div w:id="1829469735">
                                              <w:marLeft w:val="0"/>
                                              <w:marRight w:val="0"/>
                                              <w:marTop w:val="0"/>
                                              <w:marBottom w:val="0"/>
                                              <w:divBdr>
                                                <w:top w:val="none" w:sz="0" w:space="0" w:color="auto"/>
                                                <w:left w:val="none" w:sz="0" w:space="0" w:color="auto"/>
                                                <w:bottom w:val="none" w:sz="0" w:space="0" w:color="auto"/>
                                                <w:right w:val="none" w:sz="0" w:space="0" w:color="auto"/>
                                              </w:divBdr>
                                              <w:divsChild>
                                                <w:div w:id="101117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6973037">
      <w:bodyDiv w:val="1"/>
      <w:marLeft w:val="0"/>
      <w:marRight w:val="0"/>
      <w:marTop w:val="0"/>
      <w:marBottom w:val="0"/>
      <w:divBdr>
        <w:top w:val="none" w:sz="0" w:space="0" w:color="auto"/>
        <w:left w:val="none" w:sz="0" w:space="0" w:color="auto"/>
        <w:bottom w:val="none" w:sz="0" w:space="0" w:color="auto"/>
        <w:right w:val="none" w:sz="0" w:space="0" w:color="auto"/>
      </w:divBdr>
      <w:divsChild>
        <w:div w:id="1580600896">
          <w:marLeft w:val="0"/>
          <w:marRight w:val="0"/>
          <w:marTop w:val="0"/>
          <w:marBottom w:val="0"/>
          <w:divBdr>
            <w:top w:val="none" w:sz="0" w:space="0" w:color="auto"/>
            <w:left w:val="none" w:sz="0" w:space="0" w:color="auto"/>
            <w:bottom w:val="none" w:sz="0" w:space="0" w:color="auto"/>
            <w:right w:val="none" w:sz="0" w:space="0" w:color="auto"/>
          </w:divBdr>
          <w:divsChild>
            <w:div w:id="428309742">
              <w:marLeft w:val="0"/>
              <w:marRight w:val="0"/>
              <w:marTop w:val="0"/>
              <w:marBottom w:val="0"/>
              <w:divBdr>
                <w:top w:val="none" w:sz="0" w:space="0" w:color="auto"/>
                <w:left w:val="none" w:sz="0" w:space="0" w:color="auto"/>
                <w:bottom w:val="none" w:sz="0" w:space="0" w:color="auto"/>
                <w:right w:val="none" w:sz="0" w:space="0" w:color="auto"/>
              </w:divBdr>
              <w:divsChild>
                <w:div w:id="661540730">
                  <w:marLeft w:val="0"/>
                  <w:marRight w:val="0"/>
                  <w:marTop w:val="0"/>
                  <w:marBottom w:val="0"/>
                  <w:divBdr>
                    <w:top w:val="none" w:sz="0" w:space="0" w:color="auto"/>
                    <w:left w:val="none" w:sz="0" w:space="0" w:color="auto"/>
                    <w:bottom w:val="none" w:sz="0" w:space="0" w:color="auto"/>
                    <w:right w:val="none" w:sz="0" w:space="0" w:color="auto"/>
                  </w:divBdr>
                  <w:divsChild>
                    <w:div w:id="1489057386">
                      <w:marLeft w:val="1"/>
                      <w:marRight w:val="1"/>
                      <w:marTop w:val="0"/>
                      <w:marBottom w:val="0"/>
                      <w:divBdr>
                        <w:top w:val="none" w:sz="0" w:space="0" w:color="auto"/>
                        <w:left w:val="none" w:sz="0" w:space="0" w:color="auto"/>
                        <w:bottom w:val="none" w:sz="0" w:space="0" w:color="auto"/>
                        <w:right w:val="none" w:sz="0" w:space="0" w:color="auto"/>
                      </w:divBdr>
                      <w:divsChild>
                        <w:div w:id="1180972652">
                          <w:marLeft w:val="0"/>
                          <w:marRight w:val="0"/>
                          <w:marTop w:val="0"/>
                          <w:marBottom w:val="0"/>
                          <w:divBdr>
                            <w:top w:val="none" w:sz="0" w:space="0" w:color="auto"/>
                            <w:left w:val="none" w:sz="0" w:space="0" w:color="auto"/>
                            <w:bottom w:val="none" w:sz="0" w:space="0" w:color="auto"/>
                            <w:right w:val="none" w:sz="0" w:space="0" w:color="auto"/>
                          </w:divBdr>
                          <w:divsChild>
                            <w:div w:id="546337468">
                              <w:marLeft w:val="0"/>
                              <w:marRight w:val="0"/>
                              <w:marTop w:val="0"/>
                              <w:marBottom w:val="360"/>
                              <w:divBdr>
                                <w:top w:val="none" w:sz="0" w:space="0" w:color="auto"/>
                                <w:left w:val="none" w:sz="0" w:space="0" w:color="auto"/>
                                <w:bottom w:val="none" w:sz="0" w:space="0" w:color="auto"/>
                                <w:right w:val="none" w:sz="0" w:space="0" w:color="auto"/>
                              </w:divBdr>
                              <w:divsChild>
                                <w:div w:id="1490512884">
                                  <w:marLeft w:val="0"/>
                                  <w:marRight w:val="0"/>
                                  <w:marTop w:val="0"/>
                                  <w:marBottom w:val="0"/>
                                  <w:divBdr>
                                    <w:top w:val="none" w:sz="0" w:space="0" w:color="auto"/>
                                    <w:left w:val="none" w:sz="0" w:space="0" w:color="auto"/>
                                    <w:bottom w:val="none" w:sz="0" w:space="0" w:color="auto"/>
                                    <w:right w:val="none" w:sz="0" w:space="0" w:color="auto"/>
                                  </w:divBdr>
                                  <w:divsChild>
                                    <w:div w:id="1583879519">
                                      <w:marLeft w:val="0"/>
                                      <w:marRight w:val="0"/>
                                      <w:marTop w:val="0"/>
                                      <w:marBottom w:val="0"/>
                                      <w:divBdr>
                                        <w:top w:val="none" w:sz="0" w:space="0" w:color="auto"/>
                                        <w:left w:val="none" w:sz="0" w:space="0" w:color="auto"/>
                                        <w:bottom w:val="none" w:sz="0" w:space="0" w:color="auto"/>
                                        <w:right w:val="none" w:sz="0" w:space="0" w:color="auto"/>
                                      </w:divBdr>
                                      <w:divsChild>
                                        <w:div w:id="396365490">
                                          <w:marLeft w:val="0"/>
                                          <w:marRight w:val="0"/>
                                          <w:marTop w:val="0"/>
                                          <w:marBottom w:val="0"/>
                                          <w:divBdr>
                                            <w:top w:val="none" w:sz="0" w:space="0" w:color="auto"/>
                                            <w:left w:val="none" w:sz="0" w:space="0" w:color="auto"/>
                                            <w:bottom w:val="none" w:sz="0" w:space="0" w:color="auto"/>
                                            <w:right w:val="none" w:sz="0" w:space="0" w:color="auto"/>
                                          </w:divBdr>
                                          <w:divsChild>
                                            <w:div w:id="1440829743">
                                              <w:marLeft w:val="0"/>
                                              <w:marRight w:val="0"/>
                                              <w:marTop w:val="0"/>
                                              <w:marBottom w:val="0"/>
                                              <w:divBdr>
                                                <w:top w:val="none" w:sz="0" w:space="0" w:color="auto"/>
                                                <w:left w:val="none" w:sz="0" w:space="0" w:color="auto"/>
                                                <w:bottom w:val="none" w:sz="0" w:space="0" w:color="auto"/>
                                                <w:right w:val="none" w:sz="0" w:space="0" w:color="auto"/>
                                              </w:divBdr>
                                              <w:divsChild>
                                                <w:div w:id="17735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8835405">
      <w:bodyDiv w:val="1"/>
      <w:marLeft w:val="0"/>
      <w:marRight w:val="0"/>
      <w:marTop w:val="0"/>
      <w:marBottom w:val="0"/>
      <w:divBdr>
        <w:top w:val="none" w:sz="0" w:space="0" w:color="auto"/>
        <w:left w:val="none" w:sz="0" w:space="0" w:color="auto"/>
        <w:bottom w:val="none" w:sz="0" w:space="0" w:color="auto"/>
        <w:right w:val="none" w:sz="0" w:space="0" w:color="auto"/>
      </w:divBdr>
    </w:div>
    <w:div w:id="1948613802">
      <w:bodyDiv w:val="1"/>
      <w:marLeft w:val="0"/>
      <w:marRight w:val="0"/>
      <w:marTop w:val="0"/>
      <w:marBottom w:val="0"/>
      <w:divBdr>
        <w:top w:val="none" w:sz="0" w:space="0" w:color="auto"/>
        <w:left w:val="none" w:sz="0" w:space="0" w:color="auto"/>
        <w:bottom w:val="none" w:sz="0" w:space="0" w:color="auto"/>
        <w:right w:val="none" w:sz="0" w:space="0" w:color="auto"/>
      </w:divBdr>
    </w:div>
    <w:div w:id="2020616950">
      <w:bodyDiv w:val="1"/>
      <w:marLeft w:val="0"/>
      <w:marRight w:val="0"/>
      <w:marTop w:val="0"/>
      <w:marBottom w:val="0"/>
      <w:divBdr>
        <w:top w:val="none" w:sz="0" w:space="0" w:color="auto"/>
        <w:left w:val="none" w:sz="0" w:space="0" w:color="auto"/>
        <w:bottom w:val="none" w:sz="0" w:space="0" w:color="auto"/>
        <w:right w:val="none" w:sz="0" w:space="0" w:color="auto"/>
      </w:divBdr>
      <w:divsChild>
        <w:div w:id="1378893932">
          <w:marLeft w:val="0"/>
          <w:marRight w:val="0"/>
          <w:marTop w:val="0"/>
          <w:marBottom w:val="0"/>
          <w:divBdr>
            <w:top w:val="none" w:sz="0" w:space="0" w:color="auto"/>
            <w:left w:val="none" w:sz="0" w:space="0" w:color="auto"/>
            <w:bottom w:val="none" w:sz="0" w:space="0" w:color="auto"/>
            <w:right w:val="none" w:sz="0" w:space="0" w:color="auto"/>
          </w:divBdr>
          <w:divsChild>
            <w:div w:id="1873808006">
              <w:marLeft w:val="0"/>
              <w:marRight w:val="0"/>
              <w:marTop w:val="0"/>
              <w:marBottom w:val="0"/>
              <w:divBdr>
                <w:top w:val="none" w:sz="0" w:space="0" w:color="auto"/>
                <w:left w:val="none" w:sz="0" w:space="0" w:color="auto"/>
                <w:bottom w:val="none" w:sz="0" w:space="0" w:color="auto"/>
                <w:right w:val="none" w:sz="0" w:space="0" w:color="auto"/>
              </w:divBdr>
              <w:divsChild>
                <w:div w:id="364714015">
                  <w:marLeft w:val="0"/>
                  <w:marRight w:val="0"/>
                  <w:marTop w:val="0"/>
                  <w:marBottom w:val="0"/>
                  <w:divBdr>
                    <w:top w:val="none" w:sz="0" w:space="0" w:color="auto"/>
                    <w:left w:val="none" w:sz="0" w:space="0" w:color="auto"/>
                    <w:bottom w:val="none" w:sz="0" w:space="0" w:color="auto"/>
                    <w:right w:val="none" w:sz="0" w:space="0" w:color="auto"/>
                  </w:divBdr>
                  <w:divsChild>
                    <w:div w:id="1102260771">
                      <w:marLeft w:val="1"/>
                      <w:marRight w:val="1"/>
                      <w:marTop w:val="0"/>
                      <w:marBottom w:val="0"/>
                      <w:divBdr>
                        <w:top w:val="none" w:sz="0" w:space="0" w:color="auto"/>
                        <w:left w:val="none" w:sz="0" w:space="0" w:color="auto"/>
                        <w:bottom w:val="none" w:sz="0" w:space="0" w:color="auto"/>
                        <w:right w:val="none" w:sz="0" w:space="0" w:color="auto"/>
                      </w:divBdr>
                      <w:divsChild>
                        <w:div w:id="1887598762">
                          <w:marLeft w:val="0"/>
                          <w:marRight w:val="0"/>
                          <w:marTop w:val="0"/>
                          <w:marBottom w:val="0"/>
                          <w:divBdr>
                            <w:top w:val="none" w:sz="0" w:space="0" w:color="auto"/>
                            <w:left w:val="none" w:sz="0" w:space="0" w:color="auto"/>
                            <w:bottom w:val="none" w:sz="0" w:space="0" w:color="auto"/>
                            <w:right w:val="none" w:sz="0" w:space="0" w:color="auto"/>
                          </w:divBdr>
                          <w:divsChild>
                            <w:div w:id="442964313">
                              <w:marLeft w:val="0"/>
                              <w:marRight w:val="0"/>
                              <w:marTop w:val="0"/>
                              <w:marBottom w:val="360"/>
                              <w:divBdr>
                                <w:top w:val="none" w:sz="0" w:space="0" w:color="auto"/>
                                <w:left w:val="none" w:sz="0" w:space="0" w:color="auto"/>
                                <w:bottom w:val="none" w:sz="0" w:space="0" w:color="auto"/>
                                <w:right w:val="none" w:sz="0" w:space="0" w:color="auto"/>
                              </w:divBdr>
                              <w:divsChild>
                                <w:div w:id="809976353">
                                  <w:marLeft w:val="0"/>
                                  <w:marRight w:val="0"/>
                                  <w:marTop w:val="0"/>
                                  <w:marBottom w:val="0"/>
                                  <w:divBdr>
                                    <w:top w:val="none" w:sz="0" w:space="0" w:color="auto"/>
                                    <w:left w:val="none" w:sz="0" w:space="0" w:color="auto"/>
                                    <w:bottom w:val="none" w:sz="0" w:space="0" w:color="auto"/>
                                    <w:right w:val="none" w:sz="0" w:space="0" w:color="auto"/>
                                  </w:divBdr>
                                  <w:divsChild>
                                    <w:div w:id="196088287">
                                      <w:marLeft w:val="0"/>
                                      <w:marRight w:val="0"/>
                                      <w:marTop w:val="0"/>
                                      <w:marBottom w:val="0"/>
                                      <w:divBdr>
                                        <w:top w:val="none" w:sz="0" w:space="0" w:color="auto"/>
                                        <w:left w:val="none" w:sz="0" w:space="0" w:color="auto"/>
                                        <w:bottom w:val="none" w:sz="0" w:space="0" w:color="auto"/>
                                        <w:right w:val="none" w:sz="0" w:space="0" w:color="auto"/>
                                      </w:divBdr>
                                      <w:divsChild>
                                        <w:div w:id="1014377358">
                                          <w:marLeft w:val="0"/>
                                          <w:marRight w:val="0"/>
                                          <w:marTop w:val="0"/>
                                          <w:marBottom w:val="0"/>
                                          <w:divBdr>
                                            <w:top w:val="none" w:sz="0" w:space="0" w:color="auto"/>
                                            <w:left w:val="none" w:sz="0" w:space="0" w:color="auto"/>
                                            <w:bottom w:val="none" w:sz="0" w:space="0" w:color="auto"/>
                                            <w:right w:val="none" w:sz="0" w:space="0" w:color="auto"/>
                                          </w:divBdr>
                                          <w:divsChild>
                                            <w:div w:id="1603953609">
                                              <w:marLeft w:val="0"/>
                                              <w:marRight w:val="0"/>
                                              <w:marTop w:val="0"/>
                                              <w:marBottom w:val="0"/>
                                              <w:divBdr>
                                                <w:top w:val="none" w:sz="0" w:space="0" w:color="auto"/>
                                                <w:left w:val="none" w:sz="0" w:space="0" w:color="auto"/>
                                                <w:bottom w:val="none" w:sz="0" w:space="0" w:color="auto"/>
                                                <w:right w:val="none" w:sz="0" w:space="0" w:color="auto"/>
                                              </w:divBdr>
                                              <w:divsChild>
                                                <w:div w:id="83958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parlisweb/parlis/Agendapunt.aspx?id=08f9ae0a-7ffc-45a5-9a39-41512c0c9fd2" TargetMode="Externa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2104</ap:Words>
  <ap:Characters>11577</ap:Characters>
  <ap:DocSecurity>4</ap:DocSecurity>
  <ap:Lines>96</ap:Lines>
  <ap:Paragraphs>27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13654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2017-06-07T12:49:00.0000000Z</lastPrinted>
  <dcterms:created xsi:type="dcterms:W3CDTF">2017-06-08T12:54:00.0000000Z</dcterms:created>
  <dcterms:modified xsi:type="dcterms:W3CDTF">2017-06-08T12:54:00.0000000Z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0x0101004909CA2957F29E43A7F1585D8A7579E4</vt:lpwstr>
  </property>
</Properties>
</file>