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3B00CB" w:rsidP="003B00CB" w:rsidRDefault="003B00CB">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356600" w:rsidR="003B00CB" w:rsidP="003B00CB" w:rsidRDefault="003B00CB">
      <w:pPr>
        <w:rPr>
          <w:rFonts w:asciiTheme="minorHAnsi" w:hAnsiTheme="minorHAnsi"/>
          <w:sz w:val="20"/>
          <w:szCs w:val="20"/>
        </w:rPr>
      </w:pPr>
    </w:p>
    <w:p w:rsidRPr="005B10A2" w:rsidR="003B00CB" w:rsidP="003B00CB" w:rsidRDefault="003B00CB">
      <w:pPr>
        <w:rPr>
          <w:rFonts w:asciiTheme="minorHAnsi" w:hAnsiTheme="minorHAnsi"/>
          <w:sz w:val="20"/>
          <w:szCs w:val="20"/>
          <w:u w:val="single"/>
        </w:rPr>
      </w:pPr>
      <w:r w:rsidRPr="005B10A2">
        <w:rPr>
          <w:rFonts w:asciiTheme="minorHAnsi" w:hAnsiTheme="minorHAnsi"/>
          <w:sz w:val="20"/>
          <w:szCs w:val="20"/>
          <w:u w:val="single"/>
        </w:rPr>
        <w:t xml:space="preserve">Integraal overzicht met nieuw gepubliceerde EU-voorstellen t/m week </w:t>
      </w:r>
      <w:r w:rsidR="002A4BA8">
        <w:rPr>
          <w:rFonts w:asciiTheme="minorHAnsi" w:hAnsiTheme="minorHAnsi"/>
          <w:sz w:val="20"/>
          <w:szCs w:val="20"/>
          <w:u w:val="single"/>
        </w:rPr>
        <w:t>21</w:t>
      </w:r>
      <w:r w:rsidRPr="005B10A2">
        <w:rPr>
          <w:rFonts w:asciiTheme="minorHAnsi" w:hAnsiTheme="minorHAnsi"/>
          <w:sz w:val="20"/>
          <w:szCs w:val="20"/>
          <w:u w:val="single"/>
        </w:rPr>
        <w:t xml:space="preserve"> </w:t>
      </w:r>
      <w:r w:rsidR="005B323D">
        <w:rPr>
          <w:rFonts w:asciiTheme="minorHAnsi" w:hAnsiTheme="minorHAnsi"/>
          <w:sz w:val="20"/>
          <w:szCs w:val="20"/>
          <w:u w:val="single"/>
        </w:rPr>
        <w:t>(</w:t>
      </w:r>
      <w:r w:rsidR="002A4BA8">
        <w:rPr>
          <w:rFonts w:asciiTheme="minorHAnsi" w:hAnsiTheme="minorHAnsi"/>
          <w:sz w:val="20"/>
          <w:szCs w:val="20"/>
          <w:u w:val="single"/>
        </w:rPr>
        <w:t>14</w:t>
      </w:r>
      <w:r w:rsidR="00B86BB8">
        <w:rPr>
          <w:rFonts w:asciiTheme="minorHAnsi" w:hAnsiTheme="minorHAnsi"/>
          <w:sz w:val="20"/>
          <w:szCs w:val="20"/>
          <w:u w:val="single"/>
        </w:rPr>
        <w:t xml:space="preserve"> mei</w:t>
      </w:r>
      <w:r w:rsidR="005B323D">
        <w:rPr>
          <w:rFonts w:asciiTheme="minorHAnsi" w:hAnsiTheme="minorHAnsi"/>
          <w:sz w:val="20"/>
          <w:szCs w:val="20"/>
          <w:u w:val="single"/>
        </w:rPr>
        <w:t xml:space="preserve"> 2017</w:t>
      </w:r>
      <w:r w:rsidR="00C60B45">
        <w:rPr>
          <w:rFonts w:asciiTheme="minorHAnsi" w:hAnsiTheme="minorHAnsi"/>
          <w:sz w:val="20"/>
          <w:szCs w:val="20"/>
          <w:u w:val="single"/>
        </w:rPr>
        <w:t xml:space="preserve"> –</w:t>
      </w:r>
      <w:r w:rsidR="00EF48F7">
        <w:rPr>
          <w:rFonts w:asciiTheme="minorHAnsi" w:hAnsiTheme="minorHAnsi"/>
          <w:sz w:val="20"/>
          <w:szCs w:val="20"/>
          <w:u w:val="single"/>
        </w:rPr>
        <w:t xml:space="preserve"> </w:t>
      </w:r>
      <w:r w:rsidR="002A4BA8">
        <w:rPr>
          <w:rFonts w:asciiTheme="minorHAnsi" w:hAnsiTheme="minorHAnsi"/>
          <w:sz w:val="20"/>
          <w:szCs w:val="20"/>
          <w:u w:val="single"/>
        </w:rPr>
        <w:t>30</w:t>
      </w:r>
      <w:r w:rsidR="00B86BB8">
        <w:rPr>
          <w:rFonts w:asciiTheme="minorHAnsi" w:hAnsiTheme="minorHAnsi"/>
          <w:sz w:val="20"/>
          <w:szCs w:val="20"/>
          <w:u w:val="single"/>
        </w:rPr>
        <w:t xml:space="preserve"> mei </w:t>
      </w:r>
      <w:r w:rsidRPr="0027622B" w:rsidR="0027622B">
        <w:rPr>
          <w:rFonts w:asciiTheme="minorHAnsi" w:hAnsiTheme="minorHAnsi"/>
          <w:sz w:val="20"/>
          <w:szCs w:val="20"/>
          <w:u w:val="single"/>
        </w:rPr>
        <w:t xml:space="preserve"> 2017</w:t>
      </w:r>
      <w:r w:rsidRPr="0027622B">
        <w:rPr>
          <w:rFonts w:asciiTheme="minorHAnsi" w:hAnsiTheme="minorHAnsi"/>
          <w:sz w:val="20"/>
          <w:szCs w:val="20"/>
          <w:u w:val="single"/>
        </w:rPr>
        <w:t xml:space="preserve">) d.d. </w:t>
      </w:r>
      <w:r w:rsidR="004E324F">
        <w:rPr>
          <w:rFonts w:asciiTheme="minorHAnsi" w:hAnsiTheme="minorHAnsi"/>
          <w:sz w:val="20"/>
          <w:szCs w:val="20"/>
          <w:u w:val="single"/>
        </w:rPr>
        <w:t>8 juni</w:t>
      </w:r>
      <w:r w:rsidRPr="0027622B" w:rsidR="0027622B">
        <w:rPr>
          <w:rFonts w:asciiTheme="minorHAnsi" w:hAnsiTheme="minorHAnsi"/>
          <w:sz w:val="20"/>
          <w:szCs w:val="20"/>
          <w:u w:val="single"/>
        </w:rPr>
        <w:t xml:space="preserve"> 2017</w:t>
      </w:r>
      <w:r w:rsidRPr="0027622B">
        <w:rPr>
          <w:rFonts w:asciiTheme="minorHAnsi" w:hAnsiTheme="minorHAnsi"/>
          <w:sz w:val="20"/>
          <w:szCs w:val="20"/>
          <w:u w:val="single"/>
        </w:rPr>
        <w:t>.</w:t>
      </w:r>
    </w:p>
    <w:p w:rsidRPr="00356600" w:rsidR="00AB22DA" w:rsidRDefault="001D435F">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670"/>
        <w:gridCol w:w="709"/>
        <w:gridCol w:w="992"/>
        <w:gridCol w:w="3402"/>
      </w:tblGrid>
      <w:tr w:rsidRPr="00356600" w:rsidR="003B00CB" w:rsidTr="00EF48F7">
        <w:trPr>
          <w:trHeight w:val="1550"/>
        </w:trPr>
        <w:tc>
          <w:tcPr>
            <w:tcW w:w="1433"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Publicatie-</w:t>
            </w:r>
          </w:p>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datum</w:t>
            </w:r>
          </w:p>
        </w:tc>
        <w:tc>
          <w:tcPr>
            <w:tcW w:w="70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Voortouw</w:t>
            </w:r>
          </w:p>
        </w:tc>
        <w:tc>
          <w:tcPr>
            <w:tcW w:w="155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Soort</w:t>
            </w:r>
          </w:p>
        </w:tc>
        <w:tc>
          <w:tcPr>
            <w:tcW w:w="5670"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Titel</w:t>
            </w:r>
          </w:p>
        </w:tc>
        <w:tc>
          <w:tcPr>
            <w:tcW w:w="709"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COM-nummer</w:t>
            </w:r>
          </w:p>
        </w:tc>
        <w:tc>
          <w:tcPr>
            <w:tcW w:w="992" w:type="dxa"/>
            <w:textDirection w:val="btLr"/>
          </w:tcPr>
          <w:p w:rsidRPr="00356600" w:rsidR="003B00CB" w:rsidP="005944B2" w:rsidRDefault="003B00CB">
            <w:pPr>
              <w:rPr>
                <w:rFonts w:asciiTheme="minorHAnsi" w:hAnsiTheme="minorHAnsi"/>
                <w:b/>
                <w:bCs/>
                <w:color w:val="000000"/>
                <w:sz w:val="20"/>
                <w:szCs w:val="20"/>
              </w:rPr>
            </w:pPr>
          </w:p>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Deadline</w:t>
            </w:r>
          </w:p>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Sub.toets</w:t>
            </w:r>
          </w:p>
        </w:tc>
        <w:tc>
          <w:tcPr>
            <w:tcW w:w="3402" w:type="dxa"/>
            <w:shd w:val="clear" w:color="auto" w:fill="auto"/>
            <w:textDirection w:val="btLr"/>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Opmerking</w:t>
            </w:r>
          </w:p>
        </w:tc>
      </w:tr>
      <w:tr w:rsidRPr="00356600" w:rsidR="003B00CB" w:rsidTr="00EF48F7">
        <w:trPr>
          <w:trHeight w:val="300"/>
        </w:trPr>
        <w:tc>
          <w:tcPr>
            <w:tcW w:w="1433"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155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5670"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356600" w:rsidR="003B00CB" w:rsidP="005944B2" w:rsidRDefault="003B00CB">
            <w:pPr>
              <w:rPr>
                <w:rFonts w:asciiTheme="minorHAnsi" w:hAnsiTheme="minorHAnsi"/>
                <w:b/>
                <w:bCs/>
                <w:color w:val="000000"/>
                <w:sz w:val="20"/>
                <w:szCs w:val="20"/>
              </w:rPr>
            </w:pPr>
          </w:p>
        </w:tc>
        <w:tc>
          <w:tcPr>
            <w:tcW w:w="3402" w:type="dxa"/>
            <w:tcBorders>
              <w:bottom w:val="single" w:color="auto" w:sz="4" w:space="0"/>
            </w:tcBorders>
            <w:shd w:val="clear" w:color="000000" w:fill="538DD5"/>
            <w:hideMark/>
          </w:tcPr>
          <w:p w:rsidRPr="00356600" w:rsidR="003B00CB" w:rsidP="005944B2" w:rsidRDefault="003B00CB">
            <w:pPr>
              <w:rPr>
                <w:rFonts w:asciiTheme="minorHAnsi" w:hAnsiTheme="minorHAnsi"/>
                <w:b/>
                <w:bCs/>
                <w:color w:val="000000"/>
                <w:sz w:val="20"/>
                <w:szCs w:val="20"/>
              </w:rPr>
            </w:pPr>
            <w:r w:rsidRPr="00356600">
              <w:rPr>
                <w:rFonts w:asciiTheme="minorHAnsi" w:hAnsiTheme="minorHAnsi"/>
                <w:b/>
                <w:bCs/>
                <w:color w:val="000000"/>
                <w:sz w:val="20"/>
                <w:szCs w:val="20"/>
              </w:rPr>
              <w:t> </w:t>
            </w:r>
          </w:p>
        </w:tc>
      </w:tr>
      <w:tr w:rsidRPr="006E1B67" w:rsidR="006E1B67" w:rsidTr="004E3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3"/>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6E1B67" w:rsidR="006E1B67" w:rsidP="004E324F" w:rsidRDefault="006E1B67">
            <w:pPr>
              <w:rPr>
                <w:rFonts w:ascii="Calibri" w:hAnsi="Calibri"/>
                <w:color w:val="000000"/>
                <w:sz w:val="20"/>
                <w:szCs w:val="20"/>
              </w:rPr>
            </w:pPr>
            <w:r w:rsidRPr="006E1B67">
              <w:rPr>
                <w:rFonts w:ascii="Calibri" w:hAnsi="Calibri"/>
                <w:color w:val="000000"/>
                <w:sz w:val="20"/>
                <w:szCs w:val="20"/>
              </w:rPr>
              <w:t>30-mei-17</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6E1B67" w:rsidR="006E1B67" w:rsidP="004E324F" w:rsidRDefault="006E1B67">
            <w:pPr>
              <w:rPr>
                <w:rFonts w:ascii="Calibri" w:hAnsi="Calibri"/>
                <w:color w:val="000000"/>
                <w:sz w:val="20"/>
                <w:szCs w:val="20"/>
              </w:rPr>
            </w:pPr>
            <w:r w:rsidRPr="006E1B67">
              <w:rPr>
                <w:rFonts w:ascii="Calibri" w:hAnsi="Calibri"/>
                <w:color w:val="000000"/>
                <w:sz w:val="20"/>
                <w:szCs w:val="20"/>
              </w:rPr>
              <w:t>EZ</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6E1B67" w:rsidR="006E1B67" w:rsidP="004E324F" w:rsidRDefault="006E1B67">
            <w:pPr>
              <w:rPr>
                <w:rFonts w:ascii="Calibri" w:hAnsi="Calibri"/>
                <w:color w:val="000000"/>
                <w:sz w:val="20"/>
                <w:szCs w:val="20"/>
              </w:rPr>
            </w:pPr>
            <w:r w:rsidRPr="006E1B67">
              <w:rPr>
                <w:rFonts w:ascii="Calibri" w:hAnsi="Calibri"/>
                <w:color w:val="000000"/>
                <w:sz w:val="20"/>
                <w:szCs w:val="20"/>
              </w:rPr>
              <w:t>raadpleging</w:t>
            </w:r>
          </w:p>
        </w:tc>
        <w:tc>
          <w:tcPr>
            <w:tcW w:w="5670" w:type="dxa"/>
            <w:tcBorders>
              <w:top w:val="single" w:color="auto" w:sz="4" w:space="0"/>
              <w:left w:val="nil"/>
              <w:bottom w:val="single" w:color="auto" w:sz="4" w:space="0"/>
              <w:right w:val="nil"/>
            </w:tcBorders>
            <w:shd w:val="clear" w:color="auto" w:fill="FFFFFF" w:themeFill="background1"/>
            <w:noWrap/>
          </w:tcPr>
          <w:p w:rsidRPr="006E1B67" w:rsidR="006E1B67" w:rsidP="004E324F" w:rsidRDefault="006E1B67">
            <w:pPr>
              <w:rPr>
                <w:rFonts w:ascii="Calibri" w:hAnsi="Calibri"/>
                <w:color w:val="000000"/>
                <w:sz w:val="20"/>
                <w:szCs w:val="20"/>
              </w:rPr>
            </w:pPr>
            <w:r w:rsidRPr="006E1B67">
              <w:rPr>
                <w:rFonts w:ascii="Calibri" w:hAnsi="Calibri"/>
                <w:color w:val="000000"/>
                <w:sz w:val="20"/>
                <w:szCs w:val="20"/>
              </w:rPr>
              <w:t>Evaluatie Verordening TEN-E</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6E1B67" w:rsidR="006E1B67" w:rsidP="006E1B67" w:rsidRDefault="001D435F">
            <w:pPr>
              <w:rPr>
                <w:rFonts w:ascii="Calibri" w:hAnsi="Calibri"/>
                <w:color w:val="0000FF"/>
                <w:sz w:val="20"/>
                <w:szCs w:val="20"/>
                <w:u w:val="single"/>
              </w:rPr>
            </w:pPr>
            <w:hyperlink w:history="1" r:id="rId8">
              <w:r w:rsidRPr="006E1B67" w:rsidR="006E1B67">
                <w:rPr>
                  <w:rStyle w:val="Hyperlink"/>
                  <w:rFonts w:ascii="Calibri" w:hAnsi="Calibri"/>
                  <w:sz w:val="20"/>
                  <w:szCs w:val="20"/>
                </w:rPr>
                <w:t>OR</w:t>
              </w:r>
            </w:hyperlink>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6E1B67" w:rsidR="006E1B67" w:rsidP="006E1B67" w:rsidRDefault="006E1B67">
            <w:pPr>
              <w:rPr>
                <w:rFonts w:asciiTheme="minorHAnsi" w:hAnsiTheme="minorHAnsi"/>
                <w:sz w:val="20"/>
                <w:szCs w:val="20"/>
              </w:rPr>
            </w:pPr>
          </w:p>
        </w:tc>
        <w:tc>
          <w:tcPr>
            <w:tcW w:w="3402" w:type="dxa"/>
            <w:tcBorders>
              <w:top w:val="single" w:color="auto" w:sz="4" w:space="0"/>
              <w:left w:val="nil"/>
              <w:bottom w:val="single" w:color="auto" w:sz="4" w:space="0"/>
              <w:right w:val="single" w:color="auto" w:sz="4" w:space="0"/>
            </w:tcBorders>
            <w:shd w:val="clear" w:color="auto" w:fill="FFFFFF" w:themeFill="background1"/>
          </w:tcPr>
          <w:p w:rsidRPr="000538C6" w:rsidR="006E1B67" w:rsidP="004E324F" w:rsidRDefault="006E1B67">
            <w:pPr>
              <w:rPr>
                <w:rFonts w:ascii="Calibri" w:hAnsi="Calibri"/>
                <w:sz w:val="20"/>
                <w:szCs w:val="20"/>
              </w:rPr>
            </w:pPr>
            <w:r w:rsidRPr="000538C6">
              <w:rPr>
                <w:rFonts w:ascii="Calibri" w:hAnsi="Calibri"/>
                <w:sz w:val="20"/>
                <w:szCs w:val="20"/>
              </w:rPr>
              <w:t xml:space="preserve">De raadpleging loopt tot en met </w:t>
            </w:r>
            <w:r>
              <w:rPr>
                <w:rFonts w:ascii="Calibri" w:hAnsi="Calibri"/>
                <w:sz w:val="20"/>
                <w:szCs w:val="20"/>
              </w:rPr>
              <w:t>4 september</w:t>
            </w:r>
            <w:r w:rsidRPr="000538C6">
              <w:rPr>
                <w:rFonts w:ascii="Calibri" w:hAnsi="Calibri"/>
                <w:sz w:val="20"/>
                <w:szCs w:val="20"/>
              </w:rPr>
              <w:t xml:space="preserve"> 2017. </w:t>
            </w:r>
            <w:r w:rsidR="004E324F">
              <w:rPr>
                <w:rFonts w:ascii="Calibri" w:hAnsi="Calibri"/>
                <w:sz w:val="20"/>
                <w:szCs w:val="20"/>
              </w:rPr>
              <w:t xml:space="preserve">Het kabinet heeft aangegeven dat zij niet zullen deelnemen aan de raadpleging. </w:t>
            </w:r>
            <w:r w:rsidRPr="000538C6">
              <w:rPr>
                <w:rFonts w:ascii="Calibri" w:hAnsi="Calibri"/>
                <w:sz w:val="20"/>
                <w:szCs w:val="20"/>
              </w:rPr>
              <w:t xml:space="preserve">Voorstel: </w:t>
            </w:r>
            <w:r w:rsidR="004E324F">
              <w:rPr>
                <w:rFonts w:ascii="Calibri" w:hAnsi="Calibri"/>
                <w:sz w:val="20"/>
                <w:szCs w:val="20"/>
              </w:rPr>
              <w:t xml:space="preserve">voor kennisgeving aannemen. </w:t>
            </w:r>
            <w:r w:rsidRPr="000538C6">
              <w:rPr>
                <w:rFonts w:ascii="Calibri" w:hAnsi="Calibri"/>
                <w:sz w:val="20"/>
                <w:szCs w:val="20"/>
              </w:rPr>
              <w:t xml:space="preserve"> </w:t>
            </w:r>
          </w:p>
        </w:tc>
      </w:tr>
    </w:tbl>
    <w:p w:rsidR="005B323D" w:rsidP="003B00CB" w:rsidRDefault="005B323D">
      <w:pPr>
        <w:pStyle w:val="Voetnoottekst"/>
        <w:rPr>
          <w:rFonts w:asciiTheme="minorHAnsi" w:hAnsiTheme="minorHAnsi"/>
          <w:b/>
        </w:rPr>
      </w:pPr>
    </w:p>
    <w:p w:rsidR="004E324F" w:rsidP="004E324F" w:rsidRDefault="004E324F">
      <w:pPr>
        <w:spacing w:after="200" w:line="276" w:lineRule="auto"/>
        <w:rPr>
          <w:rFonts w:asciiTheme="minorHAnsi" w:hAnsiTheme="minorHAnsi"/>
          <w:b/>
        </w:rPr>
      </w:pPr>
    </w:p>
    <w:p w:rsidRPr="004E324F" w:rsidR="003B00CB" w:rsidP="004E324F" w:rsidRDefault="003B00CB">
      <w:pPr>
        <w:spacing w:after="200" w:line="276" w:lineRule="auto"/>
        <w:rPr>
          <w:rFonts w:asciiTheme="minorHAnsi" w:hAnsiTheme="minorHAnsi"/>
          <w:b/>
          <w:sz w:val="22"/>
          <w:szCs w:val="22"/>
        </w:rPr>
      </w:pPr>
      <w:r w:rsidRPr="004E324F">
        <w:rPr>
          <w:rFonts w:asciiTheme="minorHAnsi" w:hAnsiTheme="minorHAnsi"/>
          <w:b/>
          <w:sz w:val="22"/>
          <w:szCs w:val="22"/>
        </w:rPr>
        <w:t>Bijlage: behandelmogelijkheden EU-voorstellen</w:t>
      </w:r>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356600" w:rsidR="003B00CB" w:rsidP="003B00CB" w:rsidRDefault="003B00CB">
      <w:pPr>
        <w:rPr>
          <w:rFonts w:asciiTheme="minorHAnsi" w:hAnsiTheme="minorHAnsi"/>
          <w:sz w:val="20"/>
          <w:szCs w:val="20"/>
        </w:rPr>
      </w:pPr>
      <w:r w:rsidRPr="00356600">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3B00CB" w:rsidP="003B00CB" w:rsidRDefault="003B00C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3B00CB" w:rsidTr="005944B2">
        <w:tc>
          <w:tcPr>
            <w:tcW w:w="2093" w:type="dxa"/>
          </w:tcPr>
          <w:p w:rsidRPr="00356600" w:rsidR="003B00CB" w:rsidP="005944B2" w:rsidRDefault="003B00CB">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3B00CB" w:rsidP="005944B2" w:rsidRDefault="003B00CB">
            <w:pPr>
              <w:pStyle w:val="Voetnoottekst"/>
              <w:rPr>
                <w:rFonts w:asciiTheme="minorHAnsi" w:hAnsiTheme="minorHAnsi"/>
                <w:b/>
              </w:rPr>
            </w:pPr>
            <w:r w:rsidRPr="00356600">
              <w:rPr>
                <w:rFonts w:asciiTheme="minorHAnsi" w:hAnsiTheme="minorHAnsi"/>
                <w:b/>
              </w:rPr>
              <w:t>Toelichting</w:t>
            </w:r>
          </w:p>
        </w:tc>
        <w:tc>
          <w:tcPr>
            <w:tcW w:w="5103" w:type="dxa"/>
          </w:tcPr>
          <w:p w:rsidRPr="00356600" w:rsidR="003B00CB" w:rsidP="005944B2" w:rsidRDefault="003B00CB">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p>
          <w:p w:rsidRPr="00356600" w:rsidR="003B00CB" w:rsidP="005944B2" w:rsidRDefault="003B00CB">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Verordening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w:t>
            </w:r>
            <w:r w:rsidRPr="00356600">
              <w:rPr>
                <w:rFonts w:asciiTheme="minorHAnsi" w:hAnsiTheme="minorHAnsi"/>
              </w:rPr>
              <w:lastRenderedPageBreak/>
              <w:t xml:space="preserve">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lastRenderedPageBreak/>
              <w:t xml:space="preserve">ambtenaren of Commissaris Europese Commissie (de ‘auteurs’) uitnodigen voor briefing/gesprek, evt. via </w:t>
            </w:r>
            <w:r w:rsidRPr="00356600">
              <w:rPr>
                <w:rFonts w:asciiTheme="minorHAnsi" w:hAnsiTheme="minorHAnsi"/>
              </w:rPr>
              <w:lastRenderedPageBreak/>
              <w:t>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subsidiariteitstoets overwegen: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behandelvoorbehoud overwegen: let op termijn (zie hieronder).</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(i.h.k.v. omzetting naar nationale wetgeving).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lastRenderedPageBreak/>
              <w:t xml:space="preserve">Richtlijn </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(Besluit)</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w:t>
            </w:r>
            <w:r w:rsidRPr="00356600">
              <w:rPr>
                <w:rFonts w:asciiTheme="minorHAnsi" w:hAnsiTheme="minorHAnsi"/>
              </w:rPr>
              <w:lastRenderedPageBreak/>
              <w:t xml:space="preserve">moeten worden beoordeeld. </w:t>
            </w:r>
          </w:p>
        </w:tc>
        <w:tc>
          <w:tcPr>
            <w:tcW w:w="5103" w:type="dxa"/>
            <w:vMerge/>
          </w:tcPr>
          <w:p w:rsidRPr="00356600" w:rsidR="003B00CB" w:rsidP="005944B2" w:rsidRDefault="003B00CB">
            <w:pPr>
              <w:pStyle w:val="Voetnoottekst"/>
              <w:numPr>
                <w:ilvl w:val="0"/>
                <w:numId w:val="2"/>
              </w:numPr>
              <w:ind w:left="317" w:hanging="283"/>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356600" w:rsidR="003B00CB" w:rsidP="005944B2" w:rsidRDefault="003B00CB">
            <w:pPr>
              <w:pStyle w:val="Voetnoottekst"/>
              <w:ind w:left="360"/>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Uitvoerings-handeling</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algemeen overleg/debat bevragen over stand van zaken en appreciatie EU onderhandelingen en NL inzet.</w:t>
            </w:r>
          </w:p>
          <w:p w:rsidRPr="00356600" w:rsidR="003B00CB" w:rsidP="005944B2" w:rsidRDefault="003B00CB">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9">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Handelingen vastgesteld volgens de regelgevingsprocedure met toetsing</w:t>
            </w:r>
          </w:p>
        </w:tc>
        <w:tc>
          <w:tcPr>
            <w:tcW w:w="6946" w:type="dxa"/>
          </w:tcPr>
          <w:p w:rsidRPr="00356600" w:rsidR="003B00CB" w:rsidP="005944B2" w:rsidRDefault="003B00CB">
            <w:pPr>
              <w:rPr>
                <w:rFonts w:asciiTheme="minorHAnsi" w:hAnsiTheme="minorHAnsi"/>
                <w:sz w:val="20"/>
                <w:szCs w:val="20"/>
              </w:rPr>
            </w:pPr>
            <w:r w:rsidRPr="00356600">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356600" w:rsidR="003B00CB" w:rsidP="005944B2" w:rsidRDefault="003B00CB">
            <w:pPr>
              <w:pStyle w:val="Voetnoottekst"/>
              <w:numPr>
                <w:ilvl w:val="0"/>
                <w:numId w:val="1"/>
              </w:numPr>
              <w:rPr>
                <w:rFonts w:asciiTheme="minorHAnsi" w:hAnsiTheme="minorHAnsi"/>
              </w:rPr>
            </w:pP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3B00CB" w:rsidP="005944B2" w:rsidRDefault="003B00CB">
            <w:pPr>
              <w:pStyle w:val="Voetnoottekst"/>
              <w:rPr>
                <w:rFonts w:asciiTheme="minorHAnsi" w:hAnsiTheme="minorHAnsi"/>
              </w:rPr>
            </w:pP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3B00CB" w:rsidP="005944B2" w:rsidRDefault="003B00CB">
            <w:pPr>
              <w:pStyle w:val="Voetnoottekst"/>
              <w:ind w:left="360"/>
              <w:rPr>
                <w:rFonts w:asciiTheme="minorHAnsi" w:hAnsiTheme="minorHAnsi"/>
              </w:rPr>
            </w:pPr>
            <w:r w:rsidRPr="00356600">
              <w:rPr>
                <w:rFonts w:asciiTheme="minorHAnsi" w:hAnsiTheme="minorHAnsi"/>
              </w:rPr>
              <w:t xml:space="preserve">nationale wetgevingstraject (i.h.k.v. omzetting van </w:t>
            </w:r>
            <w:r w:rsidRPr="00356600">
              <w:rPr>
                <w:rFonts w:asciiTheme="minorHAnsi" w:hAnsiTheme="minorHAnsi"/>
              </w:rPr>
              <w:lastRenderedPageBreak/>
              <w:t>richtlijn naar nationale wetgeving).</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Niet-bindende handelingen (soft-law)</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Advies, aanbeveling, mededeling</w:t>
            </w: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p w:rsidRPr="00356600" w:rsidR="003B00CB" w:rsidP="005944B2" w:rsidRDefault="003B00CB">
            <w:pPr>
              <w:jc w:val="right"/>
              <w:rPr>
                <w:rFonts w:asciiTheme="minorHAnsi" w:hAnsiTheme="minorHAnsi"/>
                <w:sz w:val="20"/>
                <w:szCs w:val="20"/>
              </w:rPr>
            </w:pP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3B00CB" w:rsidP="005944B2" w:rsidRDefault="003B00CB">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Groen- en witboek</w:t>
            </w:r>
          </w:p>
        </w:tc>
        <w:tc>
          <w:tcPr>
            <w:tcW w:w="6946"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Groenboek: een discussiestuk, waarmee de Europese Commissie de stand van zaken inventariseert omtrent een onderwerp. Ook doet ze aanbevelingen voor nieuw beleid. </w:t>
            </w:r>
          </w:p>
          <w:p w:rsidRPr="00356600" w:rsidR="003B00CB" w:rsidP="005944B2" w:rsidRDefault="003B00CB">
            <w:pPr>
              <w:pStyle w:val="Voetnoottekst"/>
              <w:rPr>
                <w:rFonts w:asciiTheme="minorHAnsi" w:hAnsiTheme="minorHAnsi"/>
              </w:rPr>
            </w:pPr>
          </w:p>
          <w:p w:rsidRPr="00356600" w:rsidR="003B00CB" w:rsidP="005944B2" w:rsidRDefault="003B00CB">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3B00CB" w:rsidP="005944B2" w:rsidRDefault="003B00CB">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desgewenst ambtenaren EC of Europees Commissaris uitnodigen voor een toelichting.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Openbare raadpleging (consultatie)</w:t>
            </w:r>
          </w:p>
        </w:tc>
        <w:tc>
          <w:tcPr>
            <w:tcW w:w="6946" w:type="dxa"/>
          </w:tcPr>
          <w:p w:rsidRPr="00356600" w:rsidR="003B00CB" w:rsidP="005944B2" w:rsidRDefault="003B00CB">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w:t>
            </w:r>
            <w:r w:rsidRPr="00356600">
              <w:rPr>
                <w:rFonts w:asciiTheme="minorHAnsi" w:hAnsiTheme="minorHAnsi"/>
              </w:rPr>
              <w:lastRenderedPageBreak/>
              <w:t xml:space="preserve">Europees Parlement stuurt. </w:t>
            </w:r>
            <w:hyperlink w:history="1" r:id="rId10">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lastRenderedPageBreak/>
              <w:t>als burger, lid, fractie of in commissieverband (via schriftelijke inbreng in de vorm van een politieke dialoog). meedoen aan de openbare raadpleging.</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 xml:space="preserve">kabinet verzoeken om de concept-kabinetsreactie naar de Kamer te sturen voordat de definitieve versie naar </w:t>
            </w:r>
            <w:r w:rsidRPr="00356600">
              <w:rPr>
                <w:rFonts w:asciiTheme="minorHAnsi" w:hAnsiTheme="minorHAnsi"/>
              </w:rPr>
              <w:lastRenderedPageBreak/>
              <w:t>de Europese Commissie wordt gestuurd, teneinde desgewenst hierover met de bewindspersoon in gesprek te treden.</w:t>
            </w:r>
          </w:p>
          <w:p w:rsidRPr="00356600" w:rsidR="003B00CB" w:rsidP="005944B2" w:rsidRDefault="003B00CB">
            <w:pPr>
              <w:pStyle w:val="Voetnoottekst"/>
              <w:numPr>
                <w:ilvl w:val="0"/>
                <w:numId w:val="1"/>
              </w:numPr>
              <w:autoSpaceDE w:val="0"/>
              <w:autoSpaceDN w:val="0"/>
              <w:rPr>
                <w:rFonts w:asciiTheme="minorHAnsi" w:hAnsiTheme="minorHAnsi"/>
              </w:rPr>
            </w:pPr>
            <w:r w:rsidRPr="00356600">
              <w:rPr>
                <w:rFonts w:asciiTheme="minorHAnsi" w:hAnsiTheme="minorHAnsi"/>
              </w:rPr>
              <w:t>de Kamer ontvangt krachtens de standaard-informatieafspraken de definitieve kabinetsreactie op alle consultaties van de Europese Commissie waarop het kabinet reageert.</w:t>
            </w:r>
          </w:p>
        </w:tc>
      </w:tr>
      <w:tr w:rsidRPr="00356600" w:rsidR="003B00CB" w:rsidTr="005944B2">
        <w:tc>
          <w:tcPr>
            <w:tcW w:w="14142" w:type="dxa"/>
            <w:gridSpan w:val="3"/>
          </w:tcPr>
          <w:p w:rsidRPr="00356600" w:rsidR="003B00CB" w:rsidP="005944B2" w:rsidRDefault="003B00CB">
            <w:pPr>
              <w:pStyle w:val="Voetnoottekst"/>
              <w:rPr>
                <w:rFonts w:asciiTheme="minorHAnsi" w:hAnsiTheme="minorHAnsi"/>
                <w:i/>
              </w:rPr>
            </w:pPr>
            <w:r w:rsidRPr="00356600">
              <w:rPr>
                <w:rFonts w:asciiTheme="minorHAnsi" w:hAnsiTheme="minorHAnsi"/>
                <w:i/>
              </w:rPr>
              <w:lastRenderedPageBreak/>
              <w:t>Uitgelicht: twee specifieke parlementaire instrumenten bij nieuw gepubliceerde EU-voorstellen</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 xml:space="preserve">Subsidiariteitstoets </w:t>
            </w:r>
          </w:p>
          <w:p w:rsidRPr="00356600" w:rsidR="003B00CB" w:rsidP="005944B2" w:rsidRDefault="003B00CB">
            <w:pPr>
              <w:pStyle w:val="Voetnoottekst"/>
              <w:rPr>
                <w:rFonts w:asciiTheme="minorHAnsi" w:hAnsiTheme="minorHAnsi"/>
              </w:rPr>
            </w:pPr>
            <w:r w:rsidRPr="00356600">
              <w:rPr>
                <w:rFonts w:asciiTheme="minorHAnsi" w:hAnsiTheme="minorHAnsi"/>
              </w:rPr>
              <w:t>(richting EU)</w:t>
            </w:r>
          </w:p>
        </w:tc>
        <w:tc>
          <w:tcPr>
            <w:tcW w:w="6946" w:type="dxa"/>
          </w:tcPr>
          <w:p w:rsidRPr="00356600" w:rsidR="003B00CB" w:rsidP="005944B2" w:rsidRDefault="003B00CB">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Elk parlement krijgt 2 stemmen, maar bij een bicameraal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 xml:space="preserve">met andere parlementen in overleg treden t.b.v. behalen meerderheid voor ’gele kaart’ (1/3 stemmen) via parlementaire vertegenwoordiging en/of fractielijnen. </w:t>
            </w:r>
          </w:p>
        </w:tc>
      </w:tr>
      <w:tr w:rsidRPr="00356600" w:rsidR="003B00CB" w:rsidTr="005944B2">
        <w:tc>
          <w:tcPr>
            <w:tcW w:w="2093" w:type="dxa"/>
          </w:tcPr>
          <w:p w:rsidRPr="00356600" w:rsidR="003B00CB" w:rsidP="005944B2" w:rsidRDefault="003B00CB">
            <w:pPr>
              <w:pStyle w:val="Voetnoottekst"/>
              <w:rPr>
                <w:rFonts w:asciiTheme="minorHAnsi" w:hAnsiTheme="minorHAnsi"/>
              </w:rPr>
            </w:pPr>
            <w:r w:rsidRPr="00356600">
              <w:rPr>
                <w:rFonts w:asciiTheme="minorHAnsi" w:hAnsiTheme="minorHAnsi"/>
              </w:rPr>
              <w:t>Behandel-voorbehoud (richting regering)</w:t>
            </w:r>
          </w:p>
        </w:tc>
        <w:tc>
          <w:tcPr>
            <w:tcW w:w="6946" w:type="dxa"/>
          </w:tcPr>
          <w:p w:rsidRPr="00356600" w:rsidR="003B00CB" w:rsidP="005944B2" w:rsidRDefault="003B00CB">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bij wetgevende EU-voorstellen kan een commissie besluiten tot het uitvoeren van een zgn. ‘behandelvoorbehoud’. Over deze brief moet plenair gestemd worden (let op de termijnen).</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3B00CB" w:rsidP="005944B2" w:rsidRDefault="003B00CB">
            <w:pPr>
              <w:pStyle w:val="Voetnoottekst"/>
              <w:numPr>
                <w:ilvl w:val="0"/>
                <w:numId w:val="1"/>
              </w:numPr>
              <w:rPr>
                <w:rFonts w:asciiTheme="minorHAnsi" w:hAnsiTheme="minorHAnsi"/>
              </w:rPr>
            </w:pPr>
            <w:r w:rsidRPr="00356600">
              <w:rPr>
                <w:rFonts w:asciiTheme="minorHAnsi" w:hAnsiTheme="minorHAnsi"/>
              </w:rPr>
              <w:t>kabinetsappreciatie (‘BNC-fiche’) komt voor aangekondigde behandelvoorbehouden binnen drie weken t.b.v. een snelle behandeling.</w:t>
            </w:r>
          </w:p>
          <w:p w:rsidRPr="00356600" w:rsidR="003B00CB" w:rsidP="005944B2" w:rsidRDefault="003B00CB">
            <w:pPr>
              <w:pStyle w:val="Voetnoottekst"/>
              <w:rPr>
                <w:rFonts w:asciiTheme="minorHAnsi" w:hAnsiTheme="minorHAnsi"/>
              </w:rPr>
            </w:pPr>
          </w:p>
        </w:tc>
      </w:tr>
    </w:tbl>
    <w:p w:rsidRPr="00356600" w:rsidR="003B00CB" w:rsidRDefault="003B00CB">
      <w:pPr>
        <w:rPr>
          <w:rFonts w:asciiTheme="minorHAnsi" w:hAnsiTheme="minorHAnsi"/>
          <w:sz w:val="20"/>
          <w:szCs w:val="20"/>
        </w:rPr>
      </w:pPr>
    </w:p>
    <w:sectPr w:rsidRPr="00356600"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847" w:rsidRDefault="00FE0847" w:rsidP="003B00CB">
      <w:r>
        <w:separator/>
      </w:r>
    </w:p>
  </w:endnote>
  <w:endnote w:type="continuationSeparator" w:id="0">
    <w:p w:rsidR="00FE0847" w:rsidRDefault="00FE0847"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847" w:rsidRDefault="00FE0847" w:rsidP="003B00CB">
      <w:r>
        <w:separator/>
      </w:r>
    </w:p>
  </w:footnote>
  <w:footnote w:type="continuationSeparator" w:id="0">
    <w:p w:rsidR="00FE0847" w:rsidRDefault="00FE0847" w:rsidP="003B00CB">
      <w:r>
        <w:continuationSeparator/>
      </w:r>
    </w:p>
  </w:footnote>
  <w:footnote w:id="1">
    <w:p w:rsidR="003B00CB" w:rsidRDefault="003B00CB" w:rsidP="003B00C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3B00CB" w:rsidRPr="00B45904" w:rsidRDefault="003B00CB" w:rsidP="003B00C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4EF5"/>
    <w:rsid w:val="00011166"/>
    <w:rsid w:val="000167D3"/>
    <w:rsid w:val="000538C6"/>
    <w:rsid w:val="001257B9"/>
    <w:rsid w:val="001641B2"/>
    <w:rsid w:val="0016420D"/>
    <w:rsid w:val="00175685"/>
    <w:rsid w:val="001A7A62"/>
    <w:rsid w:val="001C5CB5"/>
    <w:rsid w:val="001D435F"/>
    <w:rsid w:val="00225895"/>
    <w:rsid w:val="0027622B"/>
    <w:rsid w:val="00291102"/>
    <w:rsid w:val="002A4BA8"/>
    <w:rsid w:val="00356600"/>
    <w:rsid w:val="00394DAC"/>
    <w:rsid w:val="003A4D14"/>
    <w:rsid w:val="003B00CB"/>
    <w:rsid w:val="003F2EE4"/>
    <w:rsid w:val="00451237"/>
    <w:rsid w:val="00467106"/>
    <w:rsid w:val="0047022E"/>
    <w:rsid w:val="00482E2E"/>
    <w:rsid w:val="00497A86"/>
    <w:rsid w:val="004E324F"/>
    <w:rsid w:val="004F61E3"/>
    <w:rsid w:val="005059B0"/>
    <w:rsid w:val="005B10A2"/>
    <w:rsid w:val="005B323D"/>
    <w:rsid w:val="005E4AFC"/>
    <w:rsid w:val="0060426E"/>
    <w:rsid w:val="00624124"/>
    <w:rsid w:val="006404DB"/>
    <w:rsid w:val="0069271C"/>
    <w:rsid w:val="006C55D1"/>
    <w:rsid w:val="006E1B67"/>
    <w:rsid w:val="00730CC3"/>
    <w:rsid w:val="00746FC1"/>
    <w:rsid w:val="00755BB0"/>
    <w:rsid w:val="007604EB"/>
    <w:rsid w:val="00975411"/>
    <w:rsid w:val="00A0121B"/>
    <w:rsid w:val="00A64A58"/>
    <w:rsid w:val="00AB569C"/>
    <w:rsid w:val="00AD6887"/>
    <w:rsid w:val="00AE09BD"/>
    <w:rsid w:val="00AF0709"/>
    <w:rsid w:val="00B129F0"/>
    <w:rsid w:val="00B306F2"/>
    <w:rsid w:val="00B86BB8"/>
    <w:rsid w:val="00BA0AEF"/>
    <w:rsid w:val="00BA5136"/>
    <w:rsid w:val="00BE146F"/>
    <w:rsid w:val="00C30329"/>
    <w:rsid w:val="00C60B45"/>
    <w:rsid w:val="00C8738C"/>
    <w:rsid w:val="00C87458"/>
    <w:rsid w:val="00CA7C04"/>
    <w:rsid w:val="00CD5AF9"/>
    <w:rsid w:val="00D825E6"/>
    <w:rsid w:val="00DA2B58"/>
    <w:rsid w:val="00DA780E"/>
    <w:rsid w:val="00DC20FA"/>
    <w:rsid w:val="00E30201"/>
    <w:rsid w:val="00E41E69"/>
    <w:rsid w:val="00EF091E"/>
    <w:rsid w:val="00EF48F7"/>
    <w:rsid w:val="00F84DCA"/>
    <w:rsid w:val="00FA7215"/>
    <w:rsid w:val="00FE08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energy/en/consultations/evaluation-ten-e-regulation"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ec.europa.eu/yourvoice/consultations/index_nl.htm" TargetMode="External" Id="rId10" /><Relationship Type="http://schemas.openxmlformats.org/officeDocument/2006/relationships/settings" Target="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2347</ap:Words>
  <ap:Characters>12911</ap:Characters>
  <ap:DocSecurity>4</ap:DocSecurity>
  <ap:Lines>107</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2017-04-06T12:27:00.0000000Z</lastPrinted>
  <dcterms:created xsi:type="dcterms:W3CDTF">2017-06-08T12:03:00.0000000Z</dcterms:created>
  <dcterms:modified xsi:type="dcterms:W3CDTF">2017-06-08T12:03:00.0000000Z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0x0101004909CA2957F29E43A7F1585D8A7579E4</vt:lpwstr>
  </property>
</Properties>
</file>