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581" w:rsidP="003A0581" w:rsidRDefault="003A0581">
      <w:pPr>
        <w:spacing w:after="0" w:line="240" w:lineRule="auto"/>
        <w:rPr>
          <w:rFonts w:eastAsia="Times New Roman" w:cs="Times New Roman"/>
          <w:b/>
          <w:bCs/>
          <w:color w:val="000000"/>
          <w:szCs w:val="18"/>
          <w:lang w:eastAsia="nl-NL"/>
        </w:rPr>
      </w:pPr>
      <w:r>
        <w:rPr>
          <w:rFonts w:eastAsia="Times New Roman" w:cs="Times New Roman"/>
          <w:b/>
          <w:bCs/>
          <w:color w:val="000000"/>
          <w:szCs w:val="18"/>
          <w:lang w:eastAsia="nl-NL"/>
        </w:rPr>
        <w:t>Bijlage 2: meerjarig uitgavenbeeld</w:t>
      </w:r>
    </w:p>
    <w:p w:rsidR="003A0581" w:rsidP="003A0581" w:rsidRDefault="003A0581">
      <w:pPr>
        <w:spacing w:after="0" w:line="240" w:lineRule="auto"/>
        <w:rPr>
          <w:rFonts w:eastAsia="Times New Roman" w:cs="Times New Roman"/>
          <w:b/>
          <w:bCs/>
          <w:color w:val="000000"/>
          <w:szCs w:val="18"/>
          <w:lang w:eastAsia="nl-NL"/>
        </w:rPr>
      </w:pPr>
    </w:p>
    <w:p w:rsidR="0066283B" w:rsidRDefault="00434E6E">
      <w:r w:rsidRPr="00434E6E">
        <w:t xml:space="preserve">Gezien de samenloop van de publicatie van de Voorjaarsnota 2017 en de </w:t>
      </w:r>
      <w:r w:rsidR="00FB1B3C">
        <w:t xml:space="preserve">kabinetsformatie </w:t>
      </w:r>
      <w:r w:rsidRPr="00434E6E">
        <w:t xml:space="preserve">presenteert deze bijlage het meerjarige beeld van de besluitvorming. De Voorjaarsnota zelf geeft namelijk alleen veranderingen weer die per 2017 ingaan. </w:t>
      </w:r>
    </w:p>
    <w:p w:rsidR="007A154F" w:rsidP="007A154F" w:rsidRDefault="007A154F">
      <w:r>
        <w:t xml:space="preserve">Tabel 1 geeft de meerjarige verandering van het EMU-saldo weer. Het EMU-saldo wordt weergegeven in procenten van het </w:t>
      </w:r>
      <w:proofErr w:type="spellStart"/>
      <w:r>
        <w:t>bbp</w:t>
      </w:r>
      <w:proofErr w:type="spellEnd"/>
      <w:r>
        <w:t>. De reeks besluitvorming wordt verder toegelicht in tabel 2. De inkomsten en uitgaven, en dus het EMU-saldo zijn ook gewijzigd als gevolg van de CEP/MLT raming van het CPB. De nieuwe macro-economische uitgangspunten zorgen voor hogere inkomsten, maar ook voor hogere uitgaven vanwege bijvoorbeeld een hogere loon- en prijsontwikkeling en een hoger rentetarief. De post kas/transverschillen en overig bevat de mutaties die niet onder het uitgavenkader vallen, maar wel effect hebben op het EMU-saldo, zoals de zorgtoeslag en zorgbemiddelingskosten, en kas/transverschillen bij bijvoorbeeld de EU-afdrachten.</w:t>
      </w:r>
    </w:p>
    <w:p w:rsidR="007A154F" w:rsidP="007A154F" w:rsidRDefault="007A154F">
      <w:pPr>
        <w:spacing w:after="0" w:line="240" w:lineRule="auto"/>
        <w:rPr>
          <w:rFonts w:eastAsia="Times New Roman" w:cs="Times New Roman"/>
          <w:b/>
          <w:bCs/>
          <w:color w:val="000000"/>
          <w:szCs w:val="18"/>
          <w:lang w:eastAsia="nl-NL"/>
        </w:rPr>
      </w:pPr>
      <w:r w:rsidRPr="0072658A">
        <w:rPr>
          <w:rFonts w:eastAsia="Times New Roman" w:cs="Times New Roman"/>
          <w:b/>
          <w:bCs/>
          <w:color w:val="000000"/>
          <w:szCs w:val="18"/>
          <w:lang w:eastAsia="nl-NL"/>
        </w:rPr>
        <w:t xml:space="preserve">Tabel </w:t>
      </w:r>
      <w:r>
        <w:rPr>
          <w:rFonts w:eastAsia="Times New Roman" w:cs="Times New Roman"/>
          <w:b/>
          <w:bCs/>
          <w:color w:val="000000"/>
          <w:szCs w:val="18"/>
          <w:lang w:eastAsia="nl-NL"/>
        </w:rPr>
        <w:t>1</w:t>
      </w:r>
      <w:r w:rsidRPr="0072658A">
        <w:rPr>
          <w:rFonts w:eastAsia="Times New Roman" w:cs="Times New Roman"/>
          <w:b/>
          <w:bCs/>
          <w:color w:val="000000"/>
          <w:szCs w:val="18"/>
          <w:lang w:eastAsia="nl-NL"/>
        </w:rPr>
        <w:t>: meerjarig beeld EMU-saldo</w:t>
      </w:r>
    </w:p>
    <w:tbl>
      <w:tblPr>
        <w:tblStyle w:val="Lichtelijst-accent11"/>
        <w:tblW w:w="9352" w:type="dxa"/>
        <w:tblBorders>
          <w:left w:val="none" w:color="auto" w:sz="0" w:space="0"/>
          <w:right w:val="none" w:color="auto" w:sz="0" w:space="0"/>
        </w:tblBorders>
        <w:tblLook w:val="0620"/>
      </w:tblPr>
      <w:tblGrid>
        <w:gridCol w:w="5102"/>
        <w:gridCol w:w="850"/>
        <w:gridCol w:w="850"/>
        <w:gridCol w:w="850"/>
        <w:gridCol w:w="850"/>
        <w:gridCol w:w="850"/>
      </w:tblGrid>
      <w:tr w:rsidRPr="00F57E38" w:rsidR="000C66CF" w:rsidTr="000C66CF">
        <w:trPr>
          <w:cnfStyle w:val="100000000000"/>
          <w:trHeight w:val="225"/>
        </w:trPr>
        <w:tc>
          <w:tcPr>
            <w:tcW w:w="5102" w:type="dxa"/>
            <w:hideMark/>
          </w:tcPr>
          <w:p w:rsidRPr="00F57E38" w:rsidR="00F57E38" w:rsidP="00F57E38" w:rsidRDefault="00F57E38">
            <w:pPr>
              <w:rPr>
                <w:rFonts w:eastAsia="Times New Roman" w:cs="Times New Roman"/>
                <w:color w:val="FFFFFF"/>
                <w:sz w:val="16"/>
                <w:szCs w:val="16"/>
                <w:lang w:eastAsia="nl-NL"/>
              </w:rPr>
            </w:pPr>
            <w:r w:rsidRPr="00F57E38">
              <w:rPr>
                <w:rFonts w:eastAsia="Times New Roman" w:cs="Times New Roman"/>
                <w:color w:val="FFFFFF"/>
                <w:sz w:val="16"/>
                <w:szCs w:val="16"/>
                <w:lang w:eastAsia="nl-NL"/>
              </w:rPr>
              <w:t xml:space="preserve">(in procenten </w:t>
            </w:r>
            <w:proofErr w:type="spellStart"/>
            <w:r w:rsidRPr="00F57E38">
              <w:rPr>
                <w:rFonts w:eastAsia="Times New Roman" w:cs="Times New Roman"/>
                <w:color w:val="FFFFFF"/>
                <w:sz w:val="16"/>
                <w:szCs w:val="16"/>
                <w:lang w:eastAsia="nl-NL"/>
              </w:rPr>
              <w:t>bbp</w:t>
            </w:r>
            <w:proofErr w:type="spellEnd"/>
            <w:r w:rsidRPr="00F57E38">
              <w:rPr>
                <w:rFonts w:eastAsia="Times New Roman" w:cs="Times New Roman"/>
                <w:color w:val="FFFFFF"/>
                <w:sz w:val="16"/>
                <w:szCs w:val="16"/>
                <w:lang w:eastAsia="nl-NL"/>
              </w:rPr>
              <w:t>, + is saldoverbeterend)</w:t>
            </w:r>
          </w:p>
        </w:tc>
        <w:tc>
          <w:tcPr>
            <w:tcW w:w="850" w:type="dxa"/>
            <w:noWrap/>
            <w:hideMark/>
          </w:tcPr>
          <w:p w:rsidRPr="00F57E38" w:rsidR="00F57E38" w:rsidP="00F57E38" w:rsidRDefault="00F57E38">
            <w:pPr>
              <w:jc w:val="right"/>
              <w:rPr>
                <w:rFonts w:eastAsia="Times New Roman" w:cs="Times New Roman"/>
                <w:color w:val="FFFFFF"/>
                <w:sz w:val="16"/>
                <w:szCs w:val="16"/>
                <w:lang w:eastAsia="nl-NL"/>
              </w:rPr>
            </w:pPr>
            <w:r w:rsidRPr="00F57E38">
              <w:rPr>
                <w:rFonts w:eastAsia="Times New Roman" w:cs="Times New Roman"/>
                <w:color w:val="FFFFFF"/>
                <w:sz w:val="16"/>
                <w:szCs w:val="16"/>
                <w:lang w:eastAsia="nl-NL"/>
              </w:rPr>
              <w:t>2017</w:t>
            </w:r>
          </w:p>
        </w:tc>
        <w:tc>
          <w:tcPr>
            <w:tcW w:w="850" w:type="dxa"/>
            <w:noWrap/>
            <w:hideMark/>
          </w:tcPr>
          <w:p w:rsidRPr="00F57E38" w:rsidR="00F57E38" w:rsidP="00F57E38" w:rsidRDefault="00F57E38">
            <w:pPr>
              <w:jc w:val="right"/>
              <w:rPr>
                <w:rFonts w:eastAsia="Times New Roman" w:cs="Times New Roman"/>
                <w:color w:val="FFFFFF"/>
                <w:sz w:val="16"/>
                <w:szCs w:val="16"/>
                <w:lang w:eastAsia="nl-NL"/>
              </w:rPr>
            </w:pPr>
            <w:r w:rsidRPr="00F57E38">
              <w:rPr>
                <w:rFonts w:eastAsia="Times New Roman" w:cs="Times New Roman"/>
                <w:color w:val="FFFFFF"/>
                <w:sz w:val="16"/>
                <w:szCs w:val="16"/>
                <w:lang w:eastAsia="nl-NL"/>
              </w:rPr>
              <w:t>2018</w:t>
            </w:r>
          </w:p>
        </w:tc>
        <w:tc>
          <w:tcPr>
            <w:tcW w:w="850" w:type="dxa"/>
            <w:noWrap/>
            <w:hideMark/>
          </w:tcPr>
          <w:p w:rsidRPr="00F57E38" w:rsidR="00F57E38" w:rsidP="00F57E38" w:rsidRDefault="00F57E38">
            <w:pPr>
              <w:jc w:val="right"/>
              <w:rPr>
                <w:rFonts w:eastAsia="Times New Roman" w:cs="Times New Roman"/>
                <w:color w:val="FFFFFF"/>
                <w:sz w:val="16"/>
                <w:szCs w:val="16"/>
                <w:lang w:eastAsia="nl-NL"/>
              </w:rPr>
            </w:pPr>
            <w:r w:rsidRPr="00F57E38">
              <w:rPr>
                <w:rFonts w:eastAsia="Times New Roman" w:cs="Times New Roman"/>
                <w:color w:val="FFFFFF"/>
                <w:sz w:val="16"/>
                <w:szCs w:val="16"/>
                <w:lang w:eastAsia="nl-NL"/>
              </w:rPr>
              <w:t>2019</w:t>
            </w:r>
          </w:p>
        </w:tc>
        <w:tc>
          <w:tcPr>
            <w:tcW w:w="850" w:type="dxa"/>
            <w:noWrap/>
            <w:hideMark/>
          </w:tcPr>
          <w:p w:rsidRPr="00F57E38" w:rsidR="00F57E38" w:rsidP="00F57E38" w:rsidRDefault="00F57E38">
            <w:pPr>
              <w:jc w:val="right"/>
              <w:rPr>
                <w:rFonts w:eastAsia="Times New Roman" w:cs="Times New Roman"/>
                <w:color w:val="FFFFFF"/>
                <w:sz w:val="16"/>
                <w:szCs w:val="16"/>
                <w:lang w:eastAsia="nl-NL"/>
              </w:rPr>
            </w:pPr>
            <w:r w:rsidRPr="00F57E38">
              <w:rPr>
                <w:rFonts w:eastAsia="Times New Roman" w:cs="Times New Roman"/>
                <w:color w:val="FFFFFF"/>
                <w:sz w:val="16"/>
                <w:szCs w:val="16"/>
                <w:lang w:eastAsia="nl-NL"/>
              </w:rPr>
              <w:t>2020</w:t>
            </w:r>
          </w:p>
        </w:tc>
        <w:tc>
          <w:tcPr>
            <w:tcW w:w="850" w:type="dxa"/>
            <w:noWrap/>
            <w:hideMark/>
          </w:tcPr>
          <w:p w:rsidRPr="00F57E38" w:rsidR="00F57E38" w:rsidP="00F57E38" w:rsidRDefault="00F57E38">
            <w:pPr>
              <w:jc w:val="right"/>
              <w:rPr>
                <w:rFonts w:eastAsia="Times New Roman" w:cs="Times New Roman"/>
                <w:color w:val="FFFFFF"/>
                <w:sz w:val="16"/>
                <w:szCs w:val="16"/>
                <w:lang w:eastAsia="nl-NL"/>
              </w:rPr>
            </w:pPr>
            <w:r w:rsidRPr="00F57E38">
              <w:rPr>
                <w:rFonts w:eastAsia="Times New Roman" w:cs="Times New Roman"/>
                <w:color w:val="FFFFFF"/>
                <w:sz w:val="16"/>
                <w:szCs w:val="16"/>
                <w:lang w:eastAsia="nl-NL"/>
              </w:rPr>
              <w:t>2021</w:t>
            </w:r>
          </w:p>
        </w:tc>
      </w:tr>
      <w:tr w:rsidRPr="00F57E38" w:rsidR="00F57E38" w:rsidTr="000C66CF">
        <w:trPr>
          <w:trHeight w:val="225"/>
        </w:trPr>
        <w:tc>
          <w:tcPr>
            <w:tcW w:w="5102" w:type="dxa"/>
            <w:noWrap/>
            <w:hideMark/>
          </w:tcPr>
          <w:p w:rsidRPr="00F57E38" w:rsidR="00F57E38" w:rsidP="00F57E38" w:rsidRDefault="00F57E38">
            <w:pPr>
              <w:rPr>
                <w:rFonts w:eastAsia="Times New Roman" w:cs="Times New Roman"/>
                <w:b/>
                <w:bCs/>
                <w:color w:val="000000"/>
                <w:szCs w:val="18"/>
                <w:lang w:eastAsia="nl-NL"/>
              </w:rPr>
            </w:pPr>
            <w:r w:rsidRPr="00F57E38">
              <w:rPr>
                <w:rFonts w:eastAsia="Times New Roman" w:cs="Times New Roman"/>
                <w:b/>
                <w:bCs/>
                <w:color w:val="000000"/>
                <w:szCs w:val="18"/>
                <w:lang w:eastAsia="nl-NL"/>
              </w:rPr>
              <w:t>EMU-saldo Miljoenennota 2017</w:t>
            </w:r>
          </w:p>
        </w:tc>
        <w:tc>
          <w:tcPr>
            <w:tcW w:w="850" w:type="dxa"/>
            <w:noWrap/>
            <w:hideMark/>
          </w:tcPr>
          <w:p w:rsidRPr="00F57E38" w:rsidR="00F57E38" w:rsidP="00F57E38" w:rsidRDefault="00F57E38">
            <w:pPr>
              <w:jc w:val="right"/>
              <w:rPr>
                <w:rFonts w:eastAsia="Times New Roman" w:cs="Times New Roman"/>
                <w:b/>
                <w:bCs/>
                <w:color w:val="000000"/>
                <w:szCs w:val="18"/>
                <w:lang w:eastAsia="nl-NL"/>
              </w:rPr>
            </w:pPr>
            <w:r w:rsidRPr="00F57E38">
              <w:rPr>
                <w:rFonts w:eastAsia="Times New Roman" w:cs="Times New Roman"/>
                <w:b/>
                <w:bCs/>
                <w:color w:val="000000"/>
                <w:szCs w:val="18"/>
                <w:lang w:eastAsia="nl-NL"/>
              </w:rPr>
              <w:t>-0,5</w:t>
            </w:r>
          </w:p>
        </w:tc>
        <w:tc>
          <w:tcPr>
            <w:tcW w:w="850" w:type="dxa"/>
            <w:noWrap/>
            <w:hideMark/>
          </w:tcPr>
          <w:p w:rsidRPr="00F57E38" w:rsidR="00F57E38" w:rsidP="00F57E38" w:rsidRDefault="00F57E38">
            <w:pPr>
              <w:jc w:val="right"/>
              <w:rPr>
                <w:rFonts w:eastAsia="Times New Roman" w:cs="Times New Roman"/>
                <w:b/>
                <w:bCs/>
                <w:color w:val="000000"/>
                <w:szCs w:val="18"/>
                <w:lang w:eastAsia="nl-NL"/>
              </w:rPr>
            </w:pPr>
            <w:r w:rsidRPr="00F57E38">
              <w:rPr>
                <w:rFonts w:eastAsia="Times New Roman" w:cs="Times New Roman"/>
                <w:b/>
                <w:bCs/>
                <w:color w:val="000000"/>
                <w:szCs w:val="18"/>
                <w:lang w:eastAsia="nl-NL"/>
              </w:rPr>
              <w:t>-0,2</w:t>
            </w:r>
          </w:p>
        </w:tc>
        <w:tc>
          <w:tcPr>
            <w:tcW w:w="850" w:type="dxa"/>
            <w:noWrap/>
            <w:hideMark/>
          </w:tcPr>
          <w:p w:rsidRPr="00F57E38" w:rsidR="00F57E38" w:rsidP="00F57E38" w:rsidRDefault="00F57E38">
            <w:pPr>
              <w:jc w:val="right"/>
              <w:rPr>
                <w:rFonts w:eastAsia="Times New Roman" w:cs="Times New Roman"/>
                <w:b/>
                <w:bCs/>
                <w:color w:val="000000"/>
                <w:szCs w:val="18"/>
                <w:lang w:eastAsia="nl-NL"/>
              </w:rPr>
            </w:pPr>
            <w:r w:rsidRPr="00F57E38">
              <w:rPr>
                <w:rFonts w:eastAsia="Times New Roman" w:cs="Times New Roman"/>
                <w:b/>
                <w:bCs/>
                <w:color w:val="000000"/>
                <w:szCs w:val="18"/>
                <w:lang w:eastAsia="nl-NL"/>
              </w:rPr>
              <w:t>0,4</w:t>
            </w:r>
          </w:p>
        </w:tc>
        <w:tc>
          <w:tcPr>
            <w:tcW w:w="850" w:type="dxa"/>
            <w:noWrap/>
            <w:hideMark/>
          </w:tcPr>
          <w:p w:rsidRPr="00F57E38" w:rsidR="00F57E38" w:rsidP="00F57E38" w:rsidRDefault="00F57E38">
            <w:pPr>
              <w:jc w:val="right"/>
              <w:rPr>
                <w:rFonts w:eastAsia="Times New Roman" w:cs="Times New Roman"/>
                <w:b/>
                <w:bCs/>
                <w:color w:val="000000"/>
                <w:szCs w:val="18"/>
                <w:lang w:eastAsia="nl-NL"/>
              </w:rPr>
            </w:pPr>
            <w:r w:rsidRPr="00F57E38">
              <w:rPr>
                <w:rFonts w:eastAsia="Times New Roman" w:cs="Times New Roman"/>
                <w:b/>
                <w:bCs/>
                <w:color w:val="000000"/>
                <w:szCs w:val="18"/>
                <w:lang w:eastAsia="nl-NL"/>
              </w:rPr>
              <w:t>0,6</w:t>
            </w:r>
          </w:p>
        </w:tc>
        <w:tc>
          <w:tcPr>
            <w:tcW w:w="850" w:type="dxa"/>
            <w:noWrap/>
            <w:hideMark/>
          </w:tcPr>
          <w:p w:rsidRPr="00F57E38" w:rsidR="00F57E38" w:rsidP="00F57E38" w:rsidRDefault="00F57E38">
            <w:pPr>
              <w:jc w:val="right"/>
              <w:rPr>
                <w:rFonts w:eastAsia="Times New Roman" w:cs="Times New Roman"/>
                <w:b/>
                <w:bCs/>
                <w:color w:val="000000"/>
                <w:szCs w:val="18"/>
                <w:lang w:eastAsia="nl-NL"/>
              </w:rPr>
            </w:pPr>
            <w:r w:rsidRPr="00F57E38">
              <w:rPr>
                <w:rFonts w:eastAsia="Times New Roman" w:cs="Times New Roman"/>
                <w:b/>
                <w:bCs/>
                <w:color w:val="000000"/>
                <w:szCs w:val="18"/>
                <w:lang w:eastAsia="nl-NL"/>
              </w:rPr>
              <w:t>0,8</w:t>
            </w:r>
          </w:p>
        </w:tc>
      </w:tr>
      <w:tr w:rsidRPr="00F57E38" w:rsidR="00F57E38" w:rsidTr="000C66CF">
        <w:trPr>
          <w:trHeight w:val="225"/>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r w:rsidRPr="00F57E38">
              <w:rPr>
                <w:rFonts w:eastAsia="Times New Roman" w:cs="Times New Roman"/>
                <w:color w:val="000000"/>
                <w:szCs w:val="18"/>
                <w:lang w:eastAsia="nl-NL"/>
              </w:rPr>
              <w:t>Inkomsten</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1,1</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1,2</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1,5</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1,5</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1,5</w:t>
            </w:r>
          </w:p>
        </w:tc>
      </w:tr>
      <w:tr w:rsidRPr="00F57E38" w:rsidR="00F57E38" w:rsidTr="000C66CF">
        <w:trPr>
          <w:trHeight w:val="225"/>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r w:rsidRPr="00F57E38">
              <w:rPr>
                <w:rFonts w:eastAsia="Times New Roman" w:cs="Times New Roman"/>
                <w:color w:val="000000"/>
                <w:szCs w:val="18"/>
                <w:lang w:eastAsia="nl-NL"/>
              </w:rPr>
              <w:t>Uitgaven</w:t>
            </w:r>
          </w:p>
        </w:tc>
        <w:tc>
          <w:tcPr>
            <w:tcW w:w="850" w:type="dxa"/>
            <w:noWrap/>
            <w:hideMark/>
          </w:tcPr>
          <w:p w:rsidRPr="00F57E38" w:rsidR="00F57E38" w:rsidP="00F57E38" w:rsidRDefault="00F57E38">
            <w:pPr>
              <w:jc w:val="right"/>
              <w:rPr>
                <w:rFonts w:eastAsia="Times New Roman" w:cs="Times New Roman"/>
                <w:color w:val="000000"/>
                <w:szCs w:val="18"/>
                <w:lang w:eastAsia="nl-NL"/>
              </w:rPr>
            </w:pPr>
          </w:p>
        </w:tc>
        <w:tc>
          <w:tcPr>
            <w:tcW w:w="850" w:type="dxa"/>
            <w:noWrap/>
            <w:hideMark/>
          </w:tcPr>
          <w:p w:rsidRPr="00F57E38" w:rsidR="00F57E38" w:rsidP="00F57E38" w:rsidRDefault="00F57E38">
            <w:pPr>
              <w:jc w:val="right"/>
              <w:rPr>
                <w:rFonts w:eastAsia="Times New Roman" w:cs="Times New Roman"/>
                <w:color w:val="000000"/>
                <w:szCs w:val="18"/>
                <w:lang w:eastAsia="nl-NL"/>
              </w:rPr>
            </w:pPr>
          </w:p>
        </w:tc>
        <w:tc>
          <w:tcPr>
            <w:tcW w:w="850" w:type="dxa"/>
            <w:noWrap/>
            <w:hideMark/>
          </w:tcPr>
          <w:p w:rsidRPr="00F57E38" w:rsidR="00F57E38" w:rsidP="00F57E38" w:rsidRDefault="00F57E38">
            <w:pPr>
              <w:jc w:val="right"/>
              <w:rPr>
                <w:rFonts w:eastAsia="Times New Roman" w:cs="Times New Roman"/>
                <w:color w:val="000000"/>
                <w:szCs w:val="18"/>
                <w:lang w:eastAsia="nl-NL"/>
              </w:rPr>
            </w:pPr>
          </w:p>
        </w:tc>
        <w:tc>
          <w:tcPr>
            <w:tcW w:w="850" w:type="dxa"/>
            <w:noWrap/>
            <w:hideMark/>
          </w:tcPr>
          <w:p w:rsidRPr="00F57E38" w:rsidR="00F57E38" w:rsidP="00F57E38" w:rsidRDefault="00F57E38">
            <w:pPr>
              <w:jc w:val="right"/>
              <w:rPr>
                <w:rFonts w:eastAsia="Times New Roman" w:cs="Times New Roman"/>
                <w:color w:val="000000"/>
                <w:szCs w:val="18"/>
                <w:lang w:eastAsia="nl-NL"/>
              </w:rPr>
            </w:pPr>
          </w:p>
        </w:tc>
        <w:tc>
          <w:tcPr>
            <w:tcW w:w="850" w:type="dxa"/>
            <w:noWrap/>
            <w:hideMark/>
          </w:tcPr>
          <w:p w:rsidRPr="00F57E38" w:rsidR="00F57E38" w:rsidP="00F57E38" w:rsidRDefault="00F57E38">
            <w:pPr>
              <w:jc w:val="right"/>
              <w:rPr>
                <w:rFonts w:eastAsia="Times New Roman" w:cs="Times New Roman"/>
                <w:color w:val="000000"/>
                <w:szCs w:val="18"/>
                <w:lang w:eastAsia="nl-NL"/>
              </w:rPr>
            </w:pPr>
          </w:p>
        </w:tc>
      </w:tr>
      <w:tr w:rsidRPr="00F57E38" w:rsidR="00F57E38" w:rsidTr="000C66CF">
        <w:trPr>
          <w:trHeight w:val="225"/>
        </w:trPr>
        <w:tc>
          <w:tcPr>
            <w:tcW w:w="5102" w:type="dxa"/>
            <w:noWrap/>
            <w:hideMark/>
          </w:tcPr>
          <w:p w:rsidRPr="00F57E38" w:rsidR="00F57E38" w:rsidP="000C66CF" w:rsidRDefault="00F57E38">
            <w:pPr>
              <w:ind w:firstLine="360" w:firstLineChars="200"/>
              <w:rPr>
                <w:rFonts w:eastAsia="Times New Roman" w:cs="Times New Roman"/>
                <w:color w:val="000000"/>
                <w:szCs w:val="18"/>
                <w:lang w:eastAsia="nl-NL"/>
              </w:rPr>
            </w:pPr>
            <w:r w:rsidRPr="00F57E38">
              <w:rPr>
                <w:rFonts w:eastAsia="Times New Roman" w:cs="Times New Roman"/>
                <w:color w:val="000000"/>
                <w:szCs w:val="18"/>
                <w:lang w:eastAsia="nl-NL"/>
              </w:rPr>
              <w:t>Macro-economische doorwerking CEP/MLT</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-0,2</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-0,5</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-0,7</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-0,7</w:t>
            </w:r>
          </w:p>
        </w:tc>
      </w:tr>
      <w:tr w:rsidRPr="00F57E38" w:rsidR="00F57E38" w:rsidTr="000C66CF">
        <w:trPr>
          <w:trHeight w:val="225"/>
        </w:trPr>
        <w:tc>
          <w:tcPr>
            <w:tcW w:w="5102" w:type="dxa"/>
            <w:noWrap/>
            <w:hideMark/>
          </w:tcPr>
          <w:p w:rsidRPr="00F57E38" w:rsidR="00F57E38" w:rsidP="000C66CF" w:rsidRDefault="00F57E38">
            <w:pPr>
              <w:ind w:firstLine="360" w:firstLineChars="200"/>
              <w:rPr>
                <w:rFonts w:eastAsia="Times New Roman" w:cs="Times New Roman"/>
                <w:color w:val="000000"/>
                <w:szCs w:val="18"/>
                <w:lang w:eastAsia="nl-NL"/>
              </w:rPr>
            </w:pPr>
            <w:r w:rsidRPr="00F57E38">
              <w:rPr>
                <w:rFonts w:eastAsia="Times New Roman" w:cs="Times New Roman"/>
                <w:color w:val="000000"/>
                <w:szCs w:val="18"/>
                <w:lang w:eastAsia="nl-NL"/>
              </w:rPr>
              <w:t>Besluitvorming</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-0,1</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-0,4</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-0,3</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-0,2</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-0,2</w:t>
            </w:r>
          </w:p>
        </w:tc>
      </w:tr>
      <w:tr w:rsidRPr="00F57E38" w:rsidR="00F57E38" w:rsidTr="000C66CF">
        <w:trPr>
          <w:trHeight w:val="225"/>
        </w:trPr>
        <w:tc>
          <w:tcPr>
            <w:tcW w:w="5102" w:type="dxa"/>
            <w:noWrap/>
            <w:hideMark/>
          </w:tcPr>
          <w:p w:rsidRPr="00F57E38" w:rsidR="00F57E38" w:rsidP="000C66CF" w:rsidRDefault="00F57E38">
            <w:pPr>
              <w:ind w:firstLine="360" w:firstLineChars="200"/>
              <w:rPr>
                <w:rFonts w:eastAsia="Times New Roman" w:cs="Times New Roman"/>
                <w:color w:val="000000"/>
                <w:szCs w:val="18"/>
                <w:lang w:eastAsia="nl-NL"/>
              </w:rPr>
            </w:pPr>
            <w:r w:rsidRPr="00F57E38">
              <w:rPr>
                <w:rFonts w:eastAsia="Times New Roman" w:cs="Times New Roman"/>
                <w:color w:val="000000"/>
                <w:szCs w:val="18"/>
                <w:lang w:eastAsia="nl-NL"/>
              </w:rPr>
              <w:t>Kas/transverschillen en overig</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-0,2</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0,1</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-0,1</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0,0</w:t>
            </w:r>
          </w:p>
        </w:tc>
      </w:tr>
      <w:tr w:rsidRPr="00F57E38" w:rsidR="00F57E38" w:rsidTr="000C66CF">
        <w:trPr>
          <w:trHeight w:val="225"/>
        </w:trPr>
        <w:tc>
          <w:tcPr>
            <w:tcW w:w="5102" w:type="dxa"/>
            <w:noWrap/>
            <w:hideMark/>
          </w:tcPr>
          <w:p w:rsidRPr="00F57E38" w:rsidR="00F57E38" w:rsidP="00F57E38" w:rsidRDefault="00F57E38">
            <w:pPr>
              <w:rPr>
                <w:rFonts w:eastAsia="Times New Roman" w:cs="Times New Roman"/>
                <w:b/>
                <w:bCs/>
                <w:color w:val="000000"/>
                <w:szCs w:val="18"/>
                <w:lang w:eastAsia="nl-NL"/>
              </w:rPr>
            </w:pPr>
            <w:r w:rsidRPr="00F57E38">
              <w:rPr>
                <w:rFonts w:eastAsia="Times New Roman" w:cs="Times New Roman"/>
                <w:b/>
                <w:bCs/>
                <w:color w:val="000000"/>
                <w:szCs w:val="18"/>
                <w:lang w:eastAsia="nl-NL"/>
              </w:rPr>
              <w:t>EMU-saldo Voorjaarsnota 2017</w:t>
            </w:r>
          </w:p>
        </w:tc>
        <w:tc>
          <w:tcPr>
            <w:tcW w:w="850" w:type="dxa"/>
            <w:noWrap/>
            <w:hideMark/>
          </w:tcPr>
          <w:p w:rsidRPr="00F57E38" w:rsidR="00F57E38" w:rsidP="00F57E38" w:rsidRDefault="00F57E38">
            <w:pPr>
              <w:jc w:val="right"/>
              <w:rPr>
                <w:rFonts w:eastAsia="Times New Roman" w:cs="Times New Roman"/>
                <w:b/>
                <w:bCs/>
                <w:color w:val="000000"/>
                <w:szCs w:val="18"/>
                <w:lang w:eastAsia="nl-NL"/>
              </w:rPr>
            </w:pPr>
            <w:r w:rsidRPr="00F57E38">
              <w:rPr>
                <w:rFonts w:eastAsia="Times New Roman" w:cs="Times New Roman"/>
                <w:b/>
                <w:bCs/>
                <w:color w:val="000000"/>
                <w:szCs w:val="18"/>
                <w:lang w:eastAsia="nl-NL"/>
              </w:rPr>
              <w:t>0,2</w:t>
            </w:r>
          </w:p>
        </w:tc>
        <w:tc>
          <w:tcPr>
            <w:tcW w:w="850" w:type="dxa"/>
            <w:noWrap/>
            <w:hideMark/>
          </w:tcPr>
          <w:p w:rsidRPr="00F57E38" w:rsidR="00F57E38" w:rsidP="00F57E38" w:rsidRDefault="00F57E38">
            <w:pPr>
              <w:jc w:val="right"/>
              <w:rPr>
                <w:rFonts w:eastAsia="Times New Roman" w:cs="Times New Roman"/>
                <w:b/>
                <w:bCs/>
                <w:color w:val="000000"/>
                <w:szCs w:val="18"/>
                <w:lang w:eastAsia="nl-NL"/>
              </w:rPr>
            </w:pPr>
            <w:r w:rsidRPr="00F57E38">
              <w:rPr>
                <w:rFonts w:eastAsia="Times New Roman" w:cs="Times New Roman"/>
                <w:b/>
                <w:bCs/>
                <w:color w:val="000000"/>
                <w:szCs w:val="18"/>
                <w:lang w:eastAsia="nl-NL"/>
              </w:rPr>
              <w:t>0,5</w:t>
            </w:r>
          </w:p>
        </w:tc>
        <w:tc>
          <w:tcPr>
            <w:tcW w:w="850" w:type="dxa"/>
            <w:noWrap/>
            <w:hideMark/>
          </w:tcPr>
          <w:p w:rsidRPr="00F57E38" w:rsidR="00F57E38" w:rsidP="00F57E38" w:rsidRDefault="00F57E38">
            <w:pPr>
              <w:jc w:val="right"/>
              <w:rPr>
                <w:rFonts w:eastAsia="Times New Roman" w:cs="Times New Roman"/>
                <w:b/>
                <w:bCs/>
                <w:color w:val="000000"/>
                <w:szCs w:val="18"/>
                <w:lang w:eastAsia="nl-NL"/>
              </w:rPr>
            </w:pPr>
            <w:r w:rsidRPr="00F57E38">
              <w:rPr>
                <w:rFonts w:eastAsia="Times New Roman" w:cs="Times New Roman"/>
                <w:b/>
                <w:bCs/>
                <w:color w:val="000000"/>
                <w:szCs w:val="18"/>
                <w:lang w:eastAsia="nl-NL"/>
              </w:rPr>
              <w:t>0,9</w:t>
            </w:r>
          </w:p>
        </w:tc>
        <w:tc>
          <w:tcPr>
            <w:tcW w:w="850" w:type="dxa"/>
            <w:noWrap/>
            <w:hideMark/>
          </w:tcPr>
          <w:p w:rsidRPr="00F57E38" w:rsidR="00F57E38" w:rsidP="00F57E38" w:rsidRDefault="00F57E38">
            <w:pPr>
              <w:jc w:val="right"/>
              <w:rPr>
                <w:rFonts w:eastAsia="Times New Roman" w:cs="Times New Roman"/>
                <w:b/>
                <w:bCs/>
                <w:color w:val="000000"/>
                <w:szCs w:val="18"/>
                <w:lang w:eastAsia="nl-NL"/>
              </w:rPr>
            </w:pPr>
            <w:r w:rsidRPr="00F57E38">
              <w:rPr>
                <w:rFonts w:eastAsia="Times New Roman" w:cs="Times New Roman"/>
                <w:b/>
                <w:bCs/>
                <w:color w:val="000000"/>
                <w:szCs w:val="18"/>
                <w:lang w:eastAsia="nl-NL"/>
              </w:rPr>
              <w:t>1,2</w:t>
            </w:r>
          </w:p>
        </w:tc>
        <w:tc>
          <w:tcPr>
            <w:tcW w:w="850" w:type="dxa"/>
            <w:noWrap/>
            <w:hideMark/>
          </w:tcPr>
          <w:p w:rsidRPr="00F57E38" w:rsidR="00F57E38" w:rsidP="00F57E38" w:rsidRDefault="00F57E38">
            <w:pPr>
              <w:jc w:val="right"/>
              <w:rPr>
                <w:rFonts w:eastAsia="Times New Roman" w:cs="Times New Roman"/>
                <w:b/>
                <w:bCs/>
                <w:color w:val="000000"/>
                <w:szCs w:val="18"/>
                <w:lang w:eastAsia="nl-NL"/>
              </w:rPr>
            </w:pPr>
            <w:r w:rsidRPr="00F57E38">
              <w:rPr>
                <w:rFonts w:eastAsia="Times New Roman" w:cs="Times New Roman"/>
                <w:b/>
                <w:bCs/>
                <w:color w:val="000000"/>
                <w:szCs w:val="18"/>
                <w:lang w:eastAsia="nl-NL"/>
              </w:rPr>
              <w:t>1,</w:t>
            </w:r>
            <w:r w:rsidR="008C5BA3">
              <w:rPr>
                <w:rFonts w:eastAsia="Times New Roman" w:cs="Times New Roman"/>
                <w:b/>
                <w:bCs/>
                <w:color w:val="000000"/>
                <w:szCs w:val="18"/>
                <w:lang w:eastAsia="nl-NL"/>
              </w:rPr>
              <w:t>3</w:t>
            </w:r>
          </w:p>
        </w:tc>
      </w:tr>
    </w:tbl>
    <w:p w:rsidR="00F57E38" w:rsidP="007A154F" w:rsidRDefault="00F57E38">
      <w:pPr>
        <w:spacing w:after="0" w:line="240" w:lineRule="auto"/>
        <w:rPr>
          <w:rFonts w:eastAsia="Times New Roman" w:cs="Times New Roman"/>
          <w:b/>
          <w:bCs/>
          <w:color w:val="000000"/>
          <w:szCs w:val="18"/>
          <w:lang w:eastAsia="nl-NL"/>
        </w:rPr>
      </w:pPr>
    </w:p>
    <w:p w:rsidR="00D125B6" w:rsidP="003A0581" w:rsidRDefault="00D125B6">
      <w:pPr>
        <w:spacing w:after="0" w:line="240" w:lineRule="auto"/>
        <w:rPr>
          <w:rFonts w:eastAsia="Times New Roman" w:cs="Times New Roman"/>
          <w:bCs/>
          <w:color w:val="000000"/>
          <w:szCs w:val="18"/>
          <w:lang w:eastAsia="nl-NL"/>
        </w:rPr>
      </w:pPr>
      <w:r>
        <w:rPr>
          <w:rFonts w:eastAsia="Times New Roman" w:cs="Times New Roman"/>
          <w:bCs/>
          <w:color w:val="000000"/>
          <w:szCs w:val="18"/>
          <w:lang w:eastAsia="nl-NL"/>
        </w:rPr>
        <w:t xml:space="preserve">Tabel </w:t>
      </w:r>
      <w:r w:rsidR="007A154F">
        <w:rPr>
          <w:rFonts w:eastAsia="Times New Roman" w:cs="Times New Roman"/>
          <w:bCs/>
          <w:color w:val="000000"/>
          <w:szCs w:val="18"/>
          <w:lang w:eastAsia="nl-NL"/>
        </w:rPr>
        <w:t>2</w:t>
      </w:r>
      <w:r>
        <w:rPr>
          <w:rFonts w:eastAsia="Times New Roman" w:cs="Times New Roman"/>
          <w:bCs/>
          <w:color w:val="000000"/>
          <w:szCs w:val="18"/>
          <w:lang w:eastAsia="nl-NL"/>
        </w:rPr>
        <w:t xml:space="preserve"> geeft een </w:t>
      </w:r>
      <w:r w:rsidR="007A154F">
        <w:rPr>
          <w:rFonts w:eastAsia="Times New Roman" w:cs="Times New Roman"/>
          <w:bCs/>
          <w:color w:val="000000"/>
          <w:szCs w:val="18"/>
          <w:lang w:eastAsia="nl-NL"/>
        </w:rPr>
        <w:t xml:space="preserve">meerjarig </w:t>
      </w:r>
      <w:r>
        <w:rPr>
          <w:rFonts w:eastAsia="Times New Roman" w:cs="Times New Roman"/>
          <w:bCs/>
          <w:color w:val="000000"/>
          <w:szCs w:val="18"/>
          <w:lang w:eastAsia="nl-NL"/>
        </w:rPr>
        <w:t>o</w:t>
      </w:r>
      <w:r w:rsidR="007A154F">
        <w:rPr>
          <w:rFonts w:eastAsia="Times New Roman" w:cs="Times New Roman"/>
          <w:bCs/>
          <w:color w:val="000000"/>
          <w:szCs w:val="18"/>
          <w:lang w:eastAsia="nl-NL"/>
        </w:rPr>
        <w:t>verzicht van de besluitvorming. Posten die in 2017 ingaan worden ook toegelicht in de hoofdtekst van de Voorjaarsnota, en in de bijlage met de Verticale Toelichting per begrotingshoofdstuk.</w:t>
      </w:r>
    </w:p>
    <w:p w:rsidR="007A154F" w:rsidRDefault="007A154F">
      <w:pPr>
        <w:rPr>
          <w:rFonts w:eastAsia="Times New Roman" w:cs="Times New Roman"/>
          <w:b/>
          <w:bCs/>
          <w:color w:val="000000"/>
          <w:szCs w:val="18"/>
          <w:lang w:eastAsia="nl-NL"/>
        </w:rPr>
      </w:pPr>
      <w:r>
        <w:rPr>
          <w:rFonts w:eastAsia="Times New Roman" w:cs="Times New Roman"/>
          <w:b/>
          <w:bCs/>
          <w:color w:val="000000"/>
          <w:szCs w:val="18"/>
          <w:lang w:eastAsia="nl-NL"/>
        </w:rPr>
        <w:br w:type="page"/>
      </w:r>
    </w:p>
    <w:p w:rsidR="00D125B6" w:rsidP="00D125B6" w:rsidRDefault="003D0636">
      <w:pPr>
        <w:spacing w:after="0" w:line="240" w:lineRule="auto"/>
        <w:rPr>
          <w:rFonts w:eastAsia="Times New Roman" w:cs="Times New Roman"/>
          <w:b/>
          <w:bCs/>
          <w:color w:val="000000"/>
          <w:szCs w:val="18"/>
          <w:lang w:eastAsia="nl-NL"/>
        </w:rPr>
      </w:pPr>
      <w:r>
        <w:rPr>
          <w:rFonts w:eastAsia="Times New Roman" w:cs="Times New Roman"/>
          <w:b/>
          <w:bCs/>
          <w:color w:val="000000"/>
          <w:szCs w:val="18"/>
          <w:lang w:eastAsia="nl-NL"/>
        </w:rPr>
        <w:lastRenderedPageBreak/>
        <w:t xml:space="preserve">Tabel </w:t>
      </w:r>
      <w:r w:rsidR="007A154F">
        <w:rPr>
          <w:rFonts w:eastAsia="Times New Roman" w:cs="Times New Roman"/>
          <w:b/>
          <w:bCs/>
          <w:color w:val="000000"/>
          <w:szCs w:val="18"/>
          <w:lang w:eastAsia="nl-NL"/>
        </w:rPr>
        <w:t>2</w:t>
      </w:r>
      <w:r w:rsidRPr="00D125B6" w:rsidR="00D125B6">
        <w:rPr>
          <w:rFonts w:eastAsia="Times New Roman" w:cs="Times New Roman"/>
          <w:b/>
          <w:bCs/>
          <w:color w:val="000000"/>
          <w:szCs w:val="18"/>
          <w:lang w:eastAsia="nl-NL"/>
        </w:rPr>
        <w:t>: meerjarig beeld besluitvorming</w:t>
      </w:r>
    </w:p>
    <w:tbl>
      <w:tblPr>
        <w:tblStyle w:val="Lichtelijst-accent11"/>
        <w:tblW w:w="9352" w:type="dxa"/>
        <w:tblBorders>
          <w:left w:val="none" w:color="auto" w:sz="0" w:space="0"/>
          <w:right w:val="none" w:color="auto" w:sz="0" w:space="0"/>
        </w:tblBorders>
        <w:tblLook w:val="0620"/>
      </w:tblPr>
      <w:tblGrid>
        <w:gridCol w:w="5102"/>
        <w:gridCol w:w="850"/>
        <w:gridCol w:w="850"/>
        <w:gridCol w:w="850"/>
        <w:gridCol w:w="850"/>
        <w:gridCol w:w="850"/>
      </w:tblGrid>
      <w:tr w:rsidRPr="00063E3F" w:rsidR="000C66CF" w:rsidTr="000C66CF">
        <w:trPr>
          <w:cnfStyle w:val="100000000000"/>
          <w:trHeight w:val="225"/>
        </w:trPr>
        <w:tc>
          <w:tcPr>
            <w:tcW w:w="5102" w:type="dxa"/>
            <w:hideMark/>
          </w:tcPr>
          <w:p w:rsidRPr="00063E3F" w:rsidR="00F57E38" w:rsidP="00F57E38" w:rsidRDefault="00F57E38">
            <w:pPr>
              <w:rPr>
                <w:rFonts w:eastAsia="Times New Roman" w:cs="Times New Roman"/>
                <w:color w:val="FFFFFF"/>
                <w:szCs w:val="16"/>
                <w:lang w:eastAsia="nl-NL"/>
              </w:rPr>
            </w:pPr>
            <w:r w:rsidRPr="00063E3F">
              <w:rPr>
                <w:rFonts w:eastAsia="Times New Roman" w:cs="Times New Roman"/>
                <w:color w:val="FFFFFF"/>
                <w:szCs w:val="16"/>
                <w:lang w:eastAsia="nl-NL"/>
              </w:rPr>
              <w:t>(in miljoenen euro, + is saldoverslechterend)</w:t>
            </w:r>
          </w:p>
        </w:tc>
        <w:tc>
          <w:tcPr>
            <w:tcW w:w="850" w:type="dxa"/>
            <w:noWrap/>
            <w:hideMark/>
          </w:tcPr>
          <w:p w:rsidRPr="00063E3F" w:rsidR="00F57E38" w:rsidP="00F57E38" w:rsidRDefault="00F57E38">
            <w:pPr>
              <w:jc w:val="right"/>
              <w:rPr>
                <w:rFonts w:eastAsia="Times New Roman" w:cs="Times New Roman"/>
                <w:color w:val="FFFFFF"/>
                <w:szCs w:val="16"/>
                <w:lang w:eastAsia="nl-NL"/>
              </w:rPr>
            </w:pPr>
            <w:r w:rsidRPr="00063E3F">
              <w:rPr>
                <w:rFonts w:eastAsia="Times New Roman" w:cs="Times New Roman"/>
                <w:color w:val="FFFFFF"/>
                <w:szCs w:val="16"/>
                <w:lang w:eastAsia="nl-NL"/>
              </w:rPr>
              <w:t>2017</w:t>
            </w:r>
          </w:p>
        </w:tc>
        <w:tc>
          <w:tcPr>
            <w:tcW w:w="850" w:type="dxa"/>
            <w:noWrap/>
            <w:hideMark/>
          </w:tcPr>
          <w:p w:rsidRPr="00063E3F" w:rsidR="00F57E38" w:rsidP="00F57E38" w:rsidRDefault="00F57E38">
            <w:pPr>
              <w:jc w:val="right"/>
              <w:rPr>
                <w:rFonts w:eastAsia="Times New Roman" w:cs="Times New Roman"/>
                <w:color w:val="FFFFFF"/>
                <w:szCs w:val="16"/>
                <w:lang w:eastAsia="nl-NL"/>
              </w:rPr>
            </w:pPr>
            <w:r w:rsidRPr="00063E3F">
              <w:rPr>
                <w:rFonts w:eastAsia="Times New Roman" w:cs="Times New Roman"/>
                <w:color w:val="FFFFFF"/>
                <w:szCs w:val="16"/>
                <w:lang w:eastAsia="nl-NL"/>
              </w:rPr>
              <w:t>2018</w:t>
            </w:r>
          </w:p>
        </w:tc>
        <w:tc>
          <w:tcPr>
            <w:tcW w:w="850" w:type="dxa"/>
            <w:noWrap/>
            <w:hideMark/>
          </w:tcPr>
          <w:p w:rsidRPr="00063E3F" w:rsidR="00F57E38" w:rsidP="00F57E38" w:rsidRDefault="00F57E38">
            <w:pPr>
              <w:jc w:val="right"/>
              <w:rPr>
                <w:rFonts w:eastAsia="Times New Roman" w:cs="Times New Roman"/>
                <w:color w:val="FFFFFF"/>
                <w:szCs w:val="16"/>
                <w:lang w:eastAsia="nl-NL"/>
              </w:rPr>
            </w:pPr>
            <w:r w:rsidRPr="00063E3F">
              <w:rPr>
                <w:rFonts w:eastAsia="Times New Roman" w:cs="Times New Roman"/>
                <w:color w:val="FFFFFF"/>
                <w:szCs w:val="16"/>
                <w:lang w:eastAsia="nl-NL"/>
              </w:rPr>
              <w:t>2019</w:t>
            </w:r>
          </w:p>
        </w:tc>
        <w:tc>
          <w:tcPr>
            <w:tcW w:w="850" w:type="dxa"/>
            <w:noWrap/>
            <w:hideMark/>
          </w:tcPr>
          <w:p w:rsidRPr="00063E3F" w:rsidR="00F57E38" w:rsidP="00F57E38" w:rsidRDefault="00F57E38">
            <w:pPr>
              <w:jc w:val="right"/>
              <w:rPr>
                <w:rFonts w:eastAsia="Times New Roman" w:cs="Times New Roman"/>
                <w:color w:val="FFFFFF"/>
                <w:szCs w:val="16"/>
                <w:lang w:eastAsia="nl-NL"/>
              </w:rPr>
            </w:pPr>
            <w:r w:rsidRPr="00063E3F">
              <w:rPr>
                <w:rFonts w:eastAsia="Times New Roman" w:cs="Times New Roman"/>
                <w:color w:val="FFFFFF"/>
                <w:szCs w:val="16"/>
                <w:lang w:eastAsia="nl-NL"/>
              </w:rPr>
              <w:t>2020</w:t>
            </w:r>
          </w:p>
        </w:tc>
        <w:tc>
          <w:tcPr>
            <w:tcW w:w="850" w:type="dxa"/>
            <w:noWrap/>
            <w:hideMark/>
          </w:tcPr>
          <w:p w:rsidRPr="00063E3F" w:rsidR="00F57E38" w:rsidP="00F57E38" w:rsidRDefault="00F57E38">
            <w:pPr>
              <w:jc w:val="right"/>
              <w:rPr>
                <w:rFonts w:eastAsia="Times New Roman" w:cs="Times New Roman"/>
                <w:color w:val="FFFFFF"/>
                <w:szCs w:val="16"/>
                <w:lang w:eastAsia="nl-NL"/>
              </w:rPr>
            </w:pPr>
            <w:r w:rsidRPr="00063E3F">
              <w:rPr>
                <w:rFonts w:eastAsia="Times New Roman" w:cs="Times New Roman"/>
                <w:color w:val="FFFFFF"/>
                <w:szCs w:val="16"/>
                <w:lang w:eastAsia="nl-NL"/>
              </w:rPr>
              <w:t>2021</w:t>
            </w:r>
          </w:p>
        </w:tc>
      </w:tr>
      <w:tr w:rsidRPr="00F57E38" w:rsidR="00F57E38" w:rsidTr="000C66CF">
        <w:trPr>
          <w:trHeight w:val="225"/>
        </w:trPr>
        <w:tc>
          <w:tcPr>
            <w:tcW w:w="5102" w:type="dxa"/>
            <w:noWrap/>
            <w:hideMark/>
          </w:tcPr>
          <w:p w:rsidRPr="00F57E38" w:rsidR="00F57E38" w:rsidP="00F57E38" w:rsidRDefault="00F57E38">
            <w:pPr>
              <w:rPr>
                <w:rFonts w:eastAsia="Times New Roman" w:cs="Times New Roman"/>
                <w:color w:val="000000"/>
                <w:szCs w:val="18"/>
                <w:lang w:eastAsia="nl-NL"/>
              </w:rPr>
            </w:pPr>
            <w:r w:rsidRPr="00F57E38">
              <w:rPr>
                <w:rFonts w:eastAsia="Times New Roman" w:cs="Times New Roman"/>
                <w:color w:val="000000"/>
                <w:szCs w:val="18"/>
                <w:lang w:eastAsia="nl-NL"/>
              </w:rPr>
              <w:t>Generale dossiers</w:t>
            </w: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r>
      <w:tr w:rsidRPr="00F57E38" w:rsidR="00F57E38" w:rsidTr="000C66CF">
        <w:trPr>
          <w:trHeight w:val="240"/>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r w:rsidRPr="00F57E38">
              <w:rPr>
                <w:rFonts w:eastAsia="Times New Roman" w:cs="Times New Roman"/>
                <w:color w:val="000000"/>
                <w:szCs w:val="18"/>
                <w:lang w:eastAsia="nl-NL"/>
              </w:rPr>
              <w:t>DNB winstafdracht</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28</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40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12</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220</w:t>
            </w:r>
          </w:p>
        </w:tc>
      </w:tr>
      <w:tr w:rsidRPr="00F57E38" w:rsidR="00F57E38" w:rsidTr="000C66CF">
        <w:trPr>
          <w:trHeight w:val="240"/>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r w:rsidRPr="00F57E38">
              <w:rPr>
                <w:rFonts w:eastAsia="Times New Roman" w:cs="Times New Roman"/>
                <w:color w:val="000000"/>
                <w:szCs w:val="18"/>
                <w:lang w:eastAsia="nl-NL"/>
              </w:rPr>
              <w:t>Dividend staatsdeelnemingen</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65</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110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75</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75</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50</w:t>
            </w:r>
          </w:p>
        </w:tc>
      </w:tr>
      <w:tr w:rsidRPr="00F57E38" w:rsidR="00F57E38" w:rsidTr="000C66CF">
        <w:trPr>
          <w:trHeight w:val="240"/>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r w:rsidRPr="00F57E38">
              <w:rPr>
                <w:rFonts w:eastAsia="Times New Roman" w:cs="Times New Roman"/>
                <w:color w:val="000000"/>
                <w:szCs w:val="18"/>
                <w:lang w:eastAsia="nl-NL"/>
              </w:rPr>
              <w:t>EU-afdrachten</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-468</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335</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-26</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-26</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68</w:t>
            </w:r>
          </w:p>
        </w:tc>
      </w:tr>
      <w:tr w:rsidRPr="00F57E38" w:rsidR="00F57E38" w:rsidTr="000C66CF">
        <w:trPr>
          <w:trHeight w:val="240"/>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proofErr w:type="spellStart"/>
            <w:r w:rsidRPr="00F57E38">
              <w:rPr>
                <w:rFonts w:eastAsia="Times New Roman" w:cs="Times New Roman"/>
                <w:color w:val="000000"/>
                <w:szCs w:val="18"/>
                <w:lang w:eastAsia="nl-NL"/>
              </w:rPr>
              <w:t>VenJ</w:t>
            </w:r>
            <w:proofErr w:type="spellEnd"/>
            <w:r w:rsidRPr="00F57E38">
              <w:rPr>
                <w:rFonts w:eastAsia="Times New Roman" w:cs="Times New Roman"/>
                <w:color w:val="000000"/>
                <w:szCs w:val="18"/>
                <w:lang w:eastAsia="nl-NL"/>
              </w:rPr>
              <w:t xml:space="preserve"> boetes</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130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130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130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130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130</w:t>
            </w:r>
          </w:p>
        </w:tc>
      </w:tr>
      <w:tr w:rsidRPr="00F57E38" w:rsidR="00F57E38" w:rsidTr="000C66CF">
        <w:trPr>
          <w:trHeight w:val="240"/>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r w:rsidRPr="00F57E38">
              <w:rPr>
                <w:rFonts w:eastAsia="Times New Roman" w:cs="Times New Roman"/>
                <w:color w:val="000000"/>
                <w:szCs w:val="18"/>
                <w:lang w:eastAsia="nl-NL"/>
              </w:rPr>
              <w:t>Rente studiefinanciering</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16</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21</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32</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35</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33</w:t>
            </w:r>
          </w:p>
        </w:tc>
      </w:tr>
      <w:tr w:rsidRPr="00F57E38" w:rsidR="00F57E38" w:rsidTr="000C66CF">
        <w:trPr>
          <w:trHeight w:val="225"/>
        </w:trPr>
        <w:tc>
          <w:tcPr>
            <w:tcW w:w="5102" w:type="dxa"/>
            <w:noWrap/>
            <w:hideMark/>
          </w:tcPr>
          <w:p w:rsidRPr="00F57E38" w:rsidR="00F57E38" w:rsidP="00F57E38" w:rsidRDefault="00F57E38">
            <w:pPr>
              <w:rPr>
                <w:rFonts w:eastAsia="Times New Roman" w:cs="Times New Roman"/>
                <w:color w:val="000000"/>
                <w:szCs w:val="18"/>
                <w:lang w:eastAsia="nl-NL"/>
              </w:rPr>
            </w:pPr>
            <w:r w:rsidRPr="00F57E38">
              <w:rPr>
                <w:rFonts w:eastAsia="Times New Roman" w:cs="Times New Roman"/>
                <w:color w:val="000000"/>
                <w:szCs w:val="18"/>
                <w:lang w:eastAsia="nl-NL"/>
              </w:rPr>
              <w:t>Verdeelsleutels</w:t>
            </w: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r>
      <w:tr w:rsidRPr="00F57E38" w:rsidR="00F57E38" w:rsidTr="000C66CF">
        <w:trPr>
          <w:trHeight w:val="240"/>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proofErr w:type="spellStart"/>
            <w:r w:rsidRPr="00F57E38">
              <w:rPr>
                <w:rFonts w:eastAsia="Times New Roman" w:cs="Times New Roman"/>
                <w:color w:val="000000"/>
                <w:szCs w:val="18"/>
                <w:lang w:eastAsia="nl-NL"/>
              </w:rPr>
              <w:t>ABP-sleutel</w:t>
            </w:r>
            <w:proofErr w:type="spellEnd"/>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342</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342</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342</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342</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342</w:t>
            </w:r>
          </w:p>
        </w:tc>
      </w:tr>
      <w:tr w:rsidRPr="00F57E38" w:rsidR="00F57E38" w:rsidTr="000C66CF">
        <w:trPr>
          <w:trHeight w:val="240"/>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r w:rsidRPr="00F57E38">
              <w:rPr>
                <w:rFonts w:eastAsia="Times New Roman" w:cs="Times New Roman"/>
                <w:color w:val="000000"/>
                <w:szCs w:val="18"/>
                <w:lang w:eastAsia="nl-NL"/>
              </w:rPr>
              <w:t>MH17</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9</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9</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9</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9</w:t>
            </w:r>
          </w:p>
        </w:tc>
      </w:tr>
      <w:tr w:rsidRPr="00F57E38" w:rsidR="00F57E38" w:rsidTr="000C66CF">
        <w:trPr>
          <w:trHeight w:val="240"/>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r w:rsidRPr="00F57E38">
              <w:rPr>
                <w:rFonts w:eastAsia="Times New Roman" w:cs="Times New Roman"/>
                <w:color w:val="000000"/>
                <w:szCs w:val="18"/>
                <w:lang w:eastAsia="nl-NL"/>
              </w:rPr>
              <w:t>Regeringsvliegtuig</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50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r>
      <w:tr w:rsidRPr="00F57E38" w:rsidR="00F57E38" w:rsidTr="000C66CF">
        <w:trPr>
          <w:trHeight w:val="240"/>
        </w:trPr>
        <w:tc>
          <w:tcPr>
            <w:tcW w:w="5102" w:type="dxa"/>
            <w:noWrap/>
            <w:hideMark/>
          </w:tcPr>
          <w:p w:rsidRPr="00F57E38" w:rsidR="00F57E38" w:rsidP="00F57E38" w:rsidRDefault="00F57E38">
            <w:pPr>
              <w:rPr>
                <w:rFonts w:eastAsia="Times New Roman" w:cs="Times New Roman"/>
                <w:color w:val="000000"/>
                <w:szCs w:val="18"/>
                <w:lang w:eastAsia="nl-NL"/>
              </w:rPr>
            </w:pPr>
            <w:r w:rsidRPr="00F57E38">
              <w:rPr>
                <w:rFonts w:eastAsia="Times New Roman" w:cs="Times New Roman"/>
                <w:color w:val="000000"/>
                <w:szCs w:val="18"/>
                <w:lang w:eastAsia="nl-NL"/>
              </w:rPr>
              <w:t>Besparingsverliezen</w:t>
            </w: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r>
      <w:tr w:rsidRPr="00F57E38" w:rsidR="00F57E38" w:rsidTr="000C66CF">
        <w:trPr>
          <w:trHeight w:val="240"/>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proofErr w:type="spellStart"/>
            <w:r w:rsidRPr="00F57E38">
              <w:rPr>
                <w:rFonts w:eastAsia="Times New Roman" w:cs="Times New Roman"/>
                <w:color w:val="000000"/>
                <w:szCs w:val="18"/>
                <w:lang w:eastAsia="nl-NL"/>
              </w:rPr>
              <w:t>Kostendelersnorm</w:t>
            </w:r>
            <w:proofErr w:type="spellEnd"/>
            <w:r w:rsidRPr="00F57E38">
              <w:rPr>
                <w:rFonts w:eastAsia="Times New Roman" w:cs="Times New Roman"/>
                <w:color w:val="000000"/>
                <w:szCs w:val="18"/>
                <w:lang w:eastAsia="nl-NL"/>
              </w:rPr>
              <w:t xml:space="preserve"> AOW</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214</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214</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214</w:t>
            </w:r>
          </w:p>
        </w:tc>
      </w:tr>
      <w:tr w:rsidRPr="00F57E38" w:rsidR="00F57E38" w:rsidTr="000C66CF">
        <w:trPr>
          <w:trHeight w:val="240"/>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proofErr w:type="spellStart"/>
            <w:r w:rsidRPr="00F57E38">
              <w:rPr>
                <w:rFonts w:eastAsia="Times New Roman" w:cs="Times New Roman"/>
                <w:color w:val="000000"/>
                <w:szCs w:val="18"/>
                <w:lang w:eastAsia="nl-NL"/>
              </w:rPr>
              <w:t>WIA-taakstelling</w:t>
            </w:r>
            <w:proofErr w:type="spellEnd"/>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30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40</w:t>
            </w:r>
          </w:p>
        </w:tc>
      </w:tr>
      <w:tr w:rsidRPr="00F57E38" w:rsidR="00F57E38" w:rsidTr="000C66CF">
        <w:trPr>
          <w:trHeight w:val="240"/>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proofErr w:type="spellStart"/>
            <w:r w:rsidRPr="00F57E38">
              <w:rPr>
                <w:rFonts w:eastAsia="Times New Roman" w:cs="Times New Roman"/>
                <w:color w:val="000000"/>
                <w:szCs w:val="18"/>
                <w:lang w:eastAsia="nl-NL"/>
              </w:rPr>
              <w:t>ZW-pilots</w:t>
            </w:r>
            <w:proofErr w:type="spellEnd"/>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15</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15</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15</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15</w:t>
            </w:r>
          </w:p>
        </w:tc>
      </w:tr>
      <w:tr w:rsidRPr="00F57E38" w:rsidR="00F57E38" w:rsidTr="000C66CF">
        <w:trPr>
          <w:trHeight w:val="240"/>
        </w:trPr>
        <w:tc>
          <w:tcPr>
            <w:tcW w:w="5102" w:type="dxa"/>
            <w:noWrap/>
            <w:hideMark/>
          </w:tcPr>
          <w:p w:rsidRPr="00F57E38" w:rsidR="00F57E38" w:rsidP="00063E3F" w:rsidRDefault="00F57E38">
            <w:pPr>
              <w:ind w:left="170"/>
              <w:rPr>
                <w:rFonts w:eastAsia="Times New Roman" w:cs="Times New Roman"/>
                <w:color w:val="000000"/>
                <w:szCs w:val="18"/>
                <w:lang w:eastAsia="nl-NL"/>
              </w:rPr>
            </w:pPr>
            <w:r w:rsidRPr="00F57E38">
              <w:rPr>
                <w:rFonts w:eastAsia="Times New Roman" w:cs="Times New Roman"/>
                <w:color w:val="000000"/>
                <w:szCs w:val="18"/>
                <w:lang w:eastAsia="nl-NL"/>
              </w:rPr>
              <w:t xml:space="preserve">Ongedaan maken korting op </w:t>
            </w:r>
            <w:proofErr w:type="spellStart"/>
            <w:r w:rsidRPr="00F57E38">
              <w:rPr>
                <w:rFonts w:eastAsia="Times New Roman" w:cs="Times New Roman"/>
                <w:color w:val="000000"/>
                <w:szCs w:val="18"/>
                <w:lang w:eastAsia="nl-NL"/>
              </w:rPr>
              <w:t>scholings</w:t>
            </w:r>
            <w:proofErr w:type="spellEnd"/>
            <w:r w:rsidRPr="00F57E38">
              <w:rPr>
                <w:rFonts w:eastAsia="Times New Roman" w:cs="Times New Roman"/>
                <w:color w:val="000000"/>
                <w:szCs w:val="18"/>
                <w:lang w:eastAsia="nl-NL"/>
              </w:rPr>
              <w:t>- en monumentenaftrek</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152</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152</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152</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152</w:t>
            </w:r>
          </w:p>
        </w:tc>
      </w:tr>
      <w:tr w:rsidRPr="00F57E38" w:rsidR="00F57E38" w:rsidTr="000C66CF">
        <w:trPr>
          <w:trHeight w:val="225"/>
        </w:trPr>
        <w:tc>
          <w:tcPr>
            <w:tcW w:w="5102" w:type="dxa"/>
            <w:noWrap/>
            <w:hideMark/>
          </w:tcPr>
          <w:p w:rsidRPr="00F57E38" w:rsidR="00F57E38" w:rsidP="00F57E38" w:rsidRDefault="00F57E38">
            <w:pPr>
              <w:rPr>
                <w:rFonts w:eastAsia="Times New Roman" w:cs="Times New Roman"/>
                <w:color w:val="000000"/>
                <w:szCs w:val="18"/>
                <w:lang w:eastAsia="nl-NL"/>
              </w:rPr>
            </w:pPr>
            <w:r w:rsidRPr="00F57E38">
              <w:rPr>
                <w:rFonts w:eastAsia="Times New Roman" w:cs="Times New Roman"/>
                <w:color w:val="000000"/>
                <w:szCs w:val="18"/>
                <w:lang w:eastAsia="nl-NL"/>
              </w:rPr>
              <w:t>Urgente dossiers</w:t>
            </w: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r>
      <w:tr w:rsidRPr="00F57E38" w:rsidR="00F57E38" w:rsidTr="000C66CF">
        <w:trPr>
          <w:trHeight w:val="225"/>
        </w:trPr>
        <w:tc>
          <w:tcPr>
            <w:tcW w:w="5102" w:type="dxa"/>
            <w:noWrap/>
            <w:hideMark/>
          </w:tcPr>
          <w:p w:rsidRPr="00F57E38" w:rsidR="00F57E38" w:rsidP="008D2B16" w:rsidRDefault="008D2B16">
            <w:pPr>
              <w:ind w:firstLine="180" w:firstLineChars="100"/>
              <w:rPr>
                <w:rFonts w:eastAsia="Times New Roman" w:cs="Times New Roman"/>
                <w:color w:val="000000"/>
                <w:szCs w:val="18"/>
                <w:lang w:eastAsia="nl-NL"/>
              </w:rPr>
            </w:pPr>
            <w:r>
              <w:rPr>
                <w:rFonts w:eastAsia="Times New Roman" w:cs="Times New Roman"/>
                <w:color w:val="000000"/>
                <w:szCs w:val="18"/>
                <w:lang w:eastAsia="nl-NL"/>
              </w:rPr>
              <w:t xml:space="preserve">Capaciteit </w:t>
            </w:r>
            <w:proofErr w:type="spellStart"/>
            <w:r w:rsidRPr="00F57E38" w:rsidR="00F57E38">
              <w:rPr>
                <w:rFonts w:eastAsia="Times New Roman" w:cs="Times New Roman"/>
                <w:color w:val="000000"/>
                <w:szCs w:val="18"/>
                <w:lang w:eastAsia="nl-NL"/>
              </w:rPr>
              <w:t>Kmar</w:t>
            </w:r>
            <w:proofErr w:type="spellEnd"/>
            <w:r w:rsidRPr="00F57E38">
              <w:rPr>
                <w:rFonts w:eastAsia="Times New Roman" w:cs="Times New Roman"/>
                <w:color w:val="000000"/>
                <w:szCs w:val="18"/>
                <w:lang w:eastAsia="nl-NL"/>
              </w:rPr>
              <w:t xml:space="preserve"> </w:t>
            </w:r>
            <w:r>
              <w:rPr>
                <w:rFonts w:eastAsia="Times New Roman" w:cs="Times New Roman"/>
                <w:color w:val="000000"/>
                <w:szCs w:val="18"/>
                <w:lang w:eastAsia="nl-NL"/>
              </w:rPr>
              <w:t>g</w:t>
            </w:r>
            <w:r w:rsidRPr="00F57E38">
              <w:rPr>
                <w:rFonts w:eastAsia="Times New Roman" w:cs="Times New Roman"/>
                <w:color w:val="000000"/>
                <w:szCs w:val="18"/>
                <w:lang w:eastAsia="nl-NL"/>
              </w:rPr>
              <w:t>rensbewaking</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8</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20</w:t>
            </w:r>
          </w:p>
        </w:tc>
      </w:tr>
      <w:tr w:rsidRPr="00F57E38" w:rsidR="00F57E38" w:rsidTr="000C66CF">
        <w:trPr>
          <w:trHeight w:val="240"/>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r w:rsidRPr="00F57E38">
              <w:rPr>
                <w:rFonts w:eastAsia="Times New Roman" w:cs="Times New Roman"/>
                <w:color w:val="000000"/>
                <w:szCs w:val="18"/>
                <w:lang w:eastAsia="nl-NL"/>
              </w:rPr>
              <w:t>AIVD</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6</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6</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r>
      <w:tr w:rsidRPr="00F57E38" w:rsidR="00F57E38" w:rsidTr="000C66CF">
        <w:trPr>
          <w:trHeight w:val="240"/>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r w:rsidRPr="00F57E38">
              <w:rPr>
                <w:rFonts w:eastAsia="Times New Roman" w:cs="Times New Roman"/>
                <w:color w:val="000000"/>
                <w:szCs w:val="18"/>
                <w:lang w:eastAsia="nl-NL"/>
              </w:rPr>
              <w:t>MIVD</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8</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8</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r>
      <w:tr w:rsidRPr="00F57E38" w:rsidR="00F57E38" w:rsidTr="000C66CF">
        <w:trPr>
          <w:trHeight w:val="240"/>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r w:rsidRPr="00F57E38">
              <w:rPr>
                <w:rFonts w:eastAsia="Times New Roman" w:cs="Times New Roman"/>
                <w:color w:val="000000"/>
                <w:szCs w:val="18"/>
                <w:lang w:eastAsia="nl-NL"/>
              </w:rPr>
              <w:t>Migratie</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125</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r>
      <w:tr w:rsidRPr="00F57E38" w:rsidR="00F57E38" w:rsidTr="000C66CF">
        <w:trPr>
          <w:trHeight w:val="240"/>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r w:rsidRPr="00F57E38">
              <w:rPr>
                <w:rFonts w:eastAsia="Times New Roman" w:cs="Times New Roman"/>
                <w:color w:val="000000"/>
                <w:szCs w:val="18"/>
                <w:lang w:eastAsia="nl-NL"/>
              </w:rPr>
              <w:t>Rechtshandhaving Sint Maarten/</w:t>
            </w:r>
            <w:r w:rsidRPr="00F57E38" w:rsidR="00711924">
              <w:rPr>
                <w:rFonts w:eastAsia="Times New Roman" w:cs="Times New Roman"/>
                <w:color w:val="000000"/>
                <w:szCs w:val="18"/>
                <w:lang w:eastAsia="nl-NL"/>
              </w:rPr>
              <w:t>Curaçao</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12</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12</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12</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12</w:t>
            </w:r>
          </w:p>
        </w:tc>
      </w:tr>
      <w:tr w:rsidRPr="00F57E38" w:rsidR="00F57E38" w:rsidTr="000C66CF">
        <w:trPr>
          <w:trHeight w:val="240"/>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r w:rsidRPr="00F57E38">
              <w:rPr>
                <w:rFonts w:eastAsia="Times New Roman" w:cs="Times New Roman"/>
                <w:color w:val="000000"/>
                <w:szCs w:val="18"/>
                <w:lang w:eastAsia="nl-NL"/>
              </w:rPr>
              <w:t>Boeteraming belastingdienst</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45</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45</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45</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45</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45</w:t>
            </w:r>
          </w:p>
        </w:tc>
      </w:tr>
      <w:tr w:rsidRPr="00F57E38" w:rsidR="00F57E38" w:rsidTr="000C66CF">
        <w:trPr>
          <w:trHeight w:val="240"/>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r w:rsidRPr="00F57E38">
              <w:rPr>
                <w:rFonts w:eastAsia="Times New Roman" w:cs="Times New Roman"/>
                <w:color w:val="000000"/>
                <w:szCs w:val="18"/>
                <w:lang w:eastAsia="nl-NL"/>
              </w:rPr>
              <w:t>Artsen UWV</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44</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44</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44</w:t>
            </w:r>
          </w:p>
        </w:tc>
      </w:tr>
      <w:tr w:rsidRPr="00F57E38" w:rsidR="00F57E38" w:rsidTr="000C66CF">
        <w:trPr>
          <w:trHeight w:val="240"/>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proofErr w:type="spellStart"/>
            <w:r w:rsidRPr="00F57E38">
              <w:rPr>
                <w:rFonts w:eastAsia="Times New Roman" w:cs="Times New Roman"/>
                <w:color w:val="000000"/>
                <w:szCs w:val="18"/>
                <w:lang w:eastAsia="nl-NL"/>
              </w:rPr>
              <w:t>Invest-NL</w:t>
            </w:r>
            <w:proofErr w:type="spellEnd"/>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19</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19</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19</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19</w:t>
            </w:r>
          </w:p>
        </w:tc>
      </w:tr>
      <w:tr w:rsidRPr="00F57E38" w:rsidR="00F57E38" w:rsidTr="000C66CF">
        <w:trPr>
          <w:trHeight w:val="240"/>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r w:rsidRPr="00F57E38">
              <w:rPr>
                <w:rFonts w:eastAsia="Times New Roman" w:cs="Times New Roman"/>
                <w:color w:val="000000"/>
                <w:szCs w:val="18"/>
                <w:lang w:eastAsia="nl-NL"/>
              </w:rPr>
              <w:t>Onderwijs</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189</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r>
      <w:tr w:rsidRPr="00F57E38" w:rsidR="00F57E38" w:rsidTr="000C66CF">
        <w:trPr>
          <w:trHeight w:val="240"/>
        </w:trPr>
        <w:tc>
          <w:tcPr>
            <w:tcW w:w="5102" w:type="dxa"/>
            <w:noWrap/>
            <w:hideMark/>
          </w:tcPr>
          <w:p w:rsidRPr="00F57E38" w:rsidR="00F57E38" w:rsidP="00F57E38" w:rsidRDefault="00F57E38">
            <w:pPr>
              <w:rPr>
                <w:rFonts w:eastAsia="Times New Roman" w:cs="Times New Roman"/>
                <w:color w:val="000000"/>
                <w:szCs w:val="18"/>
                <w:lang w:eastAsia="nl-NL"/>
              </w:rPr>
            </w:pPr>
            <w:r w:rsidRPr="00F57E38">
              <w:rPr>
                <w:rFonts w:eastAsia="Times New Roman" w:cs="Times New Roman"/>
                <w:color w:val="000000"/>
                <w:szCs w:val="18"/>
                <w:lang w:eastAsia="nl-NL"/>
              </w:rPr>
              <w:t>Zorg</w:t>
            </w: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r>
      <w:tr w:rsidRPr="00F57E38" w:rsidR="00F57E38" w:rsidTr="000C66CF">
        <w:trPr>
          <w:trHeight w:val="240"/>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r w:rsidRPr="00F57E38">
              <w:rPr>
                <w:rFonts w:eastAsia="Times New Roman" w:cs="Times New Roman"/>
                <w:color w:val="000000"/>
                <w:szCs w:val="18"/>
                <w:lang w:eastAsia="nl-NL"/>
              </w:rPr>
              <w:t>Flankerend beleid hoofdlijnenakkoorden 2018</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65</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36</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37</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38</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36</w:t>
            </w:r>
          </w:p>
        </w:tc>
      </w:tr>
      <w:tr w:rsidRPr="00F57E38" w:rsidR="00F57E38" w:rsidTr="000C66CF">
        <w:trPr>
          <w:trHeight w:val="240"/>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r w:rsidRPr="00F57E38">
              <w:rPr>
                <w:rFonts w:eastAsia="Times New Roman" w:cs="Times New Roman"/>
                <w:color w:val="000000"/>
                <w:szCs w:val="18"/>
                <w:lang w:eastAsia="nl-NL"/>
              </w:rPr>
              <w:t xml:space="preserve">Kwaliteitskader verpleeghuiszorg </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200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100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100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100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100</w:t>
            </w:r>
          </w:p>
        </w:tc>
      </w:tr>
      <w:tr w:rsidRPr="00F57E38" w:rsidR="00F57E38" w:rsidTr="000C66CF">
        <w:trPr>
          <w:trHeight w:val="240"/>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r w:rsidRPr="00F57E38">
              <w:rPr>
                <w:rFonts w:eastAsia="Times New Roman" w:cs="Times New Roman"/>
                <w:color w:val="000000"/>
                <w:szCs w:val="18"/>
                <w:lang w:eastAsia="nl-NL"/>
              </w:rPr>
              <w:t>Arbeidsmarktagenda</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5</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40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40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40</w:t>
            </w:r>
          </w:p>
        </w:tc>
      </w:tr>
      <w:tr w:rsidRPr="00F57E38" w:rsidR="00F57E38" w:rsidTr="000C66CF">
        <w:trPr>
          <w:trHeight w:val="240"/>
        </w:trPr>
        <w:tc>
          <w:tcPr>
            <w:tcW w:w="5102" w:type="dxa"/>
            <w:noWrap/>
            <w:hideMark/>
          </w:tcPr>
          <w:p w:rsidRPr="00F57E38" w:rsidR="00F57E38" w:rsidP="00F57E38" w:rsidRDefault="00F57E38">
            <w:pPr>
              <w:rPr>
                <w:rFonts w:eastAsia="Times New Roman" w:cs="Times New Roman"/>
                <w:color w:val="000000"/>
                <w:szCs w:val="18"/>
                <w:lang w:eastAsia="nl-NL"/>
              </w:rPr>
            </w:pPr>
            <w:r w:rsidRPr="00F57E38">
              <w:rPr>
                <w:rFonts w:eastAsia="Times New Roman" w:cs="Times New Roman"/>
                <w:color w:val="000000"/>
                <w:szCs w:val="18"/>
                <w:lang w:eastAsia="nl-NL"/>
              </w:rPr>
              <w:t>Kasschuiven</w:t>
            </w: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r>
      <w:tr w:rsidRPr="00F57E38" w:rsidR="00F57E38" w:rsidTr="000C66CF">
        <w:trPr>
          <w:trHeight w:val="240"/>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r w:rsidRPr="00F57E38">
              <w:rPr>
                <w:rFonts w:eastAsia="Times New Roman" w:cs="Times New Roman"/>
                <w:color w:val="000000"/>
                <w:szCs w:val="18"/>
                <w:lang w:eastAsia="nl-NL"/>
              </w:rPr>
              <w:t>Kasschuiven NJN en FJR 2016</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255</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24</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12</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w:t>
            </w:r>
          </w:p>
        </w:tc>
      </w:tr>
      <w:tr w:rsidRPr="00F57E38" w:rsidR="00F57E38" w:rsidTr="000C66CF">
        <w:trPr>
          <w:trHeight w:val="240"/>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r w:rsidRPr="00F57E38">
              <w:rPr>
                <w:rFonts w:eastAsia="Times New Roman" w:cs="Times New Roman"/>
                <w:color w:val="000000"/>
                <w:szCs w:val="18"/>
                <w:lang w:eastAsia="nl-NL"/>
              </w:rPr>
              <w:t>Kasschuiven voorjaarsbesluitvorming</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-257</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467</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709</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227</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-194</w:t>
            </w:r>
          </w:p>
        </w:tc>
      </w:tr>
      <w:tr w:rsidRPr="00F57E38" w:rsidR="00F57E38" w:rsidTr="000C66CF">
        <w:trPr>
          <w:trHeight w:val="225"/>
        </w:trPr>
        <w:tc>
          <w:tcPr>
            <w:tcW w:w="5102" w:type="dxa"/>
            <w:noWrap/>
            <w:hideMark/>
          </w:tcPr>
          <w:p w:rsidRPr="00F57E38" w:rsidR="00F57E38" w:rsidP="00F57E38" w:rsidRDefault="00F57E38">
            <w:pPr>
              <w:rPr>
                <w:rFonts w:eastAsia="Times New Roman" w:cs="Times New Roman"/>
                <w:color w:val="000000"/>
                <w:szCs w:val="18"/>
                <w:lang w:eastAsia="nl-NL"/>
              </w:rPr>
            </w:pPr>
            <w:r w:rsidRPr="00F57E38">
              <w:rPr>
                <w:rFonts w:eastAsia="Times New Roman" w:cs="Times New Roman"/>
                <w:color w:val="000000"/>
                <w:szCs w:val="18"/>
                <w:lang w:eastAsia="nl-NL"/>
              </w:rPr>
              <w:t>Gasbaten</w:t>
            </w: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r>
      <w:tr w:rsidRPr="00F57E38" w:rsidR="00F57E38" w:rsidTr="000C66CF">
        <w:trPr>
          <w:trHeight w:val="225"/>
        </w:trPr>
        <w:tc>
          <w:tcPr>
            <w:tcW w:w="5102" w:type="dxa"/>
            <w:noWrap/>
            <w:hideMark/>
          </w:tcPr>
          <w:p w:rsidRPr="00F57E38" w:rsidR="00F57E38" w:rsidP="000C66CF" w:rsidRDefault="00C009B0">
            <w:pPr>
              <w:ind w:firstLine="180" w:firstLineChars="100"/>
              <w:rPr>
                <w:rFonts w:eastAsia="Times New Roman" w:cs="Times New Roman"/>
                <w:color w:val="000000"/>
                <w:szCs w:val="18"/>
                <w:lang w:eastAsia="nl-NL"/>
              </w:rPr>
            </w:pPr>
            <w:r>
              <w:rPr>
                <w:rFonts w:eastAsia="Times New Roman" w:cs="Times New Roman"/>
                <w:color w:val="000000"/>
                <w:szCs w:val="18"/>
                <w:lang w:eastAsia="nl-NL"/>
              </w:rPr>
              <w:t>Gasbaten</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100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350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300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300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350</w:t>
            </w:r>
          </w:p>
        </w:tc>
      </w:tr>
      <w:tr w:rsidRPr="00F57E38" w:rsidR="00F57E38" w:rsidTr="000C66CF">
        <w:trPr>
          <w:trHeight w:val="225"/>
        </w:trPr>
        <w:tc>
          <w:tcPr>
            <w:tcW w:w="5102" w:type="dxa"/>
            <w:noWrap/>
            <w:hideMark/>
          </w:tcPr>
          <w:p w:rsidRPr="00F57E38" w:rsidR="00F57E38" w:rsidP="00F57E38" w:rsidRDefault="00F57E38">
            <w:pPr>
              <w:rPr>
                <w:rFonts w:eastAsia="Times New Roman" w:cs="Times New Roman"/>
                <w:color w:val="000000"/>
                <w:szCs w:val="18"/>
                <w:lang w:eastAsia="nl-NL"/>
              </w:rPr>
            </w:pPr>
            <w:r w:rsidRPr="00F57E38">
              <w:rPr>
                <w:rFonts w:eastAsia="Times New Roman" w:cs="Times New Roman"/>
                <w:color w:val="000000"/>
                <w:szCs w:val="18"/>
                <w:lang w:eastAsia="nl-NL"/>
              </w:rPr>
              <w:t>Overig</w:t>
            </w: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c>
          <w:tcPr>
            <w:tcW w:w="850" w:type="dxa"/>
            <w:noWrap/>
            <w:hideMark/>
          </w:tcPr>
          <w:p w:rsidRPr="00F57E38" w:rsidR="00F57E38" w:rsidP="00F57E38" w:rsidRDefault="00F57E38">
            <w:pPr>
              <w:rPr>
                <w:rFonts w:eastAsia="Times New Roman" w:cs="Times New Roman"/>
                <w:color w:val="000000"/>
                <w:szCs w:val="18"/>
                <w:lang w:eastAsia="nl-NL"/>
              </w:rPr>
            </w:pPr>
          </w:p>
        </w:tc>
      </w:tr>
      <w:tr w:rsidRPr="00F57E38" w:rsidR="00F57E38" w:rsidTr="000C66CF">
        <w:trPr>
          <w:trHeight w:val="225"/>
        </w:trPr>
        <w:tc>
          <w:tcPr>
            <w:tcW w:w="5102" w:type="dxa"/>
            <w:noWrap/>
            <w:hideMark/>
          </w:tcPr>
          <w:p w:rsidRPr="00F57E38" w:rsidR="00F57E38" w:rsidP="00CA4435" w:rsidRDefault="00F57E38">
            <w:pPr>
              <w:ind w:firstLine="180" w:firstLineChars="100"/>
              <w:rPr>
                <w:rFonts w:eastAsia="Times New Roman" w:cs="Times New Roman"/>
                <w:color w:val="000000"/>
                <w:szCs w:val="18"/>
                <w:lang w:eastAsia="nl-NL"/>
              </w:rPr>
            </w:pPr>
            <w:r w:rsidRPr="00F57E38">
              <w:rPr>
                <w:rFonts w:eastAsia="Times New Roman" w:cs="Times New Roman"/>
                <w:color w:val="000000"/>
                <w:szCs w:val="18"/>
                <w:lang w:eastAsia="nl-NL"/>
              </w:rPr>
              <w:t>Leerlingen</w:t>
            </w:r>
            <w:r w:rsidR="00CA4435">
              <w:rPr>
                <w:rFonts w:eastAsia="Times New Roman" w:cs="Times New Roman"/>
                <w:color w:val="000000"/>
                <w:szCs w:val="18"/>
                <w:lang w:eastAsia="nl-NL"/>
              </w:rPr>
              <w:t>- en studentenaantallen</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121</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166</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144</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142</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138</w:t>
            </w:r>
          </w:p>
        </w:tc>
      </w:tr>
      <w:tr w:rsidRPr="00F57E38" w:rsidR="00F57E38" w:rsidTr="000C66CF">
        <w:trPr>
          <w:trHeight w:val="225"/>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r w:rsidRPr="00F57E38">
              <w:rPr>
                <w:rFonts w:eastAsia="Times New Roman" w:cs="Times New Roman"/>
                <w:color w:val="000000"/>
                <w:szCs w:val="18"/>
                <w:lang w:eastAsia="nl-NL"/>
              </w:rPr>
              <w:t>Taakstelling OCW begroting</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-223</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-171</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-166</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-188</w:t>
            </w:r>
          </w:p>
        </w:tc>
      </w:tr>
      <w:tr w:rsidRPr="00F57E38" w:rsidR="00F57E38" w:rsidTr="000C66CF">
        <w:trPr>
          <w:trHeight w:val="225"/>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r w:rsidRPr="00F57E38">
              <w:rPr>
                <w:rFonts w:eastAsia="Times New Roman" w:cs="Times New Roman"/>
                <w:color w:val="000000"/>
                <w:szCs w:val="18"/>
                <w:lang w:eastAsia="nl-NL"/>
              </w:rPr>
              <w:t>Uitvoeringsproblematiek WLZ</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176</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242</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259</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276</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293</w:t>
            </w:r>
          </w:p>
        </w:tc>
      </w:tr>
      <w:tr w:rsidRPr="00F57E38" w:rsidR="00F57E38" w:rsidTr="000C66CF">
        <w:trPr>
          <w:trHeight w:val="225"/>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r w:rsidRPr="00F57E38">
              <w:rPr>
                <w:rFonts w:eastAsia="Times New Roman" w:cs="Times New Roman"/>
                <w:color w:val="000000"/>
                <w:szCs w:val="18"/>
                <w:lang w:eastAsia="nl-NL"/>
              </w:rPr>
              <w:t>Taakstelling Budgettair Kader Zorg</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0</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-136</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-208</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-213</w:t>
            </w:r>
          </w:p>
        </w:tc>
      </w:tr>
      <w:tr w:rsidRPr="00F57E38" w:rsidR="00F57E38" w:rsidTr="000C66CF">
        <w:trPr>
          <w:trHeight w:val="225"/>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r w:rsidRPr="00F57E38">
              <w:rPr>
                <w:rFonts w:eastAsia="Times New Roman" w:cs="Times New Roman"/>
                <w:color w:val="000000"/>
                <w:szCs w:val="18"/>
                <w:lang w:eastAsia="nl-NL"/>
              </w:rPr>
              <w:t>Accressen GF/PF</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108</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328</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337</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238</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230</w:t>
            </w:r>
          </w:p>
        </w:tc>
      </w:tr>
      <w:tr w:rsidRPr="00F57E38" w:rsidR="00F57E38" w:rsidTr="000C66CF">
        <w:trPr>
          <w:trHeight w:val="225"/>
        </w:trPr>
        <w:tc>
          <w:tcPr>
            <w:tcW w:w="5102" w:type="dxa"/>
            <w:noWrap/>
            <w:hideMark/>
          </w:tcPr>
          <w:p w:rsidRPr="00F57E38" w:rsidR="00F57E38" w:rsidP="000C66CF" w:rsidRDefault="00F57E38">
            <w:pPr>
              <w:ind w:firstLine="180" w:firstLineChars="100"/>
              <w:rPr>
                <w:rFonts w:eastAsia="Times New Roman" w:cs="Times New Roman"/>
                <w:color w:val="000000"/>
                <w:szCs w:val="18"/>
                <w:lang w:eastAsia="nl-NL"/>
              </w:rPr>
            </w:pPr>
            <w:r w:rsidRPr="00F57E38">
              <w:rPr>
                <w:rFonts w:eastAsia="Times New Roman" w:cs="Times New Roman"/>
                <w:color w:val="000000"/>
                <w:szCs w:val="18"/>
                <w:lang w:eastAsia="nl-NL"/>
              </w:rPr>
              <w:t>Overig</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-297</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-117</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-238</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-158</w:t>
            </w:r>
          </w:p>
        </w:tc>
        <w:tc>
          <w:tcPr>
            <w:tcW w:w="850" w:type="dxa"/>
            <w:noWrap/>
            <w:hideMark/>
          </w:tcPr>
          <w:p w:rsidRPr="00F57E38" w:rsidR="00F57E38" w:rsidP="00F57E38" w:rsidRDefault="00F57E38">
            <w:pPr>
              <w:jc w:val="right"/>
              <w:rPr>
                <w:rFonts w:eastAsia="Times New Roman" w:cs="Times New Roman"/>
                <w:color w:val="000000"/>
                <w:szCs w:val="18"/>
                <w:lang w:eastAsia="nl-NL"/>
              </w:rPr>
            </w:pPr>
            <w:r w:rsidRPr="00F57E38">
              <w:rPr>
                <w:rFonts w:eastAsia="Times New Roman" w:cs="Times New Roman"/>
                <w:color w:val="000000"/>
                <w:szCs w:val="18"/>
                <w:lang w:eastAsia="nl-NL"/>
              </w:rPr>
              <w:t>-107</w:t>
            </w:r>
          </w:p>
        </w:tc>
      </w:tr>
      <w:tr w:rsidRPr="00F57E38" w:rsidR="00F57E38" w:rsidTr="000C66CF">
        <w:trPr>
          <w:trHeight w:val="225"/>
        </w:trPr>
        <w:tc>
          <w:tcPr>
            <w:tcW w:w="5102" w:type="dxa"/>
            <w:noWrap/>
            <w:hideMark/>
          </w:tcPr>
          <w:p w:rsidRPr="00F57E38" w:rsidR="00F57E38" w:rsidP="00F57E38" w:rsidRDefault="00F57E38">
            <w:pPr>
              <w:rPr>
                <w:rFonts w:eastAsia="Times New Roman" w:cs="Times New Roman"/>
                <w:b/>
                <w:bCs/>
                <w:color w:val="000000"/>
                <w:szCs w:val="18"/>
                <w:lang w:eastAsia="nl-NL"/>
              </w:rPr>
            </w:pPr>
            <w:r w:rsidRPr="00F57E38">
              <w:rPr>
                <w:rFonts w:eastAsia="Times New Roman" w:cs="Times New Roman"/>
                <w:b/>
                <w:bCs/>
                <w:color w:val="000000"/>
                <w:szCs w:val="18"/>
                <w:lang w:eastAsia="nl-NL"/>
              </w:rPr>
              <w:t>Totaal</w:t>
            </w:r>
          </w:p>
        </w:tc>
        <w:tc>
          <w:tcPr>
            <w:tcW w:w="850" w:type="dxa"/>
            <w:noWrap/>
            <w:hideMark/>
          </w:tcPr>
          <w:p w:rsidRPr="00F57E38" w:rsidR="00F57E38" w:rsidP="00F57E38" w:rsidRDefault="00F57E38">
            <w:pPr>
              <w:jc w:val="right"/>
              <w:rPr>
                <w:rFonts w:eastAsia="Times New Roman" w:cs="Times New Roman"/>
                <w:b/>
                <w:bCs/>
                <w:color w:val="000000"/>
                <w:szCs w:val="18"/>
                <w:lang w:eastAsia="nl-NL"/>
              </w:rPr>
            </w:pPr>
            <w:r w:rsidRPr="00F57E38">
              <w:rPr>
                <w:rFonts w:eastAsia="Times New Roman" w:cs="Times New Roman"/>
                <w:b/>
                <w:bCs/>
                <w:color w:val="000000"/>
                <w:szCs w:val="18"/>
                <w:lang w:eastAsia="nl-NL"/>
              </w:rPr>
              <w:t>1</w:t>
            </w:r>
            <w:r w:rsidR="00141B46">
              <w:rPr>
                <w:rFonts w:eastAsia="Times New Roman" w:cs="Times New Roman"/>
                <w:b/>
                <w:bCs/>
                <w:color w:val="000000"/>
                <w:szCs w:val="18"/>
                <w:lang w:eastAsia="nl-NL"/>
              </w:rPr>
              <w:t>.</w:t>
            </w:r>
            <w:r w:rsidRPr="00F57E38">
              <w:rPr>
                <w:rFonts w:eastAsia="Times New Roman" w:cs="Times New Roman"/>
                <w:b/>
                <w:bCs/>
                <w:color w:val="000000"/>
                <w:szCs w:val="18"/>
                <w:lang w:eastAsia="nl-NL"/>
              </w:rPr>
              <w:t>019</w:t>
            </w:r>
          </w:p>
        </w:tc>
        <w:tc>
          <w:tcPr>
            <w:tcW w:w="850" w:type="dxa"/>
            <w:noWrap/>
            <w:hideMark/>
          </w:tcPr>
          <w:p w:rsidRPr="00F57E38" w:rsidR="00F57E38" w:rsidP="00F57E38" w:rsidRDefault="00F57E38">
            <w:pPr>
              <w:jc w:val="right"/>
              <w:rPr>
                <w:rFonts w:eastAsia="Times New Roman" w:cs="Times New Roman"/>
                <w:b/>
                <w:bCs/>
                <w:color w:val="000000"/>
                <w:szCs w:val="18"/>
                <w:lang w:eastAsia="nl-NL"/>
              </w:rPr>
            </w:pPr>
            <w:r w:rsidRPr="00F57E38">
              <w:rPr>
                <w:rFonts w:eastAsia="Times New Roman" w:cs="Times New Roman"/>
                <w:b/>
                <w:bCs/>
                <w:color w:val="000000"/>
                <w:szCs w:val="18"/>
                <w:lang w:eastAsia="nl-NL"/>
              </w:rPr>
              <w:t>2</w:t>
            </w:r>
            <w:r w:rsidR="00141B46">
              <w:rPr>
                <w:rFonts w:eastAsia="Times New Roman" w:cs="Times New Roman"/>
                <w:b/>
                <w:bCs/>
                <w:color w:val="000000"/>
                <w:szCs w:val="18"/>
                <w:lang w:eastAsia="nl-NL"/>
              </w:rPr>
              <w:t>.</w:t>
            </w:r>
            <w:r w:rsidRPr="00F57E38">
              <w:rPr>
                <w:rFonts w:eastAsia="Times New Roman" w:cs="Times New Roman"/>
                <w:b/>
                <w:bCs/>
                <w:color w:val="000000"/>
                <w:szCs w:val="18"/>
                <w:lang w:eastAsia="nl-NL"/>
              </w:rPr>
              <w:t>653</w:t>
            </w:r>
          </w:p>
        </w:tc>
        <w:tc>
          <w:tcPr>
            <w:tcW w:w="850" w:type="dxa"/>
            <w:noWrap/>
            <w:hideMark/>
          </w:tcPr>
          <w:p w:rsidRPr="00F57E38" w:rsidR="00F57E38" w:rsidP="00F57E38" w:rsidRDefault="00F57E38">
            <w:pPr>
              <w:jc w:val="right"/>
              <w:rPr>
                <w:rFonts w:eastAsia="Times New Roman" w:cs="Times New Roman"/>
                <w:b/>
                <w:bCs/>
                <w:color w:val="000000"/>
                <w:szCs w:val="18"/>
                <w:lang w:eastAsia="nl-NL"/>
              </w:rPr>
            </w:pPr>
            <w:r w:rsidRPr="00F57E38">
              <w:rPr>
                <w:rFonts w:eastAsia="Times New Roman" w:cs="Times New Roman"/>
                <w:b/>
                <w:bCs/>
                <w:color w:val="000000"/>
                <w:szCs w:val="18"/>
                <w:lang w:eastAsia="nl-NL"/>
              </w:rPr>
              <w:t>2</w:t>
            </w:r>
            <w:r w:rsidR="00141B46">
              <w:rPr>
                <w:rFonts w:eastAsia="Times New Roman" w:cs="Times New Roman"/>
                <w:b/>
                <w:bCs/>
                <w:color w:val="000000"/>
                <w:szCs w:val="18"/>
                <w:lang w:eastAsia="nl-NL"/>
              </w:rPr>
              <w:t>.</w:t>
            </w:r>
            <w:r w:rsidRPr="00F57E38">
              <w:rPr>
                <w:rFonts w:eastAsia="Times New Roman" w:cs="Times New Roman"/>
                <w:b/>
                <w:bCs/>
                <w:color w:val="000000"/>
                <w:szCs w:val="18"/>
                <w:lang w:eastAsia="nl-NL"/>
              </w:rPr>
              <w:t>534</w:t>
            </w:r>
          </w:p>
        </w:tc>
        <w:tc>
          <w:tcPr>
            <w:tcW w:w="850" w:type="dxa"/>
            <w:noWrap/>
            <w:hideMark/>
          </w:tcPr>
          <w:p w:rsidRPr="00F57E38" w:rsidR="00F57E38" w:rsidP="00F57E38" w:rsidRDefault="00F57E38">
            <w:pPr>
              <w:jc w:val="right"/>
              <w:rPr>
                <w:rFonts w:eastAsia="Times New Roman" w:cs="Times New Roman"/>
                <w:b/>
                <w:bCs/>
                <w:color w:val="000000"/>
                <w:szCs w:val="18"/>
                <w:lang w:eastAsia="nl-NL"/>
              </w:rPr>
            </w:pPr>
            <w:r w:rsidRPr="00F57E38">
              <w:rPr>
                <w:rFonts w:eastAsia="Times New Roman" w:cs="Times New Roman"/>
                <w:b/>
                <w:bCs/>
                <w:color w:val="000000"/>
                <w:szCs w:val="18"/>
                <w:lang w:eastAsia="nl-NL"/>
              </w:rPr>
              <w:t>1</w:t>
            </w:r>
            <w:r w:rsidR="00141B46">
              <w:rPr>
                <w:rFonts w:eastAsia="Times New Roman" w:cs="Times New Roman"/>
                <w:b/>
                <w:bCs/>
                <w:color w:val="000000"/>
                <w:szCs w:val="18"/>
                <w:lang w:eastAsia="nl-NL"/>
              </w:rPr>
              <w:t>.</w:t>
            </w:r>
            <w:r w:rsidRPr="00F57E38">
              <w:rPr>
                <w:rFonts w:eastAsia="Times New Roman" w:cs="Times New Roman"/>
                <w:b/>
                <w:bCs/>
                <w:color w:val="000000"/>
                <w:szCs w:val="18"/>
                <w:lang w:eastAsia="nl-NL"/>
              </w:rPr>
              <w:t>960</w:t>
            </w:r>
          </w:p>
        </w:tc>
        <w:tc>
          <w:tcPr>
            <w:tcW w:w="850" w:type="dxa"/>
            <w:noWrap/>
            <w:hideMark/>
          </w:tcPr>
          <w:p w:rsidRPr="00F57E38" w:rsidR="00F57E38" w:rsidP="00F57E38" w:rsidRDefault="00F57E38">
            <w:pPr>
              <w:jc w:val="right"/>
              <w:rPr>
                <w:rFonts w:eastAsia="Times New Roman" w:cs="Times New Roman"/>
                <w:b/>
                <w:bCs/>
                <w:color w:val="000000"/>
                <w:szCs w:val="18"/>
                <w:lang w:eastAsia="nl-NL"/>
              </w:rPr>
            </w:pPr>
            <w:r w:rsidRPr="00F57E38">
              <w:rPr>
                <w:rFonts w:eastAsia="Times New Roman" w:cs="Times New Roman"/>
                <w:b/>
                <w:bCs/>
                <w:color w:val="000000"/>
                <w:szCs w:val="18"/>
                <w:lang w:eastAsia="nl-NL"/>
              </w:rPr>
              <w:t>1</w:t>
            </w:r>
            <w:r w:rsidR="00141B46">
              <w:rPr>
                <w:rFonts w:eastAsia="Times New Roman" w:cs="Times New Roman"/>
                <w:b/>
                <w:bCs/>
                <w:color w:val="000000"/>
                <w:szCs w:val="18"/>
                <w:lang w:eastAsia="nl-NL"/>
              </w:rPr>
              <w:t>.</w:t>
            </w:r>
            <w:r w:rsidRPr="00F57E38">
              <w:rPr>
                <w:rFonts w:eastAsia="Times New Roman" w:cs="Times New Roman"/>
                <w:b/>
                <w:bCs/>
                <w:color w:val="000000"/>
                <w:szCs w:val="18"/>
                <w:lang w:eastAsia="nl-NL"/>
              </w:rPr>
              <w:t>900</w:t>
            </w:r>
          </w:p>
        </w:tc>
      </w:tr>
    </w:tbl>
    <w:p w:rsidRPr="00D125B6" w:rsidR="00F57E38" w:rsidP="00D125B6" w:rsidRDefault="00F57E38">
      <w:pPr>
        <w:spacing w:after="0" w:line="240" w:lineRule="auto"/>
        <w:rPr>
          <w:rFonts w:eastAsia="Times New Roman" w:cs="Times New Roman"/>
          <w:b/>
          <w:bCs/>
          <w:color w:val="000000"/>
          <w:szCs w:val="18"/>
          <w:lang w:eastAsia="nl-NL"/>
        </w:rPr>
      </w:pPr>
    </w:p>
    <w:p w:rsidR="003A0581" w:rsidRDefault="003A0581">
      <w:pPr>
        <w:rPr>
          <w:i/>
          <w:szCs w:val="18"/>
        </w:rPr>
      </w:pPr>
      <w:r w:rsidRPr="003A0581">
        <w:rPr>
          <w:i/>
          <w:szCs w:val="18"/>
        </w:rPr>
        <w:t>Toelichting</w:t>
      </w:r>
    </w:p>
    <w:p w:rsidR="0066283B" w:rsidRDefault="00576CB5">
      <w:pPr>
        <w:pStyle w:val="Titel"/>
      </w:pPr>
      <w:r w:rsidRPr="00D747F5">
        <w:t>DNB winstafdracht en Dividend staatsdeelnemingen</w:t>
      </w:r>
    </w:p>
    <w:p w:rsidRPr="00576CB5" w:rsidR="00576CB5" w:rsidP="00576CB5" w:rsidRDefault="00576CB5">
      <w:pPr>
        <w:rPr>
          <w:szCs w:val="18"/>
        </w:rPr>
      </w:pPr>
      <w:r>
        <w:rPr>
          <w:szCs w:val="18"/>
        </w:rPr>
        <w:t xml:space="preserve">De raming van het dividend uit staatsdeelnemingen en van de winstafdracht door DNB is naar beneden bijgesteld. Het dividend is naar beneden aangepast aan de laatste winstprognoses. Door gedaalde marktrentes en de afloop van opkoopprogramma’s daalt de winst van DNB. Dit, gecombineerd met de noodzaak tot het vullen van de voorziening voor de risico’s van kwantitatieve </w:t>
      </w:r>
      <w:proofErr w:type="gramStart"/>
      <w:r>
        <w:rPr>
          <w:szCs w:val="18"/>
        </w:rPr>
        <w:t>verruiming</w:t>
      </w:r>
      <w:proofErr w:type="gramEnd"/>
      <w:r>
        <w:rPr>
          <w:szCs w:val="18"/>
        </w:rPr>
        <w:t xml:space="preserve">, zorgt voor een daling van de winstafdrachten DNB aan de staat. </w:t>
      </w:r>
    </w:p>
    <w:p w:rsidR="0066283B" w:rsidRDefault="00576CB5">
      <w:pPr>
        <w:pStyle w:val="Titel"/>
      </w:pPr>
      <w:r w:rsidRPr="00576CB5">
        <w:lastRenderedPageBreak/>
        <w:t>EU-afdrachten</w:t>
      </w:r>
    </w:p>
    <w:p w:rsidR="00576CB5" w:rsidP="00576CB5" w:rsidRDefault="00576CB5">
      <w:pPr>
        <w:rPr>
          <w:szCs w:val="18"/>
        </w:rPr>
      </w:pPr>
      <w:r>
        <w:rPr>
          <w:szCs w:val="18"/>
        </w:rPr>
        <w:t xml:space="preserve">Bij de EU-afdrachten zorgt het aannemen van de Europese begroting voor 2017 voor bijna 80 miljoen euro lagere Nederlandse afdrachten. De nacalculatie van de afdrachten 2016 zorgt ook voor lagere Nederlandse afdrachten van 124 miljoen euro. Het aannemen van de vierde, vijfde en zesde aanvullende begroting 2016 door het Europees parlement zorgt voor een verlaging van de Nederlandse afdrachten van iets meer dan 3 miljard euro. Dit komt voornamelijk doordat in de vijfde aanvullende begroting de kortingen op de nationale afdrachten die waren afgesproken in het Eigen Middelenbesluit 2016 worden geëffectueerd. Nederland ontvangt de kortingen op de afdrachten over 2014-2016 met terugwerkende kracht in 2017. </w:t>
      </w:r>
    </w:p>
    <w:p w:rsidR="0066283B" w:rsidRDefault="00576CB5">
      <w:pPr>
        <w:pStyle w:val="Titel"/>
      </w:pPr>
      <w:proofErr w:type="spellStart"/>
      <w:r w:rsidRPr="00576CB5">
        <w:t>VenJ</w:t>
      </w:r>
      <w:proofErr w:type="spellEnd"/>
      <w:r w:rsidRPr="00576CB5">
        <w:t xml:space="preserve"> boetes</w:t>
      </w:r>
    </w:p>
    <w:p w:rsidR="00D747F5" w:rsidP="00D747F5" w:rsidRDefault="00576CB5">
      <w:pPr>
        <w:autoSpaceDE w:val="0"/>
        <w:autoSpaceDN w:val="0"/>
      </w:pPr>
      <w:r>
        <w:rPr>
          <w:szCs w:val="18"/>
        </w:rPr>
        <w:t xml:space="preserve">Op de </w:t>
      </w:r>
      <w:proofErr w:type="spellStart"/>
      <w:r>
        <w:rPr>
          <w:szCs w:val="18"/>
        </w:rPr>
        <w:t>VenJ</w:t>
      </w:r>
      <w:proofErr w:type="spellEnd"/>
      <w:r>
        <w:rPr>
          <w:szCs w:val="18"/>
        </w:rPr>
        <w:t xml:space="preserve"> begroting zijn op basis van de realisatiecijfers over 2016 de geraamde ontvangsten uit boetes en transacties naar beneden bijgesteld.</w:t>
      </w:r>
      <w:r w:rsidR="00D747F5">
        <w:rPr>
          <w:szCs w:val="18"/>
        </w:rPr>
        <w:t xml:space="preserve"> </w:t>
      </w:r>
      <w:r w:rsidRPr="00434E6E" w:rsidR="00434E6E">
        <w:rPr>
          <w:szCs w:val="18"/>
        </w:rPr>
        <w:t xml:space="preserve">Naar aanleiding van de motie Zijlstra/Samsom heeft het kabinet besloten de ontvangsten op Boeten en Transacties per januari 2017 als generaal dossier op de begroting van </w:t>
      </w:r>
      <w:proofErr w:type="spellStart"/>
      <w:r w:rsidRPr="00434E6E" w:rsidR="00434E6E">
        <w:rPr>
          <w:szCs w:val="18"/>
        </w:rPr>
        <w:t>VenJ</w:t>
      </w:r>
      <w:proofErr w:type="spellEnd"/>
      <w:r w:rsidRPr="00434E6E" w:rsidR="00434E6E">
        <w:rPr>
          <w:szCs w:val="18"/>
        </w:rPr>
        <w:t xml:space="preserve"> aan te merken. Mee- of tegenvallers t.o.v. de raming komen voortaan dus ten gunste of ten laste van het generale beeld.</w:t>
      </w:r>
      <w:r w:rsidR="00D747F5">
        <w:rPr>
          <w:i/>
          <w:iCs/>
          <w:color w:val="1F497D"/>
          <w:szCs w:val="18"/>
        </w:rPr>
        <w:t xml:space="preserve"> </w:t>
      </w:r>
    </w:p>
    <w:p w:rsidR="0066283B" w:rsidRDefault="00576CB5">
      <w:pPr>
        <w:pStyle w:val="Titel"/>
      </w:pPr>
      <w:r w:rsidRPr="00576CB5">
        <w:t>Rente studiefinanciering</w:t>
      </w:r>
    </w:p>
    <w:p w:rsidR="00576CB5" w:rsidP="00576CB5" w:rsidRDefault="00576CB5">
      <w:pPr>
        <w:rPr>
          <w:szCs w:val="18"/>
        </w:rPr>
      </w:pPr>
      <w:r w:rsidRPr="00E97BBC">
        <w:rPr>
          <w:szCs w:val="18"/>
        </w:rPr>
        <w:t>De raming voor studiefinanciering laat lagere renteontvangsten zien vanwege de lagere rentestand.</w:t>
      </w:r>
    </w:p>
    <w:p w:rsidR="0066283B" w:rsidRDefault="00576CB5">
      <w:pPr>
        <w:pStyle w:val="Titel"/>
      </w:pPr>
      <w:proofErr w:type="spellStart"/>
      <w:r w:rsidRPr="00576CB5">
        <w:t>ABP-sleutel</w:t>
      </w:r>
      <w:proofErr w:type="spellEnd"/>
    </w:p>
    <w:p w:rsidR="00576CB5" w:rsidP="00576CB5" w:rsidRDefault="00576CB5">
      <w:pPr>
        <w:rPr>
          <w:szCs w:val="18"/>
        </w:rPr>
      </w:pPr>
      <w:r>
        <w:rPr>
          <w:szCs w:val="18"/>
        </w:rPr>
        <w:t xml:space="preserve">Per 1 januari 2017 heeft het ABP de pensioenpremie verhoogd. Om de ministeries hiervoor te compenseren is 342 miljoen euro toegevoegd aan de departementale begrotingen. </w:t>
      </w:r>
    </w:p>
    <w:p w:rsidR="0066283B" w:rsidRDefault="00576CB5">
      <w:pPr>
        <w:pStyle w:val="Titel"/>
      </w:pPr>
      <w:r w:rsidRPr="00576CB5">
        <w:t>MH17</w:t>
      </w:r>
    </w:p>
    <w:p w:rsidRPr="00576CB5" w:rsidR="00576CB5" w:rsidP="00576CB5" w:rsidRDefault="00576CB5">
      <w:pPr>
        <w:rPr>
          <w:rFonts w:eastAsia="Times New Roman" w:cs="Times New Roman"/>
          <w:i/>
          <w:color w:val="000000"/>
          <w:szCs w:val="18"/>
          <w:lang w:eastAsia="nl-NL"/>
        </w:rPr>
      </w:pPr>
      <w:r w:rsidRPr="004251DE">
        <w:rPr>
          <w:szCs w:val="18"/>
        </w:rPr>
        <w:t>Voor de mogelijke vervolging en berechting MH17 wordt 9 mln. per jaar gereserveerd</w:t>
      </w:r>
      <w:r>
        <w:rPr>
          <w:szCs w:val="18"/>
        </w:rPr>
        <w:t xml:space="preserve"> vanaf 2018. </w:t>
      </w:r>
      <w:r w:rsidRPr="004251DE">
        <w:rPr>
          <w:szCs w:val="18"/>
        </w:rPr>
        <w:t xml:space="preserve">De uiteindelijke Nederlandse bijdrage is onder andere afhankelijk van onderhandelingen met de andere </w:t>
      </w:r>
      <w:proofErr w:type="spellStart"/>
      <w:r w:rsidRPr="004251DE">
        <w:rPr>
          <w:szCs w:val="18"/>
        </w:rPr>
        <w:t>JIT-landen</w:t>
      </w:r>
      <w:proofErr w:type="spellEnd"/>
      <w:r w:rsidRPr="004251DE">
        <w:rPr>
          <w:szCs w:val="18"/>
        </w:rPr>
        <w:t xml:space="preserve"> en </w:t>
      </w:r>
      <w:r>
        <w:rPr>
          <w:szCs w:val="18"/>
        </w:rPr>
        <w:t>‘</w:t>
      </w:r>
      <w:proofErr w:type="spellStart"/>
      <w:r w:rsidRPr="004251DE">
        <w:rPr>
          <w:szCs w:val="18"/>
        </w:rPr>
        <w:t>grieving</w:t>
      </w:r>
      <w:proofErr w:type="spellEnd"/>
      <w:r w:rsidRPr="004251DE">
        <w:rPr>
          <w:szCs w:val="18"/>
        </w:rPr>
        <w:t xml:space="preserve"> </w:t>
      </w:r>
      <w:proofErr w:type="spellStart"/>
      <w:r w:rsidRPr="004251DE">
        <w:rPr>
          <w:szCs w:val="18"/>
        </w:rPr>
        <w:t>nations</w:t>
      </w:r>
      <w:proofErr w:type="spellEnd"/>
      <w:r>
        <w:rPr>
          <w:szCs w:val="18"/>
        </w:rPr>
        <w:t>’</w:t>
      </w:r>
      <w:r w:rsidRPr="004251DE">
        <w:rPr>
          <w:szCs w:val="18"/>
        </w:rPr>
        <w:t xml:space="preserve"> over verdeling van de kosten en het vervolgingsmechanisme van nationale of internationale rechtsgang.</w:t>
      </w:r>
    </w:p>
    <w:p w:rsidR="0066283B" w:rsidRDefault="00576CB5">
      <w:pPr>
        <w:pStyle w:val="Titel"/>
      </w:pPr>
      <w:r w:rsidRPr="00576CB5">
        <w:t>Regeringsvliegtuig</w:t>
      </w:r>
    </w:p>
    <w:p w:rsidR="00576CB5" w:rsidP="00576CB5" w:rsidRDefault="00576CB5">
      <w:pPr>
        <w:rPr>
          <w:szCs w:val="18"/>
        </w:rPr>
      </w:pPr>
      <w:r w:rsidRPr="00DC7797">
        <w:rPr>
          <w:szCs w:val="18"/>
        </w:rPr>
        <w:t xml:space="preserve">Voor de vervanging van het regeringsvliegtuig heeft het kabinet 50 miljoen euro vrijgemaakt, naast </w:t>
      </w:r>
      <w:proofErr w:type="gramStart"/>
      <w:r w:rsidRPr="00DC7797">
        <w:rPr>
          <w:szCs w:val="18"/>
        </w:rPr>
        <w:t>de</w:t>
      </w:r>
      <w:proofErr w:type="gramEnd"/>
      <w:r w:rsidRPr="00DC7797">
        <w:rPr>
          <w:szCs w:val="18"/>
        </w:rPr>
        <w:t xml:space="preserve"> 40 miljoen euro uit de niet bestede reservering uit 2016.</w:t>
      </w:r>
    </w:p>
    <w:p w:rsidR="0066283B" w:rsidRDefault="00576CB5">
      <w:pPr>
        <w:pStyle w:val="Titel"/>
      </w:pPr>
      <w:proofErr w:type="spellStart"/>
      <w:r w:rsidRPr="00576CB5">
        <w:t>Kostendelersnorm</w:t>
      </w:r>
      <w:proofErr w:type="spellEnd"/>
      <w:r w:rsidRPr="00576CB5">
        <w:t xml:space="preserve"> AOW</w:t>
      </w:r>
    </w:p>
    <w:p w:rsidRPr="007C639D" w:rsidR="00576CB5" w:rsidP="00576CB5" w:rsidRDefault="00576CB5">
      <w:pPr>
        <w:rPr>
          <w:rFonts w:eastAsia="Times New Roman" w:cs="Times New Roman"/>
          <w:i/>
          <w:color w:val="000000"/>
          <w:szCs w:val="18"/>
          <w:lang w:eastAsia="nl-NL"/>
        </w:rPr>
      </w:pPr>
      <w:r>
        <w:rPr>
          <w:szCs w:val="18"/>
        </w:rPr>
        <w:t xml:space="preserve">Er wordt afgezien van de invoering van de </w:t>
      </w:r>
      <w:proofErr w:type="spellStart"/>
      <w:r>
        <w:rPr>
          <w:szCs w:val="18"/>
        </w:rPr>
        <w:t>kostendelersnorm</w:t>
      </w:r>
      <w:proofErr w:type="spellEnd"/>
      <w:r>
        <w:rPr>
          <w:szCs w:val="18"/>
        </w:rPr>
        <w:t xml:space="preserve"> AOW.</w:t>
      </w:r>
    </w:p>
    <w:p w:rsidR="0066283B" w:rsidRDefault="00576CB5">
      <w:pPr>
        <w:pStyle w:val="Titel"/>
      </w:pPr>
      <w:proofErr w:type="spellStart"/>
      <w:r w:rsidRPr="00D747F5">
        <w:t>WIA-taakstelling</w:t>
      </w:r>
      <w:proofErr w:type="spellEnd"/>
    </w:p>
    <w:p w:rsidRPr="007C639D" w:rsidR="00B36D62" w:rsidP="00B36D62" w:rsidRDefault="00B36D62">
      <w:pPr>
        <w:rPr>
          <w:rFonts w:eastAsia="Times New Roman" w:cs="Times New Roman"/>
          <w:i/>
          <w:color w:val="000000"/>
          <w:szCs w:val="18"/>
          <w:lang w:eastAsia="nl-NL"/>
        </w:rPr>
      </w:pPr>
      <w:r>
        <w:rPr>
          <w:szCs w:val="18"/>
        </w:rPr>
        <w:t>Er zijn nog geen concrete maatregelen genomen om het beroep op de WIA te verminderen. Dit zorgt voor een besparingsverlies.</w:t>
      </w:r>
    </w:p>
    <w:p w:rsidR="0066283B" w:rsidRDefault="00576CB5">
      <w:pPr>
        <w:pStyle w:val="Titel"/>
      </w:pPr>
      <w:proofErr w:type="spellStart"/>
      <w:r w:rsidRPr="00576CB5">
        <w:t>ZW-pilots</w:t>
      </w:r>
      <w:proofErr w:type="spellEnd"/>
    </w:p>
    <w:p w:rsidR="00576CB5" w:rsidP="00576CB5" w:rsidRDefault="00B36D62">
      <w:pPr>
        <w:rPr>
          <w:rFonts w:eastAsia="Times New Roman" w:cs="Times New Roman"/>
          <w:i/>
          <w:color w:val="000000"/>
          <w:szCs w:val="18"/>
          <w:lang w:eastAsia="nl-NL"/>
        </w:rPr>
      </w:pPr>
      <w:r>
        <w:rPr>
          <w:szCs w:val="18"/>
        </w:rPr>
        <w:t xml:space="preserve">Er zijn nog geen </w:t>
      </w:r>
      <w:r w:rsidR="00131A7E">
        <w:rPr>
          <w:szCs w:val="18"/>
        </w:rPr>
        <w:t>concrete maatregelen genomen</w:t>
      </w:r>
      <w:r>
        <w:rPr>
          <w:szCs w:val="18"/>
        </w:rPr>
        <w:t xml:space="preserve"> om de </w:t>
      </w:r>
      <w:proofErr w:type="spellStart"/>
      <w:r>
        <w:rPr>
          <w:szCs w:val="18"/>
        </w:rPr>
        <w:t>pilots</w:t>
      </w:r>
      <w:proofErr w:type="spellEnd"/>
      <w:r>
        <w:rPr>
          <w:szCs w:val="18"/>
        </w:rPr>
        <w:t xml:space="preserve"> naar innovatieve werkwijzen voor re-integratie bij ziekte landelijk uit te rollen. Dit zorgt voor een besparingsverlies.</w:t>
      </w:r>
    </w:p>
    <w:p w:rsidR="0066283B" w:rsidRDefault="00576CB5">
      <w:pPr>
        <w:pStyle w:val="Titel"/>
      </w:pPr>
      <w:r w:rsidRPr="00576CB5">
        <w:t xml:space="preserve">Ongedaan maken korting op </w:t>
      </w:r>
      <w:proofErr w:type="spellStart"/>
      <w:r w:rsidRPr="00576CB5">
        <w:t>scholings</w:t>
      </w:r>
      <w:proofErr w:type="spellEnd"/>
      <w:r w:rsidRPr="00576CB5">
        <w:t>- en monumentenaftrek</w:t>
      </w:r>
    </w:p>
    <w:p w:rsidR="00B36D62" w:rsidP="00B36D62" w:rsidRDefault="00B36D62">
      <w:pPr>
        <w:rPr>
          <w:color w:val="1F497D"/>
          <w:szCs w:val="18"/>
        </w:rPr>
      </w:pPr>
      <w:r>
        <w:rPr>
          <w:szCs w:val="18"/>
        </w:rPr>
        <w:t xml:space="preserve">De korting die gepaard ging met de omvorming van de fiscale </w:t>
      </w:r>
      <w:proofErr w:type="spellStart"/>
      <w:r>
        <w:rPr>
          <w:szCs w:val="18"/>
        </w:rPr>
        <w:t>scholings</w:t>
      </w:r>
      <w:proofErr w:type="spellEnd"/>
      <w:r>
        <w:rPr>
          <w:szCs w:val="18"/>
        </w:rPr>
        <w:t xml:space="preserve">- en monumentenaftrek wordt teruggedraaid. De omvorming naar uitgavenregelingen op de </w:t>
      </w:r>
      <w:proofErr w:type="spellStart"/>
      <w:r>
        <w:rPr>
          <w:szCs w:val="18"/>
        </w:rPr>
        <w:t>OCW-begroting</w:t>
      </w:r>
      <w:proofErr w:type="spellEnd"/>
      <w:r>
        <w:rPr>
          <w:szCs w:val="18"/>
        </w:rPr>
        <w:t xml:space="preserve"> gaat door, maar met </w:t>
      </w:r>
      <w:r w:rsidR="007D1CBD">
        <w:rPr>
          <w:szCs w:val="18"/>
        </w:rPr>
        <w:t xml:space="preserve">het </w:t>
      </w:r>
      <w:r>
        <w:rPr>
          <w:szCs w:val="18"/>
        </w:rPr>
        <w:t>originele budget.</w:t>
      </w:r>
    </w:p>
    <w:p w:rsidR="0066283B" w:rsidRDefault="006E797B">
      <w:pPr>
        <w:pStyle w:val="Titel"/>
      </w:pPr>
      <w:r>
        <w:lastRenderedPageBreak/>
        <w:t xml:space="preserve">Capaciteit </w:t>
      </w:r>
      <w:proofErr w:type="spellStart"/>
      <w:r>
        <w:t>KMar</w:t>
      </w:r>
      <w:proofErr w:type="spellEnd"/>
      <w:r>
        <w:t xml:space="preserve"> grensbewaking</w:t>
      </w:r>
    </w:p>
    <w:p w:rsidR="006E797B" w:rsidP="00576CB5" w:rsidRDefault="006E797B">
      <w:pPr>
        <w:rPr>
          <w:rFonts w:eastAsia="Times New Roman" w:cs="Times New Roman"/>
          <w:i/>
          <w:color w:val="000000"/>
          <w:szCs w:val="18"/>
          <w:lang w:eastAsia="nl-NL"/>
        </w:rPr>
      </w:pPr>
      <w:r w:rsidRPr="006E797B">
        <w:rPr>
          <w:szCs w:val="18"/>
        </w:rPr>
        <w:t xml:space="preserve">Veiligheid en Justitie </w:t>
      </w:r>
      <w:proofErr w:type="gramStart"/>
      <w:r w:rsidRPr="006E797B">
        <w:rPr>
          <w:szCs w:val="18"/>
        </w:rPr>
        <w:t>krijgt</w:t>
      </w:r>
      <w:proofErr w:type="gramEnd"/>
      <w:r w:rsidRPr="006E797B">
        <w:rPr>
          <w:szCs w:val="18"/>
        </w:rPr>
        <w:t xml:space="preserve"> structureel 20 mln. voor de grensbewakingstaak van de Koninklijke Marechaussee (</w:t>
      </w:r>
      <w:proofErr w:type="spellStart"/>
      <w:r w:rsidRPr="006E797B">
        <w:rPr>
          <w:szCs w:val="18"/>
        </w:rPr>
        <w:t>KMar</w:t>
      </w:r>
      <w:proofErr w:type="spellEnd"/>
      <w:r w:rsidRPr="006E797B">
        <w:rPr>
          <w:szCs w:val="18"/>
        </w:rPr>
        <w:t xml:space="preserve">), onder andere op luchthavens. Hiermee kan de </w:t>
      </w:r>
      <w:proofErr w:type="spellStart"/>
      <w:r w:rsidRPr="006E797B">
        <w:rPr>
          <w:szCs w:val="18"/>
        </w:rPr>
        <w:t>KMar</w:t>
      </w:r>
      <w:proofErr w:type="spellEnd"/>
      <w:r w:rsidRPr="006E797B">
        <w:rPr>
          <w:szCs w:val="18"/>
        </w:rPr>
        <w:t xml:space="preserve"> de </w:t>
      </w:r>
      <w:proofErr w:type="gramStart"/>
      <w:r w:rsidRPr="006E797B">
        <w:rPr>
          <w:szCs w:val="18"/>
        </w:rPr>
        <w:t>reeds</w:t>
      </w:r>
      <w:proofErr w:type="gramEnd"/>
      <w:r w:rsidRPr="006E797B">
        <w:rPr>
          <w:szCs w:val="18"/>
        </w:rPr>
        <w:t xml:space="preserve"> ingezette verhoging van de capaciteit voor grensbewaking voortzetten en uitbreiden.</w:t>
      </w:r>
    </w:p>
    <w:p w:rsidR="0066283B" w:rsidRDefault="00576CB5">
      <w:pPr>
        <w:pStyle w:val="Titel"/>
      </w:pPr>
      <w:r w:rsidRPr="00576CB5">
        <w:t>AIVD</w:t>
      </w:r>
    </w:p>
    <w:p w:rsidRPr="007C639D" w:rsidR="00B36D62" w:rsidP="00B36D62" w:rsidRDefault="006E797B">
      <w:pPr>
        <w:rPr>
          <w:rFonts w:eastAsia="Times New Roman" w:cs="Times New Roman"/>
          <w:i/>
          <w:color w:val="000000"/>
          <w:szCs w:val="18"/>
          <w:lang w:eastAsia="nl-NL"/>
        </w:rPr>
      </w:pPr>
      <w:r w:rsidRPr="006E797B">
        <w:rPr>
          <w:szCs w:val="18"/>
        </w:rPr>
        <w:t>De AIVD kent een oploop in budget vanaf 2020 voor werving van nieuwe medewerkers. Om dit budget per 2020 effectief in te kunnen zetten, moet nu al begonnen worden met werving om de capaciteit te verhogen. De middelen in 2018 en 2019 maken dit mogelijk door een geleidelijkere oploop van budget.</w:t>
      </w:r>
    </w:p>
    <w:p w:rsidRPr="006E797B" w:rsidR="006E797B" w:rsidP="006E797B" w:rsidRDefault="006E797B">
      <w:pPr>
        <w:rPr>
          <w:lang w:eastAsia="nl-NL"/>
        </w:rPr>
      </w:pPr>
      <w:r w:rsidRPr="006E797B">
        <w:rPr>
          <w:rFonts w:eastAsia="Times New Roman" w:cs="Times New Roman"/>
          <w:i/>
          <w:color w:val="000000"/>
          <w:szCs w:val="18"/>
          <w:lang w:eastAsia="nl-NL"/>
        </w:rPr>
        <w:t>MIVD (GA I&amp;V)</w:t>
      </w:r>
    </w:p>
    <w:p w:rsidR="006E797B" w:rsidP="00576CB5" w:rsidRDefault="006E797B">
      <w:pPr>
        <w:rPr>
          <w:rFonts w:eastAsia="Times New Roman" w:cs="Times New Roman"/>
          <w:i/>
          <w:color w:val="000000"/>
          <w:szCs w:val="18"/>
          <w:lang w:eastAsia="nl-NL"/>
        </w:rPr>
      </w:pPr>
      <w:r w:rsidRPr="006E797B">
        <w:rPr>
          <w:szCs w:val="18"/>
        </w:rPr>
        <w:t>Er worden middelen vrijgemaakt om van start te kunnen gaan met de uitvoering van de Geïntegreerde Aanwijzing Inlichtingen &amp; Veiligheid. Met deze maatregel is de MIVD in staat om (de voorbereiding van) inzet en missies beter te ondersteunen.</w:t>
      </w:r>
    </w:p>
    <w:p w:rsidR="0066283B" w:rsidRDefault="00576CB5">
      <w:pPr>
        <w:pStyle w:val="Titel"/>
      </w:pPr>
      <w:r w:rsidRPr="00576CB5">
        <w:t>Migratie</w:t>
      </w:r>
    </w:p>
    <w:p w:rsidR="00B36D62" w:rsidP="00576CB5" w:rsidRDefault="00B36D62">
      <w:pPr>
        <w:rPr>
          <w:szCs w:val="18"/>
        </w:rPr>
      </w:pPr>
      <w:r>
        <w:rPr>
          <w:szCs w:val="18"/>
        </w:rPr>
        <w:t xml:space="preserve">Er wordt 75 mln. vrijgemaakt waarmee de kosten van leegstand in de asielopvang uit 2016 via BHOS aan </w:t>
      </w:r>
      <w:proofErr w:type="spellStart"/>
      <w:r>
        <w:rPr>
          <w:szCs w:val="18"/>
        </w:rPr>
        <w:t>VenJ</w:t>
      </w:r>
      <w:proofErr w:type="spellEnd"/>
      <w:r>
        <w:rPr>
          <w:szCs w:val="18"/>
        </w:rPr>
        <w:t xml:space="preserve"> worden betaald. Daarnaast wordt er 50 mln. vrijgemaakt in 2017 voor veiligheid, stabiliteit, migratiesamenwerking en opvang in de regio in Afrika. Hiermee wordt ingezet op het beperken van irreguliere migratie en mensensmokkel, en op opvang van vluchtelingen in de regio van herkomst.</w:t>
      </w:r>
    </w:p>
    <w:p w:rsidR="0066283B" w:rsidRDefault="00576CB5">
      <w:pPr>
        <w:pStyle w:val="Titel"/>
      </w:pPr>
      <w:r w:rsidRPr="00576CB5">
        <w:t>Rechtshandhaving Sint Maarten/</w:t>
      </w:r>
      <w:proofErr w:type="spellStart"/>
      <w:r w:rsidRPr="00576CB5">
        <w:t>Curacao</w:t>
      </w:r>
      <w:proofErr w:type="spellEnd"/>
    </w:p>
    <w:p w:rsidR="00B36D62" w:rsidP="00B36D62" w:rsidRDefault="00B36D62">
      <w:pPr>
        <w:rPr>
          <w:rFonts w:eastAsia="Times New Roman" w:cs="Times New Roman"/>
          <w:color w:val="000000"/>
          <w:szCs w:val="18"/>
          <w:lang w:eastAsia="nl-NL"/>
        </w:rPr>
      </w:pPr>
      <w:r>
        <w:rPr>
          <w:szCs w:val="18"/>
        </w:rPr>
        <w:t xml:space="preserve">Er worden middelen vrijgemaakt om het Team Bestrijding Ondermijning (TBO) voor vier jaar voort te zetten. Het TBO houdt zich bezig met de opsporing en vervolging van grensoverschrijdende ondermijnende criminaliteit in het Caribische deel van het Koninkrijk, </w:t>
      </w:r>
      <w:proofErr w:type="gramStart"/>
      <w:r>
        <w:rPr>
          <w:szCs w:val="18"/>
        </w:rPr>
        <w:t>met name</w:t>
      </w:r>
      <w:proofErr w:type="gramEnd"/>
      <w:r>
        <w:rPr>
          <w:szCs w:val="18"/>
        </w:rPr>
        <w:t xml:space="preserve"> Sint Maarten en Curaçao.</w:t>
      </w:r>
    </w:p>
    <w:p w:rsidR="0066283B" w:rsidRDefault="00576CB5">
      <w:pPr>
        <w:pStyle w:val="Titel"/>
      </w:pPr>
      <w:r w:rsidRPr="00576CB5">
        <w:t>Boeteraming belastingdienst</w:t>
      </w:r>
    </w:p>
    <w:p w:rsidR="00576CB5" w:rsidP="00576CB5" w:rsidRDefault="00B36D62">
      <w:pPr>
        <w:rPr>
          <w:rFonts w:eastAsia="Times New Roman" w:cs="Times New Roman"/>
          <w:i/>
          <w:color w:val="000000"/>
          <w:szCs w:val="18"/>
          <w:lang w:eastAsia="nl-NL"/>
        </w:rPr>
      </w:pPr>
      <w:r>
        <w:rPr>
          <w:szCs w:val="18"/>
        </w:rPr>
        <w:t>De rechter heeft geoordeeld dat er een wanverhouding bestaat tussen de verzuimboete en de niet tijdig betaalde motorrijtuigenbelasting (MRB). Dit leidt tot 60 miljoen euro lagere boeteontvangsten op de begroting van de Belastingdienst. Voor een deel wordt de tegenvaller gedekt met een meevaller binnen het boetedossier van 15 miljoen euro.</w:t>
      </w:r>
    </w:p>
    <w:p w:rsidR="0066283B" w:rsidRDefault="00576CB5">
      <w:pPr>
        <w:pStyle w:val="Titel"/>
      </w:pPr>
      <w:r w:rsidRPr="00576CB5">
        <w:t>Artsen UWV</w:t>
      </w:r>
    </w:p>
    <w:p w:rsidR="00B36D62" w:rsidP="00B36D62" w:rsidRDefault="00B36D62">
      <w:pPr>
        <w:rPr>
          <w:rFonts w:eastAsia="Times New Roman" w:cs="Times New Roman"/>
          <w:i/>
          <w:color w:val="000000"/>
          <w:szCs w:val="18"/>
          <w:lang w:eastAsia="nl-NL"/>
        </w:rPr>
      </w:pPr>
      <w:r>
        <w:rPr>
          <w:szCs w:val="18"/>
        </w:rPr>
        <w:t>Vanaf 2019 wordt 44 mln. vrijgemaakt voor het behoud van de artsencapaciteit UWV.</w:t>
      </w:r>
    </w:p>
    <w:p w:rsidR="0066283B" w:rsidRDefault="00576CB5">
      <w:pPr>
        <w:pStyle w:val="Titel"/>
      </w:pPr>
      <w:proofErr w:type="spellStart"/>
      <w:r w:rsidRPr="00576CB5">
        <w:t>Invest-NL</w:t>
      </w:r>
      <w:proofErr w:type="spellEnd"/>
    </w:p>
    <w:p w:rsidR="00576CB5" w:rsidP="00576CB5" w:rsidRDefault="003D5648">
      <w:pPr>
        <w:rPr>
          <w:rFonts w:eastAsia="Times New Roman" w:cs="Times New Roman"/>
          <w:i/>
          <w:color w:val="000000"/>
          <w:szCs w:val="18"/>
          <w:lang w:eastAsia="nl-NL"/>
        </w:rPr>
      </w:pPr>
      <w:r>
        <w:rPr>
          <w:szCs w:val="18"/>
        </w:rPr>
        <w:t xml:space="preserve">Het kabinet heeft vorig jaar besloten tot de oprichting van </w:t>
      </w:r>
      <w:proofErr w:type="spellStart"/>
      <w:r>
        <w:rPr>
          <w:szCs w:val="18"/>
        </w:rPr>
        <w:t>Invest-NL</w:t>
      </w:r>
      <w:proofErr w:type="spellEnd"/>
      <w:r>
        <w:rPr>
          <w:szCs w:val="18"/>
        </w:rPr>
        <w:t xml:space="preserve">. De middelen voor </w:t>
      </w:r>
      <w:proofErr w:type="spellStart"/>
      <w:r>
        <w:rPr>
          <w:szCs w:val="18"/>
        </w:rPr>
        <w:t>Invest-NL</w:t>
      </w:r>
      <w:proofErr w:type="spellEnd"/>
      <w:r>
        <w:rPr>
          <w:szCs w:val="18"/>
        </w:rPr>
        <w:t xml:space="preserve"> bestaan uit ontwikkel- en transitiekosten. Voor de nationale en internationale ontwikkeltak worden kosten gemaakt die een structureel karakter hebben, namelijk het aannemen van mensen. Om goede mensen aan te kunnen trekken, dient perspectief geboden te worden. De kosten hiervoor bedragen vanaf 2019 19 miljoen euro structureel. Daarnaast worden incidenteel (in 2017 en 2018) middelen vrijgemaakt voor transitiekosten op de begroting van EZ.</w:t>
      </w:r>
    </w:p>
    <w:p w:rsidR="0066283B" w:rsidRDefault="00576CB5">
      <w:pPr>
        <w:pStyle w:val="Titel"/>
      </w:pPr>
      <w:r w:rsidRPr="00576CB5">
        <w:t>Onderwijs</w:t>
      </w:r>
    </w:p>
    <w:p w:rsidRPr="005F0EE0" w:rsidR="00576CB5" w:rsidP="00576CB5" w:rsidRDefault="005F0EE0">
      <w:pPr>
        <w:rPr>
          <w:rFonts w:eastAsia="Times New Roman" w:cs="Times New Roman"/>
          <w:color w:val="000000"/>
          <w:szCs w:val="18"/>
          <w:lang w:eastAsia="nl-NL"/>
        </w:rPr>
      </w:pPr>
      <w:r w:rsidRPr="005F0EE0">
        <w:rPr>
          <w:rFonts w:eastAsia="Times New Roman" w:cs="Times New Roman"/>
          <w:color w:val="000000"/>
          <w:szCs w:val="18"/>
          <w:lang w:eastAsia="nl-NL"/>
        </w:rPr>
        <w:t xml:space="preserve">Aan de </w:t>
      </w:r>
      <w:r w:rsidR="00E1139F">
        <w:rPr>
          <w:rFonts w:eastAsia="Times New Roman" w:cs="Times New Roman"/>
          <w:color w:val="000000"/>
          <w:szCs w:val="18"/>
          <w:lang w:eastAsia="nl-NL"/>
        </w:rPr>
        <w:t xml:space="preserve">begroting van OCW zijn middelen toegevoegd voor het dekken van de </w:t>
      </w:r>
      <w:proofErr w:type="spellStart"/>
      <w:r w:rsidR="00E1139F">
        <w:rPr>
          <w:rFonts w:eastAsia="Times New Roman" w:cs="Times New Roman"/>
          <w:color w:val="000000"/>
          <w:szCs w:val="18"/>
          <w:lang w:eastAsia="nl-NL"/>
        </w:rPr>
        <w:t>OCW-brede</w:t>
      </w:r>
      <w:proofErr w:type="spellEnd"/>
      <w:r w:rsidR="00E1139F">
        <w:rPr>
          <w:rFonts w:eastAsia="Times New Roman" w:cs="Times New Roman"/>
          <w:color w:val="000000"/>
          <w:szCs w:val="18"/>
          <w:lang w:eastAsia="nl-NL"/>
        </w:rPr>
        <w:t xml:space="preserve"> problematiek, waaronder de referentieraming.</w:t>
      </w:r>
    </w:p>
    <w:p w:rsidR="0066283B" w:rsidRDefault="00576CB5">
      <w:pPr>
        <w:pStyle w:val="Titel"/>
      </w:pPr>
      <w:r w:rsidRPr="00576CB5">
        <w:lastRenderedPageBreak/>
        <w:t>Flankerend beleid hoofdlijnenakkoorden 2018</w:t>
      </w:r>
    </w:p>
    <w:p w:rsidR="003801B7" w:rsidP="003801B7" w:rsidRDefault="003801B7">
      <w:pPr>
        <w:spacing w:line="240" w:lineRule="exact"/>
        <w:rPr>
          <w:szCs w:val="18"/>
        </w:rPr>
      </w:pPr>
      <w:r>
        <w:rPr>
          <w:szCs w:val="18"/>
        </w:rPr>
        <w:t xml:space="preserve">Het kabinet is voornemens om voor 2018 hoofdlijnenakkoorden te sluiten met de sectoren MSZ, GGZ, Huisartsenzorg/Multidisciplinaire zorgverlening en Wijkverpleging. Om deze akkoorden tot stand te brengen heeft het kabinet </w:t>
      </w:r>
      <w:r w:rsidR="007D1CBD">
        <w:rPr>
          <w:szCs w:val="18"/>
        </w:rPr>
        <w:t xml:space="preserve">middelen </w:t>
      </w:r>
      <w:r>
        <w:rPr>
          <w:szCs w:val="18"/>
        </w:rPr>
        <w:t xml:space="preserve">vrijgemaakt voor een aantal gerichte intensiveringen, zoals het versterken van het </w:t>
      </w:r>
      <w:proofErr w:type="spellStart"/>
      <w:r>
        <w:rPr>
          <w:szCs w:val="18"/>
        </w:rPr>
        <w:t>eerstelijnsverblijf</w:t>
      </w:r>
      <w:proofErr w:type="spellEnd"/>
      <w:r>
        <w:rPr>
          <w:szCs w:val="18"/>
        </w:rPr>
        <w:t>.</w:t>
      </w:r>
    </w:p>
    <w:p w:rsidR="0066283B" w:rsidRDefault="00576CB5">
      <w:pPr>
        <w:pStyle w:val="Titel"/>
      </w:pPr>
      <w:r w:rsidRPr="00576CB5">
        <w:t xml:space="preserve">Kwaliteitskader verpleeghuiszorg </w:t>
      </w:r>
    </w:p>
    <w:p w:rsidRPr="005E4E38" w:rsidR="005E4E38" w:rsidP="005E4E38" w:rsidRDefault="005E4E38">
      <w:pPr>
        <w:rPr>
          <w:szCs w:val="18"/>
        </w:rPr>
      </w:pPr>
      <w:r>
        <w:rPr>
          <w:szCs w:val="18"/>
        </w:rPr>
        <w:t>In de brief van 13 januari 201</w:t>
      </w:r>
      <w:r w:rsidRPr="005E4E38">
        <w:rPr>
          <w:szCs w:val="18"/>
        </w:rPr>
        <w:t>7</w:t>
      </w:r>
      <w:r>
        <w:rPr>
          <w:szCs w:val="18"/>
        </w:rPr>
        <w:t xml:space="preserve"> heeft het kabinet incidenteel 100 mln. beschikbaar gesteld voor de verpleeghuislocaties waar verbetering van kwaliteit het hardste nodig is. Daarnaast is als eerste stap vanaf 2017 structureel 100 mln. uitgetrokken voor </w:t>
      </w:r>
      <w:proofErr w:type="gramStart"/>
      <w:r>
        <w:rPr>
          <w:szCs w:val="18"/>
        </w:rPr>
        <w:t>de  </w:t>
      </w:r>
      <w:proofErr w:type="gramEnd"/>
      <w:r>
        <w:rPr>
          <w:szCs w:val="18"/>
        </w:rPr>
        <w:t xml:space="preserve">implementatie van het nieuwe kwaliteitskader verpleeghuiszorg. Het kwaliteitskader is juridisch bindend. De tariefstelling van de </w:t>
      </w:r>
      <w:proofErr w:type="spellStart"/>
      <w:r>
        <w:rPr>
          <w:szCs w:val="18"/>
        </w:rPr>
        <w:t>NZa</w:t>
      </w:r>
      <w:proofErr w:type="spellEnd"/>
      <w:r>
        <w:rPr>
          <w:szCs w:val="18"/>
        </w:rPr>
        <w:t xml:space="preserve"> moet hiermee rekening houden. Het is daarom onvermijdelijk dat extra middelen voor verpleeghuiszorg worden gereserveerd. Zoals </w:t>
      </w:r>
      <w:proofErr w:type="gramStart"/>
      <w:r>
        <w:rPr>
          <w:szCs w:val="18"/>
        </w:rPr>
        <w:t>reeds</w:t>
      </w:r>
      <w:proofErr w:type="gramEnd"/>
      <w:r>
        <w:rPr>
          <w:szCs w:val="18"/>
        </w:rPr>
        <w:t xml:space="preserve"> gemeld in de brief van</w:t>
      </w:r>
      <w:r w:rsidR="007F5D15">
        <w:rPr>
          <w:szCs w:val="18"/>
        </w:rPr>
        <w:t xml:space="preserve"> 31 mei </w:t>
      </w:r>
      <w:r>
        <w:rPr>
          <w:szCs w:val="18"/>
        </w:rPr>
        <w:t xml:space="preserve">van de staatsecretaris van VWS, zal het benodigde bedrag de komende jaren oplopen. Het derde scenario van de </w:t>
      </w:r>
      <w:proofErr w:type="spellStart"/>
      <w:r>
        <w:rPr>
          <w:szCs w:val="18"/>
        </w:rPr>
        <w:t>NZa</w:t>
      </w:r>
      <w:proofErr w:type="spellEnd"/>
      <w:r>
        <w:rPr>
          <w:szCs w:val="18"/>
        </w:rPr>
        <w:t xml:space="preserve"> gaat uit van 1,3 miljard, uitgaande van de aanvullende uitgangspunten conform de </w:t>
      </w:r>
      <w:proofErr w:type="spellStart"/>
      <w:r>
        <w:rPr>
          <w:szCs w:val="18"/>
        </w:rPr>
        <w:t>CPB-systematiek</w:t>
      </w:r>
      <w:proofErr w:type="spellEnd"/>
      <w:r>
        <w:rPr>
          <w:szCs w:val="18"/>
        </w:rPr>
        <w:t xml:space="preserve"> gaat het naar verwachting om circa 2,1 miljard. Omdat de omvang van het bedrag en de fasering nog niet duidelijk zijn, komt het kabinet hier de komende tijd op terug.</w:t>
      </w:r>
    </w:p>
    <w:p w:rsidR="0066283B" w:rsidRDefault="00576CB5">
      <w:pPr>
        <w:pStyle w:val="Titel"/>
      </w:pPr>
      <w:r w:rsidRPr="00576CB5">
        <w:t>Arbeidsmarktagenda</w:t>
      </w:r>
    </w:p>
    <w:p w:rsidR="00B36D62" w:rsidP="00B36D62" w:rsidRDefault="00B36D62">
      <w:pPr>
        <w:rPr>
          <w:szCs w:val="18"/>
        </w:rPr>
      </w:pPr>
      <w:r>
        <w:rPr>
          <w:szCs w:val="18"/>
        </w:rPr>
        <w:t>Om tegemoet te komen aan de toegenomen vraag naar verpleeghuismedewerkers als gevolg van het kwaliteitskader verpleeghuiszorg, worden door het kabinet middelen beschikbaar gesteld om extra mensen op te leiden en om medewerkers om- of bij te scholen. Tevens wordt dekking geleverd voor enkele uitvoeringskosten die samenhangen met het kwaliteitskader.  </w:t>
      </w:r>
    </w:p>
    <w:p w:rsidR="0066283B" w:rsidRDefault="00576CB5">
      <w:pPr>
        <w:pStyle w:val="Titel"/>
      </w:pPr>
      <w:r w:rsidRPr="00576CB5">
        <w:t>Kasschuiven</w:t>
      </w:r>
    </w:p>
    <w:p w:rsidR="003801B7" w:rsidP="003801B7" w:rsidRDefault="003801B7">
      <w:pPr>
        <w:rPr>
          <w:szCs w:val="18"/>
        </w:rPr>
      </w:pPr>
      <w:r>
        <w:rPr>
          <w:szCs w:val="18"/>
        </w:rPr>
        <w:t>De post</w:t>
      </w:r>
      <w:r w:rsidR="005F0EE0">
        <w:rPr>
          <w:szCs w:val="18"/>
        </w:rPr>
        <w:t>en</w:t>
      </w:r>
      <w:r>
        <w:rPr>
          <w:szCs w:val="18"/>
        </w:rPr>
        <w:t xml:space="preserve"> kasschuiven bevat het opboeken van een aantal kasschuiven vanuit 2016. Daarnaast is er een aantal kasschuiven op de begrotinge</w:t>
      </w:r>
      <w:r w:rsidR="005F0EE0">
        <w:rPr>
          <w:szCs w:val="18"/>
        </w:rPr>
        <w:t>n voor de jaren 2017 en verder.</w:t>
      </w:r>
    </w:p>
    <w:p w:rsidR="0066283B" w:rsidRDefault="00576CB5">
      <w:pPr>
        <w:pStyle w:val="Titel"/>
      </w:pPr>
      <w:proofErr w:type="spellStart"/>
      <w:r w:rsidRPr="00576CB5">
        <w:t>Gaswinningsbesluit</w:t>
      </w:r>
      <w:proofErr w:type="spellEnd"/>
    </w:p>
    <w:p w:rsidRPr="00D12BC2" w:rsidR="005F0EE0" w:rsidP="005F0EE0" w:rsidRDefault="005F0EE0">
      <w:pPr>
        <w:rPr>
          <w:szCs w:val="18"/>
        </w:rPr>
      </w:pPr>
      <w:r w:rsidRPr="00F545ED">
        <w:rPr>
          <w:szCs w:val="18"/>
        </w:rPr>
        <w:t>De aardgasbaten zijn naar beneden bijgesteld door macro-economische ontwikkelingen, een daling van de verwachte meerjarige gasprijs en volumebeperking.</w:t>
      </w:r>
    </w:p>
    <w:p w:rsidR="0066283B" w:rsidRDefault="00795B59">
      <w:pPr>
        <w:pStyle w:val="Titel"/>
      </w:pPr>
      <w:r w:rsidRPr="00795B59">
        <w:t>Leerlingenaantallen en referentieraming</w:t>
      </w:r>
    </w:p>
    <w:p w:rsidR="00795B59" w:rsidP="00795B59" w:rsidRDefault="00795B59">
      <w:pPr>
        <w:rPr>
          <w:rFonts w:eastAsia="Times New Roman" w:cs="Times New Roman"/>
          <w:i/>
          <w:color w:val="000000"/>
          <w:szCs w:val="18"/>
          <w:lang w:eastAsia="nl-NL"/>
        </w:rPr>
      </w:pPr>
      <w:r>
        <w:rPr>
          <w:szCs w:val="18"/>
        </w:rPr>
        <w:t>Bij de begroting van OCW is sprake van hogere uitgaven doordat het verwachte aantal leerlingen en studenten hoger uitvalt dan ten tijde van de Miljoenennota 2017 werd verwacht.</w:t>
      </w:r>
    </w:p>
    <w:p w:rsidR="0066283B" w:rsidRDefault="00795B59">
      <w:pPr>
        <w:pStyle w:val="Titel"/>
      </w:pPr>
      <w:r w:rsidRPr="00576CB5">
        <w:t>Taakstelling OCW begroting</w:t>
      </w:r>
    </w:p>
    <w:p w:rsidR="00795B59" w:rsidP="00795B59" w:rsidRDefault="004920B7">
      <w:r w:rsidRPr="004920B7">
        <w:t xml:space="preserve">In 2018 en verder is er diverse problematiek op de </w:t>
      </w:r>
      <w:proofErr w:type="spellStart"/>
      <w:r w:rsidRPr="004920B7">
        <w:t>OCW-begroting</w:t>
      </w:r>
      <w:proofErr w:type="spellEnd"/>
      <w:r w:rsidRPr="004920B7">
        <w:t xml:space="preserve">, voornamelijk als gevolg van hogere leerling- en studentenaantallen dan geraamd. Deze tegenvaller is geparkeerd als taakstelling op het artikel Nominaal en onvoorzien. Dit komt bovenop een taakstelling uit eerdere jaren, die was ingeboekt om de </w:t>
      </w:r>
      <w:proofErr w:type="spellStart"/>
      <w:r w:rsidRPr="004920B7">
        <w:t>OCW-begroting</w:t>
      </w:r>
      <w:proofErr w:type="spellEnd"/>
      <w:r w:rsidRPr="004920B7">
        <w:t xml:space="preserve"> sluitend te krijgen en ter dekking van rijksbrede ruilvoetproblematiek. Het kabinet heeft de taakstelling in het lopende jaar (2017) overigens in deze Voorjaarsnota ingevuld. De totale taakstelling op de </w:t>
      </w:r>
      <w:proofErr w:type="spellStart"/>
      <w:r w:rsidRPr="004920B7">
        <w:t>OCW-begroting</w:t>
      </w:r>
      <w:proofErr w:type="spellEnd"/>
      <w:r w:rsidRPr="004920B7">
        <w:t xml:space="preserve"> is weergegeven in de onderstaande tabel.</w:t>
      </w:r>
    </w:p>
    <w:tbl>
      <w:tblPr>
        <w:tblStyle w:val="Lichtelijst-accent11"/>
        <w:tblW w:w="6524" w:type="dxa"/>
        <w:tblInd w:w="708" w:type="dxa"/>
        <w:tblLook w:val="0620"/>
      </w:tblPr>
      <w:tblGrid>
        <w:gridCol w:w="3840"/>
        <w:gridCol w:w="671"/>
        <w:gridCol w:w="671"/>
        <w:gridCol w:w="671"/>
        <w:gridCol w:w="671"/>
      </w:tblGrid>
      <w:tr w:rsidRPr="00226BD3" w:rsidR="00BD0FD7" w:rsidTr="006A7F4F">
        <w:trPr>
          <w:cnfStyle w:val="100000000000"/>
          <w:trHeight w:val="225"/>
        </w:trPr>
        <w:tc>
          <w:tcPr>
            <w:tcW w:w="3840" w:type="dxa"/>
            <w:noWrap/>
            <w:hideMark/>
          </w:tcPr>
          <w:p w:rsidRPr="00226BD3" w:rsidR="00BD0FD7" w:rsidP="00226BD3" w:rsidRDefault="00BD0FD7">
            <w:pPr>
              <w:rPr>
                <w:rFonts w:eastAsia="Times New Roman" w:cs="Times New Roman"/>
                <w:b w:val="0"/>
                <w:bCs w:val="0"/>
                <w:color w:val="FFFFFF"/>
                <w:sz w:val="16"/>
                <w:szCs w:val="16"/>
                <w:lang w:eastAsia="nl-NL"/>
              </w:rPr>
            </w:pPr>
            <w:r w:rsidRPr="00226BD3">
              <w:rPr>
                <w:rFonts w:eastAsia="Times New Roman" w:cs="Times New Roman"/>
                <w:color w:val="FFFFFF"/>
                <w:sz w:val="16"/>
                <w:szCs w:val="16"/>
                <w:lang w:eastAsia="nl-NL"/>
              </w:rPr>
              <w:t> </w:t>
            </w:r>
          </w:p>
        </w:tc>
        <w:tc>
          <w:tcPr>
            <w:tcW w:w="671" w:type="dxa"/>
            <w:noWrap/>
            <w:hideMark/>
          </w:tcPr>
          <w:p w:rsidRPr="00226BD3" w:rsidR="00BD0FD7" w:rsidP="00226BD3" w:rsidRDefault="00BD0FD7">
            <w:pPr>
              <w:jc w:val="right"/>
              <w:rPr>
                <w:rFonts w:eastAsia="Times New Roman" w:cs="Times New Roman"/>
                <w:b w:val="0"/>
                <w:bCs w:val="0"/>
                <w:color w:val="FFFFFF"/>
                <w:sz w:val="16"/>
                <w:szCs w:val="16"/>
                <w:lang w:eastAsia="nl-NL"/>
              </w:rPr>
            </w:pPr>
            <w:r w:rsidRPr="00226BD3">
              <w:rPr>
                <w:rFonts w:eastAsia="Times New Roman" w:cs="Times New Roman"/>
                <w:color w:val="FFFFFF"/>
                <w:sz w:val="16"/>
                <w:szCs w:val="16"/>
                <w:lang w:eastAsia="nl-NL"/>
              </w:rPr>
              <w:t>2018</w:t>
            </w:r>
          </w:p>
        </w:tc>
        <w:tc>
          <w:tcPr>
            <w:tcW w:w="671" w:type="dxa"/>
            <w:noWrap/>
            <w:hideMark/>
          </w:tcPr>
          <w:p w:rsidRPr="00226BD3" w:rsidR="00BD0FD7" w:rsidP="00226BD3" w:rsidRDefault="00BD0FD7">
            <w:pPr>
              <w:jc w:val="right"/>
              <w:rPr>
                <w:rFonts w:eastAsia="Times New Roman" w:cs="Times New Roman"/>
                <w:b w:val="0"/>
                <w:bCs w:val="0"/>
                <w:color w:val="FFFFFF"/>
                <w:sz w:val="16"/>
                <w:szCs w:val="16"/>
                <w:lang w:eastAsia="nl-NL"/>
              </w:rPr>
            </w:pPr>
            <w:r w:rsidRPr="00226BD3">
              <w:rPr>
                <w:rFonts w:eastAsia="Times New Roman" w:cs="Times New Roman"/>
                <w:color w:val="FFFFFF"/>
                <w:sz w:val="16"/>
                <w:szCs w:val="16"/>
                <w:lang w:eastAsia="nl-NL"/>
              </w:rPr>
              <w:t>2019</w:t>
            </w:r>
          </w:p>
        </w:tc>
        <w:tc>
          <w:tcPr>
            <w:tcW w:w="671" w:type="dxa"/>
            <w:noWrap/>
            <w:hideMark/>
          </w:tcPr>
          <w:p w:rsidRPr="00226BD3" w:rsidR="00BD0FD7" w:rsidP="00226BD3" w:rsidRDefault="00BD0FD7">
            <w:pPr>
              <w:jc w:val="right"/>
              <w:rPr>
                <w:rFonts w:eastAsia="Times New Roman" w:cs="Times New Roman"/>
                <w:b w:val="0"/>
                <w:bCs w:val="0"/>
                <w:color w:val="FFFFFF"/>
                <w:sz w:val="16"/>
                <w:szCs w:val="16"/>
                <w:lang w:eastAsia="nl-NL"/>
              </w:rPr>
            </w:pPr>
            <w:r w:rsidRPr="00226BD3">
              <w:rPr>
                <w:rFonts w:eastAsia="Times New Roman" w:cs="Times New Roman"/>
                <w:color w:val="FFFFFF"/>
                <w:sz w:val="16"/>
                <w:szCs w:val="16"/>
                <w:lang w:eastAsia="nl-NL"/>
              </w:rPr>
              <w:t>2020</w:t>
            </w:r>
          </w:p>
        </w:tc>
        <w:tc>
          <w:tcPr>
            <w:tcW w:w="671" w:type="dxa"/>
            <w:noWrap/>
            <w:hideMark/>
          </w:tcPr>
          <w:p w:rsidRPr="00226BD3" w:rsidR="00BD0FD7" w:rsidP="00226BD3" w:rsidRDefault="00BD0FD7">
            <w:pPr>
              <w:jc w:val="right"/>
              <w:rPr>
                <w:rFonts w:eastAsia="Times New Roman" w:cs="Times New Roman"/>
                <w:b w:val="0"/>
                <w:bCs w:val="0"/>
                <w:color w:val="FFFFFF"/>
                <w:sz w:val="16"/>
                <w:szCs w:val="16"/>
                <w:lang w:eastAsia="nl-NL"/>
              </w:rPr>
            </w:pPr>
            <w:r w:rsidRPr="00226BD3">
              <w:rPr>
                <w:rFonts w:eastAsia="Times New Roman" w:cs="Times New Roman"/>
                <w:color w:val="FFFFFF"/>
                <w:sz w:val="16"/>
                <w:szCs w:val="16"/>
                <w:lang w:eastAsia="nl-NL"/>
              </w:rPr>
              <w:t>2021</w:t>
            </w:r>
          </w:p>
        </w:tc>
      </w:tr>
      <w:tr w:rsidRPr="00226BD3" w:rsidR="00BD0FD7" w:rsidTr="006A7F4F">
        <w:trPr>
          <w:trHeight w:val="225"/>
        </w:trPr>
        <w:tc>
          <w:tcPr>
            <w:tcW w:w="3840" w:type="dxa"/>
            <w:noWrap/>
            <w:hideMark/>
          </w:tcPr>
          <w:p w:rsidRPr="00226BD3" w:rsidR="00BD0FD7" w:rsidP="00226BD3" w:rsidRDefault="00BD0FD7">
            <w:pPr>
              <w:rPr>
                <w:rFonts w:eastAsia="Times New Roman" w:cs="Times New Roman"/>
                <w:color w:val="000000"/>
                <w:sz w:val="16"/>
                <w:szCs w:val="16"/>
                <w:lang w:eastAsia="nl-NL"/>
              </w:rPr>
            </w:pPr>
            <w:r w:rsidRPr="00226BD3">
              <w:rPr>
                <w:rFonts w:eastAsia="Times New Roman" w:cs="Times New Roman"/>
                <w:color w:val="000000"/>
                <w:sz w:val="16"/>
                <w:szCs w:val="16"/>
                <w:lang w:eastAsia="nl-NL"/>
              </w:rPr>
              <w:t>Taakstelling uit eerdere jaren</w:t>
            </w:r>
          </w:p>
        </w:tc>
        <w:tc>
          <w:tcPr>
            <w:tcW w:w="671" w:type="dxa"/>
            <w:noWrap/>
            <w:hideMark/>
          </w:tcPr>
          <w:p w:rsidRPr="00226BD3" w:rsidR="00BD0FD7" w:rsidP="00226BD3" w:rsidRDefault="00BD0FD7">
            <w:pPr>
              <w:jc w:val="right"/>
              <w:rPr>
                <w:rFonts w:eastAsia="Times New Roman" w:cs="Times New Roman"/>
                <w:color w:val="000000"/>
                <w:sz w:val="16"/>
                <w:szCs w:val="16"/>
                <w:lang w:eastAsia="nl-NL"/>
              </w:rPr>
            </w:pPr>
            <w:r w:rsidRPr="00226BD3">
              <w:rPr>
                <w:rFonts w:eastAsia="Times New Roman" w:cs="Times New Roman"/>
                <w:color w:val="000000"/>
                <w:sz w:val="16"/>
                <w:szCs w:val="16"/>
                <w:lang w:eastAsia="nl-NL"/>
              </w:rPr>
              <w:t>-244</w:t>
            </w:r>
          </w:p>
        </w:tc>
        <w:tc>
          <w:tcPr>
            <w:tcW w:w="671" w:type="dxa"/>
            <w:noWrap/>
            <w:hideMark/>
          </w:tcPr>
          <w:p w:rsidRPr="00226BD3" w:rsidR="00BD0FD7" w:rsidP="00226BD3" w:rsidRDefault="00BD0FD7">
            <w:pPr>
              <w:jc w:val="right"/>
              <w:rPr>
                <w:rFonts w:eastAsia="Times New Roman" w:cs="Times New Roman"/>
                <w:color w:val="000000"/>
                <w:sz w:val="16"/>
                <w:szCs w:val="16"/>
                <w:lang w:eastAsia="nl-NL"/>
              </w:rPr>
            </w:pPr>
            <w:r w:rsidRPr="00226BD3">
              <w:rPr>
                <w:rFonts w:eastAsia="Times New Roman" w:cs="Times New Roman"/>
                <w:color w:val="000000"/>
                <w:sz w:val="16"/>
                <w:szCs w:val="16"/>
                <w:lang w:eastAsia="nl-NL"/>
              </w:rPr>
              <w:t>-244</w:t>
            </w:r>
          </w:p>
        </w:tc>
        <w:tc>
          <w:tcPr>
            <w:tcW w:w="671" w:type="dxa"/>
            <w:noWrap/>
            <w:hideMark/>
          </w:tcPr>
          <w:p w:rsidRPr="00226BD3" w:rsidR="00BD0FD7" w:rsidP="00226BD3" w:rsidRDefault="00BD0FD7">
            <w:pPr>
              <w:jc w:val="right"/>
              <w:rPr>
                <w:rFonts w:eastAsia="Times New Roman" w:cs="Times New Roman"/>
                <w:color w:val="000000"/>
                <w:sz w:val="16"/>
                <w:szCs w:val="16"/>
                <w:lang w:eastAsia="nl-NL"/>
              </w:rPr>
            </w:pPr>
            <w:r w:rsidRPr="00226BD3">
              <w:rPr>
                <w:rFonts w:eastAsia="Times New Roman" w:cs="Times New Roman"/>
                <w:color w:val="000000"/>
                <w:sz w:val="16"/>
                <w:szCs w:val="16"/>
                <w:lang w:eastAsia="nl-NL"/>
              </w:rPr>
              <w:t>-244</w:t>
            </w:r>
          </w:p>
        </w:tc>
        <w:tc>
          <w:tcPr>
            <w:tcW w:w="671" w:type="dxa"/>
            <w:noWrap/>
            <w:hideMark/>
          </w:tcPr>
          <w:p w:rsidRPr="00226BD3" w:rsidR="00BD0FD7" w:rsidP="00226BD3" w:rsidRDefault="00BD0FD7">
            <w:pPr>
              <w:jc w:val="right"/>
              <w:rPr>
                <w:rFonts w:eastAsia="Times New Roman" w:cs="Times New Roman"/>
                <w:color w:val="000000"/>
                <w:sz w:val="16"/>
                <w:szCs w:val="16"/>
                <w:lang w:eastAsia="nl-NL"/>
              </w:rPr>
            </w:pPr>
            <w:r w:rsidRPr="00226BD3">
              <w:rPr>
                <w:rFonts w:eastAsia="Times New Roman" w:cs="Times New Roman"/>
                <w:color w:val="000000"/>
                <w:sz w:val="16"/>
                <w:szCs w:val="16"/>
                <w:lang w:eastAsia="nl-NL"/>
              </w:rPr>
              <w:t>-150</w:t>
            </w:r>
          </w:p>
        </w:tc>
      </w:tr>
      <w:tr w:rsidRPr="00226BD3" w:rsidR="00BD0FD7" w:rsidTr="006A7F4F">
        <w:trPr>
          <w:trHeight w:val="225"/>
        </w:trPr>
        <w:tc>
          <w:tcPr>
            <w:tcW w:w="3840" w:type="dxa"/>
            <w:noWrap/>
            <w:hideMark/>
          </w:tcPr>
          <w:p w:rsidRPr="00226BD3" w:rsidR="00BD0FD7" w:rsidP="00226BD3" w:rsidRDefault="00BD0FD7">
            <w:pPr>
              <w:rPr>
                <w:rFonts w:eastAsia="Times New Roman" w:cs="Times New Roman"/>
                <w:color w:val="000000"/>
                <w:sz w:val="16"/>
                <w:szCs w:val="16"/>
                <w:lang w:eastAsia="nl-NL"/>
              </w:rPr>
            </w:pPr>
            <w:r w:rsidRPr="00226BD3">
              <w:rPr>
                <w:rFonts w:eastAsia="Times New Roman" w:cs="Times New Roman"/>
                <w:color w:val="000000"/>
                <w:sz w:val="16"/>
                <w:szCs w:val="16"/>
                <w:lang w:eastAsia="nl-NL"/>
              </w:rPr>
              <w:t>Besluitvorming voorjaar 2017</w:t>
            </w:r>
          </w:p>
        </w:tc>
        <w:tc>
          <w:tcPr>
            <w:tcW w:w="671" w:type="dxa"/>
            <w:noWrap/>
            <w:hideMark/>
          </w:tcPr>
          <w:p w:rsidRPr="00226BD3" w:rsidR="00BD0FD7" w:rsidP="00226BD3" w:rsidRDefault="00BD0FD7">
            <w:pPr>
              <w:jc w:val="right"/>
              <w:rPr>
                <w:rFonts w:eastAsia="Times New Roman" w:cs="Times New Roman"/>
                <w:color w:val="000000"/>
                <w:sz w:val="16"/>
                <w:szCs w:val="16"/>
                <w:lang w:eastAsia="nl-NL"/>
              </w:rPr>
            </w:pPr>
            <w:r w:rsidRPr="00226BD3">
              <w:rPr>
                <w:rFonts w:eastAsia="Times New Roman" w:cs="Times New Roman"/>
                <w:color w:val="000000"/>
                <w:sz w:val="16"/>
                <w:szCs w:val="16"/>
                <w:lang w:eastAsia="nl-NL"/>
              </w:rPr>
              <w:t>-223</w:t>
            </w:r>
          </w:p>
        </w:tc>
        <w:tc>
          <w:tcPr>
            <w:tcW w:w="671" w:type="dxa"/>
            <w:noWrap/>
            <w:hideMark/>
          </w:tcPr>
          <w:p w:rsidRPr="00226BD3" w:rsidR="00BD0FD7" w:rsidP="00226BD3" w:rsidRDefault="00BD0FD7">
            <w:pPr>
              <w:jc w:val="right"/>
              <w:rPr>
                <w:rFonts w:eastAsia="Times New Roman" w:cs="Times New Roman"/>
                <w:color w:val="000000"/>
                <w:sz w:val="16"/>
                <w:szCs w:val="16"/>
                <w:lang w:eastAsia="nl-NL"/>
              </w:rPr>
            </w:pPr>
            <w:r w:rsidRPr="00226BD3">
              <w:rPr>
                <w:rFonts w:eastAsia="Times New Roman" w:cs="Times New Roman"/>
                <w:color w:val="000000"/>
                <w:sz w:val="16"/>
                <w:szCs w:val="16"/>
                <w:lang w:eastAsia="nl-NL"/>
              </w:rPr>
              <w:t>-171</w:t>
            </w:r>
          </w:p>
        </w:tc>
        <w:tc>
          <w:tcPr>
            <w:tcW w:w="671" w:type="dxa"/>
            <w:noWrap/>
            <w:hideMark/>
          </w:tcPr>
          <w:p w:rsidRPr="00226BD3" w:rsidR="00BD0FD7" w:rsidP="00226BD3" w:rsidRDefault="00BD0FD7">
            <w:pPr>
              <w:jc w:val="right"/>
              <w:rPr>
                <w:rFonts w:eastAsia="Times New Roman" w:cs="Times New Roman"/>
                <w:color w:val="000000"/>
                <w:sz w:val="16"/>
                <w:szCs w:val="16"/>
                <w:lang w:eastAsia="nl-NL"/>
              </w:rPr>
            </w:pPr>
            <w:r w:rsidRPr="00226BD3">
              <w:rPr>
                <w:rFonts w:eastAsia="Times New Roman" w:cs="Times New Roman"/>
                <w:color w:val="000000"/>
                <w:sz w:val="16"/>
                <w:szCs w:val="16"/>
                <w:lang w:eastAsia="nl-NL"/>
              </w:rPr>
              <w:t>-166</w:t>
            </w:r>
          </w:p>
        </w:tc>
        <w:tc>
          <w:tcPr>
            <w:tcW w:w="671" w:type="dxa"/>
            <w:noWrap/>
            <w:hideMark/>
          </w:tcPr>
          <w:p w:rsidRPr="00226BD3" w:rsidR="00BD0FD7" w:rsidP="00226BD3" w:rsidRDefault="00BD0FD7">
            <w:pPr>
              <w:jc w:val="right"/>
              <w:rPr>
                <w:rFonts w:eastAsia="Times New Roman" w:cs="Times New Roman"/>
                <w:color w:val="000000"/>
                <w:sz w:val="16"/>
                <w:szCs w:val="16"/>
                <w:lang w:eastAsia="nl-NL"/>
              </w:rPr>
            </w:pPr>
            <w:r w:rsidRPr="00226BD3">
              <w:rPr>
                <w:rFonts w:eastAsia="Times New Roman" w:cs="Times New Roman"/>
                <w:color w:val="000000"/>
                <w:sz w:val="16"/>
                <w:szCs w:val="16"/>
                <w:lang w:eastAsia="nl-NL"/>
              </w:rPr>
              <w:t>-188</w:t>
            </w:r>
          </w:p>
        </w:tc>
      </w:tr>
      <w:tr w:rsidRPr="006A7F4F" w:rsidR="00BD0FD7" w:rsidTr="006A7F4F">
        <w:trPr>
          <w:trHeight w:val="225"/>
        </w:trPr>
        <w:tc>
          <w:tcPr>
            <w:tcW w:w="3840" w:type="dxa"/>
            <w:noWrap/>
            <w:hideMark/>
          </w:tcPr>
          <w:p w:rsidRPr="006A7F4F" w:rsidR="00BD0FD7" w:rsidP="00226BD3" w:rsidRDefault="00BD0FD7">
            <w:pPr>
              <w:rPr>
                <w:rFonts w:eastAsia="Times New Roman" w:cs="Times New Roman"/>
                <w:bCs/>
                <w:color w:val="000000"/>
                <w:sz w:val="16"/>
                <w:szCs w:val="16"/>
                <w:lang w:eastAsia="nl-NL"/>
              </w:rPr>
            </w:pPr>
            <w:r w:rsidRPr="006A7F4F">
              <w:rPr>
                <w:rFonts w:eastAsia="Times New Roman" w:cs="Times New Roman"/>
                <w:bCs/>
                <w:color w:val="000000"/>
                <w:sz w:val="16"/>
                <w:szCs w:val="16"/>
                <w:lang w:eastAsia="nl-NL"/>
              </w:rPr>
              <w:t xml:space="preserve">Totale taakstelling op </w:t>
            </w:r>
            <w:proofErr w:type="spellStart"/>
            <w:r w:rsidRPr="006A7F4F">
              <w:rPr>
                <w:rFonts w:eastAsia="Times New Roman" w:cs="Times New Roman"/>
                <w:bCs/>
                <w:color w:val="000000"/>
                <w:sz w:val="16"/>
                <w:szCs w:val="16"/>
                <w:lang w:eastAsia="nl-NL"/>
              </w:rPr>
              <w:t>OCW-begroting</w:t>
            </w:r>
            <w:proofErr w:type="spellEnd"/>
          </w:p>
        </w:tc>
        <w:tc>
          <w:tcPr>
            <w:tcW w:w="671" w:type="dxa"/>
            <w:noWrap/>
            <w:hideMark/>
          </w:tcPr>
          <w:p w:rsidRPr="006A7F4F" w:rsidR="00BD0FD7" w:rsidP="00226BD3" w:rsidRDefault="00BD0FD7">
            <w:pPr>
              <w:jc w:val="right"/>
              <w:rPr>
                <w:rFonts w:eastAsia="Times New Roman" w:cs="Times New Roman"/>
                <w:bCs/>
                <w:color w:val="000000"/>
                <w:sz w:val="16"/>
                <w:szCs w:val="16"/>
                <w:lang w:eastAsia="nl-NL"/>
              </w:rPr>
            </w:pPr>
            <w:r w:rsidRPr="006A7F4F">
              <w:rPr>
                <w:rFonts w:eastAsia="Times New Roman" w:cs="Times New Roman"/>
                <w:bCs/>
                <w:color w:val="000000"/>
                <w:sz w:val="16"/>
                <w:szCs w:val="16"/>
                <w:lang w:eastAsia="nl-NL"/>
              </w:rPr>
              <w:t>-467</w:t>
            </w:r>
          </w:p>
        </w:tc>
        <w:tc>
          <w:tcPr>
            <w:tcW w:w="671" w:type="dxa"/>
            <w:noWrap/>
            <w:hideMark/>
          </w:tcPr>
          <w:p w:rsidRPr="006A7F4F" w:rsidR="00BD0FD7" w:rsidP="00226BD3" w:rsidRDefault="00BD0FD7">
            <w:pPr>
              <w:jc w:val="right"/>
              <w:rPr>
                <w:rFonts w:eastAsia="Times New Roman" w:cs="Times New Roman"/>
                <w:bCs/>
                <w:color w:val="000000"/>
                <w:sz w:val="16"/>
                <w:szCs w:val="16"/>
                <w:lang w:eastAsia="nl-NL"/>
              </w:rPr>
            </w:pPr>
            <w:r w:rsidRPr="006A7F4F">
              <w:rPr>
                <w:rFonts w:eastAsia="Times New Roman" w:cs="Times New Roman"/>
                <w:bCs/>
                <w:color w:val="000000"/>
                <w:sz w:val="16"/>
                <w:szCs w:val="16"/>
                <w:lang w:eastAsia="nl-NL"/>
              </w:rPr>
              <w:t>-415</w:t>
            </w:r>
          </w:p>
        </w:tc>
        <w:tc>
          <w:tcPr>
            <w:tcW w:w="671" w:type="dxa"/>
            <w:noWrap/>
            <w:hideMark/>
          </w:tcPr>
          <w:p w:rsidRPr="006A7F4F" w:rsidR="00BD0FD7" w:rsidP="00226BD3" w:rsidRDefault="00BD0FD7">
            <w:pPr>
              <w:jc w:val="right"/>
              <w:rPr>
                <w:rFonts w:eastAsia="Times New Roman" w:cs="Times New Roman"/>
                <w:bCs/>
                <w:color w:val="000000"/>
                <w:sz w:val="16"/>
                <w:szCs w:val="16"/>
                <w:lang w:eastAsia="nl-NL"/>
              </w:rPr>
            </w:pPr>
            <w:r w:rsidRPr="006A7F4F">
              <w:rPr>
                <w:rFonts w:eastAsia="Times New Roman" w:cs="Times New Roman"/>
                <w:bCs/>
                <w:color w:val="000000"/>
                <w:sz w:val="16"/>
                <w:szCs w:val="16"/>
                <w:lang w:eastAsia="nl-NL"/>
              </w:rPr>
              <w:t>-410</w:t>
            </w:r>
          </w:p>
        </w:tc>
        <w:tc>
          <w:tcPr>
            <w:tcW w:w="671" w:type="dxa"/>
            <w:noWrap/>
            <w:hideMark/>
          </w:tcPr>
          <w:p w:rsidRPr="006A7F4F" w:rsidR="00BD0FD7" w:rsidP="00BE2A19" w:rsidRDefault="00BD0FD7">
            <w:pPr>
              <w:jc w:val="right"/>
              <w:rPr>
                <w:rFonts w:eastAsia="Times New Roman" w:cs="Times New Roman"/>
                <w:bCs/>
                <w:color w:val="000000"/>
                <w:sz w:val="16"/>
                <w:szCs w:val="16"/>
                <w:lang w:eastAsia="nl-NL"/>
              </w:rPr>
            </w:pPr>
            <w:r w:rsidRPr="006A7F4F">
              <w:rPr>
                <w:rFonts w:eastAsia="Times New Roman" w:cs="Times New Roman"/>
                <w:bCs/>
                <w:color w:val="000000"/>
                <w:sz w:val="16"/>
                <w:szCs w:val="16"/>
                <w:lang w:eastAsia="nl-NL"/>
              </w:rPr>
              <w:t>-</w:t>
            </w:r>
            <w:r w:rsidRPr="006A7F4F" w:rsidR="00BE2A19">
              <w:rPr>
                <w:rFonts w:eastAsia="Times New Roman" w:cs="Times New Roman"/>
                <w:bCs/>
                <w:color w:val="000000"/>
                <w:sz w:val="16"/>
                <w:szCs w:val="16"/>
                <w:lang w:eastAsia="nl-NL"/>
              </w:rPr>
              <w:t>338</w:t>
            </w:r>
          </w:p>
        </w:tc>
      </w:tr>
    </w:tbl>
    <w:p w:rsidR="00226BD3" w:rsidP="00795B59" w:rsidRDefault="00226BD3">
      <w:pPr>
        <w:rPr>
          <w:szCs w:val="18"/>
        </w:rPr>
      </w:pPr>
    </w:p>
    <w:p w:rsidR="0066283B" w:rsidRDefault="00BA4132">
      <w:pPr>
        <w:pStyle w:val="Titel"/>
      </w:pPr>
      <w:r>
        <w:lastRenderedPageBreak/>
        <w:t>Uitvoeringsproblematiek WLZ</w:t>
      </w:r>
    </w:p>
    <w:p w:rsidR="00BA4132" w:rsidP="00BA4132" w:rsidRDefault="00BA4132">
      <w:pPr>
        <w:spacing w:line="240" w:lineRule="exact"/>
        <w:rPr>
          <w:szCs w:val="18"/>
        </w:rPr>
      </w:pPr>
      <w:r w:rsidRPr="005D6051">
        <w:rPr>
          <w:szCs w:val="18"/>
        </w:rPr>
        <w:t xml:space="preserve">Vanaf 1 januari 2017 </w:t>
      </w:r>
      <w:r>
        <w:rPr>
          <w:szCs w:val="18"/>
        </w:rPr>
        <w:t>stelt</w:t>
      </w:r>
      <w:r w:rsidRPr="005D6051">
        <w:rPr>
          <w:szCs w:val="18"/>
        </w:rPr>
        <w:t xml:space="preserve"> het CIZ bij de </w:t>
      </w:r>
      <w:proofErr w:type="spellStart"/>
      <w:r>
        <w:rPr>
          <w:szCs w:val="18"/>
        </w:rPr>
        <w:t>Wlz-indicatiestelling</w:t>
      </w:r>
      <w:proofErr w:type="spellEnd"/>
      <w:r>
        <w:rPr>
          <w:szCs w:val="18"/>
        </w:rPr>
        <w:t xml:space="preserve"> alleen nog vast of iemand wel of geen toegang krijgt tot de </w:t>
      </w:r>
      <w:proofErr w:type="spellStart"/>
      <w:r>
        <w:rPr>
          <w:szCs w:val="18"/>
        </w:rPr>
        <w:t>Wlz</w:t>
      </w:r>
      <w:proofErr w:type="spellEnd"/>
      <w:r>
        <w:rPr>
          <w:szCs w:val="18"/>
        </w:rPr>
        <w:t xml:space="preserve">. Het CIZ stelt niet meer vast of specifieke zorgfuncties noodzakelijk zijn. Wie toegang krijgt tot de </w:t>
      </w:r>
      <w:proofErr w:type="spellStart"/>
      <w:r>
        <w:rPr>
          <w:szCs w:val="18"/>
        </w:rPr>
        <w:t>Wlz</w:t>
      </w:r>
      <w:proofErr w:type="spellEnd"/>
      <w:r>
        <w:rPr>
          <w:szCs w:val="18"/>
        </w:rPr>
        <w:t xml:space="preserve">, krijgt daarmee aanspraak op een volledig zorgprofiel met een totaalpakket aan </w:t>
      </w:r>
      <w:proofErr w:type="spellStart"/>
      <w:r>
        <w:rPr>
          <w:szCs w:val="18"/>
        </w:rPr>
        <w:t>Wlz-zorg</w:t>
      </w:r>
      <w:proofErr w:type="spellEnd"/>
      <w:r>
        <w:rPr>
          <w:szCs w:val="18"/>
        </w:rPr>
        <w:t xml:space="preserve">. Hierdoor krijgen bepaalde groepen </w:t>
      </w:r>
      <w:proofErr w:type="spellStart"/>
      <w:r>
        <w:rPr>
          <w:szCs w:val="18"/>
        </w:rPr>
        <w:t>Wlz-cliënten</w:t>
      </w:r>
      <w:proofErr w:type="spellEnd"/>
      <w:r>
        <w:rPr>
          <w:szCs w:val="18"/>
        </w:rPr>
        <w:t xml:space="preserve"> aanspraak op meer zorg dan voorheen. Het gaat om aanspraken op dagbesteding, vervoer en huishoudelijke hulp. Dit leidt tot extra uitgaven binnen de </w:t>
      </w:r>
      <w:proofErr w:type="spellStart"/>
      <w:r>
        <w:rPr>
          <w:szCs w:val="18"/>
        </w:rPr>
        <w:t>Wlz</w:t>
      </w:r>
      <w:proofErr w:type="spellEnd"/>
      <w:r>
        <w:rPr>
          <w:szCs w:val="18"/>
        </w:rPr>
        <w:t>.</w:t>
      </w:r>
    </w:p>
    <w:p w:rsidR="0066283B" w:rsidRDefault="00576CB5">
      <w:pPr>
        <w:pStyle w:val="Titel"/>
      </w:pPr>
      <w:r w:rsidRPr="00576CB5">
        <w:t xml:space="preserve">Taakstelling </w:t>
      </w:r>
      <w:r w:rsidRPr="00576CB5" w:rsidR="00B36D62">
        <w:t>Budgettair</w:t>
      </w:r>
      <w:r w:rsidRPr="00576CB5">
        <w:t xml:space="preserve"> Kader Zorg</w:t>
      </w:r>
    </w:p>
    <w:p w:rsidR="00576CB5" w:rsidP="00576CB5" w:rsidRDefault="00B36D62">
      <w:pPr>
        <w:rPr>
          <w:rFonts w:eastAsia="Times New Roman" w:cs="Times New Roman"/>
          <w:i/>
          <w:color w:val="000000"/>
          <w:szCs w:val="18"/>
          <w:lang w:eastAsia="nl-NL"/>
        </w:rPr>
      </w:pPr>
      <w:r>
        <w:rPr>
          <w:szCs w:val="18"/>
        </w:rPr>
        <w:t>Ter dekking van het resterende saldo van mee- en tegenvallers binnen het BKZ is vanaf 2019 een taakstelling opgenomen</w:t>
      </w:r>
      <w:r w:rsidR="007D1CBD">
        <w:rPr>
          <w:szCs w:val="18"/>
        </w:rPr>
        <w:t>, die binnen het BKZ moet worden ingevuld</w:t>
      </w:r>
      <w:r>
        <w:rPr>
          <w:szCs w:val="18"/>
        </w:rPr>
        <w:t>.</w:t>
      </w:r>
    </w:p>
    <w:p w:rsidR="0066283B" w:rsidRDefault="00795B59">
      <w:pPr>
        <w:pStyle w:val="Titel"/>
      </w:pPr>
      <w:r w:rsidRPr="00795B59">
        <w:t>Accressen GF/PF/BCF</w:t>
      </w:r>
    </w:p>
    <w:p w:rsidRPr="00795B59" w:rsidR="00795B59" w:rsidP="00FB1B3C" w:rsidRDefault="00570E0C">
      <w:pPr>
        <w:rPr>
          <w:rFonts w:eastAsia="Times New Roman" w:cs="Times New Roman"/>
          <w:color w:val="000000"/>
          <w:szCs w:val="18"/>
          <w:lang w:eastAsia="nl-NL"/>
        </w:rPr>
      </w:pPr>
      <w:r>
        <w:t xml:space="preserve">De indexering van de algemene uitkering van het Gemeentefonds, het Provinciefonds en het </w:t>
      </w:r>
      <w:proofErr w:type="spellStart"/>
      <w:r>
        <w:t>BTW-compensatiefonds</w:t>
      </w:r>
      <w:proofErr w:type="spellEnd"/>
      <w:r>
        <w:t xml:space="preserve"> (BCF) vindt plaats via de </w:t>
      </w:r>
      <w:proofErr w:type="spellStart"/>
      <w:r>
        <w:t>normeringssystematiek</w:t>
      </w:r>
      <w:proofErr w:type="spellEnd"/>
      <w:r>
        <w:t xml:space="preserve"> (</w:t>
      </w:r>
      <w:proofErr w:type="spellStart"/>
      <w:r>
        <w:t>trap-op-trap-af</w:t>
      </w:r>
      <w:proofErr w:type="spellEnd"/>
      <w:r>
        <w:t xml:space="preserve">). De indexering volgt uit de ontwikkeling van het bestuurlijk afgesproken mandje van rijksuitgaven genaamd Netto Gecorrigeerde Rijksuitgaven (NGRU). De besluitvorming zorgt voor hogere </w:t>
      </w:r>
      <w:proofErr w:type="spellStart"/>
      <w:r>
        <w:t>NGRU-relevante</w:t>
      </w:r>
      <w:proofErr w:type="spellEnd"/>
      <w:r>
        <w:t xml:space="preserve"> uitgaven, dus ook een hoger accres voor het Gemeentefonds, Provinciefonds en het </w:t>
      </w:r>
      <w:proofErr w:type="spellStart"/>
      <w:r>
        <w:t>BTW-compensatiefonds</w:t>
      </w:r>
      <w:proofErr w:type="spellEnd"/>
      <w:r>
        <w:t>.</w:t>
      </w:r>
    </w:p>
    <w:p w:rsidR="0066283B" w:rsidRDefault="00576CB5">
      <w:pPr>
        <w:pStyle w:val="Titel"/>
      </w:pPr>
      <w:r w:rsidRPr="00576CB5">
        <w:t>Overig</w:t>
      </w:r>
    </w:p>
    <w:p w:rsidRPr="00E1139F" w:rsidR="00E1139F" w:rsidP="00576CB5" w:rsidRDefault="00E1139F">
      <w:pPr>
        <w:rPr>
          <w:rFonts w:eastAsia="Times New Roman" w:cs="Times New Roman"/>
          <w:color w:val="000000"/>
          <w:szCs w:val="18"/>
          <w:lang w:eastAsia="nl-NL"/>
        </w:rPr>
      </w:pPr>
      <w:r w:rsidRPr="00E1139F">
        <w:rPr>
          <w:rFonts w:eastAsia="Times New Roman" w:cs="Times New Roman"/>
          <w:color w:val="000000"/>
          <w:szCs w:val="18"/>
          <w:lang w:eastAsia="nl-NL"/>
        </w:rPr>
        <w:t xml:space="preserve">De post </w:t>
      </w:r>
      <w:r>
        <w:rPr>
          <w:rFonts w:eastAsia="Times New Roman" w:cs="Times New Roman"/>
          <w:color w:val="000000"/>
          <w:szCs w:val="18"/>
          <w:lang w:eastAsia="nl-NL"/>
        </w:rPr>
        <w:t>overig bevat het resterende saldo van mee- en tegenvallers op de departementale begrotingen.</w:t>
      </w:r>
    </w:p>
    <w:sectPr w:rsidRPr="00E1139F" w:rsidR="00E1139F" w:rsidSect="00A17C6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435" w:rsidRDefault="00CA4435" w:rsidP="003A0581">
      <w:pPr>
        <w:spacing w:after="0" w:line="240" w:lineRule="auto"/>
      </w:pPr>
      <w:r>
        <w:separator/>
      </w:r>
    </w:p>
  </w:endnote>
  <w:endnote w:type="continuationSeparator" w:id="0">
    <w:p w:rsidR="00CA4435" w:rsidRDefault="00CA4435" w:rsidP="003A05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23" w:rsidRDefault="00576B23">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435" w:rsidRPr="006A7F4F" w:rsidRDefault="006A7F4F" w:rsidP="006A7F4F">
    <w:pPr>
      <w:pStyle w:val="Voettekst"/>
      <w:jc w:val="right"/>
      <w:rPr>
        <w:sz w:val="14"/>
        <w:szCs w:val="14"/>
      </w:rPr>
    </w:pPr>
    <w:r w:rsidRPr="006A7F4F">
      <w:rPr>
        <w:sz w:val="14"/>
        <w:szCs w:val="14"/>
      </w:rPr>
      <w:t xml:space="preserve">Pagina </w:t>
    </w:r>
    <w:r w:rsidR="00081CE2" w:rsidRPr="006A7F4F">
      <w:rPr>
        <w:sz w:val="14"/>
        <w:szCs w:val="14"/>
      </w:rPr>
      <w:fldChar w:fldCharType="begin"/>
    </w:r>
    <w:r w:rsidRPr="006A7F4F">
      <w:rPr>
        <w:sz w:val="14"/>
        <w:szCs w:val="14"/>
      </w:rPr>
      <w:instrText xml:space="preserve"> PAGE   \* MERGEFORMAT </w:instrText>
    </w:r>
    <w:r w:rsidR="00081CE2" w:rsidRPr="006A7F4F">
      <w:rPr>
        <w:sz w:val="14"/>
        <w:szCs w:val="14"/>
      </w:rPr>
      <w:fldChar w:fldCharType="separate"/>
    </w:r>
    <w:r w:rsidR="0085750A">
      <w:rPr>
        <w:noProof/>
        <w:sz w:val="14"/>
        <w:szCs w:val="14"/>
      </w:rPr>
      <w:t>6</w:t>
    </w:r>
    <w:r w:rsidR="00081CE2" w:rsidRPr="006A7F4F">
      <w:rPr>
        <w:sz w:val="14"/>
        <w:szCs w:val="14"/>
      </w:rPr>
      <w:fldChar w:fldCharType="end"/>
    </w:r>
    <w:r w:rsidRPr="006A7F4F">
      <w:rPr>
        <w:sz w:val="14"/>
        <w:szCs w:val="14"/>
      </w:rPr>
      <w:t xml:space="preserve"> van </w:t>
    </w:r>
    <w:fldSimple w:instr=" NUMPAGES   \* MERGEFORMAT ">
      <w:r w:rsidR="0085750A" w:rsidRPr="0085750A">
        <w:rPr>
          <w:noProof/>
          <w:sz w:val="14"/>
          <w:szCs w:val="14"/>
        </w:rPr>
        <w:t>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23" w:rsidRDefault="00576B23">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435" w:rsidRDefault="00CA4435" w:rsidP="003A0581">
      <w:pPr>
        <w:spacing w:after="0" w:line="240" w:lineRule="auto"/>
      </w:pPr>
      <w:r>
        <w:separator/>
      </w:r>
    </w:p>
  </w:footnote>
  <w:footnote w:type="continuationSeparator" w:id="0">
    <w:p w:rsidR="00CA4435" w:rsidRDefault="00CA4435" w:rsidP="003A05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23" w:rsidRDefault="00576B23">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23" w:rsidRDefault="00576B23">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23" w:rsidRDefault="00576B23">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3A0581"/>
    <w:rsid w:val="00034AA7"/>
    <w:rsid w:val="00063E3F"/>
    <w:rsid w:val="00081CE2"/>
    <w:rsid w:val="000A0257"/>
    <w:rsid w:val="000A1F72"/>
    <w:rsid w:val="000C66CF"/>
    <w:rsid w:val="000F3278"/>
    <w:rsid w:val="001117E8"/>
    <w:rsid w:val="00131A7E"/>
    <w:rsid w:val="00141B46"/>
    <w:rsid w:val="001C64EA"/>
    <w:rsid w:val="00217509"/>
    <w:rsid w:val="00226BD3"/>
    <w:rsid w:val="002404CF"/>
    <w:rsid w:val="002407BF"/>
    <w:rsid w:val="00255374"/>
    <w:rsid w:val="002639AE"/>
    <w:rsid w:val="002D2C07"/>
    <w:rsid w:val="002E6EEE"/>
    <w:rsid w:val="00367223"/>
    <w:rsid w:val="003801B7"/>
    <w:rsid w:val="00384F43"/>
    <w:rsid w:val="003A00BC"/>
    <w:rsid w:val="003A0581"/>
    <w:rsid w:val="003D0636"/>
    <w:rsid w:val="003D4EAC"/>
    <w:rsid w:val="003D5648"/>
    <w:rsid w:val="0041392D"/>
    <w:rsid w:val="0043326E"/>
    <w:rsid w:val="00434E6E"/>
    <w:rsid w:val="004626EC"/>
    <w:rsid w:val="00474637"/>
    <w:rsid w:val="00487051"/>
    <w:rsid w:val="004920B7"/>
    <w:rsid w:val="00494C1A"/>
    <w:rsid w:val="004C7A2F"/>
    <w:rsid w:val="0050060B"/>
    <w:rsid w:val="00570E0C"/>
    <w:rsid w:val="00576B23"/>
    <w:rsid w:val="00576CB5"/>
    <w:rsid w:val="00592CB8"/>
    <w:rsid w:val="005E4E38"/>
    <w:rsid w:val="005F0EE0"/>
    <w:rsid w:val="00603067"/>
    <w:rsid w:val="0066283B"/>
    <w:rsid w:val="006A333F"/>
    <w:rsid w:val="006A7F4F"/>
    <w:rsid w:val="006B5866"/>
    <w:rsid w:val="006E797B"/>
    <w:rsid w:val="00711924"/>
    <w:rsid w:val="00716627"/>
    <w:rsid w:val="0072658A"/>
    <w:rsid w:val="00732D60"/>
    <w:rsid w:val="00745AC9"/>
    <w:rsid w:val="00756389"/>
    <w:rsid w:val="00795B59"/>
    <w:rsid w:val="007A154F"/>
    <w:rsid w:val="007A4E4C"/>
    <w:rsid w:val="007C5784"/>
    <w:rsid w:val="007C639D"/>
    <w:rsid w:val="007D1CBD"/>
    <w:rsid w:val="007D46DB"/>
    <w:rsid w:val="007F5D15"/>
    <w:rsid w:val="00804E81"/>
    <w:rsid w:val="00853B0B"/>
    <w:rsid w:val="0085750A"/>
    <w:rsid w:val="008B7E47"/>
    <w:rsid w:val="008C5BA3"/>
    <w:rsid w:val="008D2B16"/>
    <w:rsid w:val="00905545"/>
    <w:rsid w:val="00942AD2"/>
    <w:rsid w:val="009714B7"/>
    <w:rsid w:val="009929FC"/>
    <w:rsid w:val="00A17C6E"/>
    <w:rsid w:val="00A95994"/>
    <w:rsid w:val="00AD5F27"/>
    <w:rsid w:val="00AE6134"/>
    <w:rsid w:val="00B141D5"/>
    <w:rsid w:val="00B21893"/>
    <w:rsid w:val="00B36D62"/>
    <w:rsid w:val="00B53649"/>
    <w:rsid w:val="00B56870"/>
    <w:rsid w:val="00B60C8B"/>
    <w:rsid w:val="00BA4132"/>
    <w:rsid w:val="00BD0FD7"/>
    <w:rsid w:val="00BE2A19"/>
    <w:rsid w:val="00C009B0"/>
    <w:rsid w:val="00C657BF"/>
    <w:rsid w:val="00CA4435"/>
    <w:rsid w:val="00CB031C"/>
    <w:rsid w:val="00CC4E8D"/>
    <w:rsid w:val="00CD5051"/>
    <w:rsid w:val="00CE344D"/>
    <w:rsid w:val="00D125B6"/>
    <w:rsid w:val="00D747F5"/>
    <w:rsid w:val="00D83BA3"/>
    <w:rsid w:val="00DE68F4"/>
    <w:rsid w:val="00E1139F"/>
    <w:rsid w:val="00E759A8"/>
    <w:rsid w:val="00EA2702"/>
    <w:rsid w:val="00EA3069"/>
    <w:rsid w:val="00EA652D"/>
    <w:rsid w:val="00EF0D57"/>
    <w:rsid w:val="00F22CDC"/>
    <w:rsid w:val="00F274FC"/>
    <w:rsid w:val="00F57E38"/>
    <w:rsid w:val="00F74BE9"/>
    <w:rsid w:val="00F93747"/>
    <w:rsid w:val="00F9720D"/>
    <w:rsid w:val="00FB1B3C"/>
    <w:rsid w:val="00FE4BA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3BA3"/>
    <w:rPr>
      <w:rFonts w:ascii="Verdana" w:hAnsi="Verdana"/>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3A05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A0581"/>
    <w:rPr>
      <w:rFonts w:ascii="Verdana" w:hAnsi="Verdana"/>
      <w:sz w:val="18"/>
    </w:rPr>
  </w:style>
  <w:style w:type="paragraph" w:styleId="Voettekst">
    <w:name w:val="footer"/>
    <w:basedOn w:val="Standaard"/>
    <w:link w:val="VoettekstChar"/>
    <w:uiPriority w:val="99"/>
    <w:semiHidden/>
    <w:unhideWhenUsed/>
    <w:rsid w:val="003A05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A0581"/>
    <w:rPr>
      <w:rFonts w:ascii="Verdana" w:hAnsi="Verdana"/>
      <w:sz w:val="18"/>
    </w:rPr>
  </w:style>
  <w:style w:type="paragraph" w:styleId="Ballontekst">
    <w:name w:val="Balloon Text"/>
    <w:basedOn w:val="Standaard"/>
    <w:link w:val="BallontekstChar"/>
    <w:uiPriority w:val="99"/>
    <w:semiHidden/>
    <w:unhideWhenUsed/>
    <w:rsid w:val="003A058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A0581"/>
    <w:rPr>
      <w:rFonts w:ascii="Tahoma" w:hAnsi="Tahoma" w:cs="Tahoma"/>
      <w:sz w:val="16"/>
      <w:szCs w:val="16"/>
    </w:rPr>
  </w:style>
  <w:style w:type="paragraph" w:styleId="Voetnoottekst">
    <w:name w:val="footnote text"/>
    <w:basedOn w:val="Standaard"/>
    <w:link w:val="VoetnoottekstChar"/>
    <w:uiPriority w:val="99"/>
    <w:rsid w:val="003801B7"/>
    <w:pPr>
      <w:spacing w:after="0" w:line="180" w:lineRule="atLeast"/>
    </w:pPr>
    <w:rPr>
      <w:rFonts w:eastAsia="Times New Roman" w:cs="Times New Roman"/>
      <w:sz w:val="13"/>
      <w:szCs w:val="20"/>
      <w:lang w:eastAsia="nl-NL"/>
    </w:rPr>
  </w:style>
  <w:style w:type="character" w:customStyle="1" w:styleId="VoetnoottekstChar">
    <w:name w:val="Voetnoottekst Char"/>
    <w:basedOn w:val="Standaardalinea-lettertype"/>
    <w:link w:val="Voetnoottekst"/>
    <w:uiPriority w:val="99"/>
    <w:rsid w:val="003801B7"/>
    <w:rPr>
      <w:rFonts w:ascii="Verdana" w:eastAsia="Times New Roman" w:hAnsi="Verdana" w:cs="Times New Roman"/>
      <w:sz w:val="13"/>
      <w:szCs w:val="20"/>
      <w:lang w:eastAsia="nl-NL"/>
    </w:rPr>
  </w:style>
  <w:style w:type="character" w:styleId="Voetnootmarkering">
    <w:name w:val="footnote reference"/>
    <w:basedOn w:val="Standaardalinea-lettertype"/>
    <w:uiPriority w:val="99"/>
    <w:semiHidden/>
    <w:unhideWhenUsed/>
    <w:rsid w:val="003801B7"/>
    <w:rPr>
      <w:vertAlign w:val="superscript"/>
    </w:rPr>
  </w:style>
  <w:style w:type="paragraph" w:styleId="Titel">
    <w:name w:val="Title"/>
    <w:basedOn w:val="Standaard"/>
    <w:next w:val="Standaard"/>
    <w:link w:val="TitelChar"/>
    <w:uiPriority w:val="10"/>
    <w:qFormat/>
    <w:rsid w:val="00D747F5"/>
    <w:pPr>
      <w:keepNext/>
    </w:pPr>
    <w:rPr>
      <w:rFonts w:eastAsia="Times New Roman" w:cs="Times New Roman"/>
      <w:i/>
      <w:color w:val="000000"/>
      <w:szCs w:val="18"/>
      <w:lang w:eastAsia="nl-NL"/>
    </w:rPr>
  </w:style>
  <w:style w:type="character" w:customStyle="1" w:styleId="TitelChar">
    <w:name w:val="Titel Char"/>
    <w:basedOn w:val="Standaardalinea-lettertype"/>
    <w:link w:val="Titel"/>
    <w:uiPriority w:val="10"/>
    <w:rsid w:val="00D747F5"/>
    <w:rPr>
      <w:rFonts w:ascii="Verdana" w:eastAsia="Times New Roman" w:hAnsi="Verdana" w:cs="Times New Roman"/>
      <w:i/>
      <w:color w:val="000000"/>
      <w:sz w:val="18"/>
      <w:szCs w:val="18"/>
      <w:lang w:eastAsia="nl-NL"/>
    </w:rPr>
  </w:style>
  <w:style w:type="table" w:styleId="Lichtelijst-accent5">
    <w:name w:val="Light List Accent 5"/>
    <w:basedOn w:val="Standaardtabel"/>
    <w:uiPriority w:val="61"/>
    <w:rsid w:val="000C66C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chtelijst-accent11">
    <w:name w:val="Lichte lijst - accent 11"/>
    <w:basedOn w:val="Standaardtabel"/>
    <w:uiPriority w:val="61"/>
    <w:rsid w:val="000C66C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8917878">
      <w:bodyDiv w:val="1"/>
      <w:marLeft w:val="0"/>
      <w:marRight w:val="0"/>
      <w:marTop w:val="0"/>
      <w:marBottom w:val="0"/>
      <w:divBdr>
        <w:top w:val="none" w:sz="0" w:space="0" w:color="auto"/>
        <w:left w:val="none" w:sz="0" w:space="0" w:color="auto"/>
        <w:bottom w:val="none" w:sz="0" w:space="0" w:color="auto"/>
        <w:right w:val="none" w:sz="0" w:space="0" w:color="auto"/>
      </w:divBdr>
    </w:div>
    <w:div w:id="97022491">
      <w:bodyDiv w:val="1"/>
      <w:marLeft w:val="0"/>
      <w:marRight w:val="0"/>
      <w:marTop w:val="0"/>
      <w:marBottom w:val="0"/>
      <w:divBdr>
        <w:top w:val="none" w:sz="0" w:space="0" w:color="auto"/>
        <w:left w:val="none" w:sz="0" w:space="0" w:color="auto"/>
        <w:bottom w:val="none" w:sz="0" w:space="0" w:color="auto"/>
        <w:right w:val="none" w:sz="0" w:space="0" w:color="auto"/>
      </w:divBdr>
    </w:div>
    <w:div w:id="126823242">
      <w:bodyDiv w:val="1"/>
      <w:marLeft w:val="0"/>
      <w:marRight w:val="0"/>
      <w:marTop w:val="0"/>
      <w:marBottom w:val="0"/>
      <w:divBdr>
        <w:top w:val="none" w:sz="0" w:space="0" w:color="auto"/>
        <w:left w:val="none" w:sz="0" w:space="0" w:color="auto"/>
        <w:bottom w:val="none" w:sz="0" w:space="0" w:color="auto"/>
        <w:right w:val="none" w:sz="0" w:space="0" w:color="auto"/>
      </w:divBdr>
    </w:div>
    <w:div w:id="153837343">
      <w:bodyDiv w:val="1"/>
      <w:marLeft w:val="0"/>
      <w:marRight w:val="0"/>
      <w:marTop w:val="0"/>
      <w:marBottom w:val="0"/>
      <w:divBdr>
        <w:top w:val="none" w:sz="0" w:space="0" w:color="auto"/>
        <w:left w:val="none" w:sz="0" w:space="0" w:color="auto"/>
        <w:bottom w:val="none" w:sz="0" w:space="0" w:color="auto"/>
        <w:right w:val="none" w:sz="0" w:space="0" w:color="auto"/>
      </w:divBdr>
    </w:div>
    <w:div w:id="205605894">
      <w:bodyDiv w:val="1"/>
      <w:marLeft w:val="0"/>
      <w:marRight w:val="0"/>
      <w:marTop w:val="0"/>
      <w:marBottom w:val="0"/>
      <w:divBdr>
        <w:top w:val="none" w:sz="0" w:space="0" w:color="auto"/>
        <w:left w:val="none" w:sz="0" w:space="0" w:color="auto"/>
        <w:bottom w:val="none" w:sz="0" w:space="0" w:color="auto"/>
        <w:right w:val="none" w:sz="0" w:space="0" w:color="auto"/>
      </w:divBdr>
    </w:div>
    <w:div w:id="231934587">
      <w:bodyDiv w:val="1"/>
      <w:marLeft w:val="0"/>
      <w:marRight w:val="0"/>
      <w:marTop w:val="0"/>
      <w:marBottom w:val="0"/>
      <w:divBdr>
        <w:top w:val="none" w:sz="0" w:space="0" w:color="auto"/>
        <w:left w:val="none" w:sz="0" w:space="0" w:color="auto"/>
        <w:bottom w:val="none" w:sz="0" w:space="0" w:color="auto"/>
        <w:right w:val="none" w:sz="0" w:space="0" w:color="auto"/>
      </w:divBdr>
    </w:div>
    <w:div w:id="456527519">
      <w:bodyDiv w:val="1"/>
      <w:marLeft w:val="0"/>
      <w:marRight w:val="0"/>
      <w:marTop w:val="0"/>
      <w:marBottom w:val="0"/>
      <w:divBdr>
        <w:top w:val="none" w:sz="0" w:space="0" w:color="auto"/>
        <w:left w:val="none" w:sz="0" w:space="0" w:color="auto"/>
        <w:bottom w:val="none" w:sz="0" w:space="0" w:color="auto"/>
        <w:right w:val="none" w:sz="0" w:space="0" w:color="auto"/>
      </w:divBdr>
    </w:div>
    <w:div w:id="551310536">
      <w:bodyDiv w:val="1"/>
      <w:marLeft w:val="0"/>
      <w:marRight w:val="0"/>
      <w:marTop w:val="0"/>
      <w:marBottom w:val="0"/>
      <w:divBdr>
        <w:top w:val="none" w:sz="0" w:space="0" w:color="auto"/>
        <w:left w:val="none" w:sz="0" w:space="0" w:color="auto"/>
        <w:bottom w:val="none" w:sz="0" w:space="0" w:color="auto"/>
        <w:right w:val="none" w:sz="0" w:space="0" w:color="auto"/>
      </w:divBdr>
    </w:div>
    <w:div w:id="843785370">
      <w:bodyDiv w:val="1"/>
      <w:marLeft w:val="0"/>
      <w:marRight w:val="0"/>
      <w:marTop w:val="0"/>
      <w:marBottom w:val="0"/>
      <w:divBdr>
        <w:top w:val="none" w:sz="0" w:space="0" w:color="auto"/>
        <w:left w:val="none" w:sz="0" w:space="0" w:color="auto"/>
        <w:bottom w:val="none" w:sz="0" w:space="0" w:color="auto"/>
        <w:right w:val="none" w:sz="0" w:space="0" w:color="auto"/>
      </w:divBdr>
    </w:div>
    <w:div w:id="932082349">
      <w:bodyDiv w:val="1"/>
      <w:marLeft w:val="0"/>
      <w:marRight w:val="0"/>
      <w:marTop w:val="0"/>
      <w:marBottom w:val="0"/>
      <w:divBdr>
        <w:top w:val="none" w:sz="0" w:space="0" w:color="auto"/>
        <w:left w:val="none" w:sz="0" w:space="0" w:color="auto"/>
        <w:bottom w:val="none" w:sz="0" w:space="0" w:color="auto"/>
        <w:right w:val="none" w:sz="0" w:space="0" w:color="auto"/>
      </w:divBdr>
    </w:div>
    <w:div w:id="1091004433">
      <w:bodyDiv w:val="1"/>
      <w:marLeft w:val="0"/>
      <w:marRight w:val="0"/>
      <w:marTop w:val="0"/>
      <w:marBottom w:val="0"/>
      <w:divBdr>
        <w:top w:val="none" w:sz="0" w:space="0" w:color="auto"/>
        <w:left w:val="none" w:sz="0" w:space="0" w:color="auto"/>
        <w:bottom w:val="none" w:sz="0" w:space="0" w:color="auto"/>
        <w:right w:val="none" w:sz="0" w:space="0" w:color="auto"/>
      </w:divBdr>
    </w:div>
    <w:div w:id="1218935552">
      <w:bodyDiv w:val="1"/>
      <w:marLeft w:val="0"/>
      <w:marRight w:val="0"/>
      <w:marTop w:val="0"/>
      <w:marBottom w:val="0"/>
      <w:divBdr>
        <w:top w:val="none" w:sz="0" w:space="0" w:color="auto"/>
        <w:left w:val="none" w:sz="0" w:space="0" w:color="auto"/>
        <w:bottom w:val="none" w:sz="0" w:space="0" w:color="auto"/>
        <w:right w:val="none" w:sz="0" w:space="0" w:color="auto"/>
      </w:divBdr>
    </w:div>
    <w:div w:id="1239707493">
      <w:bodyDiv w:val="1"/>
      <w:marLeft w:val="0"/>
      <w:marRight w:val="0"/>
      <w:marTop w:val="0"/>
      <w:marBottom w:val="0"/>
      <w:divBdr>
        <w:top w:val="none" w:sz="0" w:space="0" w:color="auto"/>
        <w:left w:val="none" w:sz="0" w:space="0" w:color="auto"/>
        <w:bottom w:val="none" w:sz="0" w:space="0" w:color="auto"/>
        <w:right w:val="none" w:sz="0" w:space="0" w:color="auto"/>
      </w:divBdr>
    </w:div>
    <w:div w:id="1378777130">
      <w:bodyDiv w:val="1"/>
      <w:marLeft w:val="0"/>
      <w:marRight w:val="0"/>
      <w:marTop w:val="0"/>
      <w:marBottom w:val="0"/>
      <w:divBdr>
        <w:top w:val="none" w:sz="0" w:space="0" w:color="auto"/>
        <w:left w:val="none" w:sz="0" w:space="0" w:color="auto"/>
        <w:bottom w:val="none" w:sz="0" w:space="0" w:color="auto"/>
        <w:right w:val="none" w:sz="0" w:space="0" w:color="auto"/>
      </w:divBdr>
    </w:div>
    <w:div w:id="1501702010">
      <w:bodyDiv w:val="1"/>
      <w:marLeft w:val="0"/>
      <w:marRight w:val="0"/>
      <w:marTop w:val="0"/>
      <w:marBottom w:val="0"/>
      <w:divBdr>
        <w:top w:val="none" w:sz="0" w:space="0" w:color="auto"/>
        <w:left w:val="none" w:sz="0" w:space="0" w:color="auto"/>
        <w:bottom w:val="none" w:sz="0" w:space="0" w:color="auto"/>
        <w:right w:val="none" w:sz="0" w:space="0" w:color="auto"/>
      </w:divBdr>
    </w:div>
    <w:div w:id="1566141448">
      <w:bodyDiv w:val="1"/>
      <w:marLeft w:val="0"/>
      <w:marRight w:val="0"/>
      <w:marTop w:val="0"/>
      <w:marBottom w:val="0"/>
      <w:divBdr>
        <w:top w:val="none" w:sz="0" w:space="0" w:color="auto"/>
        <w:left w:val="none" w:sz="0" w:space="0" w:color="auto"/>
        <w:bottom w:val="none" w:sz="0" w:space="0" w:color="auto"/>
        <w:right w:val="none" w:sz="0" w:space="0" w:color="auto"/>
      </w:divBdr>
    </w:div>
    <w:div w:id="1668436234">
      <w:bodyDiv w:val="1"/>
      <w:marLeft w:val="0"/>
      <w:marRight w:val="0"/>
      <w:marTop w:val="0"/>
      <w:marBottom w:val="0"/>
      <w:divBdr>
        <w:top w:val="none" w:sz="0" w:space="0" w:color="auto"/>
        <w:left w:val="none" w:sz="0" w:space="0" w:color="auto"/>
        <w:bottom w:val="none" w:sz="0" w:space="0" w:color="auto"/>
        <w:right w:val="none" w:sz="0" w:space="0" w:color="auto"/>
      </w:divBdr>
    </w:div>
    <w:div w:id="1670908288">
      <w:bodyDiv w:val="1"/>
      <w:marLeft w:val="0"/>
      <w:marRight w:val="0"/>
      <w:marTop w:val="0"/>
      <w:marBottom w:val="0"/>
      <w:divBdr>
        <w:top w:val="none" w:sz="0" w:space="0" w:color="auto"/>
        <w:left w:val="none" w:sz="0" w:space="0" w:color="auto"/>
        <w:bottom w:val="none" w:sz="0" w:space="0" w:color="auto"/>
        <w:right w:val="none" w:sz="0" w:space="0" w:color="auto"/>
      </w:divBdr>
    </w:div>
    <w:div w:id="1730688799">
      <w:bodyDiv w:val="1"/>
      <w:marLeft w:val="0"/>
      <w:marRight w:val="0"/>
      <w:marTop w:val="0"/>
      <w:marBottom w:val="0"/>
      <w:divBdr>
        <w:top w:val="none" w:sz="0" w:space="0" w:color="auto"/>
        <w:left w:val="none" w:sz="0" w:space="0" w:color="auto"/>
        <w:bottom w:val="none" w:sz="0" w:space="0" w:color="auto"/>
        <w:right w:val="none" w:sz="0" w:space="0" w:color="auto"/>
      </w:divBdr>
    </w:div>
    <w:div w:id="1798984560">
      <w:bodyDiv w:val="1"/>
      <w:marLeft w:val="0"/>
      <w:marRight w:val="0"/>
      <w:marTop w:val="0"/>
      <w:marBottom w:val="0"/>
      <w:divBdr>
        <w:top w:val="none" w:sz="0" w:space="0" w:color="auto"/>
        <w:left w:val="none" w:sz="0" w:space="0" w:color="auto"/>
        <w:bottom w:val="none" w:sz="0" w:space="0" w:color="auto"/>
        <w:right w:val="none" w:sz="0" w:space="0" w:color="auto"/>
      </w:divBdr>
    </w:div>
    <w:div w:id="1963539562">
      <w:bodyDiv w:val="1"/>
      <w:marLeft w:val="0"/>
      <w:marRight w:val="0"/>
      <w:marTop w:val="0"/>
      <w:marBottom w:val="0"/>
      <w:divBdr>
        <w:top w:val="none" w:sz="0" w:space="0" w:color="auto"/>
        <w:left w:val="none" w:sz="0" w:space="0" w:color="auto"/>
        <w:bottom w:val="none" w:sz="0" w:space="0" w:color="auto"/>
        <w:right w:val="none" w:sz="0" w:space="0" w:color="auto"/>
      </w:divBdr>
    </w:div>
    <w:div w:id="2004308038">
      <w:bodyDiv w:val="1"/>
      <w:marLeft w:val="0"/>
      <w:marRight w:val="0"/>
      <w:marTop w:val="0"/>
      <w:marBottom w:val="0"/>
      <w:divBdr>
        <w:top w:val="none" w:sz="0" w:space="0" w:color="auto"/>
        <w:left w:val="none" w:sz="0" w:space="0" w:color="auto"/>
        <w:bottom w:val="none" w:sz="0" w:space="0" w:color="auto"/>
        <w:right w:val="none" w:sz="0" w:space="0" w:color="auto"/>
      </w:divBdr>
    </w:div>
    <w:div w:id="205928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2084</ap:Words>
  <ap:Characters>11464</ap:Characters>
  <ap:DocSecurity>0</ap:DocSecurity>
  <ap:Lines>95</ap:Lines>
  <ap:Paragraphs>27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13521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2017-06-01T07:21:00.0000000Z</lastPrinted>
  <dcterms:created xsi:type="dcterms:W3CDTF">2017-06-01T07:14:00.0000000Z</dcterms:created>
  <dcterms:modified xsi:type="dcterms:W3CDTF">2017-06-01T07:21:00.0000000Z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0x010100F89CD307B8B98A4CB9F2FA6D06792060</vt:lpwstr>
  </property>
</Properties>
</file>