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F5E" w:rsidP="007F6F5E" w:rsidRDefault="007F6F5E">
      <w:pPr>
        <w:rPr>
          <w:rFonts w:ascii="Arial" w:hAnsi="Arial" w:cs="Arial"/>
          <w:sz w:val="20"/>
          <w:szCs w:val="20"/>
        </w:rPr>
      </w:pPr>
      <w:r>
        <w:rPr>
          <w:rFonts w:ascii="Arial" w:hAnsi="Arial" w:cs="Arial"/>
          <w:sz w:val="20"/>
          <w:szCs w:val="20"/>
        </w:rPr>
        <w:t xml:space="preserve">Geachte </w:t>
      </w:r>
      <w:r>
        <w:rPr>
          <w:rFonts w:ascii="Arial" w:hAnsi="Arial" w:cs="Arial"/>
          <w:color w:val="000000"/>
          <w:sz w:val="20"/>
          <w:szCs w:val="20"/>
        </w:rPr>
        <w:t>Voorzitter</w:t>
      </w:r>
      <w:r>
        <w:rPr>
          <w:rFonts w:ascii="Arial" w:hAnsi="Arial" w:cs="Arial"/>
          <w:sz w:val="20"/>
          <w:szCs w:val="20"/>
        </w:rPr>
        <w:t>,</w:t>
      </w:r>
      <w:bookmarkStart w:name="_GoBack" w:id="0"/>
      <w:bookmarkEnd w:id="0"/>
    </w:p>
    <w:p w:rsidR="007F6F5E" w:rsidP="007F6F5E" w:rsidRDefault="007F6F5E">
      <w:pPr>
        <w:rPr>
          <w:rFonts w:ascii="Arial" w:hAnsi="Arial" w:cs="Arial"/>
          <w:sz w:val="20"/>
          <w:szCs w:val="20"/>
        </w:rPr>
      </w:pPr>
    </w:p>
    <w:p w:rsidR="007F6F5E" w:rsidP="007F6F5E" w:rsidRDefault="007F6F5E">
      <w:pPr>
        <w:rPr>
          <w:rFonts w:ascii="Arial" w:hAnsi="Arial" w:cs="Arial"/>
          <w:sz w:val="20"/>
          <w:szCs w:val="20"/>
        </w:rPr>
      </w:pPr>
      <w:r>
        <w:rPr>
          <w:rFonts w:ascii="Arial" w:hAnsi="Arial" w:cs="Arial"/>
          <w:sz w:val="20"/>
          <w:szCs w:val="20"/>
        </w:rPr>
        <w:t xml:space="preserve">Naar aanleiding van uw oproep om informatie m.b.t. de gevolgen van de </w:t>
      </w:r>
      <w:proofErr w:type="spellStart"/>
      <w:r>
        <w:rPr>
          <w:rFonts w:ascii="Arial" w:hAnsi="Arial" w:cs="Arial"/>
          <w:sz w:val="20"/>
          <w:szCs w:val="20"/>
        </w:rPr>
        <w:t>brexit</w:t>
      </w:r>
      <w:proofErr w:type="spellEnd"/>
      <w:r>
        <w:rPr>
          <w:rFonts w:ascii="Arial" w:hAnsi="Arial" w:cs="Arial"/>
          <w:sz w:val="20"/>
          <w:szCs w:val="20"/>
        </w:rPr>
        <w:t xml:space="preserve"> voor bedrijfssectoren brengen wij graag de volgende </w:t>
      </w:r>
      <w:r>
        <w:rPr>
          <w:rFonts w:ascii="Arial" w:hAnsi="Arial" w:cs="Arial"/>
          <w:color w:val="000000"/>
          <w:sz w:val="20"/>
          <w:szCs w:val="20"/>
        </w:rPr>
        <w:t>punten</w:t>
      </w:r>
      <w:r>
        <w:rPr>
          <w:rFonts w:ascii="Arial" w:hAnsi="Arial" w:cs="Arial"/>
          <w:sz w:val="20"/>
          <w:szCs w:val="20"/>
        </w:rPr>
        <w:t xml:space="preserve"> </w:t>
      </w:r>
      <w:r>
        <w:rPr>
          <w:rFonts w:ascii="Arial" w:hAnsi="Arial" w:cs="Arial"/>
          <w:color w:val="000000"/>
          <w:sz w:val="20"/>
          <w:szCs w:val="20"/>
        </w:rPr>
        <w:t xml:space="preserve">van het ING Economisch Bureau </w:t>
      </w:r>
      <w:r>
        <w:rPr>
          <w:rFonts w:ascii="Arial" w:hAnsi="Arial" w:cs="Arial"/>
          <w:sz w:val="20"/>
          <w:szCs w:val="20"/>
        </w:rPr>
        <w:t>bij u onder de aandacht.</w:t>
      </w:r>
    </w:p>
    <w:p w:rsidR="007F6F5E" w:rsidP="007F6F5E" w:rsidRDefault="007F6F5E">
      <w:pPr>
        <w:rPr>
          <w:rFonts w:ascii="Arial" w:hAnsi="Arial" w:cs="Arial"/>
          <w:sz w:val="20"/>
          <w:szCs w:val="20"/>
        </w:rPr>
      </w:pPr>
    </w:p>
    <w:p w:rsidR="007F6F5E" w:rsidP="007F6F5E" w:rsidRDefault="007F6F5E">
      <w:pPr>
        <w:pStyle w:val="Lijstalinea"/>
        <w:ind w:hanging="360"/>
        <w:rPr>
          <w:rFonts w:ascii="Arial" w:hAnsi="Arial" w:cs="Arial"/>
          <w:sz w:val="20"/>
          <w:szCs w:val="20"/>
          <w:u w:val="single"/>
        </w:rPr>
      </w:pPr>
      <w:r>
        <w:rPr>
          <w:rFonts w:ascii="Arial" w:hAnsi="Arial" w:cs="Arial"/>
          <w:sz w:val="20"/>
          <w:szCs w:val="20"/>
        </w:rPr>
        <w:t>1.</w:t>
      </w:r>
      <w:r>
        <w:rPr>
          <w:rFonts w:ascii="Times New Roman" w:hAnsi="Times New Roman"/>
          <w:sz w:val="14"/>
          <w:szCs w:val="14"/>
        </w:rPr>
        <w:t xml:space="preserve"> </w:t>
      </w:r>
      <w:r>
        <w:rPr>
          <w:rFonts w:ascii="Arial" w:hAnsi="Arial" w:cs="Arial"/>
          <w:sz w:val="20"/>
          <w:szCs w:val="20"/>
          <w:u w:val="single"/>
        </w:rPr>
        <w:t>Het Nederlandse exportpakket en WTO-regels</w:t>
      </w:r>
    </w:p>
    <w:p w:rsidR="007F6F5E" w:rsidP="007F6F5E" w:rsidRDefault="007F6F5E">
      <w:pPr>
        <w:ind w:left="720"/>
        <w:rPr>
          <w:rFonts w:ascii="Arial" w:hAnsi="Arial" w:cs="Arial"/>
          <w:sz w:val="20"/>
          <w:szCs w:val="20"/>
          <w:u w:val="single"/>
        </w:rPr>
      </w:pPr>
      <w:r>
        <w:rPr>
          <w:rFonts w:ascii="Arial" w:hAnsi="Arial" w:cs="Arial"/>
          <w:sz w:val="20"/>
          <w:szCs w:val="20"/>
        </w:rPr>
        <w:t xml:space="preserve">Wanneer de onderhandelingen over een handelsakkoord met </w:t>
      </w:r>
      <w:r>
        <w:rPr>
          <w:rFonts w:ascii="Arial" w:hAnsi="Arial" w:cs="Arial"/>
          <w:color w:val="000000"/>
          <w:sz w:val="20"/>
          <w:szCs w:val="20"/>
        </w:rPr>
        <w:t>het</w:t>
      </w:r>
      <w:r>
        <w:rPr>
          <w:rFonts w:ascii="Arial" w:hAnsi="Arial" w:cs="Arial"/>
          <w:sz w:val="20"/>
          <w:szCs w:val="20"/>
        </w:rPr>
        <w:t xml:space="preserve"> VK niets opleveren en de onderlinge handel tussen de EU en het VK volgens de WTO- regels gaa</w:t>
      </w:r>
      <w:r>
        <w:rPr>
          <w:rFonts w:ascii="Arial" w:hAnsi="Arial" w:cs="Arial"/>
          <w:color w:val="000000"/>
          <w:sz w:val="20"/>
          <w:szCs w:val="20"/>
        </w:rPr>
        <w:t>t</w:t>
      </w:r>
      <w:r>
        <w:rPr>
          <w:rFonts w:ascii="Arial" w:hAnsi="Arial" w:cs="Arial"/>
          <w:sz w:val="20"/>
          <w:szCs w:val="20"/>
        </w:rPr>
        <w:t xml:space="preserve"> plaatsvinden dan pakt dat relatief ongunstig uit </w:t>
      </w:r>
      <w:r>
        <w:rPr>
          <w:rFonts w:ascii="Arial" w:hAnsi="Arial" w:cs="Arial"/>
          <w:color w:val="000000"/>
          <w:sz w:val="20"/>
          <w:szCs w:val="20"/>
        </w:rPr>
        <w:t xml:space="preserve">(o.a. </w:t>
      </w:r>
      <w:r>
        <w:rPr>
          <w:rFonts w:ascii="Arial" w:hAnsi="Arial" w:cs="Arial"/>
          <w:sz w:val="20"/>
          <w:szCs w:val="20"/>
        </w:rPr>
        <w:t xml:space="preserve">gezien de belangrijke rol voor voeding in het Nederlandse </w:t>
      </w:r>
      <w:r>
        <w:rPr>
          <w:rFonts w:ascii="Arial" w:hAnsi="Arial" w:cs="Arial"/>
          <w:color w:val="000000"/>
          <w:sz w:val="20"/>
          <w:szCs w:val="20"/>
        </w:rPr>
        <w:t>export</w:t>
      </w:r>
      <w:r>
        <w:rPr>
          <w:rFonts w:ascii="Arial" w:hAnsi="Arial" w:cs="Arial"/>
          <w:sz w:val="20"/>
          <w:szCs w:val="20"/>
        </w:rPr>
        <w:t>pakket</w:t>
      </w:r>
      <w:r>
        <w:rPr>
          <w:rFonts w:ascii="Arial" w:hAnsi="Arial" w:cs="Arial"/>
          <w:color w:val="000000"/>
          <w:sz w:val="20"/>
          <w:szCs w:val="20"/>
        </w:rPr>
        <w:t>)</w:t>
      </w:r>
      <w:r>
        <w:rPr>
          <w:rFonts w:ascii="Arial" w:hAnsi="Arial" w:cs="Arial"/>
          <w:sz w:val="20"/>
          <w:szCs w:val="20"/>
        </w:rPr>
        <w:t>.</w:t>
      </w:r>
      <w:r>
        <w:rPr>
          <w:rFonts w:ascii="Arial" w:hAnsi="Arial" w:cs="Arial"/>
          <w:color w:val="000000"/>
          <w:sz w:val="20"/>
          <w:szCs w:val="20"/>
        </w:rPr>
        <w:t xml:space="preserve"> Zie ook de twee b</w:t>
      </w:r>
      <w:r>
        <w:rPr>
          <w:rFonts w:ascii="Arial" w:hAnsi="Arial" w:cs="Arial"/>
          <w:sz w:val="20"/>
          <w:szCs w:val="20"/>
        </w:rPr>
        <w:t>ijgaande ‘</w:t>
      </w:r>
      <w:proofErr w:type="spellStart"/>
      <w:r>
        <w:rPr>
          <w:rFonts w:ascii="Arial" w:hAnsi="Arial" w:cs="Arial"/>
          <w:sz w:val="20"/>
          <w:szCs w:val="20"/>
        </w:rPr>
        <w:t>one</w:t>
      </w:r>
      <w:proofErr w:type="spellEnd"/>
      <w:r>
        <w:rPr>
          <w:rFonts w:ascii="Arial" w:hAnsi="Arial" w:cs="Arial"/>
          <w:sz w:val="20"/>
          <w:szCs w:val="20"/>
        </w:rPr>
        <w:t xml:space="preserve"> pagers’</w:t>
      </w:r>
      <w:r>
        <w:rPr>
          <w:rFonts w:ascii="Arial" w:hAnsi="Arial" w:cs="Arial"/>
          <w:color w:val="000000"/>
          <w:sz w:val="20"/>
          <w:szCs w:val="20"/>
        </w:rPr>
        <w:t xml:space="preserve"> </w:t>
      </w:r>
      <w:r>
        <w:rPr>
          <w:rFonts w:ascii="Arial" w:hAnsi="Arial" w:cs="Arial"/>
          <w:sz w:val="20"/>
          <w:szCs w:val="20"/>
        </w:rPr>
        <w:t xml:space="preserve">in </w:t>
      </w:r>
      <w:r>
        <w:rPr>
          <w:rFonts w:ascii="Arial" w:hAnsi="Arial" w:cs="Arial"/>
          <w:color w:val="000000"/>
          <w:sz w:val="20"/>
          <w:szCs w:val="20"/>
        </w:rPr>
        <w:t>de</w:t>
      </w:r>
      <w:r>
        <w:rPr>
          <w:rFonts w:ascii="Arial" w:hAnsi="Arial" w:cs="Arial"/>
          <w:sz w:val="20"/>
          <w:szCs w:val="20"/>
        </w:rPr>
        <w:t xml:space="preserve"> PDF</w:t>
      </w:r>
      <w:r>
        <w:rPr>
          <w:rFonts w:ascii="Arial" w:hAnsi="Arial" w:cs="Arial"/>
          <w:color w:val="000000"/>
          <w:sz w:val="20"/>
          <w:szCs w:val="20"/>
        </w:rPr>
        <w:t xml:space="preserve"> bijlage.</w:t>
      </w:r>
    </w:p>
    <w:p w:rsidR="007F6F5E" w:rsidP="007F6F5E" w:rsidRDefault="007F6F5E">
      <w:pPr>
        <w:rPr>
          <w:rFonts w:ascii="Arial" w:hAnsi="Arial" w:cs="Arial"/>
          <w:color w:val="000000"/>
          <w:sz w:val="20"/>
          <w:szCs w:val="20"/>
          <w:u w:val="single"/>
        </w:rPr>
      </w:pPr>
    </w:p>
    <w:p w:rsidR="007F6F5E" w:rsidP="007F6F5E" w:rsidRDefault="007F6F5E">
      <w:pPr>
        <w:pStyle w:val="Lijstalinea"/>
        <w:ind w:hanging="360"/>
        <w:rPr>
          <w:rFonts w:ascii="Arial" w:hAnsi="Arial" w:cs="Arial"/>
          <w:sz w:val="20"/>
          <w:szCs w:val="20"/>
          <w:u w:val="single"/>
        </w:rPr>
      </w:pPr>
      <w:r>
        <w:rPr>
          <w:rFonts w:ascii="Arial" w:hAnsi="Arial" w:cs="Arial"/>
          <w:sz w:val="20"/>
          <w:szCs w:val="20"/>
        </w:rPr>
        <w:t>2.</w:t>
      </w:r>
      <w:r>
        <w:rPr>
          <w:rFonts w:ascii="Times New Roman" w:hAnsi="Times New Roman"/>
          <w:sz w:val="14"/>
          <w:szCs w:val="14"/>
        </w:rPr>
        <w:t xml:space="preserve"> </w:t>
      </w:r>
      <w:r>
        <w:rPr>
          <w:rFonts w:ascii="Arial" w:hAnsi="Arial" w:cs="Arial"/>
          <w:color w:val="000000"/>
          <w:sz w:val="20"/>
          <w:szCs w:val="20"/>
          <w:u w:val="single"/>
        </w:rPr>
        <w:t>Impact op regio’s en sectoren</w:t>
      </w:r>
    </w:p>
    <w:p w:rsidR="007F6F5E" w:rsidP="007F6F5E" w:rsidRDefault="007F6F5E">
      <w:pPr>
        <w:pStyle w:val="Lijstalinea"/>
        <w:rPr>
          <w:rFonts w:ascii="Arial" w:hAnsi="Arial" w:cs="Arial"/>
          <w:sz w:val="20"/>
          <w:szCs w:val="20"/>
          <w:u w:val="single"/>
        </w:rPr>
      </w:pPr>
      <w:r>
        <w:rPr>
          <w:rFonts w:ascii="Arial" w:hAnsi="Arial" w:cs="Arial"/>
          <w:sz w:val="20"/>
          <w:szCs w:val="20"/>
        </w:rPr>
        <w:t xml:space="preserve">Veel specifieke risico’s en kansen komen aan bod in ons stuk over </w:t>
      </w:r>
      <w:hyperlink w:history="1" r:id="rId5">
        <w:r>
          <w:rPr>
            <w:rStyle w:val="Hyperlink"/>
            <w:rFonts w:ascii="Arial" w:hAnsi="Arial" w:cs="Arial"/>
            <w:sz w:val="20"/>
            <w:szCs w:val="20"/>
          </w:rPr>
          <w:t xml:space="preserve">De effecten van </w:t>
        </w:r>
        <w:proofErr w:type="spellStart"/>
        <w:r>
          <w:rPr>
            <w:rStyle w:val="Hyperlink"/>
            <w:rFonts w:ascii="Arial" w:hAnsi="Arial" w:cs="Arial"/>
            <w:sz w:val="20"/>
            <w:szCs w:val="20"/>
          </w:rPr>
          <w:t>brexit</w:t>
        </w:r>
        <w:proofErr w:type="spellEnd"/>
        <w:r>
          <w:rPr>
            <w:rStyle w:val="Hyperlink"/>
            <w:rFonts w:ascii="Arial" w:hAnsi="Arial" w:cs="Arial"/>
            <w:sz w:val="20"/>
            <w:szCs w:val="20"/>
          </w:rPr>
          <w:t xml:space="preserve"> voor de export van de twaalf provincies</w:t>
        </w:r>
      </w:hyperlink>
      <w:r>
        <w:rPr>
          <w:rFonts w:ascii="Arial" w:hAnsi="Arial" w:cs="Arial"/>
          <w:sz w:val="20"/>
          <w:szCs w:val="20"/>
        </w:rPr>
        <w:t>. Belangrijkste conclusies zijn de volgende:</w:t>
      </w:r>
    </w:p>
    <w:p w:rsidR="007F6F5E" w:rsidP="007F6F5E" w:rsidRDefault="007F6F5E">
      <w:pPr>
        <w:pStyle w:val="Lijstalinea"/>
        <w:ind w:hanging="360"/>
        <w:rPr>
          <w:rFonts w:ascii="Arial" w:hAnsi="Arial" w:cs="Arial"/>
          <w:sz w:val="20"/>
          <w:szCs w:val="20"/>
        </w:rPr>
      </w:pPr>
      <w:r>
        <w:rPr>
          <w:rFonts w:ascii="Arial" w:hAnsi="Arial" w:cs="Arial"/>
          <w:sz w:val="20"/>
          <w:szCs w:val="20"/>
        </w:rPr>
        <w:t>-</w:t>
      </w:r>
      <w:r>
        <w:rPr>
          <w:rFonts w:ascii="Times New Roman" w:hAnsi="Times New Roman"/>
          <w:sz w:val="14"/>
          <w:szCs w:val="14"/>
        </w:rPr>
        <w:t xml:space="preserve"> </w:t>
      </w:r>
      <w:r>
        <w:rPr>
          <w:rFonts w:ascii="Arial" w:hAnsi="Arial" w:cs="Arial"/>
          <w:sz w:val="20"/>
          <w:szCs w:val="20"/>
        </w:rPr>
        <w:t xml:space="preserve">Bedrijven in Utrecht en Noord-Holland zijn qua </w:t>
      </w:r>
      <w:r>
        <w:rPr>
          <w:rFonts w:ascii="Arial" w:hAnsi="Arial" w:cs="Arial"/>
          <w:color w:val="000000"/>
          <w:sz w:val="20"/>
          <w:szCs w:val="20"/>
        </w:rPr>
        <w:t xml:space="preserve">goederen </w:t>
      </w:r>
      <w:r>
        <w:rPr>
          <w:rFonts w:ascii="Arial" w:hAnsi="Arial" w:cs="Arial"/>
          <w:sz w:val="20"/>
          <w:szCs w:val="20"/>
        </w:rPr>
        <w:t xml:space="preserve">export het sterkst gericht op het VK. Dat maakt hen gevoeliger voor de </w:t>
      </w:r>
      <w:proofErr w:type="spellStart"/>
      <w:r>
        <w:rPr>
          <w:rFonts w:ascii="Arial" w:hAnsi="Arial" w:cs="Arial"/>
          <w:sz w:val="20"/>
          <w:szCs w:val="20"/>
        </w:rPr>
        <w:t>brexit</w:t>
      </w:r>
      <w:proofErr w:type="spellEnd"/>
      <w:r>
        <w:rPr>
          <w:rFonts w:ascii="Arial" w:hAnsi="Arial" w:cs="Arial"/>
          <w:sz w:val="20"/>
          <w:szCs w:val="20"/>
        </w:rPr>
        <w:t xml:space="preserve"> dan de andere regio’s. </w:t>
      </w:r>
    </w:p>
    <w:p w:rsidR="007F6F5E" w:rsidP="007F6F5E" w:rsidRDefault="007F6F5E">
      <w:pPr>
        <w:pStyle w:val="Lijstalinea"/>
        <w:ind w:hanging="360"/>
        <w:rPr>
          <w:rFonts w:ascii="Arial" w:hAnsi="Arial" w:cs="Arial"/>
          <w:sz w:val="20"/>
          <w:szCs w:val="20"/>
        </w:rPr>
      </w:pPr>
      <w:r>
        <w:rPr>
          <w:rFonts w:ascii="Arial" w:hAnsi="Arial" w:cs="Arial"/>
          <w:sz w:val="20"/>
          <w:szCs w:val="20"/>
        </w:rPr>
        <w:t>-</w:t>
      </w:r>
      <w:r>
        <w:rPr>
          <w:rFonts w:ascii="Times New Roman" w:hAnsi="Times New Roman"/>
          <w:sz w:val="14"/>
          <w:szCs w:val="14"/>
        </w:rPr>
        <w:t xml:space="preserve"> </w:t>
      </w:r>
      <w:r>
        <w:rPr>
          <w:rFonts w:ascii="Arial" w:hAnsi="Arial" w:cs="Arial"/>
          <w:sz w:val="20"/>
          <w:szCs w:val="20"/>
        </w:rPr>
        <w:t xml:space="preserve">Voor zeven provincies (FR, DR, NH, ZH, UT, GE &amp; ZE) is agrofood het belangrijkste exportproduct, voor twee zijn dat machines en transportmiddelen (FL, NB), voor twee industriële producten (OV, LI) en voor Groningen is gas de belangrijkste pijler onder de export naar het VK. </w:t>
      </w:r>
    </w:p>
    <w:p w:rsidR="007F6F5E" w:rsidP="007F6F5E" w:rsidRDefault="007F6F5E">
      <w:pPr>
        <w:pStyle w:val="Lijstalinea"/>
        <w:ind w:hanging="360"/>
        <w:rPr>
          <w:rFonts w:ascii="Arial" w:hAnsi="Arial" w:cs="Arial"/>
          <w:sz w:val="20"/>
          <w:szCs w:val="20"/>
        </w:rPr>
      </w:pPr>
      <w:r>
        <w:rPr>
          <w:rFonts w:ascii="Arial" w:hAnsi="Arial" w:cs="Arial"/>
          <w:sz w:val="20"/>
          <w:szCs w:val="20"/>
        </w:rPr>
        <w:t>-</w:t>
      </w:r>
      <w:r>
        <w:rPr>
          <w:rFonts w:ascii="Times New Roman" w:hAnsi="Times New Roman"/>
          <w:sz w:val="14"/>
          <w:szCs w:val="14"/>
        </w:rPr>
        <w:t xml:space="preserve"> </w:t>
      </w:r>
      <w:r>
        <w:rPr>
          <w:rFonts w:ascii="Arial" w:hAnsi="Arial" w:cs="Arial"/>
          <w:sz w:val="20"/>
          <w:szCs w:val="20"/>
        </w:rPr>
        <w:t xml:space="preserve">De kansen bij een </w:t>
      </w:r>
      <w:proofErr w:type="spellStart"/>
      <w:r>
        <w:rPr>
          <w:rFonts w:ascii="Arial" w:hAnsi="Arial" w:cs="Arial"/>
          <w:sz w:val="20"/>
          <w:szCs w:val="20"/>
        </w:rPr>
        <w:t>brexit</w:t>
      </w:r>
      <w:proofErr w:type="spellEnd"/>
      <w:r>
        <w:rPr>
          <w:rFonts w:ascii="Arial" w:hAnsi="Arial" w:cs="Arial"/>
          <w:sz w:val="20"/>
          <w:szCs w:val="20"/>
        </w:rPr>
        <w:t xml:space="preserve"> zijn breder dan alleen het aantrekken van in het VK gevestigde dienstverleners. Britse export kan na de </w:t>
      </w:r>
      <w:proofErr w:type="spellStart"/>
      <w:r>
        <w:rPr>
          <w:rFonts w:ascii="Arial" w:hAnsi="Arial" w:cs="Arial"/>
          <w:sz w:val="20"/>
          <w:szCs w:val="20"/>
        </w:rPr>
        <w:t>brexit</w:t>
      </w:r>
      <w:proofErr w:type="spellEnd"/>
      <w:r>
        <w:rPr>
          <w:rFonts w:ascii="Arial" w:hAnsi="Arial" w:cs="Arial"/>
          <w:sz w:val="20"/>
          <w:szCs w:val="20"/>
        </w:rPr>
        <w:t xml:space="preserve"> verschuiven naar Nederlandse bedrijven én in het VK gevestigde bedrijven kunnen overwegen hun productie te verplaatsen naar het vasteland. In beide gevallen hebben Noord-Brabant en Overijssel vanwege hun economische structuur goede papieren om te profiteren.</w:t>
      </w:r>
    </w:p>
    <w:p w:rsidR="007F6F5E" w:rsidP="007F6F5E" w:rsidRDefault="007F6F5E">
      <w:pPr>
        <w:rPr>
          <w:rFonts w:ascii="Arial" w:hAnsi="Arial" w:cs="Arial"/>
          <w:sz w:val="20"/>
          <w:szCs w:val="20"/>
        </w:rPr>
      </w:pPr>
    </w:p>
    <w:p w:rsidR="007F6F5E" w:rsidP="007F6F5E" w:rsidRDefault="007F6F5E">
      <w:pPr>
        <w:pStyle w:val="Lijstalinea"/>
        <w:ind w:hanging="360"/>
        <w:rPr>
          <w:rFonts w:ascii="Arial" w:hAnsi="Arial" w:cs="Arial"/>
          <w:sz w:val="20"/>
          <w:szCs w:val="20"/>
          <w:u w:val="single"/>
        </w:rPr>
      </w:pPr>
      <w:r>
        <w:rPr>
          <w:rFonts w:ascii="Arial" w:hAnsi="Arial" w:cs="Arial"/>
          <w:sz w:val="20"/>
          <w:szCs w:val="20"/>
        </w:rPr>
        <w:t>3.</w:t>
      </w:r>
      <w:r>
        <w:rPr>
          <w:rFonts w:ascii="Times New Roman" w:hAnsi="Times New Roman"/>
          <w:sz w:val="14"/>
          <w:szCs w:val="14"/>
        </w:rPr>
        <w:t xml:space="preserve"> </w:t>
      </w:r>
      <w:proofErr w:type="spellStart"/>
      <w:r>
        <w:rPr>
          <w:rFonts w:ascii="Arial" w:hAnsi="Arial" w:cs="Arial"/>
          <w:sz w:val="20"/>
          <w:szCs w:val="20"/>
          <w:u w:val="single"/>
        </w:rPr>
        <w:t>Brexit</w:t>
      </w:r>
      <w:proofErr w:type="spellEnd"/>
      <w:r>
        <w:rPr>
          <w:rFonts w:ascii="Arial" w:hAnsi="Arial" w:cs="Arial"/>
          <w:sz w:val="20"/>
          <w:szCs w:val="20"/>
          <w:u w:val="single"/>
        </w:rPr>
        <w:t xml:space="preserve"> en Britse investeringen in Nederland</w:t>
      </w:r>
    </w:p>
    <w:p w:rsidR="007F6F5E" w:rsidP="007F6F5E" w:rsidRDefault="007F6F5E">
      <w:pPr>
        <w:pStyle w:val="Lijstalinea"/>
        <w:rPr>
          <w:rFonts w:ascii="Arial" w:hAnsi="Arial" w:cs="Arial"/>
          <w:sz w:val="20"/>
          <w:szCs w:val="20"/>
        </w:rPr>
      </w:pPr>
      <w:r>
        <w:rPr>
          <w:rFonts w:ascii="Arial" w:hAnsi="Arial" w:cs="Arial"/>
          <w:sz w:val="20"/>
          <w:szCs w:val="20"/>
        </w:rPr>
        <w:t>We hebben gekeken naar de investeringsdata</w:t>
      </w:r>
      <w:r>
        <w:rPr>
          <w:rFonts w:ascii="Arial" w:hAnsi="Arial" w:cs="Arial"/>
          <w:color w:val="000000"/>
          <w:sz w:val="20"/>
          <w:szCs w:val="20"/>
        </w:rPr>
        <w:t xml:space="preserve"> (FDI)</w:t>
      </w:r>
      <w:r>
        <w:rPr>
          <w:rFonts w:ascii="Arial" w:hAnsi="Arial" w:cs="Arial"/>
          <w:sz w:val="20"/>
          <w:szCs w:val="20"/>
        </w:rPr>
        <w:t xml:space="preserve">, maar in de meest recente cijfers treffen we nog geen gevallen aan van bedrijven die aangeven dat ze in NL investeren i.v.m. </w:t>
      </w:r>
      <w:proofErr w:type="spellStart"/>
      <w:r>
        <w:rPr>
          <w:rFonts w:ascii="Arial" w:hAnsi="Arial" w:cs="Arial"/>
          <w:sz w:val="20"/>
          <w:szCs w:val="20"/>
        </w:rPr>
        <w:t>Brexit</w:t>
      </w:r>
      <w:proofErr w:type="spellEnd"/>
      <w:r>
        <w:rPr>
          <w:rFonts w:ascii="Arial" w:hAnsi="Arial" w:cs="Arial"/>
          <w:sz w:val="20"/>
          <w:szCs w:val="20"/>
        </w:rPr>
        <w:t>.</w:t>
      </w:r>
      <w:r>
        <w:rPr>
          <w:rFonts w:ascii="Arial" w:hAnsi="Arial" w:cs="Arial"/>
          <w:color w:val="000000"/>
          <w:sz w:val="20"/>
          <w:szCs w:val="20"/>
        </w:rPr>
        <w:t xml:space="preserve"> Wel lijken internationale investeerders de kat uit de boom te kijken (uitstel) m.b.t. fysieke investeringen in West-Europa, zolang nog niet duidelijk is wat de uitkomst wordt van de onderhandelingen tussen het VK en de EU (zie </w:t>
      </w:r>
      <w:hyperlink w:history="1" r:id="rId6">
        <w:r>
          <w:rPr>
            <w:rStyle w:val="Hyperlink"/>
            <w:rFonts w:ascii="Arial" w:hAnsi="Arial" w:cs="Arial"/>
            <w:sz w:val="20"/>
            <w:szCs w:val="20"/>
          </w:rPr>
          <w:t>deze link</w:t>
        </w:r>
      </w:hyperlink>
      <w:r>
        <w:rPr>
          <w:rFonts w:ascii="Arial" w:hAnsi="Arial" w:cs="Arial"/>
          <w:color w:val="000000"/>
          <w:sz w:val="20"/>
          <w:szCs w:val="20"/>
        </w:rPr>
        <w:t xml:space="preserve">) </w:t>
      </w:r>
    </w:p>
    <w:p w:rsidR="007F6F5E" w:rsidP="007F6F5E" w:rsidRDefault="007F6F5E">
      <w:pPr>
        <w:pStyle w:val="Lijstalinea"/>
        <w:rPr>
          <w:rFonts w:ascii="Arial" w:hAnsi="Arial" w:cs="Arial"/>
          <w:sz w:val="20"/>
          <w:szCs w:val="20"/>
        </w:rPr>
      </w:pPr>
    </w:p>
    <w:p w:rsidR="007F6F5E" w:rsidP="007F6F5E" w:rsidRDefault="007F6F5E">
      <w:pPr>
        <w:pStyle w:val="Lijstalinea"/>
        <w:ind w:hanging="360"/>
        <w:rPr>
          <w:rFonts w:ascii="Arial" w:hAnsi="Arial" w:cs="Arial"/>
          <w:sz w:val="20"/>
          <w:szCs w:val="20"/>
          <w:u w:val="single"/>
          <w:lang w:eastAsia="nl-NL"/>
        </w:rPr>
      </w:pPr>
      <w:r>
        <w:rPr>
          <w:rFonts w:ascii="Arial" w:hAnsi="Arial" w:cs="Arial"/>
          <w:sz w:val="20"/>
          <w:szCs w:val="20"/>
          <w:lang w:eastAsia="nl-NL"/>
        </w:rPr>
        <w:t>4.</w:t>
      </w:r>
      <w:r>
        <w:rPr>
          <w:rFonts w:ascii="Times New Roman" w:hAnsi="Times New Roman"/>
          <w:sz w:val="14"/>
          <w:szCs w:val="14"/>
          <w:lang w:eastAsia="nl-NL"/>
        </w:rPr>
        <w:t xml:space="preserve"> </w:t>
      </w:r>
      <w:proofErr w:type="spellStart"/>
      <w:r>
        <w:rPr>
          <w:rFonts w:ascii="Arial" w:hAnsi="Arial" w:cs="Arial"/>
          <w:color w:val="000000"/>
          <w:sz w:val="20"/>
          <w:szCs w:val="20"/>
          <w:u w:val="single"/>
        </w:rPr>
        <w:t>Brexit</w:t>
      </w:r>
      <w:proofErr w:type="spellEnd"/>
      <w:r>
        <w:rPr>
          <w:rFonts w:ascii="Arial" w:hAnsi="Arial" w:cs="Arial"/>
          <w:color w:val="000000"/>
          <w:sz w:val="20"/>
          <w:szCs w:val="20"/>
          <w:u w:val="single"/>
        </w:rPr>
        <w:t xml:space="preserve"> en regio Amsterdam</w:t>
      </w:r>
    </w:p>
    <w:p w:rsidR="007F6F5E" w:rsidP="007F6F5E" w:rsidRDefault="007F6F5E">
      <w:pPr>
        <w:pStyle w:val="Lijstalinea"/>
        <w:rPr>
          <w:rFonts w:ascii="Arial" w:hAnsi="Arial" w:cs="Arial"/>
          <w:sz w:val="20"/>
          <w:szCs w:val="20"/>
          <w:lang w:eastAsia="nl-NL"/>
        </w:rPr>
      </w:pPr>
      <w:r>
        <w:rPr>
          <w:rFonts w:ascii="Arial" w:hAnsi="Arial" w:cs="Arial"/>
          <w:sz w:val="20"/>
          <w:szCs w:val="20"/>
        </w:rPr>
        <w:t xml:space="preserve">Via </w:t>
      </w:r>
      <w:hyperlink w:history="1" r:id="rId7">
        <w:r>
          <w:rPr>
            <w:rStyle w:val="Hyperlink"/>
            <w:rFonts w:ascii="Arial" w:hAnsi="Arial" w:cs="Arial"/>
            <w:color w:val="0070C0"/>
            <w:sz w:val="20"/>
            <w:szCs w:val="20"/>
          </w:rPr>
          <w:t>deze link</w:t>
        </w:r>
      </w:hyperlink>
      <w:r>
        <w:rPr>
          <w:rFonts w:ascii="Arial" w:hAnsi="Arial" w:cs="Arial"/>
          <w:sz w:val="20"/>
          <w:szCs w:val="20"/>
        </w:rPr>
        <w:t xml:space="preserve"> is een specifieke analyse beschikbaar over de kansen voor</w:t>
      </w:r>
      <w:r>
        <w:rPr>
          <w:rFonts w:ascii="Arial" w:hAnsi="Arial" w:cs="Arial"/>
          <w:color w:val="000000"/>
          <w:sz w:val="20"/>
          <w:szCs w:val="20"/>
        </w:rPr>
        <w:t xml:space="preserve"> de</w:t>
      </w:r>
      <w:r>
        <w:rPr>
          <w:rFonts w:ascii="Arial" w:hAnsi="Arial" w:cs="Arial"/>
          <w:sz w:val="20"/>
          <w:szCs w:val="20"/>
        </w:rPr>
        <w:t xml:space="preserve"> regio Amsterdam bij het aantrekken van financiële bedrijven die nu in Londen zitten.</w:t>
      </w:r>
    </w:p>
    <w:p w:rsidR="007F6F5E" w:rsidP="007F6F5E" w:rsidRDefault="007F6F5E">
      <w:pPr>
        <w:spacing w:line="240" w:lineRule="exact"/>
        <w:rPr>
          <w:rFonts w:ascii="Arial" w:hAnsi="Arial" w:cs="Arial"/>
          <w:b/>
          <w:bCs/>
          <w:color w:val="333333"/>
          <w:sz w:val="20"/>
          <w:szCs w:val="20"/>
          <w:lang w:eastAsia="nl-NL"/>
        </w:rPr>
      </w:pPr>
    </w:p>
    <w:p w:rsidR="007F6F5E" w:rsidP="007F6F5E" w:rsidRDefault="007F6F5E">
      <w:pPr>
        <w:rPr>
          <w:rFonts w:ascii="Arial" w:hAnsi="Arial" w:cs="Arial"/>
          <w:color w:val="000000"/>
          <w:sz w:val="20"/>
          <w:szCs w:val="20"/>
        </w:rPr>
      </w:pPr>
      <w:r>
        <w:rPr>
          <w:rFonts w:ascii="Arial" w:hAnsi="Arial" w:cs="Arial"/>
          <w:color w:val="000000"/>
          <w:sz w:val="20"/>
          <w:szCs w:val="20"/>
        </w:rPr>
        <w:t>Hopelijk is deze informatie bruikbaar voor uw Commissie, indien gewenst zijn wij altijd bereid tot een mondelinge toelichting.</w:t>
      </w:r>
    </w:p>
    <w:p w:rsidR="007F6F5E" w:rsidP="007F6F5E" w:rsidRDefault="007F6F5E">
      <w:pPr>
        <w:rPr>
          <w:rFonts w:ascii="Arial" w:hAnsi="Arial" w:cs="Arial"/>
          <w:color w:val="000000"/>
          <w:sz w:val="20"/>
          <w:szCs w:val="20"/>
        </w:rPr>
      </w:pPr>
    </w:p>
    <w:p w:rsidR="007F6F5E" w:rsidP="007F6F5E" w:rsidRDefault="007F6F5E">
      <w:pPr>
        <w:rPr>
          <w:rFonts w:ascii="Arial" w:hAnsi="Arial" w:cs="Arial"/>
          <w:sz w:val="20"/>
          <w:szCs w:val="20"/>
        </w:rPr>
      </w:pPr>
    </w:p>
    <w:p w:rsidR="007F6F5E" w:rsidP="007F6F5E" w:rsidRDefault="007F6F5E">
      <w:pPr>
        <w:rPr>
          <w:color w:val="1F497D"/>
        </w:rPr>
      </w:pPr>
      <w:r>
        <w:rPr>
          <w:rFonts w:ascii="Arial" w:hAnsi="Arial" w:cs="Arial"/>
          <w:color w:val="333333"/>
          <w:sz w:val="20"/>
          <w:szCs w:val="20"/>
          <w:lang w:eastAsia="nl-NL"/>
        </w:rPr>
        <w:t>Vriendelijke groet,</w:t>
      </w:r>
    </w:p>
    <w:p w:rsidR="007F6F5E" w:rsidP="007F6F5E" w:rsidRDefault="007F6F5E">
      <w:pPr>
        <w:rPr>
          <w:rFonts w:ascii="Verdana" w:hAnsi="Verdana"/>
          <w:color w:val="1F497D"/>
          <w:sz w:val="20"/>
          <w:szCs w:val="20"/>
          <w:lang w:eastAsia="nl-NL"/>
        </w:rPr>
      </w:pPr>
    </w:p>
    <w:p w:rsidR="007F6F5E" w:rsidP="007F6F5E" w:rsidRDefault="007F6F5E">
      <w:pPr>
        <w:spacing w:line="240" w:lineRule="exact"/>
        <w:rPr>
          <w:rFonts w:ascii="Arial" w:hAnsi="Arial" w:cs="Arial"/>
          <w:color w:val="333333"/>
          <w:sz w:val="20"/>
          <w:szCs w:val="20"/>
          <w:lang w:val="en-GB" w:eastAsia="nl-NL"/>
        </w:rPr>
      </w:pPr>
      <w:r>
        <w:rPr>
          <w:rFonts w:ascii="Arial" w:hAnsi="Arial" w:cs="Arial"/>
          <w:color w:val="1F497D"/>
          <w:sz w:val="20"/>
          <w:szCs w:val="20"/>
          <w:lang w:val="en-GB" w:eastAsia="nl-NL"/>
        </w:rPr>
        <w:t xml:space="preserve">Raoul Leering Thijs </w:t>
      </w:r>
      <w:proofErr w:type="spellStart"/>
      <w:r>
        <w:rPr>
          <w:rFonts w:ascii="Arial" w:hAnsi="Arial" w:cs="Arial"/>
          <w:color w:val="1F497D"/>
          <w:sz w:val="20"/>
          <w:szCs w:val="20"/>
          <w:lang w:val="en-GB" w:eastAsia="nl-NL"/>
        </w:rPr>
        <w:t>Geijer</w:t>
      </w:r>
      <w:proofErr w:type="spellEnd"/>
      <w:r>
        <w:rPr>
          <w:rFonts w:ascii="Arial" w:hAnsi="Arial" w:cs="Arial"/>
          <w:color w:val="1F497D"/>
          <w:sz w:val="20"/>
          <w:szCs w:val="20"/>
          <w:lang w:val="en-GB" w:eastAsia="nl-NL"/>
        </w:rPr>
        <w:br/>
      </w:r>
      <w:r>
        <w:rPr>
          <w:rFonts w:ascii="Arial" w:hAnsi="Arial" w:cs="Arial"/>
          <w:color w:val="1F497D"/>
          <w:sz w:val="20"/>
          <w:szCs w:val="20"/>
          <w:lang w:val="en-GB" w:eastAsia="nl-NL"/>
        </w:rPr>
        <w:br/>
        <w:t>Head International Trade Analysis</w:t>
      </w:r>
      <w:r>
        <w:rPr>
          <w:rFonts w:ascii="Arial" w:hAnsi="Arial" w:cs="Arial"/>
          <w:color w:val="000000"/>
          <w:sz w:val="20"/>
          <w:szCs w:val="20"/>
          <w:lang w:val="en-GB" w:eastAsia="nl-NL"/>
        </w:rPr>
        <w:t xml:space="preserve"> </w:t>
      </w:r>
      <w:r>
        <w:rPr>
          <w:rFonts w:ascii="Arial" w:hAnsi="Arial" w:cs="Arial"/>
          <w:color w:val="1F497D"/>
          <w:sz w:val="20"/>
          <w:szCs w:val="20"/>
          <w:lang w:val="en-GB" w:eastAsia="nl-NL"/>
        </w:rPr>
        <w:t xml:space="preserve">ING </w:t>
      </w:r>
      <w:r>
        <w:rPr>
          <w:rFonts w:ascii="Arial" w:hAnsi="Arial" w:cs="Arial"/>
          <w:color w:val="2F5597"/>
          <w:sz w:val="20"/>
          <w:szCs w:val="20"/>
          <w:lang w:val="en-GB" w:eastAsia="nl-NL"/>
        </w:rPr>
        <w:t xml:space="preserve">Senior </w:t>
      </w:r>
      <w:proofErr w:type="spellStart"/>
      <w:r>
        <w:rPr>
          <w:rFonts w:ascii="Arial" w:hAnsi="Arial" w:cs="Arial"/>
          <w:color w:val="2F5597"/>
          <w:sz w:val="20"/>
          <w:szCs w:val="20"/>
          <w:lang w:val="en-GB" w:eastAsia="nl-NL"/>
        </w:rPr>
        <w:t>Econoom</w:t>
      </w:r>
      <w:proofErr w:type="spellEnd"/>
      <w:r>
        <w:rPr>
          <w:rFonts w:ascii="Arial" w:hAnsi="Arial" w:cs="Arial"/>
          <w:color w:val="2F5597"/>
          <w:sz w:val="20"/>
          <w:szCs w:val="20"/>
          <w:lang w:val="en-GB" w:eastAsia="nl-NL"/>
        </w:rPr>
        <w:t xml:space="preserve"> ING</w:t>
      </w:r>
    </w:p>
    <w:p w:rsidR="007F6F5E" w:rsidP="007F6F5E" w:rsidRDefault="007F6F5E">
      <w:pPr>
        <w:rPr>
          <w:rFonts w:ascii="Arial" w:hAnsi="Arial" w:cs="Arial"/>
          <w:color w:val="333333"/>
          <w:sz w:val="20"/>
          <w:szCs w:val="20"/>
          <w:lang w:val="de-DE" w:eastAsia="nl-NL"/>
        </w:rPr>
      </w:pPr>
    </w:p>
    <w:p w:rsidR="007F6F5E" w:rsidP="007F6F5E" w:rsidRDefault="007F6F5E">
      <w:pPr>
        <w:rPr>
          <w:rFonts w:ascii="Arial" w:hAnsi="Arial" w:cs="Arial"/>
          <w:color w:val="333333"/>
          <w:sz w:val="20"/>
          <w:szCs w:val="20"/>
          <w:lang w:val="de-DE" w:eastAsia="nl-NL"/>
        </w:rPr>
      </w:pPr>
    </w:p>
    <w:p w:rsidR="007F6F5E" w:rsidP="007F6F5E" w:rsidRDefault="007F6F5E">
      <w:pPr>
        <w:rPr>
          <w:rFonts w:ascii="Arial" w:hAnsi="Arial" w:cs="Arial"/>
          <w:color w:val="333333"/>
          <w:sz w:val="20"/>
          <w:szCs w:val="20"/>
          <w:lang w:val="en-GB" w:eastAsia="nl-NL"/>
        </w:rPr>
      </w:pPr>
      <w:r>
        <w:rPr>
          <w:rFonts w:ascii="Arial" w:hAnsi="Arial" w:cs="Arial"/>
          <w:noProof/>
          <w:color w:val="000000"/>
          <w:sz w:val="20"/>
          <w:szCs w:val="20"/>
          <w:lang w:eastAsia="nl-NL"/>
        </w:rPr>
        <w:drawing>
          <wp:inline distT="0" distB="0" distL="0" distR="0" wp14:anchorId="65D19B66" wp14:editId="35437EDB">
            <wp:extent cx="1123950" cy="285750"/>
            <wp:effectExtent l="0" t="0" r="0" b="0"/>
            <wp:docPr id="1" name="Afbeelding 1" descr="ING_Primary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ING_Primary_Logo_RGB"/>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23950" cy="285750"/>
                    </a:xfrm>
                    <a:prstGeom prst="rect">
                      <a:avLst/>
                    </a:prstGeom>
                    <a:noFill/>
                    <a:ln>
                      <a:noFill/>
                    </a:ln>
                  </pic:spPr>
                </pic:pic>
              </a:graphicData>
            </a:graphic>
          </wp:inline>
        </w:drawing>
      </w:r>
    </w:p>
    <w:p w:rsidR="007F6F5E" w:rsidP="007F6F5E" w:rsidRDefault="007F6F5E">
      <w:pPr>
        <w:spacing w:line="240" w:lineRule="exact"/>
        <w:rPr>
          <w:rFonts w:ascii="Arial" w:hAnsi="Arial" w:cs="Arial"/>
          <w:color w:val="333333"/>
          <w:sz w:val="20"/>
          <w:szCs w:val="20"/>
          <w:lang w:val="en-GB" w:eastAsia="nl-NL"/>
        </w:rPr>
      </w:pPr>
    </w:p>
    <w:p w:rsidR="007F6F5E" w:rsidP="007F6F5E" w:rsidRDefault="007F6F5E">
      <w:pPr>
        <w:spacing w:line="216" w:lineRule="exact"/>
        <w:rPr>
          <w:rFonts w:ascii="Arial" w:hAnsi="Arial" w:cs="Arial"/>
          <w:color w:val="000000"/>
          <w:sz w:val="18"/>
          <w:szCs w:val="18"/>
          <w:lang w:val="en-GB" w:eastAsia="nl-NL"/>
        </w:rPr>
      </w:pPr>
      <w:proofErr w:type="spellStart"/>
      <w:r>
        <w:rPr>
          <w:rFonts w:ascii="Arial" w:hAnsi="Arial" w:cs="Arial"/>
          <w:color w:val="000000"/>
          <w:sz w:val="18"/>
          <w:szCs w:val="18"/>
          <w:lang w:val="en-GB" w:eastAsia="nl-NL"/>
        </w:rPr>
        <w:t>Bijlmerdreef</w:t>
      </w:r>
      <w:proofErr w:type="spellEnd"/>
      <w:r>
        <w:rPr>
          <w:rFonts w:ascii="Arial" w:hAnsi="Arial" w:cs="Arial"/>
          <w:color w:val="000000"/>
          <w:sz w:val="18"/>
          <w:szCs w:val="18"/>
          <w:lang w:val="en-GB" w:eastAsia="nl-NL"/>
        </w:rPr>
        <w:t xml:space="preserve"> 24</w:t>
      </w:r>
    </w:p>
    <w:p w:rsidR="007F6F5E" w:rsidP="007F6F5E" w:rsidRDefault="007F6F5E">
      <w:pPr>
        <w:spacing w:line="216" w:lineRule="exact"/>
        <w:rPr>
          <w:rFonts w:ascii="Arial" w:hAnsi="Arial" w:cs="Arial"/>
          <w:color w:val="000000"/>
          <w:sz w:val="18"/>
          <w:szCs w:val="18"/>
          <w:lang w:val="en-GB" w:eastAsia="nl-NL"/>
        </w:rPr>
      </w:pPr>
      <w:r>
        <w:rPr>
          <w:rFonts w:ascii="Arial" w:hAnsi="Arial" w:cs="Arial"/>
          <w:color w:val="000000"/>
          <w:sz w:val="18"/>
          <w:szCs w:val="18"/>
          <w:lang w:val="en-GB" w:eastAsia="nl-NL"/>
        </w:rPr>
        <w:t>Postbus 1800, 1000 BV Amsterdam</w:t>
      </w:r>
    </w:p>
    <w:p w:rsidR="007F6F5E" w:rsidP="007F6F5E" w:rsidRDefault="007F6F5E">
      <w:pPr>
        <w:spacing w:line="216" w:lineRule="exact"/>
        <w:rPr>
          <w:rFonts w:ascii="Arial" w:hAnsi="Arial" w:cs="Arial"/>
          <w:color w:val="333333"/>
          <w:sz w:val="18"/>
          <w:szCs w:val="18"/>
          <w:lang w:val="en-GB" w:eastAsia="nl-NL"/>
        </w:rPr>
      </w:pPr>
      <w:r>
        <w:rPr>
          <w:rFonts w:ascii="Arial" w:hAnsi="Arial" w:cs="Arial"/>
          <w:color w:val="333333"/>
          <w:sz w:val="18"/>
          <w:szCs w:val="18"/>
          <w:lang w:val="en-GB" w:eastAsia="nl-NL"/>
        </w:rPr>
        <w:t xml:space="preserve">Location code </w:t>
      </w:r>
      <w:r>
        <w:rPr>
          <w:rFonts w:ascii="Arial" w:hAnsi="Arial" w:cs="Arial"/>
          <w:color w:val="000000"/>
          <w:sz w:val="18"/>
          <w:szCs w:val="18"/>
          <w:lang w:val="en-GB" w:eastAsia="nl-NL"/>
        </w:rPr>
        <w:t>ACT A 11.054</w:t>
      </w:r>
    </w:p>
    <w:p w:rsidR="007F6F5E" w:rsidP="007F6F5E" w:rsidRDefault="007F6F5E">
      <w:pPr>
        <w:spacing w:line="216" w:lineRule="exact"/>
        <w:rPr>
          <w:rFonts w:ascii="Arial" w:hAnsi="Arial" w:cs="Arial"/>
          <w:color w:val="333333"/>
          <w:sz w:val="20"/>
          <w:szCs w:val="20"/>
          <w:lang w:val="en-GB" w:eastAsia="nl-NL"/>
        </w:rPr>
      </w:pPr>
    </w:p>
    <w:p w:rsidR="007F6F5E" w:rsidP="007F6F5E" w:rsidRDefault="007F6F5E">
      <w:pPr>
        <w:autoSpaceDE w:val="0"/>
        <w:autoSpaceDN w:val="0"/>
        <w:spacing w:line="216" w:lineRule="exact"/>
        <w:rPr>
          <w:rFonts w:ascii="Arial" w:hAnsi="Arial" w:cs="Arial"/>
          <w:color w:val="333333"/>
          <w:sz w:val="18"/>
          <w:szCs w:val="18"/>
          <w:lang w:val="en-GB" w:eastAsia="nl-NL"/>
        </w:rPr>
      </w:pPr>
    </w:p>
    <w:p w:rsidR="007F6F5E" w:rsidP="007F6F5E" w:rsidRDefault="007F6F5E">
      <w:pPr>
        <w:autoSpaceDE w:val="0"/>
        <w:autoSpaceDN w:val="0"/>
        <w:rPr>
          <w:rFonts w:ascii="Arial" w:hAnsi="Arial" w:cs="Arial"/>
          <w:color w:val="303030"/>
          <w:sz w:val="18"/>
          <w:szCs w:val="18"/>
          <w:lang w:eastAsia="nl-NL"/>
        </w:rPr>
      </w:pPr>
      <w:r>
        <w:rPr>
          <w:rFonts w:ascii="Arial" w:hAnsi="Arial" w:cs="Arial"/>
          <w:color w:val="303030"/>
          <w:sz w:val="18"/>
          <w:szCs w:val="18"/>
          <w:lang w:eastAsia="nl-NL"/>
        </w:rPr>
        <w:t>ING Bank N.V. statutair gevestigd te Amsterdam</w:t>
      </w:r>
    </w:p>
    <w:p w:rsidR="007F6F5E" w:rsidP="007F6F5E" w:rsidRDefault="007F6F5E">
      <w:pPr>
        <w:autoSpaceDE w:val="0"/>
        <w:autoSpaceDN w:val="0"/>
        <w:rPr>
          <w:rFonts w:ascii="Arial" w:hAnsi="Arial" w:cs="Arial"/>
          <w:color w:val="303030"/>
          <w:sz w:val="18"/>
          <w:szCs w:val="18"/>
          <w:lang w:eastAsia="nl-NL"/>
        </w:rPr>
      </w:pPr>
      <w:r>
        <w:rPr>
          <w:rFonts w:ascii="Arial" w:hAnsi="Arial" w:cs="Arial"/>
          <w:color w:val="303030"/>
          <w:sz w:val="18"/>
          <w:szCs w:val="18"/>
          <w:lang w:eastAsia="nl-NL"/>
        </w:rPr>
        <w:t>Handelsregister nr. 33031431 Amsterdam</w:t>
      </w:r>
    </w:p>
    <w:p w:rsidR="007F6F5E" w:rsidP="007F6F5E" w:rsidRDefault="007F6F5E">
      <w:pPr>
        <w:rPr>
          <w:rFonts w:ascii="Arial" w:hAnsi="Arial" w:cs="Arial"/>
          <w:color w:val="000000"/>
          <w:sz w:val="20"/>
          <w:szCs w:val="20"/>
        </w:rPr>
      </w:pPr>
    </w:p>
    <w:p w:rsidR="007F6F5E" w:rsidRDefault="007F6F5E"/>
    <w:sectPr w:rsidR="007F6F5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F5E"/>
    <w:rsid w:val="001D292B"/>
    <w:rsid w:val="00433D6E"/>
    <w:rsid w:val="005363C8"/>
    <w:rsid w:val="007F6F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6F5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6F5E"/>
    <w:rPr>
      <w:color w:val="0563C1"/>
      <w:u w:val="single"/>
    </w:rPr>
  </w:style>
  <w:style w:type="paragraph" w:styleId="Lijstalinea">
    <w:name w:val="List Paragraph"/>
    <w:basedOn w:val="Standaard"/>
    <w:uiPriority w:val="34"/>
    <w:qFormat/>
    <w:rsid w:val="007F6F5E"/>
    <w:pPr>
      <w:ind w:left="720"/>
    </w:pPr>
  </w:style>
  <w:style w:type="paragraph" w:styleId="Ballontekst">
    <w:name w:val="Balloon Text"/>
    <w:basedOn w:val="Standaard"/>
    <w:link w:val="BallontekstChar"/>
    <w:rsid w:val="007F6F5E"/>
    <w:rPr>
      <w:rFonts w:ascii="Tahoma" w:hAnsi="Tahoma" w:cs="Tahoma"/>
      <w:sz w:val="16"/>
      <w:szCs w:val="16"/>
    </w:rPr>
  </w:style>
  <w:style w:type="character" w:customStyle="1" w:styleId="BallontekstChar">
    <w:name w:val="Ballontekst Char"/>
    <w:basedOn w:val="Standaardalinea-lettertype"/>
    <w:link w:val="Ballontekst"/>
    <w:rsid w:val="007F6F5E"/>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6F5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6F5E"/>
    <w:rPr>
      <w:color w:val="0563C1"/>
      <w:u w:val="single"/>
    </w:rPr>
  </w:style>
  <w:style w:type="paragraph" w:styleId="Lijstalinea">
    <w:name w:val="List Paragraph"/>
    <w:basedOn w:val="Standaard"/>
    <w:uiPriority w:val="34"/>
    <w:qFormat/>
    <w:rsid w:val="007F6F5E"/>
    <w:pPr>
      <w:ind w:left="720"/>
    </w:pPr>
  </w:style>
  <w:style w:type="paragraph" w:styleId="Ballontekst">
    <w:name w:val="Balloon Text"/>
    <w:basedOn w:val="Standaard"/>
    <w:link w:val="BallontekstChar"/>
    <w:rsid w:val="007F6F5E"/>
    <w:rPr>
      <w:rFonts w:ascii="Tahoma" w:hAnsi="Tahoma" w:cs="Tahoma"/>
      <w:sz w:val="16"/>
      <w:szCs w:val="16"/>
    </w:rPr>
  </w:style>
  <w:style w:type="character" w:customStyle="1" w:styleId="BallontekstChar">
    <w:name w:val="Ballontekst Char"/>
    <w:basedOn w:val="Standaardalinea-lettertype"/>
    <w:link w:val="Ballontekst"/>
    <w:rsid w:val="007F6F5E"/>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36262">
      <w:bodyDiv w:val="1"/>
      <w:marLeft w:val="0"/>
      <w:marRight w:val="0"/>
      <w:marTop w:val="0"/>
      <w:marBottom w:val="0"/>
      <w:divBdr>
        <w:top w:val="none" w:sz="0" w:space="0" w:color="auto"/>
        <w:left w:val="none" w:sz="0" w:space="0" w:color="auto"/>
        <w:bottom w:val="none" w:sz="0" w:space="0" w:color="auto"/>
        <w:right w:val="none" w:sz="0" w:space="0" w:color="auto"/>
      </w:divBdr>
    </w:div>
    <w:div w:id="62739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ettings" Target="settings.xml" Id="rId3" /><Relationship Type="http://schemas.openxmlformats.org/officeDocument/2006/relationships/hyperlink" Target="https://www.ing.nl/media/ING%20-%20Amsterdam%20goed%20gepositioneerd%20als%20alternatief%20bij%20een%20Brexit%20-%20juni%202016_tcm162-106308.pdf"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ingwb.com/insights/research/brexit-stops-recovery-of-foreign-direct-investment-into-europe" TargetMode="External" Id="rId6" /><Relationship Type="http://schemas.openxmlformats.org/officeDocument/2006/relationships/theme" Target="theme/theme1.xml" Id="rId11" /><Relationship Type="http://schemas.openxmlformats.org/officeDocument/2006/relationships/hyperlink" Target="https://www.ing.nl/media/ING_EBZ_%20de-%20brexit-impact-per-provincie_tcm162-125712.pdf"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cid:image001.png@01D2D92F.87741DF0"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421</ap:Words>
  <ap:Characters>2670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2017-05-30T13:04:00.0000000Z</dcterms:created>
  <dcterms:modified xsi:type="dcterms:W3CDTF">2017-05-30T13:05:00.0000000Z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0x010100AD643FB3CFFAF74DB42B117B21EF1F6D</vt:lpwstr>
  </property>
</Properties>
</file>