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CC2554" w:rsidR="00277A87" w:rsidP="00CC2554" w:rsidRDefault="00277A87">
      <w:pPr>
        <w:spacing w:line="360" w:lineRule="auto"/>
        <w:jc w:val="both"/>
        <w:rPr>
          <w:b/>
          <w:szCs w:val="18"/>
        </w:rPr>
      </w:pPr>
      <w:bookmarkStart w:name="_GoBack" w:id="0"/>
      <w:bookmarkEnd w:id="0"/>
      <w:r w:rsidRPr="00CC2554">
        <w:rPr>
          <w:b/>
          <w:szCs w:val="18"/>
        </w:rPr>
        <w:t xml:space="preserve">Geannoteerde agenda t.b.v. de Eurogroep en </w:t>
      </w:r>
      <w:r w:rsidR="002D5AE4">
        <w:rPr>
          <w:b/>
          <w:szCs w:val="18"/>
        </w:rPr>
        <w:t xml:space="preserve">informele </w:t>
      </w:r>
      <w:proofErr w:type="spellStart"/>
      <w:r w:rsidRPr="00CC2554">
        <w:rPr>
          <w:b/>
          <w:szCs w:val="18"/>
        </w:rPr>
        <w:t>Ecofinraad</w:t>
      </w:r>
      <w:proofErr w:type="spellEnd"/>
      <w:r w:rsidRPr="00CC2554">
        <w:rPr>
          <w:b/>
          <w:szCs w:val="18"/>
        </w:rPr>
        <w:t xml:space="preserve"> van </w:t>
      </w:r>
      <w:r w:rsidR="002D5AE4">
        <w:rPr>
          <w:b/>
          <w:szCs w:val="18"/>
        </w:rPr>
        <w:t>7</w:t>
      </w:r>
      <w:r w:rsidRPr="00CC2554">
        <w:rPr>
          <w:b/>
          <w:szCs w:val="18"/>
        </w:rPr>
        <w:t xml:space="preserve"> en </w:t>
      </w:r>
      <w:r w:rsidR="002D5AE4">
        <w:rPr>
          <w:b/>
          <w:szCs w:val="18"/>
        </w:rPr>
        <w:t>8</w:t>
      </w:r>
      <w:r w:rsidRPr="00CC2554">
        <w:rPr>
          <w:b/>
          <w:szCs w:val="18"/>
        </w:rPr>
        <w:t xml:space="preserve"> </w:t>
      </w:r>
      <w:r w:rsidR="002D5AE4">
        <w:rPr>
          <w:b/>
          <w:szCs w:val="18"/>
        </w:rPr>
        <w:t>april</w:t>
      </w:r>
      <w:r w:rsidRPr="00CC2554">
        <w:rPr>
          <w:b/>
          <w:szCs w:val="18"/>
        </w:rPr>
        <w:t xml:space="preserve"> 2017 te </w:t>
      </w:r>
      <w:r w:rsidR="002D5AE4">
        <w:rPr>
          <w:b/>
          <w:szCs w:val="18"/>
        </w:rPr>
        <w:t>Malta</w:t>
      </w:r>
    </w:p>
    <w:p w:rsidRPr="00CC2554" w:rsidR="006259A7" w:rsidP="00CC2554" w:rsidRDefault="00277A87">
      <w:pPr>
        <w:spacing w:line="360" w:lineRule="auto"/>
        <w:jc w:val="both"/>
        <w:rPr>
          <w:b/>
          <w:szCs w:val="18"/>
          <w:u w:val="single"/>
        </w:rPr>
      </w:pPr>
      <w:r w:rsidRPr="00CC2554">
        <w:rPr>
          <w:b/>
          <w:szCs w:val="18"/>
          <w:u w:val="single"/>
        </w:rPr>
        <w:t>Eurogroep</w:t>
      </w:r>
      <w:r w:rsidR="00F240DB">
        <w:rPr>
          <w:b/>
          <w:szCs w:val="18"/>
          <w:u w:val="single"/>
        </w:rPr>
        <w:t xml:space="preserve"> 7 april</w:t>
      </w:r>
    </w:p>
    <w:p w:rsidRPr="003730E2" w:rsidR="003C601A" w:rsidP="00CC2554" w:rsidRDefault="008C54D8">
      <w:pPr>
        <w:spacing w:line="360" w:lineRule="auto"/>
        <w:jc w:val="both"/>
        <w:rPr>
          <w:b/>
          <w:szCs w:val="18"/>
        </w:rPr>
      </w:pPr>
      <w:r w:rsidRPr="008C54D8">
        <w:rPr>
          <w:b/>
          <w:szCs w:val="18"/>
        </w:rPr>
        <w:t>Griekenland</w:t>
      </w:r>
    </w:p>
    <w:p w:rsidRPr="002D5AE4" w:rsidR="002D5AE4" w:rsidP="002D5AE4" w:rsidRDefault="002D5AE4">
      <w:pPr>
        <w:spacing w:after="0" w:line="360" w:lineRule="auto"/>
        <w:contextualSpacing/>
        <w:jc w:val="both"/>
        <w:rPr>
          <w:rFonts w:eastAsia="Calibri" w:cs="Times New Roman"/>
          <w:szCs w:val="18"/>
        </w:rPr>
      </w:pPr>
      <w:r w:rsidRPr="002D5AE4">
        <w:rPr>
          <w:rFonts w:eastAsia="Calibri" w:cs="Times New Roman"/>
          <w:b/>
          <w:bCs/>
          <w:szCs w:val="18"/>
        </w:rPr>
        <w:t xml:space="preserve">Document: </w:t>
      </w:r>
      <w:r w:rsidRPr="002D5AE4">
        <w:rPr>
          <w:rFonts w:eastAsia="Calibri" w:cs="Times New Roman"/>
          <w:bCs/>
          <w:szCs w:val="18"/>
        </w:rPr>
        <w:t>n.v.t.</w:t>
      </w:r>
    </w:p>
    <w:p w:rsidRPr="002D5AE4" w:rsidR="002D5AE4" w:rsidP="002D5AE4" w:rsidRDefault="002D5AE4">
      <w:pPr>
        <w:spacing w:after="0" w:line="360" w:lineRule="auto"/>
        <w:contextualSpacing/>
        <w:jc w:val="both"/>
        <w:rPr>
          <w:rFonts w:eastAsia="Calibri" w:cs="Times New Roman"/>
          <w:szCs w:val="18"/>
        </w:rPr>
      </w:pPr>
      <w:r w:rsidRPr="002D5AE4">
        <w:rPr>
          <w:rFonts w:eastAsia="Calibri" w:cs="Times New Roman"/>
          <w:b/>
          <w:bCs/>
          <w:szCs w:val="18"/>
        </w:rPr>
        <w:t xml:space="preserve">Aard bespreking: </w:t>
      </w:r>
      <w:r w:rsidRPr="002D5AE4">
        <w:rPr>
          <w:rFonts w:eastAsia="Calibri" w:cs="Times New Roman"/>
          <w:bCs/>
          <w:szCs w:val="18"/>
        </w:rPr>
        <w:t>Gedachtewisseling</w:t>
      </w:r>
    </w:p>
    <w:p w:rsidRPr="002D5AE4" w:rsidR="002D5AE4" w:rsidP="002D5AE4" w:rsidRDefault="002D5AE4">
      <w:pPr>
        <w:spacing w:after="0" w:line="360" w:lineRule="auto"/>
        <w:contextualSpacing/>
        <w:jc w:val="both"/>
        <w:rPr>
          <w:rFonts w:eastAsia="Calibri" w:cs="Times New Roman"/>
          <w:bCs/>
          <w:szCs w:val="18"/>
        </w:rPr>
      </w:pPr>
      <w:r w:rsidRPr="002D5AE4">
        <w:rPr>
          <w:rFonts w:eastAsia="Calibri" w:cs="Times New Roman"/>
          <w:b/>
          <w:bCs/>
          <w:szCs w:val="18"/>
        </w:rPr>
        <w:t xml:space="preserve">Besluitvormingsprocedure: </w:t>
      </w:r>
      <w:r w:rsidRPr="002D5AE4">
        <w:rPr>
          <w:rFonts w:eastAsia="Calibri" w:cs="Times New Roman"/>
          <w:bCs/>
          <w:szCs w:val="18"/>
        </w:rPr>
        <w:t>n.v.t.</w:t>
      </w:r>
    </w:p>
    <w:p w:rsidRPr="002D5AE4" w:rsidR="002D5AE4" w:rsidP="002D5AE4" w:rsidRDefault="002D5AE4">
      <w:pPr>
        <w:spacing w:after="0" w:line="360" w:lineRule="auto"/>
        <w:contextualSpacing/>
        <w:jc w:val="both"/>
        <w:rPr>
          <w:rFonts w:eastAsia="Calibri" w:cs="Times New Roman"/>
          <w:bCs/>
          <w:szCs w:val="18"/>
        </w:rPr>
      </w:pPr>
      <w:r w:rsidRPr="002D5AE4">
        <w:rPr>
          <w:rFonts w:eastAsia="Calibri" w:cs="Times New Roman"/>
          <w:b/>
          <w:bCs/>
          <w:szCs w:val="18"/>
        </w:rPr>
        <w:t>Toelichting:</w:t>
      </w:r>
    </w:p>
    <w:p w:rsidR="002D5AE4" w:rsidP="002D5AE4" w:rsidRDefault="002D5AE4">
      <w:pPr>
        <w:widowControl w:val="0"/>
        <w:suppressAutoHyphens/>
        <w:spacing w:after="0" w:line="360" w:lineRule="auto"/>
        <w:jc w:val="both"/>
        <w:rPr>
          <w:rFonts w:eastAsia="Calibri" w:cs="Times New Roman"/>
          <w:szCs w:val="18"/>
          <w:lang w:eastAsia="nl-NL"/>
        </w:rPr>
      </w:pPr>
      <w:r w:rsidRPr="002D5AE4">
        <w:rPr>
          <w:rFonts w:eastAsia="Calibri" w:cs="Times New Roman"/>
          <w:szCs w:val="18"/>
          <w:lang w:eastAsia="nl-NL"/>
        </w:rPr>
        <w:t>De instellingen (Commissie, ECB, IMF, ESM) en Griekenland zullen in de Eurogroep een toelichting geven bij de voortgang van het Griekse programma. Er wordt o.a. gesproken over de invulling en timing van hervormingen en over groeibevorderende maatregelen die ingezet kunnen worden als er structurele budgettaire ruimte is boven de programmadoelstellingen voor het primair begrotingssaldo. Bij de Eurogroep van 5 december</w:t>
      </w:r>
      <w:r w:rsidR="00DF05D1">
        <w:rPr>
          <w:rFonts w:eastAsia="Calibri" w:cs="Times New Roman"/>
          <w:szCs w:val="18"/>
          <w:lang w:eastAsia="nl-NL"/>
        </w:rPr>
        <w:t xml:space="preserve"> 2016</w:t>
      </w:r>
      <w:r w:rsidRPr="002D5AE4">
        <w:rPr>
          <w:rFonts w:eastAsia="Calibri" w:cs="Times New Roman"/>
          <w:szCs w:val="18"/>
          <w:lang w:eastAsia="nl-NL"/>
        </w:rPr>
        <w:t xml:space="preserve"> heeft het IMF bevestigd dat het een mogelijk programma voor Griekenland aan zijn raad van bestuur voor zal leggen, nadat overeenkomst is bereikt over afronding van de tweede voortgangsmissie en in lijn met het bestaande beleid van het IMF. </w:t>
      </w:r>
    </w:p>
    <w:p w:rsidR="002D5AE4" w:rsidP="002D5AE4" w:rsidRDefault="002D5AE4">
      <w:pPr>
        <w:widowControl w:val="0"/>
        <w:suppressAutoHyphens/>
        <w:spacing w:after="0" w:line="360" w:lineRule="auto"/>
        <w:jc w:val="both"/>
        <w:rPr>
          <w:rFonts w:eastAsia="Calibri" w:cs="Times New Roman"/>
          <w:szCs w:val="18"/>
          <w:lang w:eastAsia="nl-NL"/>
        </w:rPr>
      </w:pPr>
    </w:p>
    <w:p w:rsidRPr="003C0823" w:rsidR="007E3799" w:rsidP="007E3799" w:rsidRDefault="007E3799">
      <w:pPr>
        <w:spacing w:line="360" w:lineRule="auto"/>
        <w:rPr>
          <w:b/>
          <w:bCs/>
        </w:rPr>
      </w:pPr>
      <w:r w:rsidRPr="000B7908">
        <w:rPr>
          <w:b/>
          <w:bCs/>
        </w:rPr>
        <w:t>Thematische discussie over investeringen</w:t>
      </w:r>
    </w:p>
    <w:p w:rsidRPr="008C4F88" w:rsidR="007E3799" w:rsidP="007E3799" w:rsidRDefault="007E3799">
      <w:pPr>
        <w:pStyle w:val="Plattetekst"/>
        <w:spacing w:after="0" w:line="360" w:lineRule="auto"/>
        <w:jc w:val="both"/>
        <w:rPr>
          <w:rFonts w:ascii="Verdana" w:hAnsi="Verdana" w:cs="Arial"/>
          <w:sz w:val="18"/>
          <w:szCs w:val="18"/>
        </w:rPr>
      </w:pPr>
      <w:r w:rsidRPr="008C4F88">
        <w:rPr>
          <w:rFonts w:ascii="Verdana" w:hAnsi="Verdana" w:cs="Arial"/>
          <w:b/>
          <w:bCs/>
          <w:sz w:val="18"/>
          <w:szCs w:val="18"/>
        </w:rPr>
        <w:t xml:space="preserve">Document: </w:t>
      </w:r>
      <w:r>
        <w:rPr>
          <w:rFonts w:ascii="Verdana" w:hAnsi="Verdana" w:cs="Arial"/>
          <w:bCs/>
          <w:sz w:val="18"/>
          <w:szCs w:val="18"/>
        </w:rPr>
        <w:t>niet openbaar</w:t>
      </w:r>
    </w:p>
    <w:p w:rsidRPr="008C4F88" w:rsidR="007E3799" w:rsidP="007E3799" w:rsidRDefault="007E3799">
      <w:pPr>
        <w:pStyle w:val="Plattetekst"/>
        <w:spacing w:after="0" w:line="360" w:lineRule="auto"/>
        <w:jc w:val="both"/>
        <w:rPr>
          <w:rFonts w:ascii="Verdana" w:hAnsi="Verdana" w:cs="Arial"/>
          <w:sz w:val="18"/>
          <w:szCs w:val="18"/>
        </w:rPr>
      </w:pPr>
      <w:r w:rsidRPr="008C4F88">
        <w:rPr>
          <w:rFonts w:ascii="Verdana" w:hAnsi="Verdana" w:cs="Arial"/>
          <w:b/>
          <w:bCs/>
          <w:sz w:val="18"/>
          <w:szCs w:val="18"/>
        </w:rPr>
        <w:t xml:space="preserve">Aard bespreking: </w:t>
      </w:r>
      <w:r>
        <w:rPr>
          <w:rFonts w:ascii="Verdana" w:hAnsi="Verdana" w:cs="Arial"/>
          <w:bCs/>
          <w:sz w:val="18"/>
          <w:szCs w:val="18"/>
        </w:rPr>
        <w:t>Gedachtewisseling</w:t>
      </w:r>
    </w:p>
    <w:p w:rsidRPr="003D6065" w:rsidR="007E3799" w:rsidP="007E3799" w:rsidRDefault="007E3799">
      <w:pPr>
        <w:pStyle w:val="Plattetekst"/>
        <w:spacing w:after="0" w:line="360" w:lineRule="auto"/>
        <w:jc w:val="both"/>
        <w:rPr>
          <w:rFonts w:ascii="Verdana" w:hAnsi="Verdana" w:cs="Arial"/>
          <w:bCs/>
          <w:sz w:val="18"/>
          <w:szCs w:val="18"/>
        </w:rPr>
      </w:pPr>
      <w:r w:rsidRPr="008C4F88">
        <w:rPr>
          <w:rFonts w:ascii="Verdana" w:hAnsi="Verdana" w:cs="Arial"/>
          <w:b/>
          <w:bCs/>
          <w:sz w:val="18"/>
          <w:szCs w:val="18"/>
        </w:rPr>
        <w:t xml:space="preserve">Besluitvormingsprocedure: </w:t>
      </w:r>
      <w:r>
        <w:rPr>
          <w:rFonts w:ascii="Verdana" w:hAnsi="Verdana" w:cs="Arial"/>
          <w:bCs/>
          <w:sz w:val="18"/>
          <w:szCs w:val="18"/>
        </w:rPr>
        <w:t xml:space="preserve">n.v.t. </w:t>
      </w:r>
    </w:p>
    <w:p w:rsidRPr="008C4F88" w:rsidR="007E3799" w:rsidP="007E3799" w:rsidRDefault="007E3799">
      <w:pPr>
        <w:pStyle w:val="Plattetekst"/>
        <w:spacing w:after="0" w:line="360" w:lineRule="auto"/>
        <w:jc w:val="both"/>
        <w:rPr>
          <w:rFonts w:ascii="Verdana" w:hAnsi="Verdana"/>
          <w:bCs/>
          <w:sz w:val="18"/>
          <w:szCs w:val="18"/>
        </w:rPr>
      </w:pPr>
      <w:r w:rsidRPr="008C4F88">
        <w:rPr>
          <w:rFonts w:ascii="Verdana" w:hAnsi="Verdana" w:eastAsia="Calibri" w:cs="Arial"/>
          <w:b/>
          <w:bCs/>
          <w:sz w:val="18"/>
          <w:szCs w:val="18"/>
        </w:rPr>
        <w:t>Toelichting:</w:t>
      </w:r>
    </w:p>
    <w:p w:rsidR="007E3799" w:rsidP="007E3799" w:rsidRDefault="007E3799">
      <w:pPr>
        <w:spacing w:line="360" w:lineRule="auto"/>
        <w:jc w:val="both"/>
        <w:rPr>
          <w:rFonts w:cs="Arial"/>
          <w:b/>
        </w:rPr>
      </w:pPr>
      <w:r w:rsidRPr="0002498B">
        <w:rPr>
          <w:rFonts w:cs="Arial"/>
        </w:rPr>
        <w:t>De Eurogroep zal een brede discussie houden over investeringen, waarbij de insteek is om ‘</w:t>
      </w:r>
      <w:proofErr w:type="spellStart"/>
      <w:r w:rsidRPr="0002498B">
        <w:rPr>
          <w:rFonts w:cs="Arial"/>
          <w:i/>
        </w:rPr>
        <w:t>common</w:t>
      </w:r>
      <w:proofErr w:type="spellEnd"/>
      <w:r w:rsidRPr="0002498B">
        <w:rPr>
          <w:rFonts w:cs="Arial"/>
          <w:i/>
        </w:rPr>
        <w:t xml:space="preserve"> </w:t>
      </w:r>
      <w:proofErr w:type="spellStart"/>
      <w:r w:rsidRPr="0002498B">
        <w:rPr>
          <w:rFonts w:cs="Arial"/>
          <w:i/>
        </w:rPr>
        <w:t>principles</w:t>
      </w:r>
      <w:proofErr w:type="spellEnd"/>
      <w:r w:rsidRPr="0002498B">
        <w:rPr>
          <w:rFonts w:cs="Arial"/>
          <w:i/>
        </w:rPr>
        <w:t xml:space="preserve">’ </w:t>
      </w:r>
      <w:r w:rsidRPr="00A2589E">
        <w:rPr>
          <w:rFonts w:cs="Arial"/>
        </w:rPr>
        <w:t xml:space="preserve">aan te nemen. Deze discussie vloeit voort uit een eerste verkennende discussie over investeringen in de Eurogroep in juli 2016. Destijds heeft de Eurogroep geconcludeerd dat in het kader van dit thema verder zou worden gekeken naar drie kerngebieden </w:t>
      </w:r>
      <w:r>
        <w:rPr>
          <w:rFonts w:cs="Arial"/>
        </w:rPr>
        <w:t xml:space="preserve">die </w:t>
      </w:r>
      <w:r w:rsidRPr="0002498B">
        <w:rPr>
          <w:rFonts w:cs="Arial"/>
        </w:rPr>
        <w:t xml:space="preserve">relevant </w:t>
      </w:r>
      <w:r>
        <w:rPr>
          <w:rFonts w:cs="Arial"/>
        </w:rPr>
        <w:t xml:space="preserve">zijn </w:t>
      </w:r>
      <w:r w:rsidRPr="0002498B">
        <w:rPr>
          <w:rFonts w:cs="Arial"/>
        </w:rPr>
        <w:t xml:space="preserve">voor investeringen: i) </w:t>
      </w:r>
      <w:r w:rsidR="006F1533">
        <w:rPr>
          <w:rFonts w:cs="Arial"/>
        </w:rPr>
        <w:t>efficiëntie</w:t>
      </w:r>
      <w:r w:rsidRPr="0002498B">
        <w:rPr>
          <w:rFonts w:cs="Arial"/>
        </w:rPr>
        <w:t xml:space="preserve"> van publieke dienstverlening, </w:t>
      </w:r>
      <w:proofErr w:type="spellStart"/>
      <w:r w:rsidRPr="0002498B">
        <w:rPr>
          <w:rFonts w:cs="Arial"/>
        </w:rPr>
        <w:t>ii</w:t>
      </w:r>
      <w:proofErr w:type="spellEnd"/>
      <w:r w:rsidRPr="0002498B">
        <w:rPr>
          <w:rFonts w:cs="Arial"/>
        </w:rPr>
        <w:t xml:space="preserve">) ondernemingsklimaat en </w:t>
      </w:r>
      <w:proofErr w:type="spellStart"/>
      <w:r w:rsidRPr="0002498B">
        <w:rPr>
          <w:rFonts w:cs="Arial"/>
        </w:rPr>
        <w:t>iii</w:t>
      </w:r>
      <w:proofErr w:type="spellEnd"/>
      <w:r w:rsidRPr="0002498B">
        <w:rPr>
          <w:rFonts w:cs="Arial"/>
        </w:rPr>
        <w:t xml:space="preserve">) </w:t>
      </w:r>
      <w:proofErr w:type="spellStart"/>
      <w:r w:rsidRPr="0002498B">
        <w:rPr>
          <w:rFonts w:cs="Arial"/>
        </w:rPr>
        <w:t>sector-specifieke</w:t>
      </w:r>
      <w:proofErr w:type="spellEnd"/>
      <w:r w:rsidRPr="0002498B">
        <w:rPr>
          <w:rFonts w:cs="Arial"/>
        </w:rPr>
        <w:t xml:space="preserve"> knelpunten. Over ondernemingsklimaat is in februari 2017 een aparte discussie geweest</w:t>
      </w:r>
      <w:r>
        <w:rPr>
          <w:rFonts w:cs="Arial"/>
        </w:rPr>
        <w:t xml:space="preserve">. </w:t>
      </w:r>
    </w:p>
    <w:p w:rsidR="007E3799" w:rsidP="007E3799" w:rsidRDefault="007E3799">
      <w:pPr>
        <w:spacing w:line="360" w:lineRule="auto"/>
        <w:jc w:val="both"/>
        <w:rPr>
          <w:rFonts w:cs="Arial"/>
        </w:rPr>
      </w:pPr>
      <w:r w:rsidRPr="003D6065">
        <w:rPr>
          <w:rFonts w:cs="Arial"/>
        </w:rPr>
        <w:t>Het ondernemingsklimaat zal mee worden genomen in de ‘</w:t>
      </w:r>
      <w:proofErr w:type="spellStart"/>
      <w:r w:rsidRPr="003D6065">
        <w:rPr>
          <w:rFonts w:cs="Arial"/>
          <w:i/>
        </w:rPr>
        <w:t>common</w:t>
      </w:r>
      <w:proofErr w:type="spellEnd"/>
      <w:r w:rsidRPr="003D6065">
        <w:rPr>
          <w:rFonts w:cs="Arial"/>
          <w:i/>
        </w:rPr>
        <w:t xml:space="preserve"> </w:t>
      </w:r>
      <w:proofErr w:type="spellStart"/>
      <w:r w:rsidRPr="003D6065">
        <w:rPr>
          <w:rFonts w:cs="Arial"/>
          <w:i/>
        </w:rPr>
        <w:t>principles</w:t>
      </w:r>
      <w:proofErr w:type="spellEnd"/>
      <w:r w:rsidRPr="003D6065">
        <w:rPr>
          <w:rFonts w:cs="Arial"/>
          <w:i/>
        </w:rPr>
        <w:t>’</w:t>
      </w:r>
      <w:r w:rsidRPr="003D6065">
        <w:rPr>
          <w:rFonts w:cs="Arial"/>
        </w:rPr>
        <w:t xml:space="preserve">. Bij het schrijven van deze </w:t>
      </w:r>
      <w:r w:rsidR="00587D49">
        <w:rPr>
          <w:rFonts w:cs="Arial"/>
        </w:rPr>
        <w:t>agenda</w:t>
      </w:r>
      <w:r w:rsidRPr="003D6065">
        <w:rPr>
          <w:rFonts w:cs="Arial"/>
        </w:rPr>
        <w:t xml:space="preserve"> waren deze ‘</w:t>
      </w:r>
      <w:proofErr w:type="spellStart"/>
      <w:r w:rsidRPr="003D6065">
        <w:rPr>
          <w:rFonts w:cs="Arial"/>
          <w:i/>
        </w:rPr>
        <w:t>common</w:t>
      </w:r>
      <w:proofErr w:type="spellEnd"/>
      <w:r w:rsidRPr="003D6065">
        <w:rPr>
          <w:rFonts w:cs="Arial"/>
          <w:i/>
        </w:rPr>
        <w:t xml:space="preserve"> </w:t>
      </w:r>
      <w:proofErr w:type="spellStart"/>
      <w:r w:rsidRPr="003D6065">
        <w:rPr>
          <w:rFonts w:cs="Arial"/>
          <w:i/>
        </w:rPr>
        <w:t>principles</w:t>
      </w:r>
      <w:proofErr w:type="spellEnd"/>
      <w:r w:rsidRPr="003D6065">
        <w:rPr>
          <w:rFonts w:cs="Arial"/>
        </w:rPr>
        <w:t xml:space="preserve">’ nog niet gedeeld met de lidstaten. </w:t>
      </w:r>
      <w:r>
        <w:rPr>
          <w:rFonts w:cs="Arial"/>
        </w:rPr>
        <w:t xml:space="preserve">De insteek van Nederland is dat de </w:t>
      </w:r>
      <w:proofErr w:type="spellStart"/>
      <w:r>
        <w:rPr>
          <w:rFonts w:cs="Arial"/>
        </w:rPr>
        <w:t>common</w:t>
      </w:r>
      <w:proofErr w:type="spellEnd"/>
      <w:r>
        <w:rPr>
          <w:rFonts w:cs="Arial"/>
        </w:rPr>
        <w:t xml:space="preserve"> </w:t>
      </w:r>
      <w:proofErr w:type="spellStart"/>
      <w:r>
        <w:rPr>
          <w:rFonts w:cs="Arial"/>
        </w:rPr>
        <w:t>principles</w:t>
      </w:r>
      <w:proofErr w:type="spellEnd"/>
      <w:r>
        <w:rPr>
          <w:rFonts w:cs="Arial"/>
        </w:rPr>
        <w:t xml:space="preserve"> zich met name richten op de drie kerngebieden die eerder zijn aangewezen in Eurozone. </w:t>
      </w:r>
    </w:p>
    <w:p w:rsidRPr="003C0823" w:rsidR="007E3799" w:rsidP="007E3799" w:rsidRDefault="007E3799">
      <w:pPr>
        <w:spacing w:line="360" w:lineRule="auto"/>
        <w:jc w:val="both"/>
        <w:rPr>
          <w:rFonts w:cs="Arial"/>
        </w:rPr>
      </w:pPr>
      <w:r w:rsidRPr="003D6065">
        <w:rPr>
          <w:rFonts w:cs="Arial"/>
        </w:rPr>
        <w:t>In het algemeen verwelkomt Nederland deze thematische discussie over investeringen. Nederland hecht in het bijzonder aan een gezond investeringsklimaat. Eurolidstaten hebben door de bank genomen een minder gunstig ondernem</w:t>
      </w:r>
      <w:r w:rsidR="006F1533">
        <w:rPr>
          <w:rFonts w:cs="Arial"/>
        </w:rPr>
        <w:t>ing</w:t>
      </w:r>
      <w:r w:rsidRPr="003D6065">
        <w:rPr>
          <w:rFonts w:cs="Arial"/>
        </w:rPr>
        <w:t xml:space="preserve">sklimaat dan de best presterende lidstaten in de EU buiten de Eurozone, zoals Denemarken, Zweden en het Verenigd Koninkrijk. Ook is </w:t>
      </w:r>
      <w:r>
        <w:rPr>
          <w:rFonts w:cs="Arial"/>
        </w:rPr>
        <w:t xml:space="preserve">er </w:t>
      </w:r>
      <w:r w:rsidRPr="003D6065">
        <w:rPr>
          <w:rFonts w:cs="Arial"/>
        </w:rPr>
        <w:t>een duidelijk</w:t>
      </w:r>
      <w:r>
        <w:rPr>
          <w:rFonts w:cs="Arial"/>
        </w:rPr>
        <w:t>e</w:t>
      </w:r>
      <w:r w:rsidRPr="003D6065">
        <w:rPr>
          <w:rFonts w:cs="Arial"/>
        </w:rPr>
        <w:t xml:space="preserve"> link tussen het ondernem</w:t>
      </w:r>
      <w:r w:rsidR="006F1533">
        <w:rPr>
          <w:rFonts w:cs="Arial"/>
        </w:rPr>
        <w:t>ing</w:t>
      </w:r>
      <w:r w:rsidRPr="003D6065">
        <w:rPr>
          <w:rFonts w:cs="Arial"/>
        </w:rPr>
        <w:t xml:space="preserve">sklimaat en het risico op en de impact van economische schokken. Het vergroten van </w:t>
      </w:r>
      <w:r w:rsidR="006F1533">
        <w:rPr>
          <w:rFonts w:cs="Arial"/>
        </w:rPr>
        <w:t xml:space="preserve">het </w:t>
      </w:r>
      <w:r w:rsidRPr="003D6065">
        <w:rPr>
          <w:rFonts w:cs="Arial"/>
        </w:rPr>
        <w:t>aanpassingsvermogen na een economische schok is des te meer van belang in een muntunie, vanwege het ontbreken van het wisselkoerskanaal.</w:t>
      </w:r>
    </w:p>
    <w:p w:rsidR="007E3799" w:rsidP="007E3799" w:rsidRDefault="007E3799">
      <w:pPr>
        <w:spacing w:line="360" w:lineRule="auto"/>
        <w:rPr>
          <w:b/>
          <w:bCs/>
        </w:rPr>
      </w:pPr>
      <w:r>
        <w:rPr>
          <w:b/>
          <w:bCs/>
        </w:rPr>
        <w:lastRenderedPageBreak/>
        <w:t xml:space="preserve">Cyprus – tweede </w:t>
      </w:r>
      <w:proofErr w:type="spellStart"/>
      <w:r>
        <w:rPr>
          <w:b/>
          <w:bCs/>
        </w:rPr>
        <w:t>post-programma</w:t>
      </w:r>
      <w:proofErr w:type="spellEnd"/>
      <w:r>
        <w:rPr>
          <w:b/>
          <w:bCs/>
        </w:rPr>
        <w:t xml:space="preserve"> surveillancemissie </w:t>
      </w:r>
    </w:p>
    <w:p w:rsidRPr="007E3799" w:rsidR="007E3799" w:rsidP="007E3799" w:rsidRDefault="007E3799">
      <w:pPr>
        <w:spacing w:after="0" w:line="360" w:lineRule="auto"/>
      </w:pPr>
      <w:r w:rsidRPr="007E3799">
        <w:rPr>
          <w:b/>
          <w:bCs/>
        </w:rPr>
        <w:t xml:space="preserve">Document: </w:t>
      </w:r>
      <w:r w:rsidR="00F5506B">
        <w:t>n.v.t.</w:t>
      </w:r>
    </w:p>
    <w:p w:rsidR="007E3799" w:rsidP="007E3799" w:rsidRDefault="007E3799">
      <w:pPr>
        <w:spacing w:after="0" w:line="360" w:lineRule="auto"/>
      </w:pPr>
      <w:r>
        <w:rPr>
          <w:b/>
          <w:bCs/>
        </w:rPr>
        <w:t xml:space="preserve">Aard bespreking: </w:t>
      </w:r>
      <w:r>
        <w:t xml:space="preserve">Gedachtewisseling </w:t>
      </w:r>
    </w:p>
    <w:p w:rsidR="007E3799" w:rsidP="007E3799" w:rsidRDefault="007E3799">
      <w:pPr>
        <w:spacing w:after="0" w:line="360" w:lineRule="auto"/>
      </w:pPr>
      <w:r>
        <w:rPr>
          <w:b/>
          <w:bCs/>
        </w:rPr>
        <w:t xml:space="preserve">Besluitvormingsprocedure: </w:t>
      </w:r>
      <w:r>
        <w:t>n.v.t.</w:t>
      </w:r>
    </w:p>
    <w:p w:rsidR="007E3799" w:rsidP="007E3799" w:rsidRDefault="007E3799">
      <w:pPr>
        <w:spacing w:after="0" w:line="360" w:lineRule="auto"/>
      </w:pPr>
      <w:r>
        <w:rPr>
          <w:b/>
          <w:bCs/>
        </w:rPr>
        <w:t>Toelichting:</w:t>
      </w:r>
    </w:p>
    <w:p w:rsidRPr="007E3799" w:rsidR="007E3799" w:rsidP="007E3799" w:rsidRDefault="007E3799">
      <w:pPr>
        <w:spacing w:line="360" w:lineRule="auto"/>
        <w:jc w:val="both"/>
      </w:pPr>
      <w:r>
        <w:t xml:space="preserve">De Europese Commissie en de ECB zullen mondeling terugkoppelen over de tweede </w:t>
      </w:r>
      <w:proofErr w:type="spellStart"/>
      <w:r>
        <w:t>post-programma</w:t>
      </w:r>
      <w:proofErr w:type="spellEnd"/>
      <w:r>
        <w:t xml:space="preserve"> </w:t>
      </w:r>
      <w:r w:rsidR="007A6D6E">
        <w:t>surveillancemissie</w:t>
      </w:r>
      <w:r>
        <w:t xml:space="preserve"> in Cyprus, die vermoedelijk in de week van 27 maart zal starten. Cyprus verliet in maart 2016 het leningenprogramma van het ESM en het IMF. Naar verwachting zal de missie zich onder meer richten op de prestaties van de economie, de begrotingsdoelstellingen, structurele hervormingen en de aanpak van het aantal niet-presterende leningen.     </w:t>
      </w:r>
    </w:p>
    <w:p w:rsidR="003C0823" w:rsidP="007E3799" w:rsidRDefault="003C0823">
      <w:pPr>
        <w:pStyle w:val="Plattetekst"/>
        <w:spacing w:after="200" w:line="360" w:lineRule="auto"/>
        <w:jc w:val="both"/>
        <w:rPr>
          <w:rFonts w:ascii="Verdana" w:hAnsi="Verdana" w:eastAsiaTheme="minorHAnsi"/>
          <w:b/>
          <w:bCs/>
          <w:sz w:val="18"/>
          <w:szCs w:val="18"/>
          <w:lang w:eastAsia="en-US"/>
        </w:rPr>
      </w:pPr>
      <w:r w:rsidRPr="00C733D4">
        <w:rPr>
          <w:rFonts w:ascii="Verdana" w:hAnsi="Verdana" w:eastAsiaTheme="minorHAnsi"/>
          <w:b/>
          <w:bCs/>
          <w:sz w:val="18"/>
          <w:szCs w:val="18"/>
          <w:lang w:eastAsia="en-US"/>
        </w:rPr>
        <w:t>Hoorzitting van de SSM voorzitter</w:t>
      </w:r>
    </w:p>
    <w:p w:rsidRPr="008C4F88" w:rsidR="003C0823" w:rsidP="003C0823" w:rsidRDefault="003C0823">
      <w:pPr>
        <w:pStyle w:val="Plattetekst"/>
        <w:spacing w:after="0" w:line="360" w:lineRule="auto"/>
        <w:jc w:val="both"/>
        <w:rPr>
          <w:rFonts w:ascii="Verdana" w:hAnsi="Verdana" w:cs="Arial"/>
          <w:sz w:val="18"/>
          <w:szCs w:val="18"/>
        </w:rPr>
      </w:pPr>
      <w:r w:rsidRPr="008C4F88">
        <w:rPr>
          <w:rFonts w:ascii="Verdana" w:hAnsi="Verdana" w:cs="Arial"/>
          <w:b/>
          <w:bCs/>
          <w:sz w:val="18"/>
          <w:szCs w:val="18"/>
        </w:rPr>
        <w:t xml:space="preserve">Document: </w:t>
      </w:r>
      <w:r>
        <w:rPr>
          <w:rFonts w:ascii="Verdana" w:hAnsi="Verdana" w:cs="Arial"/>
          <w:bCs/>
          <w:sz w:val="18"/>
          <w:szCs w:val="18"/>
        </w:rPr>
        <w:t>n.v.t.</w:t>
      </w:r>
    </w:p>
    <w:p w:rsidRPr="008C4F88" w:rsidR="003C0823" w:rsidP="003C0823" w:rsidRDefault="003C0823">
      <w:pPr>
        <w:pStyle w:val="Plattetekst"/>
        <w:spacing w:after="0" w:line="360" w:lineRule="auto"/>
        <w:jc w:val="both"/>
        <w:rPr>
          <w:rFonts w:ascii="Verdana" w:hAnsi="Verdana" w:cs="Arial"/>
          <w:sz w:val="18"/>
          <w:szCs w:val="18"/>
        </w:rPr>
      </w:pPr>
      <w:r w:rsidRPr="008C4F88">
        <w:rPr>
          <w:rFonts w:ascii="Verdana" w:hAnsi="Verdana" w:cs="Arial"/>
          <w:b/>
          <w:bCs/>
          <w:sz w:val="18"/>
          <w:szCs w:val="18"/>
        </w:rPr>
        <w:t xml:space="preserve">Aard bespreking: </w:t>
      </w:r>
      <w:r w:rsidRPr="008C4F88">
        <w:rPr>
          <w:rFonts w:ascii="Verdana" w:hAnsi="Verdana" w:cs="Arial"/>
          <w:bCs/>
          <w:sz w:val="18"/>
          <w:szCs w:val="18"/>
        </w:rPr>
        <w:t>Gedachtewisseling</w:t>
      </w:r>
    </w:p>
    <w:p w:rsidRPr="00C733D4" w:rsidR="003C0823" w:rsidP="003C0823" w:rsidRDefault="003C0823">
      <w:pPr>
        <w:pStyle w:val="Plattetekst"/>
        <w:spacing w:after="0" w:line="360" w:lineRule="auto"/>
        <w:jc w:val="both"/>
        <w:rPr>
          <w:rFonts w:ascii="Verdana" w:hAnsi="Verdana" w:cs="Arial"/>
          <w:bCs/>
          <w:sz w:val="18"/>
          <w:szCs w:val="18"/>
        </w:rPr>
      </w:pPr>
      <w:r w:rsidRPr="008C4F88">
        <w:rPr>
          <w:rFonts w:ascii="Verdana" w:hAnsi="Verdana" w:cs="Arial"/>
          <w:b/>
          <w:bCs/>
          <w:sz w:val="18"/>
          <w:szCs w:val="18"/>
        </w:rPr>
        <w:t>Besluitvormingsprocedure:</w:t>
      </w:r>
      <w:r>
        <w:rPr>
          <w:rFonts w:ascii="Verdana" w:hAnsi="Verdana" w:cs="Arial"/>
          <w:b/>
          <w:bCs/>
          <w:sz w:val="18"/>
          <w:szCs w:val="18"/>
        </w:rPr>
        <w:t xml:space="preserve"> </w:t>
      </w:r>
      <w:r>
        <w:rPr>
          <w:rFonts w:ascii="Verdana" w:hAnsi="Verdana" w:cs="Arial"/>
          <w:bCs/>
          <w:sz w:val="18"/>
          <w:szCs w:val="18"/>
        </w:rPr>
        <w:t>n.v.t.</w:t>
      </w:r>
    </w:p>
    <w:p w:rsidRPr="008C4F88" w:rsidR="003C0823" w:rsidP="003C0823" w:rsidRDefault="003C0823">
      <w:pPr>
        <w:pStyle w:val="Plattetekst"/>
        <w:spacing w:after="0" w:line="360" w:lineRule="auto"/>
        <w:jc w:val="both"/>
        <w:rPr>
          <w:rFonts w:ascii="Verdana" w:hAnsi="Verdana"/>
          <w:bCs/>
          <w:sz w:val="18"/>
          <w:szCs w:val="18"/>
        </w:rPr>
      </w:pPr>
      <w:r w:rsidRPr="008C4F88">
        <w:rPr>
          <w:rFonts w:ascii="Verdana" w:hAnsi="Verdana" w:eastAsia="Calibri" w:cs="Arial"/>
          <w:b/>
          <w:bCs/>
          <w:sz w:val="18"/>
          <w:szCs w:val="18"/>
        </w:rPr>
        <w:t>Toelichting:</w:t>
      </w:r>
    </w:p>
    <w:p w:rsidR="003C0823" w:rsidP="001D03DC" w:rsidRDefault="003C0823">
      <w:pPr>
        <w:spacing w:line="360" w:lineRule="auto"/>
        <w:jc w:val="both"/>
      </w:pPr>
      <w:r w:rsidRPr="00C733D4">
        <w:t>Op grond van de memorandum van overeenstemming (</w:t>
      </w:r>
      <w:proofErr w:type="spellStart"/>
      <w:r w:rsidRPr="00C733D4">
        <w:t>MoU</w:t>
      </w:r>
      <w:proofErr w:type="spellEnd"/>
      <w:r w:rsidRPr="00C733D4">
        <w:t>) tussen de Raad en Europese Centrale Bank (ECB) neemt de voorzitter</w:t>
      </w:r>
      <w:r w:rsidR="00F5506B">
        <w:t xml:space="preserve"> (</w:t>
      </w:r>
      <w:proofErr w:type="spellStart"/>
      <w:r w:rsidRPr="00C733D4" w:rsidR="00F5506B">
        <w:t>Danièle</w:t>
      </w:r>
      <w:proofErr w:type="spellEnd"/>
      <w:r w:rsidRPr="00C733D4" w:rsidR="00F5506B">
        <w:t xml:space="preserve"> </w:t>
      </w:r>
      <w:proofErr w:type="spellStart"/>
      <w:r w:rsidRPr="00C733D4" w:rsidR="00F5506B">
        <w:t>Nouy</w:t>
      </w:r>
      <w:proofErr w:type="spellEnd"/>
      <w:r w:rsidR="00F5506B">
        <w:t>)</w:t>
      </w:r>
      <w:r w:rsidRPr="00C733D4">
        <w:t xml:space="preserve"> van het </w:t>
      </w:r>
      <w:r w:rsidRPr="00C733D4">
        <w:rPr>
          <w:i/>
          <w:iCs/>
        </w:rPr>
        <w:t xml:space="preserve">Single </w:t>
      </w:r>
      <w:proofErr w:type="spellStart"/>
      <w:r w:rsidRPr="00C733D4">
        <w:rPr>
          <w:i/>
          <w:iCs/>
        </w:rPr>
        <w:t>Supervisory</w:t>
      </w:r>
      <w:proofErr w:type="spellEnd"/>
      <w:r w:rsidRPr="00C733D4">
        <w:rPr>
          <w:i/>
          <w:iCs/>
        </w:rPr>
        <w:t xml:space="preserve"> </w:t>
      </w:r>
      <w:proofErr w:type="spellStart"/>
      <w:r w:rsidRPr="00C733D4">
        <w:rPr>
          <w:i/>
          <w:iCs/>
        </w:rPr>
        <w:t>Mechanism</w:t>
      </w:r>
      <w:proofErr w:type="spellEnd"/>
      <w:r w:rsidRPr="00C733D4">
        <w:rPr>
          <w:i/>
          <w:iCs/>
        </w:rPr>
        <w:t xml:space="preserve"> </w:t>
      </w:r>
      <w:r w:rsidRPr="00C733D4">
        <w:t xml:space="preserve">(SSM) twee keer per jaar deel aan de vergadering van de Eurogroep. Tijdens deze gedachtewisseling kunnen relevante aspecten van de activiteiten en het functioneren van het SSM worden besproken. Bij de Eurogroep van </w:t>
      </w:r>
      <w:r>
        <w:t xml:space="preserve">7 november </w:t>
      </w:r>
      <w:r w:rsidRPr="00C733D4">
        <w:t xml:space="preserve">2016 </w:t>
      </w:r>
      <w:r>
        <w:t>gaf</w:t>
      </w:r>
      <w:r w:rsidRPr="00C733D4">
        <w:t xml:space="preserve"> </w:t>
      </w:r>
      <w:proofErr w:type="spellStart"/>
      <w:r w:rsidRPr="00C733D4">
        <w:t>Danièle</w:t>
      </w:r>
      <w:proofErr w:type="spellEnd"/>
      <w:r w:rsidRPr="00C733D4">
        <w:t xml:space="preserve"> </w:t>
      </w:r>
      <w:proofErr w:type="spellStart"/>
      <w:r w:rsidRPr="00C733D4">
        <w:t>Nouy</w:t>
      </w:r>
      <w:proofErr w:type="spellEnd"/>
      <w:r w:rsidRPr="00C733D4">
        <w:t xml:space="preserve"> de Eurogroep informatie over de uitgevoerde stresstesten. Ook </w:t>
      </w:r>
      <w:r>
        <w:t xml:space="preserve">sprak </w:t>
      </w:r>
      <w:r w:rsidR="00587D49">
        <w:t>zij</w:t>
      </w:r>
      <w:r w:rsidRPr="00C733D4">
        <w:t xml:space="preserve"> </w:t>
      </w:r>
      <w:r>
        <w:t>toen over de uitdagingen die sommige banken hebben met betrekking tot niet-presterende leningen.</w:t>
      </w:r>
      <w:r w:rsidRPr="00C733D4">
        <w:t xml:space="preserve"> </w:t>
      </w:r>
      <w:r>
        <w:t xml:space="preserve">Naar verwachting zal </w:t>
      </w:r>
      <w:r w:rsidR="00587D49">
        <w:t>de voorzitter van het SSM</w:t>
      </w:r>
      <w:r w:rsidRPr="00C733D4">
        <w:t xml:space="preserve"> </w:t>
      </w:r>
      <w:r>
        <w:t>dit keer het jaarverslag van het SSM presenteren en vooruitblikken op de werkzaamheden voor het komende halfjaar. Nederland hecht in dit verband</w:t>
      </w:r>
      <w:r w:rsidRPr="001F2B1C">
        <w:t xml:space="preserve"> </w:t>
      </w:r>
      <w:r>
        <w:t>aan</w:t>
      </w:r>
      <w:r w:rsidRPr="00C733D4">
        <w:t xml:space="preserve"> transparantie, consistentie en voorspelbaarheid van </w:t>
      </w:r>
      <w:r>
        <w:t>het Europese banken</w:t>
      </w:r>
      <w:r w:rsidRPr="00C733D4">
        <w:t>toezicht</w:t>
      </w:r>
      <w:r>
        <w:t>.</w:t>
      </w:r>
      <w:r>
        <w:rPr>
          <w:rStyle w:val="Voetnootmarkering"/>
        </w:rPr>
        <w:footnoteReference w:id="1"/>
      </w:r>
    </w:p>
    <w:p w:rsidR="003C0823" w:rsidP="007E3799" w:rsidRDefault="003C0823">
      <w:pPr>
        <w:pStyle w:val="Plattetekst"/>
        <w:spacing w:after="200" w:line="360" w:lineRule="auto"/>
        <w:jc w:val="both"/>
        <w:rPr>
          <w:rFonts w:ascii="Verdana" w:hAnsi="Verdana" w:eastAsiaTheme="minorHAnsi"/>
          <w:b/>
          <w:bCs/>
          <w:sz w:val="18"/>
          <w:szCs w:val="18"/>
          <w:lang w:eastAsia="en-US"/>
        </w:rPr>
      </w:pPr>
      <w:r w:rsidRPr="001F2B1C">
        <w:rPr>
          <w:rFonts w:ascii="Verdana" w:hAnsi="Verdana" w:eastAsiaTheme="minorHAnsi"/>
          <w:b/>
          <w:bCs/>
          <w:sz w:val="18"/>
          <w:szCs w:val="18"/>
          <w:lang w:eastAsia="en-US"/>
        </w:rPr>
        <w:t>SRB activiteiten</w:t>
      </w:r>
    </w:p>
    <w:p w:rsidRPr="008C4F88" w:rsidR="003C0823" w:rsidP="003C0823" w:rsidRDefault="003C0823">
      <w:pPr>
        <w:pStyle w:val="Plattetekst"/>
        <w:spacing w:after="0" w:line="360" w:lineRule="auto"/>
        <w:jc w:val="both"/>
        <w:rPr>
          <w:rFonts w:ascii="Verdana" w:hAnsi="Verdana" w:cs="Arial"/>
          <w:sz w:val="18"/>
          <w:szCs w:val="18"/>
        </w:rPr>
      </w:pPr>
      <w:r w:rsidRPr="008C4F88">
        <w:rPr>
          <w:rFonts w:ascii="Verdana" w:hAnsi="Verdana" w:cs="Arial"/>
          <w:b/>
          <w:bCs/>
          <w:sz w:val="18"/>
          <w:szCs w:val="18"/>
        </w:rPr>
        <w:t xml:space="preserve">Document: </w:t>
      </w:r>
      <w:r>
        <w:rPr>
          <w:rFonts w:ascii="Verdana" w:hAnsi="Verdana" w:cs="Arial"/>
          <w:bCs/>
          <w:sz w:val="18"/>
          <w:szCs w:val="18"/>
        </w:rPr>
        <w:t>n.v.t.</w:t>
      </w:r>
    </w:p>
    <w:p w:rsidRPr="008C4F88" w:rsidR="003C0823" w:rsidP="003C0823" w:rsidRDefault="003C0823">
      <w:pPr>
        <w:pStyle w:val="Plattetekst"/>
        <w:spacing w:after="0" w:line="360" w:lineRule="auto"/>
        <w:jc w:val="both"/>
        <w:rPr>
          <w:rFonts w:ascii="Verdana" w:hAnsi="Verdana" w:cs="Arial"/>
          <w:sz w:val="18"/>
          <w:szCs w:val="18"/>
        </w:rPr>
      </w:pPr>
      <w:r w:rsidRPr="008C4F88">
        <w:rPr>
          <w:rFonts w:ascii="Verdana" w:hAnsi="Verdana" w:cs="Arial"/>
          <w:b/>
          <w:bCs/>
          <w:sz w:val="18"/>
          <w:szCs w:val="18"/>
        </w:rPr>
        <w:t xml:space="preserve">Aard bespreking: </w:t>
      </w:r>
      <w:r w:rsidRPr="008C4F88">
        <w:rPr>
          <w:rFonts w:ascii="Verdana" w:hAnsi="Verdana" w:cs="Arial"/>
          <w:bCs/>
          <w:sz w:val="18"/>
          <w:szCs w:val="18"/>
        </w:rPr>
        <w:t>Gedachtewisseling</w:t>
      </w:r>
    </w:p>
    <w:p w:rsidRPr="00C733D4" w:rsidR="003C0823" w:rsidP="003C0823" w:rsidRDefault="003C0823">
      <w:pPr>
        <w:pStyle w:val="Plattetekst"/>
        <w:spacing w:after="0" w:line="360" w:lineRule="auto"/>
        <w:jc w:val="both"/>
        <w:rPr>
          <w:rFonts w:ascii="Verdana" w:hAnsi="Verdana" w:cs="Arial"/>
          <w:bCs/>
          <w:sz w:val="18"/>
          <w:szCs w:val="18"/>
        </w:rPr>
      </w:pPr>
      <w:r w:rsidRPr="008C4F88">
        <w:rPr>
          <w:rFonts w:ascii="Verdana" w:hAnsi="Verdana" w:cs="Arial"/>
          <w:b/>
          <w:bCs/>
          <w:sz w:val="18"/>
          <w:szCs w:val="18"/>
        </w:rPr>
        <w:t>Besluitvormingsprocedure:</w:t>
      </w:r>
      <w:r>
        <w:rPr>
          <w:rFonts w:ascii="Verdana" w:hAnsi="Verdana" w:cs="Arial"/>
          <w:b/>
          <w:bCs/>
          <w:sz w:val="18"/>
          <w:szCs w:val="18"/>
        </w:rPr>
        <w:t xml:space="preserve"> </w:t>
      </w:r>
      <w:r>
        <w:rPr>
          <w:rFonts w:ascii="Verdana" w:hAnsi="Verdana" w:cs="Arial"/>
          <w:bCs/>
          <w:sz w:val="18"/>
          <w:szCs w:val="18"/>
        </w:rPr>
        <w:t>n.v.t.</w:t>
      </w:r>
    </w:p>
    <w:p w:rsidRPr="008C4F88" w:rsidR="003C0823" w:rsidP="003C0823" w:rsidRDefault="003C0823">
      <w:pPr>
        <w:pStyle w:val="Plattetekst"/>
        <w:spacing w:after="0" w:line="360" w:lineRule="auto"/>
        <w:jc w:val="both"/>
        <w:rPr>
          <w:rFonts w:ascii="Verdana" w:hAnsi="Verdana"/>
          <w:bCs/>
          <w:sz w:val="18"/>
          <w:szCs w:val="18"/>
        </w:rPr>
      </w:pPr>
      <w:r w:rsidRPr="008C4F88">
        <w:rPr>
          <w:rFonts w:ascii="Verdana" w:hAnsi="Verdana" w:eastAsia="Calibri" w:cs="Arial"/>
          <w:b/>
          <w:bCs/>
          <w:sz w:val="18"/>
          <w:szCs w:val="18"/>
        </w:rPr>
        <w:t>Toelichting:</w:t>
      </w:r>
    </w:p>
    <w:p w:rsidR="003C0823" w:rsidP="001D03DC" w:rsidRDefault="003C0823">
      <w:pPr>
        <w:spacing w:line="360" w:lineRule="auto"/>
        <w:jc w:val="both"/>
      </w:pPr>
      <w:r>
        <w:t>Tijdens de Eurogroep van november 2016 is afgesproken dat de voorzitter</w:t>
      </w:r>
      <w:r w:rsidR="00F5506B">
        <w:t xml:space="preserve"> (Elke </w:t>
      </w:r>
      <w:proofErr w:type="spellStart"/>
      <w:r w:rsidR="00F5506B">
        <w:t>König</w:t>
      </w:r>
      <w:proofErr w:type="spellEnd"/>
      <w:r w:rsidR="00F5506B">
        <w:t>)</w:t>
      </w:r>
      <w:r>
        <w:t xml:space="preserve"> van de</w:t>
      </w:r>
      <w:r w:rsidRPr="001F2B1C">
        <w:t xml:space="preserve"> </w:t>
      </w:r>
      <w:r w:rsidRPr="001F2B1C">
        <w:rPr>
          <w:i/>
        </w:rPr>
        <w:t xml:space="preserve">Single </w:t>
      </w:r>
      <w:proofErr w:type="spellStart"/>
      <w:r w:rsidRPr="001F2B1C">
        <w:rPr>
          <w:i/>
        </w:rPr>
        <w:t>Resolution</w:t>
      </w:r>
      <w:proofErr w:type="spellEnd"/>
      <w:r w:rsidRPr="001F2B1C">
        <w:rPr>
          <w:i/>
        </w:rPr>
        <w:t xml:space="preserve"> Board</w:t>
      </w:r>
      <w:r>
        <w:t xml:space="preserve"> (SRB) elk ha</w:t>
      </w:r>
      <w:r w:rsidR="00F5506B">
        <w:t>l</w:t>
      </w:r>
      <w:r>
        <w:t>f jaar een toelichting geeft over de werkzaamheden van de SRB</w:t>
      </w:r>
      <w:r w:rsidRPr="001F2B1C">
        <w:t xml:space="preserve">. </w:t>
      </w:r>
      <w:r>
        <w:t xml:space="preserve">Elke </w:t>
      </w:r>
      <w:proofErr w:type="spellStart"/>
      <w:r>
        <w:t>König</w:t>
      </w:r>
      <w:proofErr w:type="spellEnd"/>
      <w:r>
        <w:t xml:space="preserve"> sprak </w:t>
      </w:r>
      <w:r w:rsidR="00E574B1">
        <w:t>eerder in de Eurogroep</w:t>
      </w:r>
      <w:r>
        <w:t xml:space="preserve"> over de</w:t>
      </w:r>
      <w:r w:rsidRPr="001F2B1C">
        <w:t xml:space="preserve"> werkzaamheden</w:t>
      </w:r>
      <w:r>
        <w:t xml:space="preserve"> van de SRB ten aanzien van het opstellen van </w:t>
      </w:r>
      <w:r w:rsidRPr="001F2B1C">
        <w:t xml:space="preserve">voorlopige afwikkelingsplannen voor banken. </w:t>
      </w:r>
      <w:r>
        <w:t xml:space="preserve">Ook is gesproken over </w:t>
      </w:r>
      <w:r w:rsidRPr="00F8304D">
        <w:t xml:space="preserve">implementatie van de instellingspecifieke minimumeis </w:t>
      </w:r>
      <w:r>
        <w:t>voor</w:t>
      </w:r>
      <w:r w:rsidRPr="00F8304D">
        <w:t xml:space="preserve"> het door bank</w:t>
      </w:r>
      <w:r>
        <w:t>en</w:t>
      </w:r>
      <w:r w:rsidRPr="00F8304D">
        <w:t xml:space="preserve"> aan te houden </w:t>
      </w:r>
      <w:proofErr w:type="spellStart"/>
      <w:r w:rsidRPr="00F8304D">
        <w:t>bail-inbare</w:t>
      </w:r>
      <w:proofErr w:type="spellEnd"/>
      <w:r w:rsidRPr="00F8304D">
        <w:t xml:space="preserve"> vermogen (de zogenaamde </w:t>
      </w:r>
      <w:r w:rsidRPr="00F8304D">
        <w:rPr>
          <w:i/>
        </w:rPr>
        <w:t xml:space="preserve">Minimum </w:t>
      </w:r>
      <w:proofErr w:type="spellStart"/>
      <w:r w:rsidRPr="00F8304D">
        <w:rPr>
          <w:i/>
        </w:rPr>
        <w:t>Requirement</w:t>
      </w:r>
      <w:proofErr w:type="spellEnd"/>
      <w:r w:rsidRPr="00F8304D">
        <w:rPr>
          <w:i/>
        </w:rPr>
        <w:t xml:space="preserve"> </w:t>
      </w:r>
      <w:proofErr w:type="spellStart"/>
      <w:r w:rsidRPr="00F8304D">
        <w:rPr>
          <w:i/>
        </w:rPr>
        <w:t>for</w:t>
      </w:r>
      <w:proofErr w:type="spellEnd"/>
      <w:r w:rsidRPr="00F8304D">
        <w:rPr>
          <w:i/>
        </w:rPr>
        <w:t xml:space="preserve"> </w:t>
      </w:r>
      <w:proofErr w:type="spellStart"/>
      <w:r w:rsidRPr="00F8304D">
        <w:rPr>
          <w:i/>
        </w:rPr>
        <w:t>own</w:t>
      </w:r>
      <w:proofErr w:type="spellEnd"/>
      <w:r w:rsidRPr="00F8304D">
        <w:rPr>
          <w:i/>
        </w:rPr>
        <w:t xml:space="preserve"> </w:t>
      </w:r>
      <w:proofErr w:type="spellStart"/>
      <w:r w:rsidRPr="00F8304D">
        <w:rPr>
          <w:i/>
        </w:rPr>
        <w:t>funds</w:t>
      </w:r>
      <w:proofErr w:type="spellEnd"/>
      <w:r w:rsidRPr="00F8304D">
        <w:rPr>
          <w:i/>
        </w:rPr>
        <w:t xml:space="preserve"> and </w:t>
      </w:r>
      <w:proofErr w:type="spellStart"/>
      <w:r w:rsidRPr="00F8304D">
        <w:rPr>
          <w:i/>
        </w:rPr>
        <w:t>Eligible</w:t>
      </w:r>
      <w:proofErr w:type="spellEnd"/>
      <w:r w:rsidRPr="00F8304D">
        <w:rPr>
          <w:i/>
        </w:rPr>
        <w:t xml:space="preserve"> </w:t>
      </w:r>
      <w:proofErr w:type="spellStart"/>
      <w:r w:rsidRPr="00F8304D">
        <w:rPr>
          <w:i/>
        </w:rPr>
        <w:t>Liabilities</w:t>
      </w:r>
      <w:proofErr w:type="spellEnd"/>
      <w:r>
        <w:t>, MREL</w:t>
      </w:r>
      <w:r w:rsidRPr="00F8304D">
        <w:t>)</w:t>
      </w:r>
      <w:r>
        <w:t>. Naar verwachting wordt tijdens deze Eurogroep verder van gedachte</w:t>
      </w:r>
      <w:r w:rsidR="00F5506B">
        <w:t>n</w:t>
      </w:r>
      <w:r>
        <w:t xml:space="preserve"> gewisseld over de </w:t>
      </w:r>
      <w:r>
        <w:lastRenderedPageBreak/>
        <w:t>werkzaamheden van de SRB ten aanzien van het opstellen van afwikkelingsplannen en het implementeren van de MREL.</w:t>
      </w:r>
      <w:r w:rsidRPr="00F8304D">
        <w:t xml:space="preserve"> </w:t>
      </w:r>
      <w:r>
        <w:t xml:space="preserve">In dit kader acht Nederland het van belang dat banken over voldoende achtergestelde MREL instrumenten beschikken zodat </w:t>
      </w:r>
      <w:proofErr w:type="spellStart"/>
      <w:r>
        <w:rPr>
          <w:rStyle w:val="Nadruk"/>
        </w:rPr>
        <w:t>bail-in</w:t>
      </w:r>
      <w:proofErr w:type="spellEnd"/>
      <w:r>
        <w:t xml:space="preserve"> relatief eenvoudig kan plaatsvinden.</w:t>
      </w:r>
      <w:r>
        <w:rPr>
          <w:rStyle w:val="Voetnootmarkering"/>
        </w:rPr>
        <w:footnoteReference w:id="2"/>
      </w:r>
    </w:p>
    <w:p w:rsidRPr="00CC2554" w:rsidR="00277A87" w:rsidP="007E3799" w:rsidRDefault="002D5AE4">
      <w:pPr>
        <w:spacing w:line="360" w:lineRule="auto"/>
        <w:jc w:val="both"/>
        <w:rPr>
          <w:b/>
          <w:szCs w:val="18"/>
          <w:u w:val="single"/>
        </w:rPr>
      </w:pPr>
      <w:r>
        <w:rPr>
          <w:b/>
          <w:szCs w:val="18"/>
          <w:u w:val="single"/>
        </w:rPr>
        <w:t xml:space="preserve">Informele </w:t>
      </w:r>
      <w:proofErr w:type="spellStart"/>
      <w:r>
        <w:rPr>
          <w:b/>
          <w:szCs w:val="18"/>
          <w:u w:val="single"/>
        </w:rPr>
        <w:t>Ecofinraad</w:t>
      </w:r>
      <w:proofErr w:type="spellEnd"/>
      <w:r w:rsidR="00F240DB">
        <w:rPr>
          <w:b/>
          <w:szCs w:val="18"/>
          <w:u w:val="single"/>
        </w:rPr>
        <w:t xml:space="preserve"> 7 en 8 april</w:t>
      </w:r>
    </w:p>
    <w:p w:rsidRPr="00682028" w:rsidR="00682028" w:rsidP="00682028" w:rsidRDefault="001D03DC">
      <w:pPr>
        <w:spacing w:line="360" w:lineRule="auto"/>
        <w:rPr>
          <w:b/>
          <w:bCs/>
        </w:rPr>
      </w:pPr>
      <w:r>
        <w:rPr>
          <w:b/>
          <w:bCs/>
        </w:rPr>
        <w:t>Toekomst EMU</w:t>
      </w:r>
    </w:p>
    <w:p w:rsidRPr="00872EA1" w:rsidR="00682028" w:rsidP="00682028" w:rsidRDefault="00682028">
      <w:pPr>
        <w:pStyle w:val="Plattetekst"/>
        <w:spacing w:after="0" w:line="360" w:lineRule="auto"/>
        <w:rPr>
          <w:rFonts w:ascii="Verdana" w:hAnsi="Verdana" w:cs="Arial"/>
          <w:bCs/>
          <w:sz w:val="18"/>
          <w:szCs w:val="18"/>
        </w:rPr>
      </w:pPr>
      <w:r w:rsidRPr="008C4F88">
        <w:rPr>
          <w:rFonts w:ascii="Verdana" w:hAnsi="Verdana" w:cs="Arial"/>
          <w:b/>
          <w:bCs/>
          <w:sz w:val="18"/>
          <w:szCs w:val="18"/>
        </w:rPr>
        <w:t xml:space="preserve">Document: </w:t>
      </w:r>
      <w:r>
        <w:rPr>
          <w:rFonts w:ascii="Verdana" w:hAnsi="Verdana" w:cs="Arial"/>
          <w:bCs/>
          <w:sz w:val="18"/>
          <w:szCs w:val="18"/>
        </w:rPr>
        <w:t xml:space="preserve">Het Witboek is te vinden op: </w:t>
      </w:r>
      <w:r w:rsidRPr="00872EA1">
        <w:rPr>
          <w:rFonts w:ascii="Verdana" w:hAnsi="Verdana" w:cs="Arial"/>
          <w:bCs/>
          <w:sz w:val="18"/>
          <w:szCs w:val="18"/>
        </w:rPr>
        <w:t>https://ec.europa.eu/commission/sites/beta-political/files/witboek_over_de_toekomst_van_europa_nl.pdf</w:t>
      </w:r>
      <w:r>
        <w:rPr>
          <w:rFonts w:ascii="Verdana" w:hAnsi="Verdana" w:cs="Arial"/>
          <w:bCs/>
          <w:sz w:val="18"/>
          <w:szCs w:val="18"/>
        </w:rPr>
        <w:t xml:space="preserve"> </w:t>
      </w:r>
    </w:p>
    <w:p w:rsidRPr="008C4F88" w:rsidR="00682028" w:rsidP="00682028" w:rsidRDefault="00682028">
      <w:pPr>
        <w:pStyle w:val="Plattetekst"/>
        <w:spacing w:after="0" w:line="360" w:lineRule="auto"/>
        <w:jc w:val="both"/>
        <w:rPr>
          <w:rFonts w:ascii="Verdana" w:hAnsi="Verdana" w:cs="Arial"/>
          <w:sz w:val="18"/>
          <w:szCs w:val="18"/>
        </w:rPr>
      </w:pPr>
      <w:r w:rsidRPr="008C4F88">
        <w:rPr>
          <w:rFonts w:ascii="Verdana" w:hAnsi="Verdana" w:cs="Arial"/>
          <w:b/>
          <w:bCs/>
          <w:sz w:val="18"/>
          <w:szCs w:val="18"/>
        </w:rPr>
        <w:t xml:space="preserve">Aard bespreking: </w:t>
      </w:r>
      <w:r>
        <w:rPr>
          <w:rFonts w:ascii="Verdana" w:hAnsi="Verdana" w:cs="Arial"/>
          <w:bCs/>
          <w:sz w:val="18"/>
          <w:szCs w:val="18"/>
        </w:rPr>
        <w:t>Gedachtewisseling</w:t>
      </w:r>
    </w:p>
    <w:p w:rsidRPr="00872EA1" w:rsidR="00682028" w:rsidP="00682028" w:rsidRDefault="00682028">
      <w:pPr>
        <w:pStyle w:val="Plattetekst"/>
        <w:spacing w:after="0" w:line="360" w:lineRule="auto"/>
        <w:jc w:val="both"/>
        <w:rPr>
          <w:rFonts w:ascii="Verdana" w:hAnsi="Verdana" w:cs="Arial"/>
          <w:bCs/>
          <w:sz w:val="18"/>
          <w:szCs w:val="18"/>
        </w:rPr>
      </w:pPr>
      <w:r w:rsidRPr="008C4F88">
        <w:rPr>
          <w:rFonts w:ascii="Verdana" w:hAnsi="Verdana" w:cs="Arial"/>
          <w:b/>
          <w:bCs/>
          <w:sz w:val="18"/>
          <w:szCs w:val="18"/>
        </w:rPr>
        <w:t xml:space="preserve">Besluitvormingsprocedure: </w:t>
      </w:r>
      <w:r>
        <w:rPr>
          <w:rFonts w:ascii="Verdana" w:hAnsi="Verdana" w:cs="Arial"/>
          <w:bCs/>
          <w:sz w:val="18"/>
          <w:szCs w:val="18"/>
        </w:rPr>
        <w:t xml:space="preserve">n.v.t. </w:t>
      </w:r>
    </w:p>
    <w:p w:rsidRPr="008C4F88" w:rsidR="00682028" w:rsidP="00682028" w:rsidRDefault="00682028">
      <w:pPr>
        <w:pStyle w:val="Plattetekst"/>
        <w:spacing w:after="0" w:line="360" w:lineRule="auto"/>
        <w:jc w:val="both"/>
        <w:rPr>
          <w:rFonts w:ascii="Verdana" w:hAnsi="Verdana"/>
          <w:bCs/>
          <w:sz w:val="18"/>
          <w:szCs w:val="18"/>
        </w:rPr>
      </w:pPr>
      <w:r w:rsidRPr="008C4F88">
        <w:rPr>
          <w:rFonts w:ascii="Verdana" w:hAnsi="Verdana" w:eastAsia="Calibri" w:cs="Arial"/>
          <w:b/>
          <w:bCs/>
          <w:sz w:val="18"/>
          <w:szCs w:val="18"/>
        </w:rPr>
        <w:t>Toelichting:</w:t>
      </w:r>
    </w:p>
    <w:p w:rsidR="001D03DC" w:rsidP="001D03DC" w:rsidRDefault="001D03DC">
      <w:pPr>
        <w:spacing w:line="360" w:lineRule="auto"/>
        <w:jc w:val="both"/>
      </w:pPr>
      <w:r>
        <w:t xml:space="preserve">Het voorzitterschap heeft een bespreking geagendeerd over de toekomst van de EMU. De Commissie zal waarschijnlijk een presentatie geven over het Witboek over de toekomst van Europa, dat zij woensdag 1 maart heeft gepubliceerd. In het Witboek schetst de Commissie vijf mogelijke scenario’s voor de EU in 2025. </w:t>
      </w:r>
    </w:p>
    <w:p w:rsidR="001D03DC" w:rsidP="001D03DC" w:rsidRDefault="001D03DC">
      <w:pPr>
        <w:spacing w:before="120" w:line="360" w:lineRule="auto"/>
        <w:jc w:val="both"/>
      </w:pPr>
      <w:r>
        <w:rPr>
          <w:bCs/>
          <w:iCs/>
        </w:rPr>
        <w:t>De Commissie geeft daarbij aan dat de scenario’s illustratief zijn bedoeld en elkaar niet uitsluiten; dat wil zeggen geen afgeronde beleidsvoorstellen zijn, maar een inbreng voor discussie</w:t>
      </w:r>
      <w:r>
        <w:rPr>
          <w:b/>
          <w:bCs/>
          <w:iCs/>
        </w:rPr>
        <w:t>.</w:t>
      </w:r>
      <w:r>
        <w:rPr>
          <w:b/>
          <w:bCs/>
          <w:i/>
          <w:iCs/>
        </w:rPr>
        <w:t xml:space="preserve"> </w:t>
      </w:r>
      <w:r>
        <w:rPr>
          <w:bCs/>
          <w:iCs/>
        </w:rPr>
        <w:t xml:space="preserve">De Commissie stelt met het Witboek de discussie over de toekomst van de Europese Unie in de komende maanden te willen aanjagen, waarbij zij discussies wil voeren met het Europees Parlement, de nationale parlementen, decentrale overheden en het maatschappelijk middenveld in bredere zin. </w:t>
      </w:r>
      <w:r>
        <w:t xml:space="preserve">Zij zal zelf bijdragen met vijf reflectiepapers over het ontwikkelen van de sociale dimensie van Europa, het verdiepen van de Economische en Monetaire Unie op basis van het verslag van de vijf voorzitters van juni 2015, het </w:t>
      </w:r>
      <w:r w:rsidR="00AB3769">
        <w:t>goed omgaan met</w:t>
      </w:r>
      <w:r>
        <w:t xml:space="preserve"> de mondialisering, de toekomst van Europa’s defensie, en de toekomst van de financiën van de EU. </w:t>
      </w:r>
      <w:r>
        <w:rPr>
          <w:bCs/>
          <w:iCs/>
        </w:rPr>
        <w:t>De voorzitter van de Commissie zal in september zijn visie zal geven over de toekomst van de Europese Unie</w:t>
      </w:r>
      <w:r>
        <w:rPr>
          <w:b/>
          <w:bCs/>
          <w:iCs/>
        </w:rPr>
        <w:t>.</w:t>
      </w:r>
    </w:p>
    <w:p w:rsidR="001D03DC" w:rsidP="001D03DC" w:rsidRDefault="001D03DC">
      <w:pPr>
        <w:spacing w:before="120" w:line="360" w:lineRule="auto"/>
        <w:jc w:val="both"/>
        <w:rPr>
          <w:bCs/>
          <w:iCs/>
        </w:rPr>
      </w:pPr>
      <w:r>
        <w:t xml:space="preserve">De scenario’s zijn naar hun aard niet erg concreet over ontwikkelingen in de eurozone. </w:t>
      </w:r>
      <w:r>
        <w:rPr>
          <w:bCs/>
          <w:iCs/>
        </w:rPr>
        <w:t xml:space="preserve">Het kabinet heeft zich in de afgelopen jaren ingezet voor een EU die zich richt op hoofdzaken (groei en banen, migratie, en interne en externe veiligheid) en op zaken die lidstaten in gezamenlijkheid beter kunnen oppakken dan op lidstaatniveau. Daarnaast is het van belang dat de EU zich richt op implementatie van de gemaakte afspraken. Dit is nog steeds de inzet van het kabinet in deze discussie. In de verschillende scenario’s die de Commissie in haar Witboek schetst komen elementen van de inzet van het kabinet in meer of mindere mate terug. </w:t>
      </w:r>
    </w:p>
    <w:p w:rsidRPr="008C4F88" w:rsidR="00F240DB" w:rsidP="00F240DB" w:rsidRDefault="00F240DB">
      <w:pPr>
        <w:spacing w:line="360" w:lineRule="auto"/>
        <w:rPr>
          <w:b/>
          <w:bCs/>
        </w:rPr>
      </w:pPr>
      <w:r>
        <w:rPr>
          <w:b/>
          <w:bCs/>
        </w:rPr>
        <w:t>Zekerheid op belastinggebied</w:t>
      </w:r>
    </w:p>
    <w:p w:rsidRPr="008C4F88" w:rsidR="00F240DB" w:rsidP="00F240DB" w:rsidRDefault="00F240DB">
      <w:pPr>
        <w:pStyle w:val="Plattetekst"/>
        <w:spacing w:after="0" w:line="360" w:lineRule="auto"/>
        <w:jc w:val="both"/>
        <w:rPr>
          <w:rFonts w:ascii="Verdana" w:hAnsi="Verdana" w:cs="Arial"/>
          <w:sz w:val="18"/>
          <w:szCs w:val="18"/>
        </w:rPr>
      </w:pPr>
      <w:r w:rsidRPr="008C4F88">
        <w:rPr>
          <w:rFonts w:ascii="Verdana" w:hAnsi="Verdana" w:cs="Arial"/>
          <w:b/>
          <w:bCs/>
          <w:sz w:val="18"/>
          <w:szCs w:val="18"/>
        </w:rPr>
        <w:t xml:space="preserve">Document: </w:t>
      </w:r>
      <w:r w:rsidR="006E08A8">
        <w:rPr>
          <w:rFonts w:ascii="Verdana" w:hAnsi="Verdana" w:cs="Arial"/>
          <w:bCs/>
          <w:sz w:val="18"/>
          <w:szCs w:val="18"/>
        </w:rPr>
        <w:t>n</w:t>
      </w:r>
      <w:r w:rsidRPr="00F240DB">
        <w:rPr>
          <w:rFonts w:ascii="Verdana" w:hAnsi="Verdana" w:cs="Arial"/>
          <w:bCs/>
          <w:sz w:val="18"/>
          <w:szCs w:val="18"/>
        </w:rPr>
        <w:t>og niet beschikbaar</w:t>
      </w:r>
    </w:p>
    <w:p w:rsidRPr="008C4F88" w:rsidR="00F240DB" w:rsidP="00F240DB" w:rsidRDefault="00F240DB">
      <w:pPr>
        <w:pStyle w:val="Plattetekst"/>
        <w:spacing w:after="0" w:line="360" w:lineRule="auto"/>
        <w:jc w:val="both"/>
        <w:rPr>
          <w:rFonts w:ascii="Verdana" w:hAnsi="Verdana" w:cs="Arial"/>
          <w:sz w:val="18"/>
          <w:szCs w:val="18"/>
        </w:rPr>
      </w:pPr>
      <w:r w:rsidRPr="008C4F88">
        <w:rPr>
          <w:rFonts w:ascii="Verdana" w:hAnsi="Verdana" w:cs="Arial"/>
          <w:b/>
          <w:bCs/>
          <w:sz w:val="18"/>
          <w:szCs w:val="18"/>
        </w:rPr>
        <w:t xml:space="preserve">Aard bespreking: </w:t>
      </w:r>
      <w:r w:rsidRPr="008C4F88">
        <w:rPr>
          <w:rFonts w:ascii="Verdana" w:hAnsi="Verdana" w:cs="Arial"/>
          <w:bCs/>
          <w:sz w:val="18"/>
          <w:szCs w:val="18"/>
        </w:rPr>
        <w:t>Gedachtewisseling</w:t>
      </w:r>
    </w:p>
    <w:p w:rsidRPr="008C4F88" w:rsidR="00F240DB" w:rsidP="00F240DB" w:rsidRDefault="00F240DB">
      <w:pPr>
        <w:pStyle w:val="Plattetekst"/>
        <w:spacing w:after="0" w:line="360" w:lineRule="auto"/>
        <w:jc w:val="both"/>
        <w:rPr>
          <w:rFonts w:ascii="Verdana" w:hAnsi="Verdana" w:cs="Arial"/>
          <w:bCs/>
          <w:sz w:val="18"/>
          <w:szCs w:val="18"/>
        </w:rPr>
      </w:pPr>
      <w:r w:rsidRPr="008C4F88">
        <w:rPr>
          <w:rFonts w:ascii="Verdana" w:hAnsi="Verdana" w:cs="Arial"/>
          <w:b/>
          <w:bCs/>
          <w:sz w:val="18"/>
          <w:szCs w:val="18"/>
        </w:rPr>
        <w:t>Besluitvormingsprocedure:</w:t>
      </w:r>
      <w:r w:rsidRPr="008C4F88">
        <w:rPr>
          <w:rFonts w:ascii="Verdana" w:hAnsi="Verdana" w:cs="Arial"/>
          <w:bCs/>
          <w:sz w:val="18"/>
          <w:szCs w:val="18"/>
        </w:rPr>
        <w:t xml:space="preserve">  n.v.t.</w:t>
      </w:r>
    </w:p>
    <w:p w:rsidRPr="00825CE1" w:rsidR="00F240DB" w:rsidP="00F240DB" w:rsidRDefault="00F240DB">
      <w:pPr>
        <w:pStyle w:val="Plattetekst"/>
        <w:spacing w:after="0" w:line="360" w:lineRule="auto"/>
        <w:jc w:val="both"/>
        <w:rPr>
          <w:rFonts w:ascii="Verdana" w:hAnsi="Verdana"/>
          <w:bCs/>
          <w:sz w:val="18"/>
          <w:szCs w:val="18"/>
        </w:rPr>
      </w:pPr>
      <w:r w:rsidRPr="008C4F88">
        <w:rPr>
          <w:rFonts w:ascii="Verdana" w:hAnsi="Verdana" w:eastAsia="Calibri" w:cs="Arial"/>
          <w:b/>
          <w:bCs/>
          <w:sz w:val="18"/>
          <w:szCs w:val="18"/>
        </w:rPr>
        <w:t>Toelichting:</w:t>
      </w:r>
    </w:p>
    <w:p w:rsidR="00CC21BE" w:rsidP="00CC21BE" w:rsidRDefault="00CC21BE">
      <w:pPr>
        <w:spacing w:line="360" w:lineRule="auto"/>
      </w:pPr>
      <w:r>
        <w:lastRenderedPageBreak/>
        <w:t xml:space="preserve">De informele </w:t>
      </w:r>
      <w:proofErr w:type="spellStart"/>
      <w:r>
        <w:t>Ecofinraad</w:t>
      </w:r>
      <w:proofErr w:type="spellEnd"/>
      <w:r>
        <w:t xml:space="preserve"> zal in Malta, in navolging van besprekingen hierover in de G20 en de OESO, spreken over zekerheid op belastinggebied. De afgelopen 5 jaar zijn grote stappen gezet om belastingontwijking tegen te gaan met veel nieuwe regelgeving tot gevolg. In het algemeen bieden deze nieuwe regels meer handvatten voor belastingdiensten om belasting te heffen, maar een internationaal gemeenschappelijke interpretatie van de nieuwe regels moet zich nog vestigen. Hiermee is de rechtszekerheid voor bedrijven afgenomen en bij een verschillende interpretatie van de nieuwe regels door de belastingautoriteiten van de landen waarin een multinational actief is, kan dubbele belasting ontstaan. Het is daarom bijvoorbeeld belangrijk te voorzien in een effectieve geschilbeslechting. Op dit moment zijn gesprekken in Brussel gaande over een richtlijn over bindende arbitrage met het oog om dubbele belasting weg te nemen.  </w:t>
      </w:r>
    </w:p>
    <w:p w:rsidR="00CC21BE" w:rsidP="00CC21BE" w:rsidRDefault="00CC21BE">
      <w:pPr>
        <w:spacing w:line="360" w:lineRule="auto"/>
      </w:pPr>
      <w:r w:rsidRPr="00070A6E">
        <w:t xml:space="preserve">Het kabinet </w:t>
      </w:r>
      <w:r>
        <w:t>onderschrijft het uitgangspunt van belastingzekerheid. Een snelle en efficiënte oplossing om dubbele belasting weg te nemen zou een versterking van de concurrentiepositie van de interne markt betekenen. Daarom is het kabinet ook een groot voorstander van een akkoord op bindende arbitrage op het gebied van belastingen.</w:t>
      </w:r>
    </w:p>
    <w:p w:rsidR="006E08A8" w:rsidP="006E08A8" w:rsidRDefault="006E08A8">
      <w:pPr>
        <w:spacing w:line="360" w:lineRule="auto"/>
        <w:rPr>
          <w:b/>
        </w:rPr>
      </w:pPr>
      <w:r>
        <w:rPr>
          <w:b/>
        </w:rPr>
        <w:t>Niet-presterende leningen (</w:t>
      </w:r>
      <w:proofErr w:type="spellStart"/>
      <w:r>
        <w:rPr>
          <w:b/>
        </w:rPr>
        <w:t>NPLs</w:t>
      </w:r>
      <w:proofErr w:type="spellEnd"/>
      <w:r>
        <w:rPr>
          <w:b/>
        </w:rPr>
        <w:t>)</w:t>
      </w:r>
    </w:p>
    <w:p w:rsidR="006E08A8" w:rsidP="006E08A8" w:rsidRDefault="006E08A8">
      <w:pPr>
        <w:pStyle w:val="Plattetekst"/>
        <w:spacing w:after="0" w:line="360" w:lineRule="auto"/>
        <w:jc w:val="both"/>
        <w:rPr>
          <w:rFonts w:ascii="Verdana" w:hAnsi="Verdana" w:cs="Arial"/>
          <w:sz w:val="18"/>
          <w:szCs w:val="18"/>
        </w:rPr>
      </w:pPr>
      <w:r>
        <w:rPr>
          <w:rFonts w:ascii="Verdana" w:hAnsi="Verdana" w:cs="Arial"/>
          <w:b/>
          <w:bCs/>
          <w:sz w:val="18"/>
          <w:szCs w:val="18"/>
        </w:rPr>
        <w:t xml:space="preserve">Document: </w:t>
      </w:r>
      <w:r w:rsidRPr="006E08A8">
        <w:rPr>
          <w:rFonts w:ascii="Verdana" w:hAnsi="Verdana" w:cs="Arial"/>
          <w:bCs/>
          <w:sz w:val="18"/>
          <w:szCs w:val="18"/>
        </w:rPr>
        <w:t>d</w:t>
      </w:r>
      <w:r>
        <w:rPr>
          <w:rFonts w:ascii="Verdana" w:hAnsi="Verdana" w:cs="Arial"/>
          <w:bCs/>
          <w:sz w:val="18"/>
          <w:szCs w:val="18"/>
        </w:rPr>
        <w:t>iscussiepaper van het Maltese voorzitterschap (nog niet beschikbaar)</w:t>
      </w:r>
    </w:p>
    <w:p w:rsidR="006E08A8" w:rsidP="006E08A8" w:rsidRDefault="006E08A8">
      <w:pPr>
        <w:pStyle w:val="Plattetekst"/>
        <w:spacing w:after="0" w:line="360" w:lineRule="auto"/>
        <w:jc w:val="both"/>
        <w:rPr>
          <w:rFonts w:ascii="Verdana" w:hAnsi="Verdana" w:cs="Arial"/>
          <w:sz w:val="18"/>
          <w:szCs w:val="18"/>
        </w:rPr>
      </w:pPr>
      <w:r>
        <w:rPr>
          <w:rFonts w:ascii="Verdana" w:hAnsi="Verdana" w:cs="Arial"/>
          <w:b/>
          <w:bCs/>
          <w:sz w:val="18"/>
          <w:szCs w:val="18"/>
        </w:rPr>
        <w:t xml:space="preserve">Aard bespreking: </w:t>
      </w:r>
      <w:r>
        <w:rPr>
          <w:rFonts w:ascii="Verdana" w:hAnsi="Verdana" w:cs="Arial"/>
          <w:bCs/>
          <w:sz w:val="18"/>
          <w:szCs w:val="18"/>
        </w:rPr>
        <w:t>Gedachtewisseling</w:t>
      </w:r>
    </w:p>
    <w:p w:rsidR="006E08A8" w:rsidP="006E08A8" w:rsidRDefault="006E08A8">
      <w:pPr>
        <w:pStyle w:val="Plattetekst"/>
        <w:spacing w:after="0" w:line="360" w:lineRule="auto"/>
        <w:jc w:val="both"/>
        <w:rPr>
          <w:rFonts w:ascii="Verdana" w:hAnsi="Verdana" w:cs="Arial"/>
          <w:bCs/>
          <w:sz w:val="18"/>
          <w:szCs w:val="18"/>
        </w:rPr>
      </w:pPr>
      <w:r>
        <w:rPr>
          <w:rFonts w:ascii="Verdana" w:hAnsi="Verdana" w:cs="Arial"/>
          <w:b/>
          <w:bCs/>
          <w:sz w:val="18"/>
          <w:szCs w:val="18"/>
        </w:rPr>
        <w:t xml:space="preserve">Besluitvormingsprocedure: </w:t>
      </w:r>
      <w:r>
        <w:rPr>
          <w:rFonts w:ascii="Verdana" w:hAnsi="Verdana" w:cs="Arial"/>
          <w:bCs/>
          <w:sz w:val="18"/>
          <w:szCs w:val="18"/>
        </w:rPr>
        <w:t>n.v.t.</w:t>
      </w:r>
    </w:p>
    <w:p w:rsidR="006E08A8" w:rsidP="006E08A8" w:rsidRDefault="006E08A8">
      <w:pPr>
        <w:pStyle w:val="Plattetekst"/>
        <w:spacing w:after="0" w:line="360" w:lineRule="auto"/>
        <w:jc w:val="both"/>
        <w:rPr>
          <w:rFonts w:ascii="Verdana" w:hAnsi="Verdana"/>
          <w:bCs/>
          <w:sz w:val="18"/>
          <w:szCs w:val="18"/>
        </w:rPr>
      </w:pPr>
      <w:r>
        <w:rPr>
          <w:rFonts w:ascii="Verdana" w:hAnsi="Verdana" w:eastAsia="Calibri" w:cs="Arial"/>
          <w:b/>
          <w:bCs/>
          <w:sz w:val="18"/>
          <w:szCs w:val="18"/>
        </w:rPr>
        <w:t>Toelichting:</w:t>
      </w:r>
    </w:p>
    <w:p w:rsidR="006E08A8" w:rsidP="001D03DC" w:rsidRDefault="006E08A8">
      <w:pPr>
        <w:spacing w:line="360" w:lineRule="auto"/>
        <w:jc w:val="both"/>
        <w:rPr>
          <w:szCs w:val="18"/>
        </w:rPr>
      </w:pPr>
      <w:r>
        <w:rPr>
          <w:iCs/>
        </w:rPr>
        <w:t xml:space="preserve">Eerder is aan de Tweede Kamer gemeld dat </w:t>
      </w:r>
      <w:r w:rsidR="00795DEB">
        <w:rPr>
          <w:iCs/>
        </w:rPr>
        <w:t>door de Raad</w:t>
      </w:r>
      <w:r>
        <w:rPr>
          <w:iCs/>
        </w:rPr>
        <w:t xml:space="preserve"> een aparte werkgroep is opgericht die kijkt naar de problematiek rondom niet-presterende leningen (</w:t>
      </w:r>
      <w:proofErr w:type="spellStart"/>
      <w:r>
        <w:rPr>
          <w:iCs/>
        </w:rPr>
        <w:t>NPLs</w:t>
      </w:r>
      <w:proofErr w:type="spellEnd"/>
      <w:r>
        <w:rPr>
          <w:iCs/>
        </w:rPr>
        <w:t>).</w:t>
      </w:r>
      <w:r>
        <w:rPr>
          <w:rStyle w:val="Voetnootmarkering"/>
          <w:iCs/>
        </w:rPr>
        <w:footnoteReference w:id="3"/>
      </w:r>
      <w:r>
        <w:rPr>
          <w:iCs/>
        </w:rPr>
        <w:t xml:space="preserve"> In deze werkgroep wordt onder andere op basis van ervaring van landen zelf, gesproken over de mogelijkheden om </w:t>
      </w:r>
      <w:proofErr w:type="spellStart"/>
      <w:r>
        <w:rPr>
          <w:iCs/>
        </w:rPr>
        <w:t>NPLs</w:t>
      </w:r>
      <w:proofErr w:type="spellEnd"/>
      <w:r>
        <w:rPr>
          <w:iCs/>
        </w:rPr>
        <w:t xml:space="preserve"> aan te pakken binnen de regels van de bankenunie. Het eindrapport van deze werkgroep bevindt zich op dit moment in de afrondende fase. Het Maltese voorzitterschap bereidt een discussiepaper voor, op basis waarvan de ministers zullen spreken over </w:t>
      </w:r>
      <w:proofErr w:type="spellStart"/>
      <w:r>
        <w:rPr>
          <w:iCs/>
        </w:rPr>
        <w:t>NPLs</w:t>
      </w:r>
      <w:proofErr w:type="spellEnd"/>
      <w:r>
        <w:rPr>
          <w:iCs/>
        </w:rPr>
        <w:t xml:space="preserve">. Nederland acht aanpak van </w:t>
      </w:r>
      <w:proofErr w:type="spellStart"/>
      <w:r>
        <w:rPr>
          <w:iCs/>
        </w:rPr>
        <w:t>NPLs</w:t>
      </w:r>
      <w:proofErr w:type="spellEnd"/>
      <w:r>
        <w:rPr>
          <w:iCs/>
        </w:rPr>
        <w:t xml:space="preserve"> van groot belang, </w:t>
      </w:r>
      <w:r w:rsidR="00587D49">
        <w:rPr>
          <w:iCs/>
        </w:rPr>
        <w:t>en</w:t>
      </w:r>
      <w:r>
        <w:rPr>
          <w:iCs/>
        </w:rPr>
        <w:t xml:space="preserve"> vindt dat de </w:t>
      </w:r>
      <w:r>
        <w:t xml:space="preserve">oplossingen voor </w:t>
      </w:r>
      <w:proofErr w:type="spellStart"/>
      <w:r>
        <w:t>NPLs</w:t>
      </w:r>
      <w:proofErr w:type="spellEnd"/>
      <w:r>
        <w:t xml:space="preserve"> in de eerste plaats bij banken zelf liggen. Nederland zal tijdens de informele </w:t>
      </w:r>
      <w:proofErr w:type="spellStart"/>
      <w:r>
        <w:t>Ecofinraad</w:t>
      </w:r>
      <w:proofErr w:type="spellEnd"/>
      <w:r>
        <w:t xml:space="preserve"> het belang van adequaat toezicht en meer transparantie benadrukken. </w:t>
      </w:r>
    </w:p>
    <w:p w:rsidR="00E31B67" w:rsidP="00E31B67" w:rsidRDefault="00E31B67">
      <w:pPr>
        <w:spacing w:line="360" w:lineRule="auto"/>
        <w:jc w:val="both"/>
        <w:rPr>
          <w:b/>
          <w:bCs/>
        </w:rPr>
      </w:pPr>
      <w:r>
        <w:rPr>
          <w:b/>
          <w:bCs/>
        </w:rPr>
        <w:t xml:space="preserve">De rol van EU-instellingen bij private investeringen in </w:t>
      </w:r>
      <w:proofErr w:type="spellStart"/>
      <w:r>
        <w:rPr>
          <w:b/>
          <w:bCs/>
        </w:rPr>
        <w:t>Noord-Afrika</w:t>
      </w:r>
      <w:proofErr w:type="spellEnd"/>
      <w:r>
        <w:rPr>
          <w:b/>
          <w:bCs/>
        </w:rPr>
        <w:t xml:space="preserve"> en omstreken</w:t>
      </w:r>
    </w:p>
    <w:p w:rsidR="00E31B67" w:rsidP="00E31B67" w:rsidRDefault="00E31B67">
      <w:pPr>
        <w:spacing w:after="0" w:line="360" w:lineRule="auto"/>
        <w:jc w:val="both"/>
      </w:pPr>
      <w:r>
        <w:rPr>
          <w:b/>
          <w:bCs/>
        </w:rPr>
        <w:t xml:space="preserve">Document: </w:t>
      </w:r>
      <w:r>
        <w:t>nog niet beschikbaar</w:t>
      </w:r>
    </w:p>
    <w:p w:rsidR="00E31B67" w:rsidP="00E31B67" w:rsidRDefault="00E31B67">
      <w:pPr>
        <w:spacing w:after="0" w:line="360" w:lineRule="auto"/>
        <w:jc w:val="both"/>
      </w:pPr>
      <w:r>
        <w:rPr>
          <w:b/>
          <w:bCs/>
        </w:rPr>
        <w:t xml:space="preserve">Aard bespreking: </w:t>
      </w:r>
      <w:r>
        <w:t>Gedachtewisseling</w:t>
      </w:r>
    </w:p>
    <w:p w:rsidR="00E31B67" w:rsidP="00E31B67" w:rsidRDefault="00E31B67">
      <w:pPr>
        <w:spacing w:after="0" w:line="360" w:lineRule="auto"/>
        <w:jc w:val="both"/>
      </w:pPr>
      <w:r>
        <w:rPr>
          <w:b/>
          <w:bCs/>
        </w:rPr>
        <w:t xml:space="preserve">Besluitvormingsprocedure: </w:t>
      </w:r>
      <w:r>
        <w:t>n.v.t.</w:t>
      </w:r>
    </w:p>
    <w:p w:rsidR="00E31B67" w:rsidP="00E31B67" w:rsidRDefault="00E31B67">
      <w:pPr>
        <w:pStyle w:val="Plattetekst"/>
        <w:spacing w:after="0" w:line="360" w:lineRule="auto"/>
        <w:jc w:val="both"/>
        <w:rPr>
          <w:rFonts w:ascii="Verdana" w:hAnsi="Verdana"/>
          <w:b/>
          <w:bCs/>
          <w:sz w:val="18"/>
          <w:szCs w:val="18"/>
        </w:rPr>
      </w:pPr>
      <w:r>
        <w:rPr>
          <w:rFonts w:ascii="Verdana" w:hAnsi="Verdana"/>
          <w:b/>
          <w:bCs/>
          <w:sz w:val="18"/>
          <w:szCs w:val="18"/>
        </w:rPr>
        <w:t xml:space="preserve">Toelichting: </w:t>
      </w:r>
    </w:p>
    <w:p w:rsidRPr="00AB3769" w:rsidR="009A7918" w:rsidP="007A6D6E" w:rsidRDefault="00E31B67">
      <w:pPr>
        <w:pStyle w:val="Plattetekst"/>
        <w:spacing w:after="0" w:line="360" w:lineRule="auto"/>
        <w:jc w:val="both"/>
        <w:rPr>
          <w:bCs/>
          <w:szCs w:val="18"/>
        </w:rPr>
      </w:pPr>
      <w:r>
        <w:rPr>
          <w:rFonts w:ascii="Verdana" w:hAnsi="Verdana"/>
          <w:sz w:val="18"/>
          <w:szCs w:val="18"/>
        </w:rPr>
        <w:t xml:space="preserve">In de informele </w:t>
      </w:r>
      <w:proofErr w:type="spellStart"/>
      <w:r>
        <w:rPr>
          <w:rFonts w:ascii="Verdana" w:hAnsi="Verdana"/>
          <w:sz w:val="18"/>
          <w:szCs w:val="18"/>
        </w:rPr>
        <w:t>Ecofinraad</w:t>
      </w:r>
      <w:proofErr w:type="spellEnd"/>
      <w:r>
        <w:rPr>
          <w:rFonts w:ascii="Verdana" w:hAnsi="Verdana"/>
          <w:sz w:val="18"/>
          <w:szCs w:val="18"/>
        </w:rPr>
        <w:t xml:space="preserve"> zal gesproken worden over het bevorderen van private investeringen in </w:t>
      </w:r>
      <w:proofErr w:type="spellStart"/>
      <w:r>
        <w:rPr>
          <w:rFonts w:ascii="Verdana" w:hAnsi="Verdana"/>
          <w:sz w:val="18"/>
          <w:szCs w:val="18"/>
        </w:rPr>
        <w:t>Noord-Afrika</w:t>
      </w:r>
      <w:proofErr w:type="spellEnd"/>
      <w:r>
        <w:rPr>
          <w:rFonts w:ascii="Verdana" w:hAnsi="Verdana"/>
          <w:sz w:val="18"/>
          <w:szCs w:val="18"/>
        </w:rPr>
        <w:t xml:space="preserve"> en omstreken, ook gelet op het belang van stabiliteit in deze regio voor de EU. De discussie zal plaatsvinden op basis van een discussiepaper (nog niet beschikbaar). Vertegenwoordigers van de EIB, de EBRD, de Wereldbank en denktank </w:t>
      </w:r>
      <w:proofErr w:type="spellStart"/>
      <w:r>
        <w:rPr>
          <w:rFonts w:ascii="Verdana" w:hAnsi="Verdana"/>
          <w:sz w:val="18"/>
          <w:szCs w:val="18"/>
        </w:rPr>
        <w:t>Bruegel</w:t>
      </w:r>
      <w:proofErr w:type="spellEnd"/>
      <w:r>
        <w:rPr>
          <w:rFonts w:ascii="Verdana" w:hAnsi="Verdana"/>
          <w:sz w:val="18"/>
          <w:szCs w:val="18"/>
        </w:rPr>
        <w:t xml:space="preserve"> zullen ook deelnemen aan de discussie.   </w:t>
      </w:r>
    </w:p>
    <w:sectPr w:rsidRPr="00AB3769" w:rsidR="009A7918" w:rsidSect="006259A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71F" w:rsidRDefault="00D4471F" w:rsidP="00277A87">
      <w:pPr>
        <w:spacing w:after="0" w:line="240" w:lineRule="auto"/>
      </w:pPr>
      <w:r>
        <w:separator/>
      </w:r>
    </w:p>
  </w:endnote>
  <w:endnote w:type="continuationSeparator" w:id="0">
    <w:p w:rsidR="00D4471F" w:rsidRDefault="00D4471F" w:rsidP="00277A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918" w:rsidRDefault="009A7918">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918" w:rsidRDefault="009A7918">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918" w:rsidRDefault="009A791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71F" w:rsidRDefault="00D4471F" w:rsidP="00277A87">
      <w:pPr>
        <w:spacing w:after="0" w:line="240" w:lineRule="auto"/>
      </w:pPr>
      <w:r>
        <w:separator/>
      </w:r>
    </w:p>
  </w:footnote>
  <w:footnote w:type="continuationSeparator" w:id="0">
    <w:p w:rsidR="00D4471F" w:rsidRDefault="00D4471F" w:rsidP="00277A87">
      <w:pPr>
        <w:spacing w:after="0" w:line="240" w:lineRule="auto"/>
      </w:pPr>
      <w:r>
        <w:continuationSeparator/>
      </w:r>
    </w:p>
  </w:footnote>
  <w:footnote w:id="1">
    <w:p w:rsidR="009A7918" w:rsidRPr="0088409F" w:rsidRDefault="009A7918" w:rsidP="003C0823">
      <w:pPr>
        <w:pStyle w:val="Voetnoottekst"/>
        <w:rPr>
          <w:sz w:val="13"/>
          <w:szCs w:val="13"/>
        </w:rPr>
      </w:pPr>
      <w:r w:rsidRPr="006E08A8">
        <w:rPr>
          <w:rStyle w:val="Voetnootmarkering"/>
          <w:sz w:val="16"/>
          <w:szCs w:val="13"/>
        </w:rPr>
        <w:footnoteRef/>
      </w:r>
      <w:r w:rsidRPr="006E08A8">
        <w:rPr>
          <w:sz w:val="16"/>
          <w:szCs w:val="13"/>
        </w:rPr>
        <w:t xml:space="preserve"> Zie ook de brief van de minister van Financiën aan </w:t>
      </w:r>
      <w:proofErr w:type="spellStart"/>
      <w:r w:rsidRPr="006E08A8">
        <w:rPr>
          <w:sz w:val="16"/>
          <w:szCs w:val="13"/>
        </w:rPr>
        <w:t>Danièle</w:t>
      </w:r>
      <w:proofErr w:type="spellEnd"/>
      <w:r w:rsidRPr="006E08A8">
        <w:rPr>
          <w:sz w:val="16"/>
          <w:szCs w:val="13"/>
        </w:rPr>
        <w:t xml:space="preserve"> </w:t>
      </w:r>
      <w:proofErr w:type="spellStart"/>
      <w:r w:rsidRPr="006E08A8">
        <w:rPr>
          <w:sz w:val="16"/>
          <w:szCs w:val="13"/>
        </w:rPr>
        <w:t>Nouy</w:t>
      </w:r>
      <w:proofErr w:type="spellEnd"/>
      <w:r w:rsidRPr="006E08A8">
        <w:rPr>
          <w:sz w:val="16"/>
          <w:szCs w:val="13"/>
        </w:rPr>
        <w:t xml:space="preserve"> in Kamerstukken II, 2016-2017, 22 112, nr.</w:t>
      </w:r>
      <w:r w:rsidR="00AB3769">
        <w:rPr>
          <w:sz w:val="16"/>
          <w:szCs w:val="13"/>
        </w:rPr>
        <w:t xml:space="preserve"> </w:t>
      </w:r>
      <w:r w:rsidRPr="006E08A8">
        <w:rPr>
          <w:sz w:val="16"/>
          <w:szCs w:val="13"/>
        </w:rPr>
        <w:t>2323.</w:t>
      </w:r>
    </w:p>
  </w:footnote>
  <w:footnote w:id="2">
    <w:p w:rsidR="009A7918" w:rsidRPr="0088409F" w:rsidRDefault="009A7918" w:rsidP="003C0823">
      <w:pPr>
        <w:pStyle w:val="Voetnoottekst"/>
        <w:rPr>
          <w:sz w:val="13"/>
          <w:szCs w:val="13"/>
        </w:rPr>
      </w:pPr>
      <w:r w:rsidRPr="006E08A8">
        <w:rPr>
          <w:rStyle w:val="Voetnootmarkering"/>
          <w:sz w:val="16"/>
          <w:szCs w:val="13"/>
        </w:rPr>
        <w:footnoteRef/>
      </w:r>
      <w:r w:rsidRPr="006E08A8">
        <w:rPr>
          <w:sz w:val="16"/>
          <w:szCs w:val="13"/>
        </w:rPr>
        <w:t xml:space="preserve"> Kamerstukken II, 2016-2017, 22 112, nr.2323.</w:t>
      </w:r>
    </w:p>
  </w:footnote>
  <w:footnote w:id="3">
    <w:p w:rsidR="009A7918" w:rsidRPr="006E08A8" w:rsidRDefault="009A7918" w:rsidP="006E08A8">
      <w:pPr>
        <w:pStyle w:val="Voetnoottekst"/>
        <w:rPr>
          <w:sz w:val="16"/>
          <w:szCs w:val="16"/>
        </w:rPr>
      </w:pPr>
      <w:r w:rsidRPr="006E08A8">
        <w:rPr>
          <w:rStyle w:val="Voetnootmarkering"/>
          <w:sz w:val="16"/>
          <w:szCs w:val="16"/>
        </w:rPr>
        <w:footnoteRef/>
      </w:r>
      <w:r w:rsidRPr="006E08A8">
        <w:rPr>
          <w:sz w:val="16"/>
          <w:szCs w:val="16"/>
        </w:rPr>
        <w:t xml:space="preserve"> Kamerstukken II, 2016-2017, 22 112, nr.2323.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918" w:rsidRDefault="009A7918">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918" w:rsidRDefault="009A7918">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918" w:rsidRDefault="009A7918">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7C8012D3"/>
    <w:multiLevelType w:val="multilevel"/>
    <w:tmpl w:val="B34843D8"/>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4)"/>
      <w:lvlJc w:val="left"/>
      <w:pPr>
        <w:ind w:left="1134" w:hanging="1134"/>
      </w:pPr>
      <w:rPr>
        <w:rFonts w:hint="default"/>
      </w:rPr>
    </w:lvl>
    <w:lvl w:ilvl="4">
      <w:start w:val="1"/>
      <w:numFmt w:val="lowerLetter"/>
      <w:lvlText w:val="(%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3">
    <w:nsid w:val="7D575377"/>
    <w:multiLevelType w:val="hybridMultilevel"/>
    <w:tmpl w:val="6748975C"/>
    <w:lvl w:ilvl="0" w:tplc="4CF24F60">
      <w:start w:val="1"/>
      <w:numFmt w:val="bullet"/>
      <w:lvlText w:val=""/>
      <w:lvlJc w:val="left"/>
      <w:pPr>
        <w:ind w:left="360" w:hanging="360"/>
      </w:pPr>
      <w:rPr>
        <w:rFonts w:ascii="Symbol" w:hAnsi="Symbol" w:hint="default"/>
      </w:rPr>
    </w:lvl>
    <w:lvl w:ilvl="1" w:tplc="9D6A9676">
      <w:start w:val="1"/>
      <w:numFmt w:val="bullet"/>
      <w:lvlText w:val="o"/>
      <w:lvlJc w:val="left"/>
      <w:pPr>
        <w:ind w:left="1080" w:hanging="360"/>
      </w:pPr>
      <w:rPr>
        <w:rFonts w:ascii="Courier New" w:hAnsi="Courier New" w:cs="Courier New" w:hint="default"/>
      </w:rPr>
    </w:lvl>
    <w:lvl w:ilvl="2" w:tplc="A2F2B0F8" w:tentative="1">
      <w:start w:val="1"/>
      <w:numFmt w:val="bullet"/>
      <w:lvlText w:val=""/>
      <w:lvlJc w:val="left"/>
      <w:pPr>
        <w:ind w:left="1800" w:hanging="360"/>
      </w:pPr>
      <w:rPr>
        <w:rFonts w:ascii="Wingdings" w:hAnsi="Wingdings" w:hint="default"/>
      </w:rPr>
    </w:lvl>
    <w:lvl w:ilvl="3" w:tplc="878453EE" w:tentative="1">
      <w:start w:val="1"/>
      <w:numFmt w:val="bullet"/>
      <w:lvlText w:val=""/>
      <w:lvlJc w:val="left"/>
      <w:pPr>
        <w:ind w:left="2520" w:hanging="360"/>
      </w:pPr>
      <w:rPr>
        <w:rFonts w:ascii="Symbol" w:hAnsi="Symbol" w:hint="default"/>
      </w:rPr>
    </w:lvl>
    <w:lvl w:ilvl="4" w:tplc="69CE70B0" w:tentative="1">
      <w:start w:val="1"/>
      <w:numFmt w:val="bullet"/>
      <w:lvlText w:val="o"/>
      <w:lvlJc w:val="left"/>
      <w:pPr>
        <w:ind w:left="3240" w:hanging="360"/>
      </w:pPr>
      <w:rPr>
        <w:rFonts w:ascii="Courier New" w:hAnsi="Courier New" w:cs="Courier New" w:hint="default"/>
      </w:rPr>
    </w:lvl>
    <w:lvl w:ilvl="5" w:tplc="88664E54" w:tentative="1">
      <w:start w:val="1"/>
      <w:numFmt w:val="bullet"/>
      <w:lvlText w:val=""/>
      <w:lvlJc w:val="left"/>
      <w:pPr>
        <w:ind w:left="3960" w:hanging="360"/>
      </w:pPr>
      <w:rPr>
        <w:rFonts w:ascii="Wingdings" w:hAnsi="Wingdings" w:hint="default"/>
      </w:rPr>
    </w:lvl>
    <w:lvl w:ilvl="6" w:tplc="3A9CC202" w:tentative="1">
      <w:start w:val="1"/>
      <w:numFmt w:val="bullet"/>
      <w:lvlText w:val=""/>
      <w:lvlJc w:val="left"/>
      <w:pPr>
        <w:ind w:left="4680" w:hanging="360"/>
      </w:pPr>
      <w:rPr>
        <w:rFonts w:ascii="Symbol" w:hAnsi="Symbol" w:hint="default"/>
      </w:rPr>
    </w:lvl>
    <w:lvl w:ilvl="7" w:tplc="40FEB584" w:tentative="1">
      <w:start w:val="1"/>
      <w:numFmt w:val="bullet"/>
      <w:lvlText w:val="o"/>
      <w:lvlJc w:val="left"/>
      <w:pPr>
        <w:ind w:left="5400" w:hanging="360"/>
      </w:pPr>
      <w:rPr>
        <w:rFonts w:ascii="Courier New" w:hAnsi="Courier New" w:cs="Courier New" w:hint="default"/>
      </w:rPr>
    </w:lvl>
    <w:lvl w:ilvl="8" w:tplc="28049872" w:tentative="1">
      <w:start w:val="1"/>
      <w:numFmt w:val="bullet"/>
      <w:lvlText w:val=""/>
      <w:lvlJc w:val="left"/>
      <w:pPr>
        <w:ind w:left="6120" w:hanging="360"/>
      </w:pPr>
      <w:rPr>
        <w:rFonts w:ascii="Wingdings" w:hAnsi="Wingdings" w:hint="default"/>
      </w:rPr>
    </w:lvl>
  </w:abstractNum>
  <w:num w:numId="1">
    <w:abstractNumId w:val="1"/>
  </w:num>
  <w:num w:numId="2">
    <w:abstractNumId w:val="1"/>
  </w:num>
  <w:num w:numId="3">
    <w:abstractNumId w:val="3"/>
  </w:num>
  <w:num w:numId="4">
    <w:abstractNumId w:val="1"/>
  </w:num>
  <w:num w:numId="5">
    <w:abstractNumId w:val="1"/>
  </w:num>
  <w:num w:numId="6">
    <w:abstractNumId w:val="3"/>
  </w:num>
  <w:num w:numId="7">
    <w:abstractNumId w:val="1"/>
  </w:num>
  <w:num w:numId="8">
    <w:abstractNumId w:val="1"/>
  </w:num>
  <w:num w:numId="9">
    <w:abstractNumId w:val="1"/>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1"/>
    <w:footnote w:id="0"/>
  </w:footnotePr>
  <w:endnotePr>
    <w:endnote w:id="-1"/>
    <w:endnote w:id="0"/>
  </w:endnotePr>
  <w:compat/>
  <w:rsids>
    <w:rsidRoot w:val="006259A7"/>
    <w:rsid w:val="0001794B"/>
    <w:rsid w:val="000421BD"/>
    <w:rsid w:val="00045583"/>
    <w:rsid w:val="00082E1D"/>
    <w:rsid w:val="000848DF"/>
    <w:rsid w:val="00092A9E"/>
    <w:rsid w:val="000D3253"/>
    <w:rsid w:val="001679B6"/>
    <w:rsid w:val="001A564D"/>
    <w:rsid w:val="001C0013"/>
    <w:rsid w:val="001C5A34"/>
    <w:rsid w:val="001D03DC"/>
    <w:rsid w:val="00277A87"/>
    <w:rsid w:val="002D5AE4"/>
    <w:rsid w:val="003562DD"/>
    <w:rsid w:val="00362AB7"/>
    <w:rsid w:val="003730E2"/>
    <w:rsid w:val="003C0823"/>
    <w:rsid w:val="003C601A"/>
    <w:rsid w:val="003F3A29"/>
    <w:rsid w:val="00424619"/>
    <w:rsid w:val="00437E90"/>
    <w:rsid w:val="00501842"/>
    <w:rsid w:val="005141FD"/>
    <w:rsid w:val="00575236"/>
    <w:rsid w:val="00587D49"/>
    <w:rsid w:val="005E0317"/>
    <w:rsid w:val="006259A7"/>
    <w:rsid w:val="00637B66"/>
    <w:rsid w:val="00653A72"/>
    <w:rsid w:val="00682028"/>
    <w:rsid w:val="006E08A8"/>
    <w:rsid w:val="006F1533"/>
    <w:rsid w:val="0070505E"/>
    <w:rsid w:val="00723B70"/>
    <w:rsid w:val="00726152"/>
    <w:rsid w:val="007460A1"/>
    <w:rsid w:val="00795DEB"/>
    <w:rsid w:val="007A6D6E"/>
    <w:rsid w:val="007E3799"/>
    <w:rsid w:val="00800F0A"/>
    <w:rsid w:val="00820C8C"/>
    <w:rsid w:val="008351C2"/>
    <w:rsid w:val="008660BB"/>
    <w:rsid w:val="008C54D8"/>
    <w:rsid w:val="008C691C"/>
    <w:rsid w:val="008D311F"/>
    <w:rsid w:val="00955BED"/>
    <w:rsid w:val="009A64E7"/>
    <w:rsid w:val="009A7918"/>
    <w:rsid w:val="00A4768C"/>
    <w:rsid w:val="00A8322B"/>
    <w:rsid w:val="00AB3769"/>
    <w:rsid w:val="00B84AA7"/>
    <w:rsid w:val="00C437C0"/>
    <w:rsid w:val="00C526F4"/>
    <w:rsid w:val="00CC21BE"/>
    <w:rsid w:val="00CC2554"/>
    <w:rsid w:val="00CD7DD3"/>
    <w:rsid w:val="00D25492"/>
    <w:rsid w:val="00D4471F"/>
    <w:rsid w:val="00D93B73"/>
    <w:rsid w:val="00DB3D2D"/>
    <w:rsid w:val="00DC51D1"/>
    <w:rsid w:val="00DF05D1"/>
    <w:rsid w:val="00E31B67"/>
    <w:rsid w:val="00E37081"/>
    <w:rsid w:val="00E42CC2"/>
    <w:rsid w:val="00E574B1"/>
    <w:rsid w:val="00E57896"/>
    <w:rsid w:val="00EB5092"/>
    <w:rsid w:val="00F240DB"/>
    <w:rsid w:val="00F5506B"/>
    <w:rsid w:val="00F77E8C"/>
    <w:rsid w:val="00FA279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259A7"/>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277A87"/>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277A87"/>
    <w:rPr>
      <w:rFonts w:ascii="Verdana" w:hAnsi="Verdana"/>
      <w:sz w:val="18"/>
    </w:rPr>
  </w:style>
  <w:style w:type="paragraph" w:styleId="Voettekst">
    <w:name w:val="footer"/>
    <w:basedOn w:val="Standaard"/>
    <w:link w:val="VoettekstChar"/>
    <w:uiPriority w:val="99"/>
    <w:semiHidden/>
    <w:unhideWhenUsed/>
    <w:rsid w:val="00277A8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277A87"/>
    <w:rPr>
      <w:rFonts w:ascii="Verdana" w:hAnsi="Verdana"/>
      <w:sz w:val="18"/>
    </w:rPr>
  </w:style>
  <w:style w:type="paragraph" w:styleId="Plattetekst">
    <w:name w:val="Body Text"/>
    <w:basedOn w:val="Standaard"/>
    <w:link w:val="PlattetekstChar"/>
    <w:rsid w:val="00DB3D2D"/>
    <w:pPr>
      <w:spacing w:after="120" w:line="240" w:lineRule="auto"/>
    </w:pPr>
    <w:rPr>
      <w:rFonts w:ascii="Times New Roman" w:eastAsia="Times New Roman" w:hAnsi="Times New Roman" w:cs="Times New Roman"/>
      <w:sz w:val="24"/>
      <w:szCs w:val="24"/>
      <w:lang w:eastAsia="nl-NL"/>
    </w:rPr>
  </w:style>
  <w:style w:type="character" w:customStyle="1" w:styleId="PlattetekstChar">
    <w:name w:val="Platte tekst Char"/>
    <w:basedOn w:val="Standaardalinea-lettertype"/>
    <w:link w:val="Plattetekst"/>
    <w:rsid w:val="00DB3D2D"/>
    <w:rPr>
      <w:rFonts w:ascii="Times New Roman" w:eastAsia="Times New Roman" w:hAnsi="Times New Roman" w:cs="Times New Roman"/>
      <w:sz w:val="24"/>
      <w:szCs w:val="24"/>
      <w:lang w:eastAsia="nl-NL"/>
    </w:rPr>
  </w:style>
  <w:style w:type="paragraph" w:customStyle="1" w:styleId="Spreekpunten">
    <w:name w:val="Spreekpunten"/>
    <w:basedOn w:val="Standaard"/>
    <w:rsid w:val="001A564D"/>
    <w:pPr>
      <w:numPr>
        <w:numId w:val="17"/>
      </w:numPr>
      <w:spacing w:after="0" w:line="360" w:lineRule="auto"/>
    </w:pPr>
    <w:rPr>
      <w:rFonts w:ascii="Times New Roman" w:eastAsia="Times New Roman" w:hAnsi="Times New Roman" w:cs="Times New Roman"/>
      <w:bCs/>
      <w:sz w:val="28"/>
      <w:szCs w:val="20"/>
      <w:lang w:val="en-GB" w:eastAsia="nl-NL"/>
    </w:rPr>
  </w:style>
  <w:style w:type="paragraph" w:customStyle="1" w:styleId="Default">
    <w:name w:val="Default"/>
    <w:basedOn w:val="Standaard"/>
    <w:rsid w:val="001A564D"/>
    <w:pPr>
      <w:autoSpaceDE w:val="0"/>
      <w:autoSpaceDN w:val="0"/>
      <w:spacing w:after="0" w:line="240" w:lineRule="auto"/>
    </w:pPr>
    <w:rPr>
      <w:rFonts w:cs="Times New Roman"/>
      <w:color w:val="000000"/>
      <w:sz w:val="24"/>
      <w:szCs w:val="24"/>
      <w:lang w:eastAsia="nl-NL"/>
    </w:rPr>
  </w:style>
  <w:style w:type="paragraph" w:styleId="Ballontekst">
    <w:name w:val="Balloon Text"/>
    <w:basedOn w:val="Standaard"/>
    <w:link w:val="BallontekstChar"/>
    <w:uiPriority w:val="99"/>
    <w:semiHidden/>
    <w:unhideWhenUsed/>
    <w:rsid w:val="003730E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730E2"/>
    <w:rPr>
      <w:rFonts w:ascii="Tahoma" w:hAnsi="Tahoma" w:cs="Tahoma"/>
      <w:sz w:val="16"/>
      <w:szCs w:val="16"/>
    </w:rPr>
  </w:style>
  <w:style w:type="paragraph" w:styleId="Voetnoottekst">
    <w:name w:val="footnote text"/>
    <w:basedOn w:val="Standaard"/>
    <w:link w:val="VoetnoottekstChar"/>
    <w:uiPriority w:val="99"/>
    <w:semiHidden/>
    <w:unhideWhenUsed/>
    <w:rsid w:val="003C0823"/>
    <w:pPr>
      <w:spacing w:after="0" w:line="240" w:lineRule="auto"/>
    </w:pPr>
    <w:rPr>
      <w:rFonts w:cs="Times New Roman"/>
      <w:sz w:val="20"/>
      <w:szCs w:val="20"/>
    </w:rPr>
  </w:style>
  <w:style w:type="character" w:customStyle="1" w:styleId="VoetnoottekstChar">
    <w:name w:val="Voetnoottekst Char"/>
    <w:basedOn w:val="Standaardalinea-lettertype"/>
    <w:link w:val="Voetnoottekst"/>
    <w:uiPriority w:val="99"/>
    <w:semiHidden/>
    <w:rsid w:val="003C0823"/>
    <w:rPr>
      <w:rFonts w:ascii="Verdana" w:hAnsi="Verdana" w:cs="Times New Roman"/>
      <w:sz w:val="20"/>
      <w:szCs w:val="20"/>
    </w:rPr>
  </w:style>
  <w:style w:type="character" w:styleId="Voetnootmarkering">
    <w:name w:val="footnote reference"/>
    <w:basedOn w:val="Standaardalinea-lettertype"/>
    <w:uiPriority w:val="99"/>
    <w:semiHidden/>
    <w:unhideWhenUsed/>
    <w:rsid w:val="003C0823"/>
    <w:rPr>
      <w:vertAlign w:val="superscript"/>
    </w:rPr>
  </w:style>
  <w:style w:type="character" w:styleId="Nadruk">
    <w:name w:val="Emphasis"/>
    <w:basedOn w:val="Standaardalinea-lettertype"/>
    <w:uiPriority w:val="20"/>
    <w:qFormat/>
    <w:rsid w:val="003C082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6029927">
      <w:bodyDiv w:val="1"/>
      <w:marLeft w:val="0"/>
      <w:marRight w:val="0"/>
      <w:marTop w:val="0"/>
      <w:marBottom w:val="0"/>
      <w:divBdr>
        <w:top w:val="none" w:sz="0" w:space="0" w:color="auto"/>
        <w:left w:val="none" w:sz="0" w:space="0" w:color="auto"/>
        <w:bottom w:val="none" w:sz="0" w:space="0" w:color="auto"/>
        <w:right w:val="none" w:sz="0" w:space="0" w:color="auto"/>
      </w:divBdr>
    </w:div>
    <w:div w:id="518280432">
      <w:bodyDiv w:val="1"/>
      <w:marLeft w:val="0"/>
      <w:marRight w:val="0"/>
      <w:marTop w:val="0"/>
      <w:marBottom w:val="0"/>
      <w:divBdr>
        <w:top w:val="none" w:sz="0" w:space="0" w:color="auto"/>
        <w:left w:val="none" w:sz="0" w:space="0" w:color="auto"/>
        <w:bottom w:val="none" w:sz="0" w:space="0" w:color="auto"/>
        <w:right w:val="none" w:sz="0" w:space="0" w:color="auto"/>
      </w:divBdr>
    </w:div>
    <w:div w:id="1322660119">
      <w:bodyDiv w:val="1"/>
      <w:marLeft w:val="0"/>
      <w:marRight w:val="0"/>
      <w:marTop w:val="0"/>
      <w:marBottom w:val="0"/>
      <w:divBdr>
        <w:top w:val="none" w:sz="0" w:space="0" w:color="auto"/>
        <w:left w:val="none" w:sz="0" w:space="0" w:color="auto"/>
        <w:bottom w:val="none" w:sz="0" w:space="0" w:color="auto"/>
        <w:right w:val="none" w:sz="0" w:space="0" w:color="auto"/>
      </w:divBdr>
    </w:div>
    <w:div w:id="1387341793">
      <w:bodyDiv w:val="1"/>
      <w:marLeft w:val="0"/>
      <w:marRight w:val="0"/>
      <w:marTop w:val="0"/>
      <w:marBottom w:val="0"/>
      <w:divBdr>
        <w:top w:val="none" w:sz="0" w:space="0" w:color="auto"/>
        <w:left w:val="none" w:sz="0" w:space="0" w:color="auto"/>
        <w:bottom w:val="none" w:sz="0" w:space="0" w:color="auto"/>
        <w:right w:val="none" w:sz="0" w:space="0" w:color="auto"/>
      </w:divBdr>
    </w:div>
    <w:div w:id="1412506393">
      <w:bodyDiv w:val="1"/>
      <w:marLeft w:val="0"/>
      <w:marRight w:val="0"/>
      <w:marTop w:val="0"/>
      <w:marBottom w:val="0"/>
      <w:divBdr>
        <w:top w:val="none" w:sz="0" w:space="0" w:color="auto"/>
        <w:left w:val="none" w:sz="0" w:space="0" w:color="auto"/>
        <w:bottom w:val="none" w:sz="0" w:space="0" w:color="auto"/>
        <w:right w:val="none" w:sz="0" w:space="0" w:color="auto"/>
      </w:divBdr>
    </w:div>
    <w:div w:id="1761364600">
      <w:bodyDiv w:val="1"/>
      <w:marLeft w:val="0"/>
      <w:marRight w:val="0"/>
      <w:marTop w:val="0"/>
      <w:marBottom w:val="0"/>
      <w:divBdr>
        <w:top w:val="none" w:sz="0" w:space="0" w:color="auto"/>
        <w:left w:val="none" w:sz="0" w:space="0" w:color="auto"/>
        <w:bottom w:val="none" w:sz="0" w:space="0" w:color="auto"/>
        <w:right w:val="none" w:sz="0" w:space="0" w:color="auto"/>
      </w:divBdr>
    </w:div>
    <w:div w:id="1770350484">
      <w:bodyDiv w:val="1"/>
      <w:marLeft w:val="0"/>
      <w:marRight w:val="0"/>
      <w:marTop w:val="0"/>
      <w:marBottom w:val="0"/>
      <w:divBdr>
        <w:top w:val="none" w:sz="0" w:space="0" w:color="auto"/>
        <w:left w:val="none" w:sz="0" w:space="0" w:color="auto"/>
        <w:bottom w:val="none" w:sz="0" w:space="0" w:color="auto"/>
        <w:right w:val="none" w:sz="0" w:space="0" w:color="auto"/>
      </w:divBdr>
    </w:div>
    <w:div w:id="1780484238">
      <w:bodyDiv w:val="1"/>
      <w:marLeft w:val="0"/>
      <w:marRight w:val="0"/>
      <w:marTop w:val="0"/>
      <w:marBottom w:val="0"/>
      <w:divBdr>
        <w:top w:val="none" w:sz="0" w:space="0" w:color="auto"/>
        <w:left w:val="none" w:sz="0" w:space="0" w:color="auto"/>
        <w:bottom w:val="none" w:sz="0" w:space="0" w:color="auto"/>
        <w:right w:val="none" w:sz="0" w:space="0" w:color="auto"/>
      </w:divBdr>
    </w:div>
    <w:div w:id="1911112340">
      <w:bodyDiv w:val="1"/>
      <w:marLeft w:val="0"/>
      <w:marRight w:val="0"/>
      <w:marTop w:val="0"/>
      <w:marBottom w:val="0"/>
      <w:divBdr>
        <w:top w:val="none" w:sz="0" w:space="0" w:color="auto"/>
        <w:left w:val="none" w:sz="0" w:space="0" w:color="auto"/>
        <w:bottom w:val="none" w:sz="0" w:space="0" w:color="auto"/>
        <w:right w:val="none" w:sz="0" w:space="0" w:color="auto"/>
      </w:divBdr>
    </w:div>
    <w:div w:id="210811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microsoft.com/office/2007/relationships/stylesWithEffects" Target="stylesWithEffects.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1583</ap:Words>
  <ap:Characters>8707</ap:Characters>
  <ap:DocSecurity>0</ap:DocSecurity>
  <ap:Lines>72</ap:Lines>
  <ap:Paragraphs>20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10270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2017-03-22T12:09:00.0000000Z</dcterms:created>
  <dcterms:modified xsi:type="dcterms:W3CDTF">2017-03-28T14:59:00.0000000Z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DocGen_Blanco document_nl_NL</vt:lpwstr>
  </property>
  <property fmtid="{D5CDD505-2E9C-101B-9397-08002B2CF9AE}" pid="3" name="Onderwerp">
    <vt:lpwstr>Geannoteerde agenda Eurogroep en Ecofin maart 2017</vt:lpwstr>
  </property>
  <property fmtid="{D5CDD505-2E9C-101B-9397-08002B2CF9AE}" pid="4" name="ContentTypeId">
    <vt:lpwstr>0x0101003A9E78656FDA4B4197D93D5BCB39B3DF</vt:lpwstr>
  </property>
</Properties>
</file>