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21D7" w:rsidR="000A21D7" w:rsidP="000A21D7" w:rsidRDefault="00A73653">
      <w:pPr>
        <w:pStyle w:val="Geenafstand"/>
        <w:jc w:val="center"/>
        <w:rPr>
          <w:b/>
          <w:lang w:val="nl-NL"/>
        </w:rPr>
      </w:pPr>
      <w:proofErr w:type="spellStart"/>
      <w:r w:rsidRPr="000A21D7">
        <w:rPr>
          <w:b/>
          <w:lang w:val="nl-NL"/>
        </w:rPr>
        <w:t>Postion</w:t>
      </w:r>
      <w:proofErr w:type="spellEnd"/>
      <w:r w:rsidRPr="000A21D7">
        <w:rPr>
          <w:b/>
          <w:lang w:val="nl-NL"/>
        </w:rPr>
        <w:t xml:space="preserve"> paper</w:t>
      </w:r>
    </w:p>
    <w:p w:rsidRPr="000A21D7" w:rsidR="003C2E28" w:rsidP="000A21D7" w:rsidRDefault="000A21D7">
      <w:pPr>
        <w:pStyle w:val="Geenafstand"/>
        <w:jc w:val="center"/>
        <w:rPr>
          <w:b/>
          <w:lang w:val="nl-NL"/>
        </w:rPr>
      </w:pPr>
      <w:r w:rsidRPr="000A21D7">
        <w:rPr>
          <w:b/>
          <w:lang w:val="nl-NL"/>
        </w:rPr>
        <w:t>Rondetafelgesprek Terrorismefinanciering – 7 februari 2017</w:t>
      </w:r>
    </w:p>
    <w:p w:rsidRPr="000A21D7" w:rsidR="00A73653" w:rsidP="000A21D7" w:rsidRDefault="00A73653">
      <w:pPr>
        <w:pStyle w:val="Geenafstand"/>
        <w:jc w:val="center"/>
        <w:rPr>
          <w:b/>
          <w:lang w:val="nl-NL"/>
        </w:rPr>
      </w:pPr>
      <w:r w:rsidRPr="000A21D7">
        <w:rPr>
          <w:b/>
          <w:lang w:val="nl-NL"/>
        </w:rPr>
        <w:t xml:space="preserve">Bijdrage van </w:t>
      </w:r>
      <w:r w:rsidRPr="000A21D7" w:rsidR="001A1105">
        <w:rPr>
          <w:b/>
          <w:lang w:val="nl-NL"/>
        </w:rPr>
        <w:t xml:space="preserve">Dr. </w:t>
      </w:r>
      <w:r w:rsidRPr="000A21D7">
        <w:rPr>
          <w:b/>
          <w:lang w:val="nl-NL"/>
        </w:rPr>
        <w:t>Mara Wesseling</w:t>
      </w:r>
      <w:r w:rsidR="000A21D7">
        <w:rPr>
          <w:rStyle w:val="Voetnootmarkering"/>
          <w:b/>
          <w:lang w:val="nl-NL"/>
        </w:rPr>
        <w:footnoteReference w:id="1"/>
      </w:r>
    </w:p>
    <w:p w:rsidR="00A73653" w:rsidP="00A73653" w:rsidRDefault="00A73653">
      <w:pPr>
        <w:pStyle w:val="Geenafstand"/>
        <w:rPr>
          <w:lang w:val="nl-NL"/>
        </w:rPr>
      </w:pPr>
    </w:p>
    <w:p w:rsidR="00A73653" w:rsidP="00A73653" w:rsidRDefault="00A73653">
      <w:pPr>
        <w:pStyle w:val="Geenafstand"/>
        <w:rPr>
          <w:lang w:val="nl-NL"/>
        </w:rPr>
      </w:pPr>
    </w:p>
    <w:p w:rsidR="00A73653" w:rsidP="00A73653" w:rsidRDefault="00BC0A6C">
      <w:pPr>
        <w:pStyle w:val="Geenafstand"/>
        <w:jc w:val="both"/>
        <w:rPr>
          <w:lang w:val="nl-NL"/>
        </w:rPr>
      </w:pPr>
      <w:r>
        <w:rPr>
          <w:lang w:val="nl-NL"/>
        </w:rPr>
        <w:t xml:space="preserve">Sinds de terroristische aanslagen van </w:t>
      </w:r>
      <w:r w:rsidR="00A73653">
        <w:rPr>
          <w:lang w:val="nl-NL"/>
        </w:rPr>
        <w:t>11</w:t>
      </w:r>
      <w:r>
        <w:rPr>
          <w:lang w:val="nl-NL"/>
        </w:rPr>
        <w:t xml:space="preserve"> September 2001</w:t>
      </w:r>
      <w:r w:rsidR="00A73653">
        <w:rPr>
          <w:lang w:val="nl-NL"/>
        </w:rPr>
        <w:t xml:space="preserve"> is het bestrijden van</w:t>
      </w:r>
      <w:r>
        <w:rPr>
          <w:lang w:val="nl-NL"/>
        </w:rPr>
        <w:t xml:space="preserve"> terrorisme</w:t>
      </w:r>
      <w:r w:rsidR="00A73653">
        <w:rPr>
          <w:lang w:val="nl-NL"/>
        </w:rPr>
        <w:t xml:space="preserve">financiering een van de speerpunten geworden in de internationale, Europese en nationale strijd tegen terrorisme. Centraal hierin zijn de veertig aanbevelingen van de Financial Action </w:t>
      </w:r>
      <w:proofErr w:type="spellStart"/>
      <w:r w:rsidR="00A73653">
        <w:rPr>
          <w:lang w:val="nl-NL"/>
        </w:rPr>
        <w:t>Task</w:t>
      </w:r>
      <w:proofErr w:type="spellEnd"/>
      <w:r w:rsidR="00A73653">
        <w:rPr>
          <w:lang w:val="nl-NL"/>
        </w:rPr>
        <w:t xml:space="preserve"> Force (FATF). De </w:t>
      </w:r>
      <w:r w:rsidR="00E770AF">
        <w:rPr>
          <w:lang w:val="nl-NL"/>
        </w:rPr>
        <w:t>in 2015</w:t>
      </w:r>
      <w:r w:rsidR="00A73653">
        <w:rPr>
          <w:lang w:val="nl-NL"/>
        </w:rPr>
        <w:t xml:space="preserve"> aangenomen Vierde Europese Richtlijn ter voorkoming van witwassen en terrorisme financiering zet het grootste deel van de FATF aanbevelingen (die ook </w:t>
      </w:r>
      <w:r w:rsidR="00CA0D21">
        <w:rPr>
          <w:lang w:val="nl-NL"/>
        </w:rPr>
        <w:t>de VN sancties voor het bevriezen van verdachte tegoeden</w:t>
      </w:r>
      <w:r w:rsidR="00A73653">
        <w:rPr>
          <w:lang w:val="nl-NL"/>
        </w:rPr>
        <w:t xml:space="preserve"> </w:t>
      </w:r>
      <w:r w:rsidR="00CA0D21">
        <w:rPr>
          <w:lang w:val="nl-NL"/>
        </w:rPr>
        <w:t xml:space="preserve">en de resoluties voor de criminalisering van terrorismefinanciering beslaan) om in Europese regelgeving. Deze richtlijn </w:t>
      </w:r>
      <w:r>
        <w:rPr>
          <w:lang w:val="nl-NL"/>
        </w:rPr>
        <w:t>is in Nederland vertaald in de W</w:t>
      </w:r>
      <w:r w:rsidR="00CA0D21">
        <w:rPr>
          <w:lang w:val="nl-NL"/>
        </w:rPr>
        <w:t>et ter voorkoming van Witwassen en Financiering van Terrorisme (WWFT- 2008)</w:t>
      </w:r>
      <w:r w:rsidR="00E770AF">
        <w:rPr>
          <w:lang w:val="nl-NL"/>
        </w:rPr>
        <w:t>.</w:t>
      </w:r>
      <w:r w:rsidR="00A73653">
        <w:rPr>
          <w:lang w:val="nl-NL"/>
        </w:rPr>
        <w:t xml:space="preserve">   </w:t>
      </w:r>
    </w:p>
    <w:p w:rsidR="00A73653" w:rsidP="00A73653" w:rsidRDefault="00A73653">
      <w:pPr>
        <w:pStyle w:val="Geenafstand"/>
        <w:jc w:val="both"/>
        <w:rPr>
          <w:lang w:val="nl-NL"/>
        </w:rPr>
      </w:pPr>
    </w:p>
    <w:p w:rsidR="001A1105" w:rsidP="00A73653" w:rsidRDefault="00CA0D21">
      <w:pPr>
        <w:pStyle w:val="Geenafstand"/>
        <w:jc w:val="both"/>
        <w:rPr>
          <w:lang w:val="nl-NL"/>
        </w:rPr>
      </w:pPr>
      <w:r>
        <w:rPr>
          <w:lang w:val="nl-NL"/>
        </w:rPr>
        <w:t xml:space="preserve">De afgelopen 15 jaar </w:t>
      </w:r>
      <w:r w:rsidR="006431C1">
        <w:rPr>
          <w:lang w:val="nl-NL"/>
        </w:rPr>
        <w:t xml:space="preserve">zijn terrorismefinanciering als fenomeen en </w:t>
      </w:r>
      <w:r w:rsidR="00BC0A6C">
        <w:rPr>
          <w:lang w:val="nl-NL"/>
        </w:rPr>
        <w:t>de genomen</w:t>
      </w:r>
      <w:r>
        <w:rPr>
          <w:lang w:val="nl-NL"/>
        </w:rPr>
        <w:t xml:space="preserve"> maatregelen vanuit verschillende invalshoeken wetenschappelijk onderzocht en hebben de uitkomsten hiervan ook het gevoerde beleid </w:t>
      </w:r>
      <w:r w:rsidR="00BC0A6C">
        <w:rPr>
          <w:lang w:val="nl-NL"/>
        </w:rPr>
        <w:t xml:space="preserve">deels </w:t>
      </w:r>
      <w:r>
        <w:rPr>
          <w:lang w:val="nl-NL"/>
        </w:rPr>
        <w:t>weer beïnvloed. Er kunnen echter drie grotere thema´s worden aangevoerd w</w:t>
      </w:r>
      <w:r w:rsidR="001A1105">
        <w:rPr>
          <w:lang w:val="nl-NL"/>
        </w:rPr>
        <w:t xml:space="preserve">aar het wetenschappelijke en maatschappelijke debat nog meer </w:t>
      </w:r>
      <w:r w:rsidR="00BC0A6C">
        <w:rPr>
          <w:lang w:val="nl-NL"/>
        </w:rPr>
        <w:t xml:space="preserve">diepgaande </w:t>
      </w:r>
      <w:r w:rsidR="001A1105">
        <w:rPr>
          <w:lang w:val="nl-NL"/>
        </w:rPr>
        <w:t xml:space="preserve">aandacht nodig heeft. Een vierde punt behelst de discussies over het Terrorist Finance Tracking Program en de mogelijke Europese versie daarvan het EU Terrorist Finance Tracking System. </w:t>
      </w:r>
    </w:p>
    <w:p w:rsidR="00A73653" w:rsidP="00A73653" w:rsidRDefault="00CA0D21">
      <w:pPr>
        <w:pStyle w:val="Geenafstand"/>
        <w:jc w:val="both"/>
        <w:rPr>
          <w:lang w:val="nl-NL"/>
        </w:rPr>
      </w:pPr>
      <w:r>
        <w:rPr>
          <w:lang w:val="nl-NL"/>
        </w:rPr>
        <w:t xml:space="preserve">         </w:t>
      </w:r>
    </w:p>
    <w:p w:rsidRPr="001A1105" w:rsidR="00A73653" w:rsidP="00A73653" w:rsidRDefault="00A73653">
      <w:pPr>
        <w:pStyle w:val="Geenafstand"/>
        <w:jc w:val="both"/>
        <w:rPr>
          <w:b/>
          <w:lang w:val="nl-NL"/>
        </w:rPr>
      </w:pPr>
      <w:r w:rsidRPr="001A1105">
        <w:rPr>
          <w:b/>
          <w:lang w:val="nl-NL"/>
        </w:rPr>
        <w:t>Effectiviteit</w:t>
      </w:r>
    </w:p>
    <w:p w:rsidR="001A1105" w:rsidP="00A73653" w:rsidRDefault="001A1105">
      <w:pPr>
        <w:pStyle w:val="Geenafstand"/>
        <w:jc w:val="both"/>
        <w:rPr>
          <w:lang w:val="nl-NL"/>
        </w:rPr>
      </w:pPr>
    </w:p>
    <w:p w:rsidR="001A1105" w:rsidP="00A73653" w:rsidRDefault="001A1105">
      <w:pPr>
        <w:pStyle w:val="Geenafstand"/>
        <w:jc w:val="both"/>
        <w:rPr>
          <w:lang w:val="nl-NL"/>
        </w:rPr>
      </w:pPr>
      <w:r>
        <w:rPr>
          <w:lang w:val="nl-NL"/>
        </w:rPr>
        <w:t xml:space="preserve">Ondanks de verschillende initiatieven van de afgelopen jaren is er nog altijd weinig overkoepelend overzicht op de effectiviteit van het beleid inzake de </w:t>
      </w:r>
      <w:r w:rsidR="00BC0A6C">
        <w:rPr>
          <w:lang w:val="nl-NL"/>
        </w:rPr>
        <w:t>bestrijding</w:t>
      </w:r>
      <w:r>
        <w:rPr>
          <w:lang w:val="nl-NL"/>
        </w:rPr>
        <w:t xml:space="preserve"> terrorismefinanciering. Hoe weten we of, zoals de FATF het zegt `</w:t>
      </w:r>
      <w:proofErr w:type="spellStart"/>
      <w:r>
        <w:rPr>
          <w:lang w:val="nl-NL"/>
        </w:rPr>
        <w:t>the</w:t>
      </w:r>
      <w:proofErr w:type="spellEnd"/>
      <w:r>
        <w:rPr>
          <w:lang w:val="nl-NL"/>
        </w:rPr>
        <w:t xml:space="preserve"> systems are </w:t>
      </w:r>
      <w:proofErr w:type="spellStart"/>
      <w:r>
        <w:rPr>
          <w:lang w:val="nl-NL"/>
        </w:rPr>
        <w:t>working</w:t>
      </w:r>
      <w:proofErr w:type="spellEnd"/>
      <w:r>
        <w:rPr>
          <w:lang w:val="nl-NL"/>
        </w:rPr>
        <w:t>´? Enerzijds vormt het bestaande raamwerk een centraal onderdeel in de strijd tegen terrorisme en worden de genomen maatregelen als bewezen effectief beschouwd</w:t>
      </w:r>
      <w:r w:rsidR="00BC0A6C">
        <w:rPr>
          <w:lang w:val="nl-NL"/>
        </w:rPr>
        <w:t xml:space="preserve"> (Europese Commissie 2011)</w:t>
      </w:r>
      <w:r>
        <w:rPr>
          <w:lang w:val="nl-NL"/>
        </w:rPr>
        <w:t>. Anderzijd</w:t>
      </w:r>
      <w:r w:rsidR="00BC0A6C">
        <w:rPr>
          <w:lang w:val="nl-NL"/>
        </w:rPr>
        <w:t>s</w:t>
      </w:r>
      <w:r>
        <w:rPr>
          <w:lang w:val="nl-NL"/>
        </w:rPr>
        <w:t xml:space="preserve"> hebben de</w:t>
      </w:r>
      <w:r w:rsidR="00BC0A6C">
        <w:rPr>
          <w:lang w:val="nl-NL"/>
        </w:rPr>
        <w:t xml:space="preserve"> z</w:t>
      </w:r>
      <w:r>
        <w:rPr>
          <w:lang w:val="nl-NL"/>
        </w:rPr>
        <w:t>owel onderzoekers (</w:t>
      </w:r>
      <w:proofErr w:type="spellStart"/>
      <w:r w:rsidR="00BC0A6C">
        <w:rPr>
          <w:lang w:val="nl-NL"/>
        </w:rPr>
        <w:t>i.a</w:t>
      </w:r>
      <w:proofErr w:type="spellEnd"/>
      <w:r w:rsidR="00BC0A6C">
        <w:rPr>
          <w:lang w:val="nl-NL"/>
        </w:rPr>
        <w:t xml:space="preserve">. </w:t>
      </w:r>
      <w:r>
        <w:rPr>
          <w:lang w:val="nl-NL"/>
        </w:rPr>
        <w:t xml:space="preserve">Wesseling 2013), </w:t>
      </w:r>
      <w:proofErr w:type="spellStart"/>
      <w:r>
        <w:rPr>
          <w:lang w:val="nl-NL"/>
        </w:rPr>
        <w:t>consultancies</w:t>
      </w:r>
      <w:proofErr w:type="spellEnd"/>
      <w:r>
        <w:rPr>
          <w:lang w:val="nl-NL"/>
        </w:rPr>
        <w:t xml:space="preserve"> (Deloitte 2011) en publieke instellingen zoals de Algemene Rekenkamer (2008)</w:t>
      </w:r>
      <w:r w:rsidR="00BC0A6C">
        <w:rPr>
          <w:lang w:val="nl-NL"/>
        </w:rPr>
        <w:t xml:space="preserve"> en de FATF </w:t>
      </w:r>
      <w:r w:rsidR="002578C7">
        <w:rPr>
          <w:lang w:val="nl-NL"/>
        </w:rPr>
        <w:t xml:space="preserve">(2009) </w:t>
      </w:r>
      <w:r w:rsidR="00BC0A6C">
        <w:rPr>
          <w:lang w:val="nl-NL"/>
        </w:rPr>
        <w:t xml:space="preserve">geconcludeerd dat de resultaten van het beleid moeilijk zijn te evalueren en zelfs dat de resultaten teleurstellend zijn. </w:t>
      </w:r>
    </w:p>
    <w:p w:rsidRPr="001A1105" w:rsidR="002149E7" w:rsidP="00A73653" w:rsidRDefault="002149E7">
      <w:pPr>
        <w:pStyle w:val="Geenafstand"/>
        <w:jc w:val="both"/>
        <w:rPr>
          <w:lang w:val="nl-NL"/>
        </w:rPr>
      </w:pPr>
    </w:p>
    <w:p w:rsidRPr="00B34D54" w:rsidR="00A73653" w:rsidP="00A73653" w:rsidRDefault="001A1105">
      <w:pPr>
        <w:pStyle w:val="Geenafstand"/>
        <w:jc w:val="both"/>
        <w:rPr>
          <w:b/>
          <w:lang w:val="nl-NL"/>
        </w:rPr>
      </w:pPr>
      <w:r w:rsidRPr="00B34D54">
        <w:rPr>
          <w:b/>
          <w:lang w:val="nl-NL"/>
        </w:rPr>
        <w:t>De r</w:t>
      </w:r>
      <w:r w:rsidRPr="00B34D54" w:rsidR="00A73653">
        <w:rPr>
          <w:b/>
          <w:lang w:val="nl-NL"/>
        </w:rPr>
        <w:t>isk-</w:t>
      </w:r>
      <w:proofErr w:type="spellStart"/>
      <w:r w:rsidRPr="00B34D54" w:rsidR="00A73653">
        <w:rPr>
          <w:b/>
          <w:lang w:val="nl-NL"/>
        </w:rPr>
        <w:t>based</w:t>
      </w:r>
      <w:proofErr w:type="spellEnd"/>
      <w:r w:rsidRPr="00B34D54" w:rsidR="00A73653">
        <w:rPr>
          <w:b/>
          <w:lang w:val="nl-NL"/>
        </w:rPr>
        <w:t xml:space="preserve"> approach</w:t>
      </w:r>
    </w:p>
    <w:p w:rsidRPr="00B34D54" w:rsidR="001A1105" w:rsidP="00A73653" w:rsidRDefault="001A1105">
      <w:pPr>
        <w:pStyle w:val="Geenafstand"/>
        <w:jc w:val="both"/>
        <w:rPr>
          <w:lang w:val="nl-NL"/>
        </w:rPr>
      </w:pPr>
    </w:p>
    <w:p w:rsidR="00BC0A6C" w:rsidP="00A73653" w:rsidRDefault="00BC0A6C">
      <w:pPr>
        <w:pStyle w:val="Geenafstand"/>
        <w:jc w:val="both"/>
        <w:rPr>
          <w:lang w:val="nl-NL"/>
        </w:rPr>
      </w:pPr>
      <w:r w:rsidRPr="00BC0A6C">
        <w:rPr>
          <w:lang w:val="nl-NL"/>
        </w:rPr>
        <w:t>De FATF schrijft voor dat de bestrijdi</w:t>
      </w:r>
      <w:r>
        <w:rPr>
          <w:lang w:val="nl-NL"/>
        </w:rPr>
        <w:t xml:space="preserve">ng van terrorismefinanciering risico-gericht moet worden vormgegeven. In een bredere context wordt deze aanpak onder andere door de Europese Unie en de OESO gepromoot als een instrument van goed bestuur. </w:t>
      </w:r>
      <w:r w:rsidR="002149E7">
        <w:rPr>
          <w:lang w:val="nl-NL"/>
        </w:rPr>
        <w:t>De voordelen die aan een risico-gerichte aanpak worden toegeschreven zijn onder andere het vergroten van de transparantie en verantwoording met betrekking tot beleidsvorming en het doelmatiger in kaart brengen van prioriteiten en beleidsresultaten. Wetenschappelijk onderzoek heeft echter aangetoond dat risico niet altijd in meetbare eenheden is uit te drukken, dat verschillende actoren ook verschillende definities van risico handhaven en dat risico-taxatie negatieve bijef</w:t>
      </w:r>
      <w:r w:rsidR="002578C7">
        <w:rPr>
          <w:lang w:val="nl-NL"/>
        </w:rPr>
        <w:t>fecten kan hebben die resulteren</w:t>
      </w:r>
      <w:r w:rsidR="002149E7">
        <w:rPr>
          <w:lang w:val="nl-NL"/>
        </w:rPr>
        <w:t xml:space="preserve"> </w:t>
      </w:r>
      <w:r w:rsidR="002578C7">
        <w:rPr>
          <w:lang w:val="nl-NL"/>
        </w:rPr>
        <w:lastRenderedPageBreak/>
        <w:t xml:space="preserve">in discriminatie van personen en de stigmatisering van bepaalde sectoren zoals </w:t>
      </w:r>
      <w:proofErr w:type="spellStart"/>
      <w:r w:rsidR="002578C7">
        <w:rPr>
          <w:lang w:val="nl-NL"/>
        </w:rPr>
        <w:t>NGO´s</w:t>
      </w:r>
      <w:proofErr w:type="spellEnd"/>
      <w:r w:rsidR="002578C7">
        <w:rPr>
          <w:lang w:val="nl-NL"/>
        </w:rPr>
        <w:t xml:space="preserve"> of geldwisselkantoren.  </w:t>
      </w:r>
      <w:r w:rsidR="002149E7">
        <w:rPr>
          <w:lang w:val="nl-NL"/>
        </w:rPr>
        <w:t xml:space="preserve">    </w:t>
      </w:r>
    </w:p>
    <w:p w:rsidRPr="00BC0A6C" w:rsidR="00BC0A6C" w:rsidP="00A73653" w:rsidRDefault="00BC0A6C">
      <w:pPr>
        <w:pStyle w:val="Geenafstand"/>
        <w:jc w:val="both"/>
        <w:rPr>
          <w:lang w:val="nl-NL"/>
        </w:rPr>
      </w:pPr>
      <w:r w:rsidRPr="00BC0A6C">
        <w:rPr>
          <w:lang w:val="nl-NL"/>
        </w:rPr>
        <w:t xml:space="preserve"> </w:t>
      </w:r>
    </w:p>
    <w:p w:rsidRPr="00B34D54" w:rsidR="001A1105" w:rsidP="00A73653" w:rsidRDefault="001A1105">
      <w:pPr>
        <w:pStyle w:val="Geenafstand"/>
        <w:jc w:val="both"/>
        <w:rPr>
          <w:b/>
          <w:lang w:val="nl-NL"/>
        </w:rPr>
      </w:pPr>
      <w:r w:rsidRPr="00B34D54">
        <w:rPr>
          <w:b/>
          <w:lang w:val="nl-NL"/>
        </w:rPr>
        <w:t xml:space="preserve">Publiek-Private samenwerking </w:t>
      </w:r>
    </w:p>
    <w:p w:rsidRPr="00B34D54" w:rsidR="00A73653" w:rsidP="00A73653" w:rsidRDefault="00A73653">
      <w:pPr>
        <w:pStyle w:val="Geenafstand"/>
        <w:jc w:val="both"/>
        <w:rPr>
          <w:lang w:val="nl-NL"/>
        </w:rPr>
      </w:pPr>
    </w:p>
    <w:p w:rsidRPr="00225920" w:rsidR="00BC0A6C" w:rsidP="00A73653" w:rsidRDefault="00BC0A6C">
      <w:pPr>
        <w:pStyle w:val="Geenafstand"/>
        <w:jc w:val="both"/>
        <w:rPr>
          <w:lang w:val="nl-NL"/>
        </w:rPr>
      </w:pPr>
      <w:r w:rsidRPr="00225920">
        <w:rPr>
          <w:lang w:val="nl-NL"/>
        </w:rPr>
        <w:t>De strijd tegen terrorismefinanciering</w:t>
      </w:r>
      <w:r w:rsidR="002578C7">
        <w:rPr>
          <w:lang w:val="nl-NL"/>
        </w:rPr>
        <w:t xml:space="preserve"> stoelt</w:t>
      </w:r>
      <w:r w:rsidRPr="00225920" w:rsidR="00225920">
        <w:rPr>
          <w:lang w:val="nl-NL"/>
        </w:rPr>
        <w:t xml:space="preserve"> op een nauwe samenwerking tussen publieke en private actoren.</w:t>
      </w:r>
      <w:r w:rsidR="00225920">
        <w:rPr>
          <w:lang w:val="nl-NL"/>
        </w:rPr>
        <w:t xml:space="preserve"> </w:t>
      </w:r>
      <w:r w:rsidR="002578C7">
        <w:rPr>
          <w:lang w:val="nl-NL"/>
        </w:rPr>
        <w:t xml:space="preserve">De inzet en kennis van financiële en andere </w:t>
      </w:r>
      <w:proofErr w:type="spellStart"/>
      <w:r w:rsidR="002578C7">
        <w:rPr>
          <w:lang w:val="nl-NL"/>
        </w:rPr>
        <w:t>meldplichtige</w:t>
      </w:r>
      <w:proofErr w:type="spellEnd"/>
      <w:r w:rsidR="002578C7">
        <w:rPr>
          <w:lang w:val="nl-NL"/>
        </w:rPr>
        <w:t xml:space="preserve"> instellingen om hun klanten te identificeren (</w:t>
      </w:r>
      <w:proofErr w:type="spellStart"/>
      <w:r w:rsidRPr="00E770AF" w:rsidR="002578C7">
        <w:rPr>
          <w:i/>
          <w:lang w:val="nl-NL"/>
        </w:rPr>
        <w:t>Know</w:t>
      </w:r>
      <w:proofErr w:type="spellEnd"/>
      <w:r w:rsidRPr="00E770AF" w:rsidR="002578C7">
        <w:rPr>
          <w:i/>
          <w:lang w:val="nl-NL"/>
        </w:rPr>
        <w:t xml:space="preserve"> </w:t>
      </w:r>
      <w:proofErr w:type="spellStart"/>
      <w:r w:rsidRPr="00E770AF" w:rsidR="002578C7">
        <w:rPr>
          <w:i/>
          <w:lang w:val="nl-NL"/>
        </w:rPr>
        <w:t>Your</w:t>
      </w:r>
      <w:proofErr w:type="spellEnd"/>
      <w:r w:rsidRPr="00E770AF" w:rsidR="002578C7">
        <w:rPr>
          <w:i/>
          <w:lang w:val="nl-NL"/>
        </w:rPr>
        <w:t xml:space="preserve"> Customer</w:t>
      </w:r>
      <w:r w:rsidR="002578C7">
        <w:rPr>
          <w:lang w:val="nl-NL"/>
        </w:rPr>
        <w:t xml:space="preserve">), hun transacties te monitoren en verdachte transacties te melden is cruciaal </w:t>
      </w:r>
      <w:r w:rsidR="009445F8">
        <w:rPr>
          <w:lang w:val="nl-NL"/>
        </w:rPr>
        <w:t xml:space="preserve">voor het huidige </w:t>
      </w:r>
      <w:r w:rsidR="002578C7">
        <w:rPr>
          <w:lang w:val="nl-NL"/>
        </w:rPr>
        <w:t xml:space="preserve">terrorismefinancieringsbeleid. De afgelopen tien jaar is de samenwerking </w:t>
      </w:r>
      <w:r w:rsidR="009445F8">
        <w:rPr>
          <w:lang w:val="nl-NL"/>
        </w:rPr>
        <w:t xml:space="preserve">tussen publieke en private actoren </w:t>
      </w:r>
      <w:r w:rsidR="002578C7">
        <w:rPr>
          <w:lang w:val="nl-NL"/>
        </w:rPr>
        <w:t>op dit terrein</w:t>
      </w:r>
      <w:r w:rsidR="009445F8">
        <w:rPr>
          <w:lang w:val="nl-NL"/>
        </w:rPr>
        <w:t xml:space="preserve"> enorm toegenomen. Er blijft echter </w:t>
      </w:r>
      <w:r w:rsidR="009D59D1">
        <w:rPr>
          <w:lang w:val="nl-NL"/>
        </w:rPr>
        <w:t xml:space="preserve">onzekerheid omtrent de verwachtingen van de betrokken partijen en </w:t>
      </w:r>
      <w:r w:rsidR="009445F8">
        <w:rPr>
          <w:lang w:val="nl-NL"/>
        </w:rPr>
        <w:t xml:space="preserve">een </w:t>
      </w:r>
      <w:r w:rsidR="008B43E7">
        <w:rPr>
          <w:lang w:val="nl-NL"/>
        </w:rPr>
        <w:t xml:space="preserve">spanning tussen het nastreven van ´compliance´ </w:t>
      </w:r>
      <w:r w:rsidR="009445F8">
        <w:rPr>
          <w:lang w:val="nl-NL"/>
        </w:rPr>
        <w:t xml:space="preserve">met de regelgeving inzake terrorismefinanciering en het bredere doel van </w:t>
      </w:r>
      <w:r w:rsidR="008B43E7">
        <w:rPr>
          <w:lang w:val="nl-NL"/>
        </w:rPr>
        <w:t xml:space="preserve">het tegen gaan van terrorisme financiering. </w:t>
      </w:r>
      <w:r w:rsidR="00E770AF">
        <w:rPr>
          <w:lang w:val="nl-NL"/>
        </w:rPr>
        <w:t>E</w:t>
      </w:r>
      <w:r w:rsidR="009445F8">
        <w:rPr>
          <w:lang w:val="nl-NL"/>
        </w:rPr>
        <w:t xml:space="preserve">r zou gesproken kunnen worden van een discrepantie tussen de bestrijding van het fenomeen op papier en de resultaten in de praktijk. </w:t>
      </w:r>
    </w:p>
    <w:p w:rsidRPr="00225920" w:rsidR="00BC0A6C" w:rsidP="00A73653" w:rsidRDefault="00BC0A6C">
      <w:pPr>
        <w:pStyle w:val="Geenafstand"/>
        <w:jc w:val="both"/>
        <w:rPr>
          <w:lang w:val="nl-NL"/>
        </w:rPr>
      </w:pPr>
    </w:p>
    <w:p w:rsidRPr="00225920" w:rsidR="00A73653" w:rsidP="00A73653" w:rsidRDefault="001A1105">
      <w:pPr>
        <w:pStyle w:val="Geenafstand"/>
        <w:jc w:val="both"/>
        <w:rPr>
          <w:b/>
          <w:lang w:val="nl-NL"/>
        </w:rPr>
      </w:pPr>
      <w:r w:rsidRPr="00225920">
        <w:rPr>
          <w:b/>
          <w:lang w:val="nl-NL"/>
        </w:rPr>
        <w:t xml:space="preserve">Het EU Terrorist Finance Tracking System </w:t>
      </w:r>
      <w:bookmarkStart w:name="_GoBack" w:id="0"/>
      <w:bookmarkEnd w:id="0"/>
    </w:p>
    <w:p w:rsidRPr="00225920" w:rsidR="00A73653" w:rsidP="00A73653" w:rsidRDefault="00A73653">
      <w:pPr>
        <w:pStyle w:val="Geenafstand"/>
        <w:jc w:val="both"/>
        <w:rPr>
          <w:lang w:val="nl-NL"/>
        </w:rPr>
      </w:pPr>
    </w:p>
    <w:p w:rsidR="00225920" w:rsidP="00A73653" w:rsidRDefault="009D59D1">
      <w:pPr>
        <w:pStyle w:val="Geenafstand"/>
        <w:jc w:val="both"/>
        <w:rPr>
          <w:lang w:val="nl-NL"/>
        </w:rPr>
      </w:pPr>
      <w:r>
        <w:rPr>
          <w:lang w:val="nl-NL"/>
        </w:rPr>
        <w:t xml:space="preserve">Het derde voortgangsrapport </w:t>
      </w:r>
      <w:r>
        <w:rPr>
          <w:lang w:val="nl-NL"/>
        </w:rPr>
        <w:t xml:space="preserve">van de Europese Commissie </w:t>
      </w:r>
      <w:r>
        <w:rPr>
          <w:lang w:val="nl-NL"/>
        </w:rPr>
        <w:t>inzake een Europese Veiligheidsunie</w:t>
      </w:r>
      <w:r w:rsidR="00225920">
        <w:rPr>
          <w:lang w:val="nl-NL"/>
        </w:rPr>
        <w:t xml:space="preserve"> </w:t>
      </w:r>
      <w:r>
        <w:rPr>
          <w:lang w:val="nl-NL"/>
        </w:rPr>
        <w:t>(</w:t>
      </w:r>
      <w:r w:rsidR="00225920">
        <w:rPr>
          <w:lang w:val="nl-NL"/>
        </w:rPr>
        <w:t>december 2016</w:t>
      </w:r>
      <w:r>
        <w:rPr>
          <w:lang w:val="nl-NL"/>
        </w:rPr>
        <w:t>)</w:t>
      </w:r>
      <w:r w:rsidR="00225920">
        <w:rPr>
          <w:lang w:val="nl-NL"/>
        </w:rPr>
        <w:t xml:space="preserve"> stelt dat de huidige terroristische dreiging in Europa het opzetten van een Europees Terrorist Finance Tracking System (EU TFTS) wellicht rechtvaardigt. Het zou met name inzicht kunnen geven in Euro betalingen binnen de EU die uitgesloten zijn van het huidige verdrag tussen de EU en de VS aangaande het TFTP.</w:t>
      </w:r>
      <w:r w:rsidR="008B43E7">
        <w:rPr>
          <w:lang w:val="nl-NL"/>
        </w:rPr>
        <w:t xml:space="preserve"> In de communicatie worden zowel de toegevoegde waarde als de moeilijkheden van het opzetten van een dergelijk instrument besproken. Wat </w:t>
      </w:r>
      <w:r>
        <w:rPr>
          <w:lang w:val="nl-NL"/>
        </w:rPr>
        <w:t xml:space="preserve">vooralsnog </w:t>
      </w:r>
      <w:r w:rsidR="008B43E7">
        <w:rPr>
          <w:lang w:val="nl-NL"/>
        </w:rPr>
        <w:t xml:space="preserve">ontbreekt aan de huidige discussie is </w:t>
      </w:r>
      <w:r w:rsidR="00E770AF">
        <w:rPr>
          <w:lang w:val="nl-NL"/>
        </w:rPr>
        <w:t xml:space="preserve">een </w:t>
      </w:r>
      <w:proofErr w:type="spellStart"/>
      <w:r w:rsidR="00E770AF">
        <w:rPr>
          <w:lang w:val="nl-NL"/>
        </w:rPr>
        <w:t>evidence-based</w:t>
      </w:r>
      <w:proofErr w:type="spellEnd"/>
      <w:r w:rsidR="00E770AF">
        <w:rPr>
          <w:lang w:val="nl-NL"/>
        </w:rPr>
        <w:t xml:space="preserve"> analyse </w:t>
      </w:r>
      <w:r w:rsidR="008B43E7">
        <w:rPr>
          <w:lang w:val="nl-NL"/>
        </w:rPr>
        <w:t xml:space="preserve">of een EU TFTS ook een significante bijdrage kan leveren in de strijd tegen de </w:t>
      </w:r>
      <w:r w:rsidR="005A138E">
        <w:rPr>
          <w:lang w:val="nl-NL"/>
        </w:rPr>
        <w:t>´low budget´ terrorisme</w:t>
      </w:r>
      <w:r w:rsidR="008B43E7">
        <w:rPr>
          <w:lang w:val="nl-NL"/>
        </w:rPr>
        <w:t xml:space="preserve"> zoals de verschillende </w:t>
      </w:r>
      <w:r w:rsidR="005A138E">
        <w:rPr>
          <w:lang w:val="nl-NL"/>
        </w:rPr>
        <w:t>recente aanslagen die zij</w:t>
      </w:r>
      <w:r w:rsidR="008B43E7">
        <w:rPr>
          <w:lang w:val="nl-NL"/>
        </w:rPr>
        <w:t>n uitgevoerd met een mes</w:t>
      </w:r>
      <w:r w:rsidR="009445F8">
        <w:rPr>
          <w:lang w:val="nl-NL"/>
        </w:rPr>
        <w:t>, vuurwapen</w:t>
      </w:r>
      <w:r w:rsidR="008B43E7">
        <w:rPr>
          <w:lang w:val="nl-NL"/>
        </w:rPr>
        <w:t xml:space="preserve"> of voertuig</w:t>
      </w:r>
      <w:r w:rsidR="005A138E">
        <w:rPr>
          <w:lang w:val="nl-NL"/>
        </w:rPr>
        <w:t xml:space="preserve">. </w:t>
      </w:r>
      <w:r w:rsidR="008B43E7">
        <w:rPr>
          <w:lang w:val="nl-NL"/>
        </w:rPr>
        <w:t xml:space="preserve"> </w:t>
      </w:r>
    </w:p>
    <w:p w:rsidR="00225920" w:rsidP="00A73653" w:rsidRDefault="00225920">
      <w:pPr>
        <w:pStyle w:val="Geenafstand"/>
        <w:jc w:val="both"/>
        <w:rPr>
          <w:lang w:val="nl-NL"/>
        </w:rPr>
      </w:pPr>
    </w:p>
    <w:p w:rsidR="00225920" w:rsidP="00A73653" w:rsidRDefault="00225920">
      <w:pPr>
        <w:pStyle w:val="Geenafstand"/>
        <w:jc w:val="both"/>
        <w:rPr>
          <w:lang w:val="nl-NL"/>
        </w:rPr>
      </w:pPr>
    </w:p>
    <w:p w:rsidR="00225920" w:rsidP="00A73653" w:rsidRDefault="00225920">
      <w:pPr>
        <w:pStyle w:val="Geenafstand"/>
        <w:jc w:val="both"/>
        <w:rPr>
          <w:lang w:val="nl-NL"/>
        </w:rPr>
      </w:pPr>
    </w:p>
    <w:p w:rsidR="00225920" w:rsidP="00A73653" w:rsidRDefault="00225920">
      <w:pPr>
        <w:pStyle w:val="Geenafstand"/>
        <w:jc w:val="both"/>
        <w:rPr>
          <w:lang w:val="nl-NL"/>
        </w:rPr>
      </w:pPr>
    </w:p>
    <w:p w:rsidR="00225920" w:rsidP="00A73653" w:rsidRDefault="00225920">
      <w:pPr>
        <w:pStyle w:val="Geenafstand"/>
        <w:jc w:val="both"/>
        <w:rPr>
          <w:lang w:val="nl-NL"/>
        </w:rPr>
      </w:pPr>
    </w:p>
    <w:p w:rsidR="00225920" w:rsidP="00A73653" w:rsidRDefault="00225920">
      <w:pPr>
        <w:pStyle w:val="Geenafstand"/>
        <w:jc w:val="both"/>
        <w:rPr>
          <w:lang w:val="nl-NL"/>
        </w:rPr>
      </w:pPr>
    </w:p>
    <w:p w:rsidRPr="00225920" w:rsidR="00A73653" w:rsidP="00A73653" w:rsidRDefault="00225920">
      <w:pPr>
        <w:pStyle w:val="Geenafstand"/>
        <w:jc w:val="both"/>
        <w:rPr>
          <w:lang w:val="nl-NL"/>
        </w:rPr>
      </w:pPr>
      <w:r>
        <w:rPr>
          <w:lang w:val="nl-NL"/>
        </w:rPr>
        <w:t xml:space="preserve"> </w:t>
      </w:r>
    </w:p>
    <w:sectPr w:rsidRPr="00225920" w:rsidR="00A7365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2DB" w:rsidRDefault="005C32DB" w:rsidP="000A21D7">
      <w:pPr>
        <w:spacing w:after="0" w:line="240" w:lineRule="auto"/>
      </w:pPr>
      <w:r>
        <w:separator/>
      </w:r>
    </w:p>
  </w:endnote>
  <w:endnote w:type="continuationSeparator" w:id="0">
    <w:p w:rsidR="005C32DB" w:rsidRDefault="005C32DB" w:rsidP="000A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2DB" w:rsidRDefault="005C32DB" w:rsidP="000A21D7">
      <w:pPr>
        <w:spacing w:after="0" w:line="240" w:lineRule="auto"/>
      </w:pPr>
      <w:r>
        <w:separator/>
      </w:r>
    </w:p>
  </w:footnote>
  <w:footnote w:type="continuationSeparator" w:id="0">
    <w:p w:rsidR="005C32DB" w:rsidRDefault="005C32DB" w:rsidP="000A21D7">
      <w:pPr>
        <w:spacing w:after="0" w:line="240" w:lineRule="auto"/>
      </w:pPr>
      <w:r>
        <w:continuationSeparator/>
      </w:r>
    </w:p>
  </w:footnote>
  <w:footnote w:id="1">
    <w:p w:rsidR="000A21D7" w:rsidRPr="000A21D7" w:rsidRDefault="000A21D7">
      <w:pPr>
        <w:pStyle w:val="Voetnoottekst"/>
        <w:rPr>
          <w:lang w:val="nl-NL"/>
        </w:rPr>
      </w:pPr>
      <w:r>
        <w:rPr>
          <w:rStyle w:val="Voetnootmarkering"/>
        </w:rPr>
        <w:footnoteRef/>
      </w:r>
      <w:r>
        <w:t xml:space="preserve"> </w:t>
      </w:r>
      <w:r>
        <w:rPr>
          <w:lang w:val="nl-NL"/>
        </w:rPr>
        <w:t>Mara Wesseling is onafhankelijk onderzoeker op het gebied van het bestrijden van terrorismefinanciering en risk-</w:t>
      </w:r>
      <w:proofErr w:type="spellStart"/>
      <w:r>
        <w:rPr>
          <w:lang w:val="nl-NL"/>
        </w:rPr>
        <w:t>based</w:t>
      </w:r>
      <w:proofErr w:type="spellEnd"/>
      <w:r>
        <w:rPr>
          <w:lang w:val="nl-NL"/>
        </w:rPr>
        <w:t xml:space="preserve"> </w:t>
      </w:r>
      <w:proofErr w:type="spellStart"/>
      <w:r>
        <w:rPr>
          <w:lang w:val="nl-NL"/>
        </w:rPr>
        <w:t>governance</w:t>
      </w:r>
      <w:proofErr w:type="spellEnd"/>
      <w:r>
        <w:rPr>
          <w:lang w:val="nl-NL"/>
        </w:rPr>
        <w:t>. In 2013 promoveerde zij aan de Universiteit van Amsterdam op het proefschrift “</w:t>
      </w:r>
      <w:proofErr w:type="spellStart"/>
      <w:r w:rsidRPr="000A21D7">
        <w:rPr>
          <w:i/>
          <w:lang w:val="nl-NL"/>
        </w:rPr>
        <w:t>the</w:t>
      </w:r>
      <w:proofErr w:type="spellEnd"/>
      <w:r w:rsidRPr="000A21D7">
        <w:rPr>
          <w:i/>
          <w:lang w:val="nl-NL"/>
        </w:rPr>
        <w:t xml:space="preserve"> European </w:t>
      </w:r>
      <w:proofErr w:type="spellStart"/>
      <w:r w:rsidRPr="000A21D7">
        <w:rPr>
          <w:i/>
          <w:lang w:val="nl-NL"/>
        </w:rPr>
        <w:t>fight</w:t>
      </w:r>
      <w:proofErr w:type="spellEnd"/>
      <w:r w:rsidRPr="000A21D7">
        <w:rPr>
          <w:i/>
          <w:lang w:val="nl-NL"/>
        </w:rPr>
        <w:t xml:space="preserve"> </w:t>
      </w:r>
      <w:proofErr w:type="spellStart"/>
      <w:r w:rsidRPr="000A21D7">
        <w:rPr>
          <w:i/>
          <w:lang w:val="nl-NL"/>
        </w:rPr>
        <w:t>against</w:t>
      </w:r>
      <w:proofErr w:type="spellEnd"/>
      <w:r w:rsidRPr="000A21D7">
        <w:rPr>
          <w:i/>
          <w:lang w:val="nl-NL"/>
        </w:rPr>
        <w:t xml:space="preserve"> </w:t>
      </w:r>
      <w:proofErr w:type="spellStart"/>
      <w:r w:rsidRPr="000A21D7">
        <w:rPr>
          <w:i/>
          <w:lang w:val="nl-NL"/>
        </w:rPr>
        <w:t>terrorism</w:t>
      </w:r>
      <w:proofErr w:type="spellEnd"/>
      <w:r w:rsidRPr="000A21D7">
        <w:rPr>
          <w:i/>
          <w:lang w:val="nl-NL"/>
        </w:rPr>
        <w:t xml:space="preserve"> </w:t>
      </w:r>
      <w:proofErr w:type="spellStart"/>
      <w:r w:rsidRPr="000A21D7">
        <w:rPr>
          <w:i/>
          <w:lang w:val="nl-NL"/>
        </w:rPr>
        <w:t>financing</w:t>
      </w:r>
      <w:proofErr w:type="spellEnd"/>
      <w:r w:rsidRPr="000A21D7">
        <w:rPr>
          <w:i/>
          <w:lang w:val="nl-NL"/>
        </w:rPr>
        <w:t xml:space="preserve">, professional fields </w:t>
      </w:r>
      <w:proofErr w:type="spellStart"/>
      <w:r w:rsidRPr="000A21D7">
        <w:rPr>
          <w:i/>
          <w:lang w:val="nl-NL"/>
        </w:rPr>
        <w:t>and</w:t>
      </w:r>
      <w:proofErr w:type="spellEnd"/>
      <w:r w:rsidRPr="000A21D7">
        <w:rPr>
          <w:i/>
          <w:lang w:val="nl-NL"/>
        </w:rPr>
        <w:t xml:space="preserve"> new </w:t>
      </w:r>
      <w:proofErr w:type="spellStart"/>
      <w:r w:rsidRPr="000A21D7">
        <w:rPr>
          <w:i/>
          <w:lang w:val="nl-NL"/>
        </w:rPr>
        <w:t>governing</w:t>
      </w:r>
      <w:proofErr w:type="spellEnd"/>
      <w:r w:rsidRPr="000A21D7">
        <w:rPr>
          <w:i/>
          <w:lang w:val="nl-NL"/>
        </w:rPr>
        <w:t xml:space="preserve"> </w:t>
      </w:r>
      <w:proofErr w:type="spellStart"/>
      <w:r w:rsidRPr="000A21D7">
        <w:rPr>
          <w:i/>
          <w:lang w:val="nl-NL"/>
        </w:rPr>
        <w:t>practices</w:t>
      </w:r>
      <w:proofErr w:type="spellEnd"/>
      <w:r>
        <w:rPr>
          <w:lang w:val="nl-NL"/>
        </w:rPr>
        <w:t xml:space="preserve">”. Zij heeft ook een studie geschreven voor de LIBE commissie van het Europees Parlement die de Europese maatregelen in de strijd tegen terrorismefinanciering evalueert. In 2016 </w:t>
      </w:r>
      <w:r w:rsidR="006431C1">
        <w:rPr>
          <w:lang w:val="nl-NL"/>
        </w:rPr>
        <w:t xml:space="preserve">schreef zij een studie over de mogelijke ontwikkeling van een EU Terrorist Finance Tracking System voor het Royal United Services </w:t>
      </w:r>
      <w:proofErr w:type="spellStart"/>
      <w:r w:rsidR="006431C1">
        <w:rPr>
          <w:lang w:val="nl-NL"/>
        </w:rPr>
        <w:t>Institute</w:t>
      </w:r>
      <w:proofErr w:type="spellEnd"/>
      <w:r w:rsidR="006431C1">
        <w:rPr>
          <w:lang w:val="nl-NL"/>
        </w:rPr>
        <w:t xml:space="preserve">. </w:t>
      </w:r>
      <w:r>
        <w:rPr>
          <w:lang w:val="nl-NL"/>
        </w:rPr>
        <w:t>Van 2013 tot 2016 was zij verbonden aan Sciences Po Paris</w:t>
      </w:r>
      <w:r w:rsidR="006431C1">
        <w:rPr>
          <w:lang w:val="nl-NL"/>
        </w:rPr>
        <w:t>. Haar huidige projecten concentreren zich onder andere op het meten van effectiviteit van terrorismefinancieringsbeleid.</w:t>
      </w:r>
      <w:r>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653"/>
    <w:rsid w:val="000A21D7"/>
    <w:rsid w:val="001A1105"/>
    <w:rsid w:val="002149E7"/>
    <w:rsid w:val="00225920"/>
    <w:rsid w:val="002578C7"/>
    <w:rsid w:val="002D1E2E"/>
    <w:rsid w:val="003C2E28"/>
    <w:rsid w:val="005A138E"/>
    <w:rsid w:val="005C32DB"/>
    <w:rsid w:val="006431C1"/>
    <w:rsid w:val="0066356B"/>
    <w:rsid w:val="0072388A"/>
    <w:rsid w:val="008B43E7"/>
    <w:rsid w:val="009445F8"/>
    <w:rsid w:val="009D59D1"/>
    <w:rsid w:val="00A73653"/>
    <w:rsid w:val="00A95EBD"/>
    <w:rsid w:val="00B34D54"/>
    <w:rsid w:val="00BC0A6C"/>
    <w:rsid w:val="00CA0D21"/>
    <w:rsid w:val="00E77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3653"/>
    <w:pPr>
      <w:spacing w:after="0" w:line="240" w:lineRule="auto"/>
    </w:pPr>
  </w:style>
  <w:style w:type="paragraph" w:styleId="Voetnoottekst">
    <w:name w:val="footnote text"/>
    <w:basedOn w:val="Standaard"/>
    <w:link w:val="VoetnoottekstChar"/>
    <w:uiPriority w:val="99"/>
    <w:semiHidden/>
    <w:unhideWhenUsed/>
    <w:rsid w:val="000A21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A21D7"/>
    <w:rPr>
      <w:sz w:val="20"/>
      <w:szCs w:val="20"/>
    </w:rPr>
  </w:style>
  <w:style w:type="character" w:styleId="Voetnootmarkering">
    <w:name w:val="footnote reference"/>
    <w:basedOn w:val="Standaardalinea-lettertype"/>
    <w:uiPriority w:val="99"/>
    <w:semiHidden/>
    <w:unhideWhenUsed/>
    <w:rsid w:val="000A21D7"/>
    <w:rPr>
      <w:vertAlign w:val="superscript"/>
    </w:rPr>
  </w:style>
  <w:style w:type="character" w:styleId="Hyperlink">
    <w:name w:val="Hyperlink"/>
    <w:basedOn w:val="Standaardalinea-lettertype"/>
    <w:uiPriority w:val="99"/>
    <w:unhideWhenUsed/>
    <w:rsid w:val="00E770A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73653"/>
    <w:pPr>
      <w:spacing w:after="0" w:line="240" w:lineRule="auto"/>
    </w:pPr>
  </w:style>
  <w:style w:type="paragraph" w:styleId="Voetnoottekst">
    <w:name w:val="footnote text"/>
    <w:basedOn w:val="Standaard"/>
    <w:link w:val="VoetnoottekstChar"/>
    <w:uiPriority w:val="99"/>
    <w:semiHidden/>
    <w:unhideWhenUsed/>
    <w:rsid w:val="000A21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A21D7"/>
    <w:rPr>
      <w:sz w:val="20"/>
      <w:szCs w:val="20"/>
    </w:rPr>
  </w:style>
  <w:style w:type="character" w:styleId="Voetnootmarkering">
    <w:name w:val="footnote reference"/>
    <w:basedOn w:val="Standaardalinea-lettertype"/>
    <w:uiPriority w:val="99"/>
    <w:semiHidden/>
    <w:unhideWhenUsed/>
    <w:rsid w:val="000A21D7"/>
    <w:rPr>
      <w:vertAlign w:val="superscript"/>
    </w:rPr>
  </w:style>
  <w:style w:type="character" w:styleId="Hyperlink">
    <w:name w:val="Hyperlink"/>
    <w:basedOn w:val="Standaardalinea-lettertype"/>
    <w:uiPriority w:val="99"/>
    <w:unhideWhenUsed/>
    <w:rsid w:val="00E770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740</ap:Words>
  <ap:Characters>4073</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2017-02-06T09:23:00.0000000Z</lastPrinted>
  <dcterms:created xsi:type="dcterms:W3CDTF">2017-02-06T10:09:00.0000000Z</dcterms:created>
  <dcterms:modified xsi:type="dcterms:W3CDTF">2017-02-06T10:09:00.0000000Z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0x010100E5512B015DF4594680CC52C20122C96E</vt:lpwstr>
  </property>
</Properties>
</file>