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W02.16.0435/II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25 januari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91474" w:rsidRDefault="00793890">
              <w:r>
                <w:t>Bij Kabinetsmissive van 2 januari 2017, no.2016002314, heeft Uwe Majesteit, op voordracht van de Minister van Buitenlandse Zaken, mede namens de Minister van Economische Zaken en de Minister van Infrastructuur en Milieu, bij de Afdeling advisering van de Raad van State ter overweging aanhangig gemaakt het voorstel van wet houdende goedkeuring van het op 24 oktober 2014 op de Eems tot stand gekomen Verdrag tussen het Koninkrijk der Nederlanden en de Bondsrepubliek Duitsland betreffende het gebruik en beheer van de territoriale zee van 3 tot 12 zeemijlen (Trb. 2014, 182), met memorie van toelichting.</w:t>
              </w:r>
            </w:p>
          </w:sdtContent>
        </w:sdt>
        <w:p w:rsidR="0071031E" w:rsidRDefault="0071031E"/>
        <w:p w:rsidR="00C50D4F" w:rsidRDefault="003502CA">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890" w:rsidRDefault="00793890" w:rsidP="005B3E03">
      <w:r>
        <w:separator/>
      </w:r>
    </w:p>
  </w:endnote>
  <w:endnote w:type="continuationSeparator" w:id="0">
    <w:p w:rsidR="00793890" w:rsidRDefault="0079389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890" w:rsidRDefault="00793890" w:rsidP="005B3E03">
      <w:r>
        <w:separator/>
      </w:r>
    </w:p>
  </w:footnote>
  <w:footnote w:type="continuationSeparator" w:id="0">
    <w:p w:rsidR="00793890" w:rsidRDefault="00793890"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502CA"/>
    <w:rsid w:val="00367933"/>
    <w:rsid w:val="00414D52"/>
    <w:rsid w:val="00424C22"/>
    <w:rsid w:val="00491474"/>
    <w:rsid w:val="004C120D"/>
    <w:rsid w:val="00503044"/>
    <w:rsid w:val="00547E69"/>
    <w:rsid w:val="005D31AB"/>
    <w:rsid w:val="006B68E7"/>
    <w:rsid w:val="007077E5"/>
    <w:rsid w:val="0071031E"/>
    <w:rsid w:val="00724C4B"/>
    <w:rsid w:val="00743D19"/>
    <w:rsid w:val="00793890"/>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F6E5149-7872-46F5-BF45-7910894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6F7460"/>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945</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2017-01-26T08:48:00.0000000Z</dcterms:created>
  <dcterms:modified xsi:type="dcterms:W3CDTF">2017-01-26T08:48:00.0000000Z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0x010100E5512B015DF4594680CC52C20122C96E</vt:lpwstr>
  </property>
</Properties>
</file>