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356600" w:rsidR="003B00CB" w:rsidP="003B00CB" w:rsidRDefault="003B00CB">
      <w:pPr>
        <w:rPr>
          <w:rFonts w:asciiTheme="minorHAnsi" w:hAnsiTheme="minorHAnsi"/>
          <w:b/>
          <w:sz w:val="20"/>
          <w:szCs w:val="20"/>
        </w:rPr>
      </w:pPr>
      <w:bookmarkStart w:name="_GoBack" w:id="0"/>
      <w:bookmarkEnd w:id="0"/>
      <w:r w:rsidRPr="00356600">
        <w:rPr>
          <w:rFonts w:asciiTheme="minorHAnsi" w:hAnsiTheme="minorHAnsi"/>
          <w:b/>
          <w:sz w:val="20"/>
          <w:szCs w:val="20"/>
        </w:rPr>
        <w:t xml:space="preserve">Overzicht nieuw gepubliceerde EU-voorstellen </w:t>
      </w:r>
    </w:p>
    <w:p w:rsidRPr="00356600" w:rsidR="003B00CB" w:rsidP="003B00CB" w:rsidRDefault="003B00CB">
      <w:pPr>
        <w:rPr>
          <w:rFonts w:asciiTheme="minorHAnsi" w:hAnsiTheme="minorHAnsi"/>
          <w:sz w:val="20"/>
          <w:szCs w:val="20"/>
        </w:rPr>
      </w:pPr>
    </w:p>
    <w:p w:rsidRPr="00356600" w:rsidR="003B00CB" w:rsidP="003B00CB" w:rsidRDefault="003B00CB">
      <w:pPr>
        <w:rPr>
          <w:rFonts w:asciiTheme="minorHAnsi" w:hAnsiTheme="minorHAnsi"/>
          <w:sz w:val="20"/>
          <w:szCs w:val="20"/>
          <w:u w:val="single"/>
        </w:rPr>
      </w:pPr>
      <w:r w:rsidRPr="00356600">
        <w:rPr>
          <w:rFonts w:asciiTheme="minorHAnsi" w:hAnsiTheme="minorHAnsi"/>
          <w:sz w:val="20"/>
          <w:szCs w:val="20"/>
          <w:u w:val="single"/>
        </w:rPr>
        <w:t xml:space="preserve">Integraal overzicht met nieuw gepubliceerde EU-voorstellen t/m week </w:t>
      </w:r>
      <w:r w:rsidR="0047022E">
        <w:rPr>
          <w:rFonts w:asciiTheme="minorHAnsi" w:hAnsiTheme="minorHAnsi"/>
          <w:sz w:val="20"/>
          <w:szCs w:val="20"/>
          <w:u w:val="single"/>
        </w:rPr>
        <w:t>4</w:t>
      </w:r>
      <w:r w:rsidRPr="00356600">
        <w:rPr>
          <w:rFonts w:asciiTheme="minorHAnsi" w:hAnsiTheme="minorHAnsi"/>
          <w:sz w:val="20"/>
          <w:szCs w:val="20"/>
          <w:u w:val="single"/>
        </w:rPr>
        <w:t xml:space="preserve"> (</w:t>
      </w:r>
      <w:r w:rsidR="0047022E">
        <w:rPr>
          <w:rFonts w:asciiTheme="minorHAnsi" w:hAnsiTheme="minorHAnsi"/>
          <w:sz w:val="20"/>
          <w:szCs w:val="20"/>
          <w:u w:val="single"/>
        </w:rPr>
        <w:t>16</w:t>
      </w:r>
      <w:r w:rsidRPr="00356600" w:rsidR="00C8738C">
        <w:rPr>
          <w:rFonts w:asciiTheme="minorHAnsi" w:hAnsiTheme="minorHAnsi"/>
          <w:sz w:val="20"/>
          <w:szCs w:val="20"/>
          <w:u w:val="single"/>
        </w:rPr>
        <w:t xml:space="preserve"> </w:t>
      </w:r>
      <w:r w:rsidR="0047022E">
        <w:rPr>
          <w:rFonts w:asciiTheme="minorHAnsi" w:hAnsiTheme="minorHAnsi"/>
          <w:sz w:val="20"/>
          <w:szCs w:val="20"/>
          <w:u w:val="single"/>
        </w:rPr>
        <w:t>januari</w:t>
      </w:r>
      <w:r w:rsidRPr="00356600">
        <w:rPr>
          <w:rFonts w:asciiTheme="minorHAnsi" w:hAnsiTheme="minorHAnsi"/>
          <w:sz w:val="20"/>
          <w:szCs w:val="20"/>
          <w:u w:val="single"/>
        </w:rPr>
        <w:t xml:space="preserve"> 201</w:t>
      </w:r>
      <w:r w:rsidR="0047022E">
        <w:rPr>
          <w:rFonts w:asciiTheme="minorHAnsi" w:hAnsiTheme="minorHAnsi"/>
          <w:sz w:val="20"/>
          <w:szCs w:val="20"/>
          <w:u w:val="single"/>
        </w:rPr>
        <w:t>7</w:t>
      </w:r>
      <w:r w:rsidRPr="00356600">
        <w:rPr>
          <w:rFonts w:asciiTheme="minorHAnsi" w:hAnsiTheme="minorHAnsi"/>
          <w:sz w:val="20"/>
          <w:szCs w:val="20"/>
          <w:u w:val="single"/>
        </w:rPr>
        <w:t xml:space="preserve"> – </w:t>
      </w:r>
      <w:r w:rsidR="0047022E">
        <w:rPr>
          <w:rFonts w:asciiTheme="minorHAnsi" w:hAnsiTheme="minorHAnsi"/>
          <w:sz w:val="20"/>
          <w:szCs w:val="20"/>
          <w:u w:val="single"/>
        </w:rPr>
        <w:t>30</w:t>
      </w:r>
      <w:r w:rsidRPr="00356600">
        <w:rPr>
          <w:rFonts w:asciiTheme="minorHAnsi" w:hAnsiTheme="minorHAnsi"/>
          <w:sz w:val="20"/>
          <w:szCs w:val="20"/>
          <w:u w:val="single"/>
        </w:rPr>
        <w:t xml:space="preserve"> </w:t>
      </w:r>
      <w:r w:rsidRPr="00356600" w:rsidR="00C8738C">
        <w:rPr>
          <w:rFonts w:asciiTheme="minorHAnsi" w:hAnsiTheme="minorHAnsi"/>
          <w:sz w:val="20"/>
          <w:szCs w:val="20"/>
          <w:u w:val="single"/>
        </w:rPr>
        <w:t>januari</w:t>
      </w:r>
      <w:r w:rsidRPr="00356600">
        <w:rPr>
          <w:rFonts w:asciiTheme="minorHAnsi" w:hAnsiTheme="minorHAnsi"/>
          <w:sz w:val="20"/>
          <w:szCs w:val="20"/>
          <w:u w:val="single"/>
        </w:rPr>
        <w:t xml:space="preserve"> 2017) d.d. </w:t>
      </w:r>
      <w:r w:rsidR="0047022E">
        <w:rPr>
          <w:rFonts w:asciiTheme="minorHAnsi" w:hAnsiTheme="minorHAnsi"/>
          <w:sz w:val="20"/>
          <w:szCs w:val="20"/>
          <w:u w:val="single"/>
        </w:rPr>
        <w:t>2 februari</w:t>
      </w:r>
      <w:r w:rsidRPr="00356600">
        <w:rPr>
          <w:rFonts w:asciiTheme="minorHAnsi" w:hAnsiTheme="minorHAnsi"/>
          <w:sz w:val="20"/>
          <w:szCs w:val="20"/>
          <w:u w:val="single"/>
        </w:rPr>
        <w:t xml:space="preserve"> 2017.</w:t>
      </w:r>
    </w:p>
    <w:p w:rsidRPr="00356600" w:rsidR="00AB22DA" w:rsidRDefault="00037D49">
      <w:pPr>
        <w:rPr>
          <w:rFonts w:asciiTheme="minorHAnsi" w:hAnsiTheme="minorHAnsi"/>
          <w:sz w:val="20"/>
          <w:szCs w:val="20"/>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433"/>
        <w:gridCol w:w="709"/>
        <w:gridCol w:w="1559"/>
        <w:gridCol w:w="5953"/>
        <w:gridCol w:w="709"/>
        <w:gridCol w:w="1134"/>
        <w:gridCol w:w="2977"/>
      </w:tblGrid>
      <w:tr w:rsidRPr="00356600" w:rsidR="003B00CB" w:rsidTr="005944B2">
        <w:trPr>
          <w:trHeight w:val="1550"/>
        </w:trPr>
        <w:tc>
          <w:tcPr>
            <w:tcW w:w="1433"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Publicatie-</w:t>
            </w: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datum</w:t>
            </w:r>
          </w:p>
        </w:tc>
        <w:tc>
          <w:tcPr>
            <w:tcW w:w="70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Voortouw</w:t>
            </w:r>
          </w:p>
        </w:tc>
        <w:tc>
          <w:tcPr>
            <w:tcW w:w="155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Soort</w:t>
            </w:r>
          </w:p>
        </w:tc>
        <w:tc>
          <w:tcPr>
            <w:tcW w:w="5953"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Titel</w:t>
            </w:r>
          </w:p>
        </w:tc>
        <w:tc>
          <w:tcPr>
            <w:tcW w:w="709"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COM-nummer</w:t>
            </w:r>
          </w:p>
        </w:tc>
        <w:tc>
          <w:tcPr>
            <w:tcW w:w="1134" w:type="dxa"/>
            <w:textDirection w:val="btLr"/>
          </w:tcPr>
          <w:p w:rsidRPr="00356600" w:rsidR="003B00CB" w:rsidP="005944B2" w:rsidRDefault="003B00CB">
            <w:pPr>
              <w:rPr>
                <w:rFonts w:asciiTheme="minorHAnsi" w:hAnsiTheme="minorHAnsi"/>
                <w:b/>
                <w:bCs/>
                <w:color w:val="000000"/>
                <w:sz w:val="20"/>
                <w:szCs w:val="20"/>
              </w:rPr>
            </w:pP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Deadline</w:t>
            </w:r>
          </w:p>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Sub.toets</w:t>
            </w:r>
          </w:p>
        </w:tc>
        <w:tc>
          <w:tcPr>
            <w:tcW w:w="2977" w:type="dxa"/>
            <w:shd w:val="clear" w:color="auto" w:fill="auto"/>
            <w:textDirection w:val="btLr"/>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Opmerking</w:t>
            </w:r>
          </w:p>
        </w:tc>
      </w:tr>
      <w:tr w:rsidRPr="00356600" w:rsidR="003B00CB" w:rsidTr="005944B2">
        <w:trPr>
          <w:trHeight w:val="300"/>
        </w:trPr>
        <w:tc>
          <w:tcPr>
            <w:tcW w:w="1433"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155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5953"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709" w:type="dxa"/>
            <w:tcBorders>
              <w:bottom w:val="single" w:color="auto" w:sz="4" w:space="0"/>
            </w:tcBorders>
            <w:shd w:val="clear" w:color="000000" w:fill="538DD5"/>
            <w:vAlign w:val="bottom"/>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c>
          <w:tcPr>
            <w:tcW w:w="1134" w:type="dxa"/>
            <w:tcBorders>
              <w:bottom w:val="single" w:color="auto" w:sz="4" w:space="0"/>
            </w:tcBorders>
            <w:shd w:val="clear" w:color="000000" w:fill="538DD5"/>
          </w:tcPr>
          <w:p w:rsidRPr="00356600" w:rsidR="003B00CB" w:rsidP="005944B2" w:rsidRDefault="003B00CB">
            <w:pPr>
              <w:rPr>
                <w:rFonts w:asciiTheme="minorHAnsi" w:hAnsiTheme="minorHAnsi"/>
                <w:b/>
                <w:bCs/>
                <w:color w:val="000000"/>
                <w:sz w:val="20"/>
                <w:szCs w:val="20"/>
              </w:rPr>
            </w:pPr>
          </w:p>
        </w:tc>
        <w:tc>
          <w:tcPr>
            <w:tcW w:w="2977" w:type="dxa"/>
            <w:tcBorders>
              <w:bottom w:val="single" w:color="auto" w:sz="4" w:space="0"/>
            </w:tcBorders>
            <w:shd w:val="clear" w:color="000000" w:fill="538DD5"/>
            <w:hideMark/>
          </w:tcPr>
          <w:p w:rsidRPr="00356600" w:rsidR="003B00CB" w:rsidP="005944B2" w:rsidRDefault="003B00CB">
            <w:pPr>
              <w:rPr>
                <w:rFonts w:asciiTheme="minorHAnsi" w:hAnsiTheme="minorHAnsi"/>
                <w:b/>
                <w:bCs/>
                <w:color w:val="000000"/>
                <w:sz w:val="20"/>
                <w:szCs w:val="20"/>
              </w:rPr>
            </w:pPr>
            <w:r w:rsidRPr="00356600">
              <w:rPr>
                <w:rFonts w:asciiTheme="minorHAnsi" w:hAnsiTheme="minorHAnsi"/>
                <w:b/>
                <w:bCs/>
                <w:color w:val="000000"/>
                <w:sz w:val="20"/>
                <w:szCs w:val="20"/>
              </w:rPr>
              <w:t> </w:t>
            </w:r>
          </w:p>
        </w:tc>
      </w:tr>
      <w:tr w:rsidRPr="0047022E" w:rsidR="0047022E" w:rsidTr="0047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10-jan-17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47022E" w:rsidR="0047022E" w:rsidP="0047022E" w:rsidRDefault="006C55D1">
            <w:pPr>
              <w:rPr>
                <w:rFonts w:asciiTheme="minorHAnsi" w:hAnsiTheme="minorHAnsi"/>
                <w:sz w:val="20"/>
                <w:szCs w:val="20"/>
              </w:rPr>
            </w:pPr>
            <w:r>
              <w:rPr>
                <w:rFonts w:asciiTheme="minorHAnsi" w:hAnsiTheme="minorHAnsi"/>
                <w:sz w:val="20"/>
                <w:szCs w:val="20"/>
              </w:rPr>
              <w:t>M</w:t>
            </w:r>
            <w:r w:rsidRPr="0047022E" w:rsidR="0047022E">
              <w:rPr>
                <w:rFonts w:asciiTheme="minorHAnsi" w:hAnsiTheme="minorHAnsi"/>
                <w:sz w:val="20"/>
                <w:szCs w:val="20"/>
              </w:rPr>
              <w:t>ededeling</w:t>
            </w:r>
          </w:p>
        </w:tc>
        <w:tc>
          <w:tcPr>
            <w:tcW w:w="5953" w:type="dxa"/>
            <w:tcBorders>
              <w:top w:val="single" w:color="auto" w:sz="4" w:space="0"/>
              <w:left w:val="nil"/>
              <w:bottom w:val="single" w:color="auto" w:sz="4" w:space="0"/>
              <w:right w:val="nil"/>
            </w:tcBorders>
            <w:shd w:val="clear" w:color="auto" w:fill="FFFFFF" w:themeFill="background1"/>
            <w:noWrap/>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MEDEDELING VAN DE COMMISSIE AAN HET EUROPEES PARLEMENT, DE RAAD, HET EUROPEES ECONOMISCH EN SOCIAAL COMITÉ EN HET COMITÉ VAN DE REGIO'S inzake aanbevelingen voor hervorming van de reglementering van professionele dienstverlening</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7022E" w:rsidR="0047022E" w:rsidP="0047022E" w:rsidRDefault="00037D49">
            <w:pPr>
              <w:rPr>
                <w:rFonts w:asciiTheme="minorHAnsi" w:hAnsiTheme="minorHAnsi"/>
                <w:sz w:val="20"/>
                <w:szCs w:val="20"/>
              </w:rPr>
            </w:pPr>
            <w:hyperlink w:history="1" r:id="rId8">
              <w:r w:rsidRPr="0047022E" w:rsidR="0047022E">
                <w:rPr>
                  <w:rStyle w:val="Hyperlink"/>
                  <w:rFonts w:asciiTheme="minorHAnsi" w:hAnsiTheme="minorHAnsi"/>
                  <w:sz w:val="20"/>
                  <w:szCs w:val="20"/>
                </w:rPr>
                <w:t>820</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 </w:t>
            </w: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 </w:t>
            </w:r>
            <w:r w:rsidR="00DA2B58">
              <w:rPr>
                <w:rFonts w:asciiTheme="minorHAnsi" w:hAnsiTheme="minorHAnsi"/>
                <w:sz w:val="20"/>
                <w:szCs w:val="20"/>
              </w:rPr>
              <w:t>Voorstel: BNC-fiche afwachten.</w:t>
            </w:r>
          </w:p>
        </w:tc>
      </w:tr>
      <w:tr w:rsidRPr="0047022E" w:rsidR="0047022E" w:rsidTr="0047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3"/>
        </w:trPr>
        <w:tc>
          <w:tcPr>
            <w:tcW w:w="1433"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10-jan-17</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EZ</w:t>
            </w:r>
          </w:p>
        </w:tc>
        <w:tc>
          <w:tcPr>
            <w:tcW w:w="1559" w:type="dxa"/>
            <w:tcBorders>
              <w:top w:val="single" w:color="auto" w:sz="4" w:space="0"/>
              <w:left w:val="nil"/>
              <w:bottom w:val="single" w:color="auto" w:sz="4" w:space="0"/>
              <w:right w:val="single" w:color="auto" w:sz="4" w:space="0"/>
            </w:tcBorders>
            <w:shd w:val="clear" w:color="auto" w:fill="FFFFFF" w:themeFill="background1"/>
            <w:noWrap/>
          </w:tcPr>
          <w:p w:rsidRPr="0047022E" w:rsidR="0047022E" w:rsidP="0047022E" w:rsidRDefault="006C55D1">
            <w:pPr>
              <w:rPr>
                <w:rFonts w:asciiTheme="minorHAnsi" w:hAnsiTheme="minorHAnsi"/>
                <w:sz w:val="20"/>
                <w:szCs w:val="20"/>
              </w:rPr>
            </w:pPr>
            <w:r>
              <w:rPr>
                <w:rFonts w:asciiTheme="minorHAnsi" w:hAnsiTheme="minorHAnsi"/>
                <w:sz w:val="20"/>
                <w:szCs w:val="20"/>
              </w:rPr>
              <w:t>R</w:t>
            </w:r>
            <w:r w:rsidRPr="0047022E" w:rsidR="0047022E">
              <w:rPr>
                <w:rFonts w:asciiTheme="minorHAnsi" w:hAnsiTheme="minorHAnsi"/>
                <w:sz w:val="20"/>
                <w:szCs w:val="20"/>
              </w:rPr>
              <w:t>aadpleging</w:t>
            </w:r>
          </w:p>
        </w:tc>
        <w:tc>
          <w:tcPr>
            <w:tcW w:w="5953" w:type="dxa"/>
            <w:tcBorders>
              <w:top w:val="single" w:color="auto" w:sz="4" w:space="0"/>
              <w:left w:val="nil"/>
              <w:bottom w:val="single" w:color="auto" w:sz="4" w:space="0"/>
              <w:right w:val="nil"/>
            </w:tcBorders>
            <w:shd w:val="clear" w:color="auto" w:fill="FFFFFF" w:themeFill="background1"/>
            <w:noWrap/>
          </w:tcPr>
          <w:p w:rsidRPr="0047022E" w:rsidR="0047022E" w:rsidP="0047022E" w:rsidRDefault="0047022E">
            <w:pPr>
              <w:rPr>
                <w:rFonts w:asciiTheme="minorHAnsi" w:hAnsiTheme="minorHAnsi"/>
                <w:sz w:val="20"/>
                <w:szCs w:val="20"/>
              </w:rPr>
            </w:pPr>
            <w:r w:rsidRPr="0047022E">
              <w:rPr>
                <w:rFonts w:asciiTheme="minorHAnsi" w:hAnsiTheme="minorHAnsi"/>
                <w:sz w:val="20"/>
                <w:szCs w:val="20"/>
              </w:rPr>
              <w:t xml:space="preserve">Openbare raadpleging over de regels inzake de aansprakelijkheid van de producent voor door een product met gebreken veroorzaakte schade </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47022E" w:rsidR="0047022E" w:rsidP="0047022E" w:rsidRDefault="00037D49">
            <w:pPr>
              <w:rPr>
                <w:rFonts w:asciiTheme="minorHAnsi" w:hAnsiTheme="minorHAnsi"/>
                <w:sz w:val="20"/>
                <w:szCs w:val="20"/>
              </w:rPr>
            </w:pPr>
            <w:hyperlink w:history="1" r:id="rId9">
              <w:r w:rsidRPr="0047022E" w:rsidR="0047022E">
                <w:rPr>
                  <w:rStyle w:val="Hyperlink"/>
                  <w:rFonts w:asciiTheme="minorHAnsi" w:hAnsiTheme="minorHAnsi"/>
                  <w:sz w:val="20"/>
                  <w:szCs w:val="20"/>
                </w:rPr>
                <w:t>OR</w:t>
              </w:r>
            </w:hyperlink>
          </w:p>
        </w:tc>
        <w:tc>
          <w:tcPr>
            <w:tcW w:w="1134" w:type="dxa"/>
            <w:tcBorders>
              <w:top w:val="single" w:color="auto" w:sz="4" w:space="0"/>
              <w:left w:val="nil"/>
              <w:bottom w:val="single" w:color="auto" w:sz="4" w:space="0"/>
              <w:right w:val="single" w:color="auto" w:sz="4" w:space="0"/>
            </w:tcBorders>
            <w:shd w:val="clear" w:color="auto" w:fill="FFFFFF" w:themeFill="background1"/>
            <w:noWrap/>
          </w:tcPr>
          <w:p w:rsidRPr="0047022E" w:rsidR="0047022E" w:rsidP="0047022E" w:rsidRDefault="0047022E">
            <w:pPr>
              <w:rPr>
                <w:rFonts w:asciiTheme="minorHAnsi" w:hAnsiTheme="minorHAnsi"/>
                <w:sz w:val="20"/>
                <w:szCs w:val="20"/>
              </w:rPr>
            </w:pPr>
          </w:p>
        </w:tc>
        <w:tc>
          <w:tcPr>
            <w:tcW w:w="2977" w:type="dxa"/>
            <w:tcBorders>
              <w:top w:val="single" w:color="auto" w:sz="4" w:space="0"/>
              <w:left w:val="nil"/>
              <w:bottom w:val="single" w:color="auto" w:sz="4" w:space="0"/>
              <w:right w:val="single" w:color="auto" w:sz="4" w:space="0"/>
            </w:tcBorders>
            <w:shd w:val="clear" w:color="auto" w:fill="FFFFFF" w:themeFill="background1"/>
          </w:tcPr>
          <w:p w:rsidRPr="0047022E" w:rsidR="0047022E" w:rsidP="0047022E" w:rsidRDefault="00B306F2">
            <w:pPr>
              <w:rPr>
                <w:rFonts w:asciiTheme="minorHAnsi" w:hAnsiTheme="minorHAnsi"/>
                <w:sz w:val="20"/>
                <w:szCs w:val="20"/>
              </w:rPr>
            </w:pPr>
            <w:r w:rsidRPr="00356600">
              <w:rPr>
                <w:rFonts w:asciiTheme="minorHAnsi" w:hAnsiTheme="minorHAnsi"/>
                <w:sz w:val="20"/>
                <w:szCs w:val="20"/>
              </w:rPr>
              <w:t>Deze raadpleging loopt tot en met 26 april 2017. Voorstel: het kabinet verzoeken om aan te geven of zij een reactie zal insturen en zo ja, of de Kamer hier tijdig een concept van kan ontvangen zodat zij zich hierover nog kan uitspreken voordat de reactie aan de Europese Commissie wordt verzonden.</w:t>
            </w:r>
          </w:p>
        </w:tc>
      </w:tr>
    </w:tbl>
    <w:p w:rsidRPr="00356600" w:rsidR="003B00CB" w:rsidRDefault="003B00CB">
      <w:pPr>
        <w:rPr>
          <w:rFonts w:asciiTheme="minorHAnsi" w:hAnsiTheme="minorHAnsi"/>
          <w:sz w:val="20"/>
          <w:szCs w:val="20"/>
        </w:rPr>
      </w:pPr>
    </w:p>
    <w:p w:rsidRPr="00356600" w:rsidR="003B00CB" w:rsidP="003B00CB" w:rsidRDefault="003B00CB">
      <w:pPr>
        <w:pStyle w:val="Voetnoottekst"/>
        <w:rPr>
          <w:rFonts w:asciiTheme="minorHAnsi" w:hAnsiTheme="minorHAnsi"/>
          <w:b/>
        </w:rPr>
      </w:pPr>
      <w:r w:rsidRPr="00356600">
        <w:rPr>
          <w:rFonts w:asciiTheme="minorHAnsi" w:hAnsiTheme="minorHAnsi"/>
          <w:b/>
        </w:rPr>
        <w:t>Bijlage: behandelmogelijkheden EU-voorstellen</w:t>
      </w:r>
    </w:p>
    <w:p w:rsidRPr="00356600" w:rsidR="003B00CB" w:rsidP="003B00CB" w:rsidRDefault="003B00CB">
      <w:pPr>
        <w:pStyle w:val="Voetnoottekst"/>
        <w:rPr>
          <w:rFonts w:asciiTheme="minorHAnsi" w:hAnsiTheme="minorHAnsi"/>
        </w:rPr>
      </w:pPr>
    </w:p>
    <w:p w:rsidRPr="00356600" w:rsidR="003B00CB" w:rsidP="003B00CB" w:rsidRDefault="003B00CB">
      <w:pPr>
        <w:rPr>
          <w:rFonts w:asciiTheme="minorHAnsi" w:hAnsiTheme="minorHAnsi"/>
          <w:sz w:val="20"/>
          <w:szCs w:val="20"/>
        </w:rPr>
      </w:pPr>
      <w:r w:rsidRPr="00356600">
        <w:rPr>
          <w:rFonts w:asciiTheme="minorHAnsi" w:hAnsiTheme="minorHAnsi"/>
          <w:sz w:val="20"/>
          <w:szCs w:val="20"/>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356600" w:rsidR="003B00CB" w:rsidP="003B00CB" w:rsidRDefault="003B00CB">
      <w:pPr>
        <w:rPr>
          <w:rFonts w:asciiTheme="minorHAnsi" w:hAnsiTheme="minorHAnsi"/>
          <w:sz w:val="20"/>
          <w:szCs w:val="20"/>
        </w:rPr>
      </w:pPr>
      <w:r w:rsidRPr="00356600">
        <w:rPr>
          <w:rFonts w:asciiTheme="minorHAnsi" w:hAnsiTheme="minorHAnsi"/>
          <w:sz w:val="20"/>
          <w:szCs w:val="20"/>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356600" w:rsidR="003B00CB" w:rsidP="003B00CB" w:rsidRDefault="003B00CB">
      <w:pPr>
        <w:pStyle w:val="Voetnoottekst"/>
        <w:rPr>
          <w:rFonts w:asciiTheme="minorHAnsi" w:hAnsiTheme="minorHAnsi"/>
        </w:rPr>
      </w:pPr>
    </w:p>
    <w:tbl>
      <w:tblPr>
        <w:tblStyle w:val="Tabelraster"/>
        <w:tblW w:w="14142" w:type="dxa"/>
        <w:tblLayout w:type="fixed"/>
        <w:tblLook w:val="04A0" w:firstRow="1" w:lastRow="0" w:firstColumn="1" w:lastColumn="0" w:noHBand="0" w:noVBand="1"/>
      </w:tblPr>
      <w:tblGrid>
        <w:gridCol w:w="2093"/>
        <w:gridCol w:w="6946"/>
        <w:gridCol w:w="5103"/>
      </w:tblGrid>
      <w:tr w:rsidRPr="00356600" w:rsidR="003B00CB" w:rsidTr="005944B2">
        <w:tc>
          <w:tcPr>
            <w:tcW w:w="2093" w:type="dxa"/>
          </w:tcPr>
          <w:p w:rsidRPr="00356600" w:rsidR="003B00CB" w:rsidP="005944B2" w:rsidRDefault="003B00CB">
            <w:pPr>
              <w:pStyle w:val="Voetnoottekst"/>
              <w:rPr>
                <w:rFonts w:asciiTheme="minorHAnsi" w:hAnsiTheme="minorHAnsi"/>
                <w:b/>
              </w:rPr>
            </w:pPr>
            <w:r w:rsidRPr="00356600">
              <w:rPr>
                <w:rFonts w:asciiTheme="minorHAnsi" w:hAnsiTheme="minorHAnsi"/>
                <w:b/>
              </w:rPr>
              <w:t>Soort Instrument</w:t>
            </w:r>
          </w:p>
        </w:tc>
        <w:tc>
          <w:tcPr>
            <w:tcW w:w="6946" w:type="dxa"/>
          </w:tcPr>
          <w:p w:rsidRPr="00356600" w:rsidR="003B00CB" w:rsidP="005944B2" w:rsidRDefault="003B00CB">
            <w:pPr>
              <w:pStyle w:val="Voetnoottekst"/>
              <w:rPr>
                <w:rFonts w:asciiTheme="minorHAnsi" w:hAnsiTheme="minorHAnsi"/>
                <w:b/>
              </w:rPr>
            </w:pPr>
            <w:r w:rsidRPr="00356600">
              <w:rPr>
                <w:rFonts w:asciiTheme="minorHAnsi" w:hAnsiTheme="minorHAnsi"/>
                <w:b/>
              </w:rPr>
              <w:t>Toelichting</w:t>
            </w:r>
          </w:p>
        </w:tc>
        <w:tc>
          <w:tcPr>
            <w:tcW w:w="5103" w:type="dxa"/>
          </w:tcPr>
          <w:p w:rsidRPr="00356600" w:rsidR="003B00CB" w:rsidP="005944B2" w:rsidRDefault="003B00CB">
            <w:pPr>
              <w:pStyle w:val="Voetnoottekst"/>
              <w:rPr>
                <w:rFonts w:asciiTheme="minorHAnsi" w:hAnsiTheme="minorHAnsi"/>
                <w:b/>
              </w:rPr>
            </w:pPr>
            <w:r w:rsidRPr="00356600">
              <w:rPr>
                <w:rFonts w:asciiTheme="minorHAnsi" w:hAnsiTheme="minorHAnsi"/>
                <w:b/>
              </w:rPr>
              <w:t xml:space="preserve">Mogelijke beïnvloedingsmomenten </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p>
          <w:p w:rsidRPr="00356600" w:rsidR="003B00CB" w:rsidP="005944B2" w:rsidRDefault="003B00CB">
            <w:pPr>
              <w:pStyle w:val="Voetnoottekst"/>
              <w:rPr>
                <w:rFonts w:asciiTheme="minorHAnsi" w:hAnsiTheme="minorHAnsi"/>
                <w:i/>
              </w:rPr>
            </w:pPr>
            <w:r w:rsidRPr="00356600">
              <w:rPr>
                <w:rFonts w:asciiTheme="minorHAnsi" w:hAnsiTheme="minorHAnsi"/>
                <w:i/>
              </w:rPr>
              <w:lastRenderedPageBreak/>
              <w:t>Wetgevende, bindende rechtshandelingen</w:t>
            </w:r>
            <w:r w:rsidRPr="00356600">
              <w:rPr>
                <w:rStyle w:val="Voetnootmarkering"/>
                <w:rFonts w:asciiTheme="minorHAnsi" w:hAnsiTheme="minorHAnsi"/>
                <w:i/>
              </w:rPr>
              <w:footnoteReference w:id="1"/>
            </w:r>
            <w:r w:rsidRPr="00356600">
              <w:rPr>
                <w:rFonts w:asciiTheme="minorHAnsi" w:hAnsiTheme="minorHAnsi"/>
                <w:i/>
              </w:rPr>
              <w:t xml:space="preserve">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Verordening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(bijvoorbeeld bij het aanwijzen van een nationale toezichthouder). Een door de EU wetgever (Raad en/of Europees Parlement) aangenomen verordening komt niet terug in de Kamer voor behandeling. </w:t>
            </w:r>
          </w:p>
        </w:tc>
        <w:tc>
          <w:tcPr>
            <w:tcW w:w="5103" w:type="dxa"/>
            <w:vMerge w:val="restart"/>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subsidiariteitstoets overwegen: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behandelvoorbehoud overwegen: let op termijn (zie hieronder).</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ad-hoc rapporteur(s) binnen de commissie(s) benoemen.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overleg met kabinet NL onderhandelingsinzet aan de orde stellen, evt. aan de hand van het “BNC-fiche”.</w:t>
            </w:r>
            <w:r w:rsidRPr="00356600">
              <w:rPr>
                <w:rStyle w:val="Voetnootmarkering"/>
                <w:rFonts w:asciiTheme="minorHAnsi" w:hAnsiTheme="minorHAnsi"/>
              </w:rPr>
              <w:footnoteReference w:id="2"/>
            </w:r>
            <w:r w:rsidRPr="00356600">
              <w:rPr>
                <w:rFonts w:asciiTheme="minorHAnsi" w:hAnsiTheme="minorHAnsi"/>
              </w:rPr>
              <w:t xml:space="preserve"> </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EP-rapporteur uitnodigen, evt. via videoconferentie.</w:t>
            </w:r>
            <w:r w:rsidRPr="00356600">
              <w:rPr>
                <w:rFonts w:asciiTheme="minorHAnsi" w:hAnsiTheme="minorHAnsi"/>
              </w:rPr>
              <w:br/>
            </w:r>
            <w:r w:rsidRPr="00356600">
              <w:rPr>
                <w:rFonts w:asciiTheme="minorHAnsi" w:hAnsiTheme="minorHAnsi"/>
              </w:rPr>
              <w:br/>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NB: Pas na afronding van het onderhandelingstraject: nationale wetgevingstraject monitoren (i.h.k.v. omzetting naar nationale wetgeving).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Richtlijn </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(Besluit)</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Een besluit is verbindend in al zijn onderdelen. Indien de adressanten worden 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356600">
              <w:rPr>
                <w:rFonts w:asciiTheme="minorHAnsi" w:hAnsiTheme="minorHAnsi"/>
              </w:rPr>
              <w:br/>
              <w:t xml:space="preserve">Voor wetgevende besluiten kan gekozen worden als richtlijnen en verordeningen niet geschikt zijn als instrument. Niet-wetgevende besluiten kunnen gericht zijn tot individuele of alle lidstaten (bv. maatregelen tegen onrechtmatige staatssteun)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w:t>
            </w:r>
            <w:r w:rsidRPr="00356600">
              <w:rPr>
                <w:rFonts w:asciiTheme="minorHAnsi" w:hAnsiTheme="minorHAnsi"/>
              </w:rPr>
              <w:lastRenderedPageBreak/>
              <w:t xml:space="preserve">Gemeenschappelijk Buitenlands- en Veiligheidsbeleid  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356600" w:rsidR="003B00CB" w:rsidP="005944B2" w:rsidRDefault="003B00CB">
            <w:pPr>
              <w:pStyle w:val="Voetnoottekst"/>
              <w:numPr>
                <w:ilvl w:val="0"/>
                <w:numId w:val="2"/>
              </w:numPr>
              <w:ind w:left="317" w:hanging="283"/>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lastRenderedPageBreak/>
              <w:t>Niet-wetgevende bindende rechtshandelingen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Gedelegeerde handeling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per brief of tijdens overleg bevragen over stand van zaken en appreciatie EU onderhandelingen en NL inzet, inclusief het voornemen van NL of andere lidstaten om binnen de Raad een bezwaarprocedure te initiëren of een procedure tot intrekking van de delegatie.</w:t>
            </w:r>
          </w:p>
          <w:p w:rsidRPr="00356600" w:rsidR="003B00CB" w:rsidP="005944B2" w:rsidRDefault="003B00CB">
            <w:pPr>
              <w:pStyle w:val="Voetnoottekst"/>
              <w:ind w:left="360"/>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Uitvoerings-handeling</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Indien de implementatie van Unierecht volgens uniforme standaarden van 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per brief of tijdens algemeen overleg/debat bevragen over stand van zaken en appreciatie EU onderhandelingen en NL inzet.</w:t>
            </w:r>
          </w:p>
          <w:p w:rsidRPr="00356600" w:rsidR="003B00CB" w:rsidP="005944B2" w:rsidRDefault="003B00CB">
            <w:pPr>
              <w:numPr>
                <w:ilvl w:val="0"/>
                <w:numId w:val="1"/>
              </w:numPr>
              <w:rPr>
                <w:rFonts w:asciiTheme="minorHAnsi" w:hAnsiTheme="minorHAnsi"/>
                <w:sz w:val="20"/>
                <w:szCs w:val="20"/>
              </w:rPr>
            </w:pPr>
            <w:r w:rsidRPr="00356600">
              <w:rPr>
                <w:rFonts w:asciiTheme="minorHAnsi" w:hAnsiTheme="minorHAnsi"/>
                <w:color w:val="000000"/>
                <w:sz w:val="20"/>
                <w:szCs w:val="20"/>
              </w:rPr>
              <w:t xml:space="preserve">op basis van </w:t>
            </w:r>
            <w:r w:rsidRPr="00356600">
              <w:rPr>
                <w:rFonts w:asciiTheme="minorHAnsi" w:hAnsiTheme="minorHAnsi"/>
                <w:sz w:val="20"/>
                <w:szCs w:val="20"/>
              </w:rPr>
              <w:t xml:space="preserve">de </w:t>
            </w:r>
            <w:hyperlink w:history="1" r:id="rId10">
              <w:r w:rsidRPr="00356600">
                <w:rPr>
                  <w:rFonts w:asciiTheme="minorHAnsi" w:hAnsiTheme="minorHAnsi"/>
                  <w:sz w:val="20"/>
                  <w:szCs w:val="20"/>
                  <w:u w:val="single"/>
                </w:rPr>
                <w:t>(gewijzigde) motie Van Gent</w:t>
              </w:r>
            </w:hyperlink>
            <w:r w:rsidRPr="00356600">
              <w:rPr>
                <w:rFonts w:asciiTheme="minorHAnsi" w:hAnsiTheme="minorHAnsi"/>
                <w:color w:val="000000"/>
                <w:sz w:val="20"/>
                <w:szCs w:val="20"/>
              </w:rPr>
              <w:t xml:space="preserve"> dient het kabinet de Kamer afschriften te sturen van zijn correspondentie met de Europese Commissie over de uitvoering van Europese regelgeving.</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Handelingen vastgesteld volgens de regelgevingsprocedure met toetsing</w:t>
            </w:r>
          </w:p>
        </w:tc>
        <w:tc>
          <w:tcPr>
            <w:tcW w:w="6946" w:type="dxa"/>
          </w:tcPr>
          <w:p w:rsidRPr="00356600" w:rsidR="003B00CB" w:rsidP="005944B2" w:rsidRDefault="003B00CB">
            <w:pPr>
              <w:rPr>
                <w:rFonts w:asciiTheme="minorHAnsi" w:hAnsiTheme="minorHAnsi"/>
                <w:sz w:val="20"/>
                <w:szCs w:val="20"/>
              </w:rPr>
            </w:pPr>
            <w:r w:rsidRPr="00356600">
              <w:rPr>
                <w:rFonts w:asciiTheme="minorHAnsi" w:hAnsiTheme="minorHAnsi"/>
                <w:sz w:val="20"/>
                <w:szCs w:val="20"/>
              </w:rPr>
              <w:t>Deze procedure komt nog voor in Europese wetgeving van voor 2009. Bij deze procedure wordt de Europese Commissie geadviseerd  door een zogeheten regelgevend comité met toetsing met  vertegenwoordigers van lidstaten. Dit comité spreekt zich met gekwalificeerde meerderheid van stemmen uit over het voorstel. EP en Raad kunnen bezwaar maken.</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per brief of tijdens overleg bevragen over stand van zaken en appreciatie EU onderhandelingen en NL inzet, inclusief het voornemen van NL of andere lidstaten om binnen de Raad een bezwaarprocedure te initiëren.</w:t>
            </w:r>
          </w:p>
          <w:p w:rsidRPr="00356600" w:rsidR="003B00CB" w:rsidP="005944B2" w:rsidRDefault="003B00CB">
            <w:pPr>
              <w:pStyle w:val="Voetnoottekst"/>
              <w:numPr>
                <w:ilvl w:val="0"/>
                <w:numId w:val="1"/>
              </w:numPr>
              <w:rPr>
                <w:rFonts w:asciiTheme="minorHAnsi" w:hAnsiTheme="minorHAnsi"/>
              </w:rPr>
            </w:pP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Bijzondere rechtshandelingen</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356600" w:rsidR="003B00CB" w:rsidP="005944B2" w:rsidRDefault="003B00CB">
            <w:pPr>
              <w:pStyle w:val="Voetnoottekst"/>
              <w:rPr>
                <w:rFonts w:asciiTheme="minorHAnsi" w:hAnsiTheme="minorHAnsi"/>
              </w:rPr>
            </w:pP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kabinetsappreciatie (‘BNC-fiche’) vragen, bespreken.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ambtenaren of Commissaris van Europese Commissie (de ‘auteurs’) uitnodigen voor briefing/gesprek, evt. via videoconferentie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indien het Europees Parlement een rapporteur heeft </w:t>
            </w:r>
            <w:r w:rsidRPr="00356600">
              <w:rPr>
                <w:rFonts w:asciiTheme="minorHAnsi" w:hAnsiTheme="minorHAnsi"/>
              </w:rPr>
              <w:lastRenderedPageBreak/>
              <w:t>aangesteld kan deze desgewenst worden uitgenodigd voor een gesprek.</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uw commissie kan op dit onderwerp een ad-hoc rapporteur benoemen</w:t>
            </w:r>
          </w:p>
          <w:p w:rsidRPr="00356600" w:rsidR="003B00CB" w:rsidP="005944B2" w:rsidRDefault="003B00CB">
            <w:pPr>
              <w:pStyle w:val="Voetnoottekst"/>
              <w:ind w:left="360"/>
              <w:rPr>
                <w:rFonts w:asciiTheme="minorHAnsi" w:hAnsiTheme="minorHAnsi"/>
              </w:rPr>
            </w:pPr>
            <w:r w:rsidRPr="00356600">
              <w:rPr>
                <w:rFonts w:asciiTheme="minorHAnsi" w:hAnsiTheme="minorHAnsi"/>
              </w:rPr>
              <w:t>nationale wetgevingstraject (i.h.k.v. omzetting van richtlijn naar nationale wetgeving).</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lastRenderedPageBreak/>
              <w:t>Niet-bindende handelingen (soft-law)</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Advies, aanbeveling, mededeling</w:t>
            </w: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p w:rsidRPr="00356600" w:rsidR="003B00CB" w:rsidP="005944B2" w:rsidRDefault="003B00CB">
            <w:pPr>
              <w:jc w:val="right"/>
              <w:rPr>
                <w:rFonts w:asciiTheme="minorHAnsi" w:hAnsiTheme="minorHAnsi"/>
                <w:sz w:val="20"/>
                <w:szCs w:val="20"/>
              </w:rPr>
            </w:pP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 xml:space="preserve">De EU kent een grote hoeveelheid uiteenlopende typen beleid (‘soft law’)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soft-law.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 xml:space="preserve">Overige handelingen en instrumenten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Routekaart, actieplannen, strategie, agenda </w:t>
            </w:r>
          </w:p>
        </w:tc>
        <w:tc>
          <w:tcPr>
            <w:tcW w:w="6946" w:type="dxa"/>
          </w:tcPr>
          <w:p w:rsidRPr="00356600" w:rsidR="003B00CB" w:rsidP="005944B2" w:rsidRDefault="003B00CB">
            <w:pPr>
              <w:pStyle w:val="Voetnoottekst"/>
              <w:rPr>
                <w:rFonts w:asciiTheme="minorHAnsi" w:hAnsiTheme="minorHAnsi"/>
              </w:rPr>
            </w:pPr>
            <w:r w:rsidRPr="00356600">
              <w:rPr>
                <w:rFonts w:cs="Arial" w:asciiTheme="minorHAnsi" w:hAnsiTheme="minorHAnsi"/>
              </w:rPr>
              <w:t xml:space="preserve">Via routekaarten, actieplannen, strategieën en agenda’s informeert de Europese Commissie belanghebbenden en burgers over nieuwe initiatieven, evaluaties en geschiktheidscontroles. In deze documenten </w:t>
            </w:r>
            <w:r w:rsidRPr="00356600">
              <w:rPr>
                <w:rStyle w:val="Zwaar"/>
                <w:rFonts w:cs="Arial" w:asciiTheme="minorHAnsi" w:hAnsiTheme="minorHAnsi"/>
                <w:b w:val="0"/>
              </w:rPr>
              <w:t>voor nieuwe initiatieven</w:t>
            </w:r>
            <w:r w:rsidRPr="00356600">
              <w:rPr>
                <w:rFonts w:cs="Arial" w:asciiTheme="minorHAnsi" w:hAnsiTheme="minorHAnsi"/>
              </w:rPr>
              <w:t xml:space="preserve"> wordt uitgelegd wat het probleem is, wat de Commissie wil bereiken, waarom juist de EU maatregelen moet nemen, wat de toegevoegde waarde is en welke alternatieven er zijn. In deze documenten</w:t>
            </w:r>
            <w:r w:rsidRPr="00356600">
              <w:rPr>
                <w:rStyle w:val="Zwaar"/>
                <w:rFonts w:cs="Arial" w:asciiTheme="minorHAnsi" w:hAnsiTheme="minorHAnsi"/>
              </w:rPr>
              <w:t xml:space="preserve"> </w:t>
            </w:r>
            <w:r w:rsidRPr="00356600">
              <w:rPr>
                <w:rStyle w:val="Zwaar"/>
                <w:rFonts w:cs="Arial" w:asciiTheme="minorHAnsi" w:hAnsiTheme="minorHAnsi"/>
                <w:b w:val="0"/>
              </w:rPr>
              <w:t>voor evaluaties en geschiktheidscontroles</w:t>
            </w:r>
            <w:r w:rsidRPr="00356600">
              <w:rPr>
                <w:rFonts w:cs="Arial" w:asciiTheme="minorHAnsi" w:hAnsiTheme="minorHAnsi"/>
              </w:rPr>
              <w:t xml:space="preserve"> wordt bepaald wat er geëvalueerd moet worden en welke aspecten moeten worden onderzocht.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om appreciatie in de vorm van BNC-fiche verzoeken aangezien over deze categorie niet standaard een fiche wordt gemaakt</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en/of kabinet vragen om NL inzet (per commissiebrief of tijdens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Groen- en witboek</w:t>
            </w:r>
          </w:p>
        </w:tc>
        <w:tc>
          <w:tcPr>
            <w:tcW w:w="6946"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Groenboek: een discussiestuk, waarmee de Europese Commissie de stand van zaken inventariseert omtrent een onderwerp. Ook doet ze aanbevelingen voor nieuw beleid. </w:t>
            </w:r>
          </w:p>
          <w:p w:rsidRPr="00356600" w:rsidR="003B00CB" w:rsidP="005944B2" w:rsidRDefault="003B00CB">
            <w:pPr>
              <w:pStyle w:val="Voetnoottekst"/>
              <w:rPr>
                <w:rFonts w:asciiTheme="minorHAnsi" w:hAnsiTheme="minorHAnsi"/>
              </w:rPr>
            </w:pPr>
          </w:p>
          <w:p w:rsidRPr="00356600" w:rsidR="003B00CB" w:rsidP="005944B2" w:rsidRDefault="003B00CB">
            <w:pPr>
              <w:pStyle w:val="Voetnoottekst"/>
              <w:rPr>
                <w:rFonts w:asciiTheme="minorHAnsi" w:hAnsiTheme="minorHAnsi"/>
              </w:rPr>
            </w:pPr>
            <w:r w:rsidRPr="00356600">
              <w:rPr>
                <w:rFonts w:asciiTheme="minorHAnsi" w:hAnsiTheme="minorHAnsi"/>
              </w:rPr>
              <w:t>Witboek: hierin zet de Europese Commissie uiteen hoe zij bepaalde doelen wil bereiken. Vaak worden in een witboek al concrete voorstellen uitgewerkt en toegelicht.</w:t>
            </w:r>
          </w:p>
          <w:p w:rsidRPr="00356600" w:rsidR="003B00CB" w:rsidP="005944B2" w:rsidRDefault="003B00CB">
            <w:pPr>
              <w:pStyle w:val="Voetnoottekst"/>
              <w:rPr>
                <w:rFonts w:asciiTheme="minorHAnsi" w:hAnsiTheme="minorHAnsi"/>
              </w:rPr>
            </w:pPr>
            <w:r w:rsidRPr="00356600">
              <w:rPr>
                <w:rFonts w:asciiTheme="minorHAnsi" w:hAnsiTheme="minorHAnsi"/>
              </w:rPr>
              <w:t xml:space="preserve">De Europese Commissie nodigt overheden, nationale parlementen en andere organisaties uit om binnen een bepaalde termijn op een Groen- of Witboek te reageren.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desgewenst ambtenaren EC of Europees Commissaris uitnodigen voor een toelichting.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in commissieverband (via schriftelijke inbreng in de vorm van een politieke dialoog) of als lid, burger of via fracties een reactie sturen aan de Europese Commissie.</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 stuurt de Kamer het concept van haar reactie op Groen- en Witboeken tenminste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lastRenderedPageBreak/>
              <w:t>Openbare raadpleging (consultatie)</w:t>
            </w:r>
          </w:p>
        </w:tc>
        <w:tc>
          <w:tcPr>
            <w:tcW w:w="6946" w:type="dxa"/>
          </w:tcPr>
          <w:p w:rsidRPr="00356600" w:rsidR="003B00CB" w:rsidP="005944B2" w:rsidRDefault="003B00CB">
            <w:pPr>
              <w:pStyle w:val="Voetnoottekst"/>
              <w:spacing w:before="100" w:beforeAutospacing="1" w:after="100" w:afterAutospacing="1"/>
              <w:rPr>
                <w:rFonts w:asciiTheme="minorHAnsi" w:hAnsiTheme="minorHAnsi"/>
              </w:rPr>
            </w:pPr>
            <w:r w:rsidRPr="00356600">
              <w:rPr>
                <w:rFonts w:asciiTheme="minorHAnsi" w:hAnsiTheme="minorHAnsi"/>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1">
              <w:r w:rsidRPr="00356600">
                <w:rPr>
                  <w:rStyle w:val="Hyperlink"/>
                  <w:rFonts w:asciiTheme="minorHAnsi" w:hAnsiTheme="minorHAnsi"/>
                </w:rPr>
                <w:t>Bekijk alle openbare raadplegingen op "Uw stem in Europa"</w:t>
              </w:r>
            </w:hyperlink>
            <w:r w:rsidRPr="00356600">
              <w:rPr>
                <w:rFonts w:asciiTheme="minorHAnsi" w:hAnsiTheme="minorHAnsi"/>
              </w:rPr>
              <w:t xml:space="preserve"> . </w:t>
            </w:r>
          </w:p>
        </w:tc>
        <w:tc>
          <w:tcPr>
            <w:tcW w:w="5103" w:type="dxa"/>
          </w:tcPr>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als burger, lid, fractie of in commissieverband (via schriftelijke inbreng in de vorm van een politieke dialoog). meedoen aan de openbare raadpleging.</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kabinet verzoeken om de concept-kabinetsreactie naar de Kamer te sturen voordat de definitieve versie naar de Europese Commissie wordt gestuurd, teneinde desgewenst hierover met de bewindspersoon in gesprek te treden.</w:t>
            </w:r>
          </w:p>
          <w:p w:rsidRPr="00356600" w:rsidR="003B00CB" w:rsidP="005944B2" w:rsidRDefault="003B00CB">
            <w:pPr>
              <w:pStyle w:val="Voetnoottekst"/>
              <w:numPr>
                <w:ilvl w:val="0"/>
                <w:numId w:val="1"/>
              </w:numPr>
              <w:autoSpaceDE w:val="0"/>
              <w:autoSpaceDN w:val="0"/>
              <w:rPr>
                <w:rFonts w:asciiTheme="minorHAnsi" w:hAnsiTheme="minorHAnsi"/>
              </w:rPr>
            </w:pPr>
            <w:r w:rsidRPr="00356600">
              <w:rPr>
                <w:rFonts w:asciiTheme="minorHAnsi" w:hAnsiTheme="minorHAnsi"/>
              </w:rPr>
              <w:t>de Kamer ontvangt krachtens de standaard-informatieafspraken de definitieve kabinetsreactie op alle consultaties van de Europese Commissie waarop het kabinet reageert.</w:t>
            </w:r>
          </w:p>
        </w:tc>
      </w:tr>
      <w:tr w:rsidRPr="00356600" w:rsidR="003B00CB" w:rsidTr="005944B2">
        <w:tc>
          <w:tcPr>
            <w:tcW w:w="14142" w:type="dxa"/>
            <w:gridSpan w:val="3"/>
          </w:tcPr>
          <w:p w:rsidRPr="00356600" w:rsidR="003B00CB" w:rsidP="005944B2" w:rsidRDefault="003B00CB">
            <w:pPr>
              <w:pStyle w:val="Voetnoottekst"/>
              <w:rPr>
                <w:rFonts w:asciiTheme="minorHAnsi" w:hAnsiTheme="minorHAnsi"/>
                <w:i/>
              </w:rPr>
            </w:pPr>
            <w:r w:rsidRPr="00356600">
              <w:rPr>
                <w:rFonts w:asciiTheme="minorHAnsi" w:hAnsiTheme="minorHAnsi"/>
                <w:i/>
              </w:rPr>
              <w:t>Uitgelicht: twee specifieke parlementaire instrumenten bij nieuw gepubliceerde EU-voorstellen</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 xml:space="preserve">Subsidiariteitstoets </w:t>
            </w:r>
          </w:p>
          <w:p w:rsidRPr="00356600" w:rsidR="003B00CB" w:rsidP="005944B2" w:rsidRDefault="003B00CB">
            <w:pPr>
              <w:pStyle w:val="Voetnoottekst"/>
              <w:rPr>
                <w:rFonts w:asciiTheme="minorHAnsi" w:hAnsiTheme="minorHAnsi"/>
              </w:rPr>
            </w:pPr>
            <w:r w:rsidRPr="00356600">
              <w:rPr>
                <w:rFonts w:asciiTheme="minorHAnsi" w:hAnsiTheme="minorHAnsi"/>
              </w:rPr>
              <w:t>(richting EU)</w:t>
            </w:r>
          </w:p>
        </w:tc>
        <w:tc>
          <w:tcPr>
            <w:tcW w:w="6946" w:type="dxa"/>
          </w:tcPr>
          <w:p w:rsidRPr="00356600" w:rsidR="003B00CB" w:rsidP="005944B2" w:rsidRDefault="003B00CB">
            <w:pPr>
              <w:pStyle w:val="Lijstalinea"/>
              <w:ind w:left="0"/>
              <w:rPr>
                <w:rFonts w:asciiTheme="minorHAnsi" w:hAnsiTheme="minorHAnsi"/>
                <w:sz w:val="20"/>
                <w:szCs w:val="20"/>
              </w:rPr>
            </w:pPr>
            <w:r w:rsidRPr="00356600">
              <w:rPr>
                <w:rFonts w:asciiTheme="minorHAnsi" w:hAnsiTheme="minorHAnsi"/>
                <w:sz w:val="20"/>
                <w:szCs w:val="20"/>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356600">
              <w:rPr>
                <w:rFonts w:asciiTheme="minorHAnsi" w:hAnsiTheme="minorHAnsi" w:cstheme="minorHAnsi"/>
                <w:color w:val="000000" w:themeColor="text1"/>
                <w:sz w:val="20"/>
                <w:szCs w:val="20"/>
              </w:rPr>
              <w:t>Elk parlement krijgt 2 stemmen, maar bij een bicameraal stelsel, zoals in Nederland, krijgt elke kamer 1 stem</w:t>
            </w:r>
            <w:r w:rsidRPr="00356600">
              <w:rPr>
                <w:rFonts w:asciiTheme="minorHAnsi" w:hAnsiTheme="minorHAnsi"/>
                <w:sz w:val="20"/>
                <w:szCs w:val="20"/>
              </w:rPr>
              <w:t>.</w:t>
            </w:r>
            <w:r w:rsidRPr="00356600">
              <w:rPr>
                <w:rFonts w:asciiTheme="minorHAnsi" w:hAnsiTheme="minorHAnsi" w:cstheme="minorHAnsi"/>
                <w:color w:val="000000" w:themeColor="text1"/>
                <w:sz w:val="20"/>
                <w:szCs w:val="20"/>
              </w:rPr>
              <w:t xml:space="preserve"> Om een gele kaart te trekken moeten er 19 stemmen worden gehaald.</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bij wetgevende EU-voorstellen kan een Kamercommissie besluiten tot het uitvoeren van een subsidiariteitstoets. Let op: dit moet binnen acht weken na het uitkomen van alle taalversies van het voorstel.</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komt voor aangekondigde subsidiariteitstoetsen binnen drie weken t.b.v. een snelle behandeling.</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 xml:space="preserve">met andere parlementen in overleg treden t.b.v. behalen meerderheid voor ’gele kaart’ (1/3 stemmen) via parlementaire vertegenwoordiging en/of fractielijnen. </w:t>
            </w:r>
          </w:p>
        </w:tc>
      </w:tr>
      <w:tr w:rsidRPr="00356600" w:rsidR="003B00CB" w:rsidTr="005944B2">
        <w:tc>
          <w:tcPr>
            <w:tcW w:w="2093" w:type="dxa"/>
          </w:tcPr>
          <w:p w:rsidRPr="00356600" w:rsidR="003B00CB" w:rsidP="005944B2" w:rsidRDefault="003B00CB">
            <w:pPr>
              <w:pStyle w:val="Voetnoottekst"/>
              <w:rPr>
                <w:rFonts w:asciiTheme="minorHAnsi" w:hAnsiTheme="minorHAnsi"/>
              </w:rPr>
            </w:pPr>
            <w:r w:rsidRPr="00356600">
              <w:rPr>
                <w:rFonts w:asciiTheme="minorHAnsi" w:hAnsiTheme="minorHAnsi"/>
              </w:rPr>
              <w:t>Behandel-voorbehoud (richting regering)</w:t>
            </w:r>
          </w:p>
        </w:tc>
        <w:tc>
          <w:tcPr>
            <w:tcW w:w="6946" w:type="dxa"/>
          </w:tcPr>
          <w:p w:rsidRPr="00356600" w:rsidR="003B00CB" w:rsidP="005944B2" w:rsidRDefault="003B00CB">
            <w:pPr>
              <w:pStyle w:val="Lijstalinea"/>
              <w:ind w:left="34"/>
              <w:rPr>
                <w:rFonts w:asciiTheme="minorHAnsi" w:hAnsiTheme="minorHAnsi"/>
                <w:sz w:val="20"/>
                <w:szCs w:val="20"/>
              </w:rPr>
            </w:pPr>
            <w:r w:rsidRPr="00356600">
              <w:rPr>
                <w:rFonts w:asciiTheme="minorHAnsi" w:hAnsiTheme="minorHAnsi"/>
                <w:sz w:val="20"/>
                <w:szCs w:val="20"/>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w:t>
            </w:r>
            <w:r w:rsidRPr="00356600">
              <w:rPr>
                <w:rFonts w:asciiTheme="minorHAnsi" w:hAnsiTheme="minorHAnsi"/>
                <w:sz w:val="20"/>
                <w:szCs w:val="20"/>
              </w:rPr>
              <w:lastRenderedPageBreak/>
              <w:t xml:space="preserve">plaatsgevonden, wordt het behandelvoorbehoud opgeheven. </w:t>
            </w:r>
          </w:p>
        </w:tc>
        <w:tc>
          <w:tcPr>
            <w:tcW w:w="5103" w:type="dxa"/>
          </w:tcPr>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lastRenderedPageBreak/>
              <w:t>bij wetgevende EU-voorstellen kan een commissie besluiten tot het uitvoeren van een zgn. ‘behandelvoorbehoud’. Over deze brief moet plenair gestemd worden (let op de termijnen).</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tijdens een speciaal overleg kan de commissie afspraken maken over informatieverstrekking (bv. in kwartaalrapportages) zolang het desbetreffende dossier in onderhandeling is.</w:t>
            </w:r>
          </w:p>
          <w:p w:rsidRPr="00356600" w:rsidR="003B00CB" w:rsidP="005944B2" w:rsidRDefault="003B00CB">
            <w:pPr>
              <w:pStyle w:val="Voetnoottekst"/>
              <w:numPr>
                <w:ilvl w:val="0"/>
                <w:numId w:val="1"/>
              </w:numPr>
              <w:rPr>
                <w:rFonts w:asciiTheme="minorHAnsi" w:hAnsiTheme="minorHAnsi"/>
              </w:rPr>
            </w:pPr>
            <w:r w:rsidRPr="00356600">
              <w:rPr>
                <w:rFonts w:asciiTheme="minorHAnsi" w:hAnsiTheme="minorHAnsi"/>
              </w:rPr>
              <w:t>kabinetsappreciatie (‘BNC-fiche’) komt voor aangekondigde behandelvoorbehouden binnen drie weken t.b.v. een snelle behandeling.</w:t>
            </w:r>
          </w:p>
          <w:p w:rsidRPr="00356600" w:rsidR="003B00CB" w:rsidP="005944B2" w:rsidRDefault="003B00CB">
            <w:pPr>
              <w:pStyle w:val="Voetnoottekst"/>
              <w:rPr>
                <w:rFonts w:asciiTheme="minorHAnsi" w:hAnsiTheme="minorHAnsi"/>
              </w:rPr>
            </w:pPr>
          </w:p>
        </w:tc>
      </w:tr>
    </w:tbl>
    <w:p w:rsidRPr="00356600" w:rsidR="003B00CB" w:rsidRDefault="003B00CB">
      <w:pPr>
        <w:rPr>
          <w:rFonts w:asciiTheme="minorHAnsi" w:hAnsiTheme="minorHAnsi"/>
          <w:sz w:val="20"/>
          <w:szCs w:val="20"/>
        </w:rPr>
      </w:pPr>
    </w:p>
    <w:sectPr w:rsidRPr="00356600" w:rsidR="003B00CB" w:rsidSect="003B00CB">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9BD" w:rsidRDefault="00AF19BD" w:rsidP="003B00CB">
      <w:r>
        <w:separator/>
      </w:r>
    </w:p>
  </w:endnote>
  <w:endnote w:type="continuationSeparator" w:id="0">
    <w:p w:rsidR="00AF19BD" w:rsidRDefault="00AF19BD" w:rsidP="003B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9BD" w:rsidRDefault="00AF19BD" w:rsidP="003B00CB">
      <w:r>
        <w:separator/>
      </w:r>
    </w:p>
  </w:footnote>
  <w:footnote w:type="continuationSeparator" w:id="0">
    <w:p w:rsidR="00AF19BD" w:rsidRDefault="00AF19BD" w:rsidP="003B00CB">
      <w:r>
        <w:continuationSeparator/>
      </w:r>
    </w:p>
  </w:footnote>
  <w:footnote w:id="1">
    <w:p w:rsidR="003B00CB" w:rsidRDefault="003B00CB" w:rsidP="003B00CB">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2">
    <w:p w:rsidR="003B00CB" w:rsidRPr="00B45904" w:rsidRDefault="003B00CB" w:rsidP="003B00CB">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r w:rsidRPr="00B45904">
        <w:rPr>
          <w:rFonts w:ascii="Verdana" w:hAnsi="Verdana"/>
          <w:sz w:val="16"/>
          <w:szCs w:val="16"/>
        </w:rPr>
        <w:t>Krachtens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0CB"/>
    <w:rsid w:val="00011166"/>
    <w:rsid w:val="00037D49"/>
    <w:rsid w:val="001641B2"/>
    <w:rsid w:val="00175685"/>
    <w:rsid w:val="001A7A62"/>
    <w:rsid w:val="001C5CB5"/>
    <w:rsid w:val="00225895"/>
    <w:rsid w:val="00291102"/>
    <w:rsid w:val="00356600"/>
    <w:rsid w:val="003A4D14"/>
    <w:rsid w:val="003B00CB"/>
    <w:rsid w:val="003F2EE4"/>
    <w:rsid w:val="0047022E"/>
    <w:rsid w:val="005E4AFC"/>
    <w:rsid w:val="0069271C"/>
    <w:rsid w:val="006C55D1"/>
    <w:rsid w:val="00755BB0"/>
    <w:rsid w:val="007604EB"/>
    <w:rsid w:val="008925AA"/>
    <w:rsid w:val="00975411"/>
    <w:rsid w:val="00AF0709"/>
    <w:rsid w:val="00AF19BD"/>
    <w:rsid w:val="00B306F2"/>
    <w:rsid w:val="00C8738C"/>
    <w:rsid w:val="00DA2B58"/>
    <w:rsid w:val="00E41E69"/>
    <w:rsid w:val="00EF091E"/>
    <w:rsid w:val="00FA7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357">
      <w:bodyDiv w:val="1"/>
      <w:marLeft w:val="0"/>
      <w:marRight w:val="0"/>
      <w:marTop w:val="0"/>
      <w:marBottom w:val="0"/>
      <w:divBdr>
        <w:top w:val="none" w:sz="0" w:space="0" w:color="auto"/>
        <w:left w:val="none" w:sz="0" w:space="0" w:color="auto"/>
        <w:bottom w:val="none" w:sz="0" w:space="0" w:color="auto"/>
        <w:right w:val="none" w:sz="0" w:space="0" w:color="auto"/>
      </w:divBdr>
    </w:div>
    <w:div w:id="143937299">
      <w:bodyDiv w:val="1"/>
      <w:marLeft w:val="0"/>
      <w:marRight w:val="0"/>
      <w:marTop w:val="0"/>
      <w:marBottom w:val="0"/>
      <w:divBdr>
        <w:top w:val="none" w:sz="0" w:space="0" w:color="auto"/>
        <w:left w:val="none" w:sz="0" w:space="0" w:color="auto"/>
        <w:bottom w:val="none" w:sz="0" w:space="0" w:color="auto"/>
        <w:right w:val="none" w:sz="0" w:space="0" w:color="auto"/>
      </w:divBdr>
    </w:div>
    <w:div w:id="189884143">
      <w:bodyDiv w:val="1"/>
      <w:marLeft w:val="0"/>
      <w:marRight w:val="0"/>
      <w:marTop w:val="0"/>
      <w:marBottom w:val="0"/>
      <w:divBdr>
        <w:top w:val="none" w:sz="0" w:space="0" w:color="auto"/>
        <w:left w:val="none" w:sz="0" w:space="0" w:color="auto"/>
        <w:bottom w:val="none" w:sz="0" w:space="0" w:color="auto"/>
        <w:right w:val="none" w:sz="0" w:space="0" w:color="auto"/>
      </w:divBdr>
    </w:div>
    <w:div w:id="226065530">
      <w:bodyDiv w:val="1"/>
      <w:marLeft w:val="0"/>
      <w:marRight w:val="0"/>
      <w:marTop w:val="0"/>
      <w:marBottom w:val="0"/>
      <w:divBdr>
        <w:top w:val="none" w:sz="0" w:space="0" w:color="auto"/>
        <w:left w:val="none" w:sz="0" w:space="0" w:color="auto"/>
        <w:bottom w:val="none" w:sz="0" w:space="0" w:color="auto"/>
        <w:right w:val="none" w:sz="0" w:space="0" w:color="auto"/>
      </w:divBdr>
    </w:div>
    <w:div w:id="236407620">
      <w:bodyDiv w:val="1"/>
      <w:marLeft w:val="0"/>
      <w:marRight w:val="0"/>
      <w:marTop w:val="0"/>
      <w:marBottom w:val="0"/>
      <w:divBdr>
        <w:top w:val="none" w:sz="0" w:space="0" w:color="auto"/>
        <w:left w:val="none" w:sz="0" w:space="0" w:color="auto"/>
        <w:bottom w:val="none" w:sz="0" w:space="0" w:color="auto"/>
        <w:right w:val="none" w:sz="0" w:space="0" w:color="auto"/>
      </w:divBdr>
    </w:div>
    <w:div w:id="512645461">
      <w:bodyDiv w:val="1"/>
      <w:marLeft w:val="0"/>
      <w:marRight w:val="0"/>
      <w:marTop w:val="0"/>
      <w:marBottom w:val="0"/>
      <w:divBdr>
        <w:top w:val="none" w:sz="0" w:space="0" w:color="auto"/>
        <w:left w:val="none" w:sz="0" w:space="0" w:color="auto"/>
        <w:bottom w:val="none" w:sz="0" w:space="0" w:color="auto"/>
        <w:right w:val="none" w:sz="0" w:space="0" w:color="auto"/>
      </w:divBdr>
    </w:div>
    <w:div w:id="548881601">
      <w:bodyDiv w:val="1"/>
      <w:marLeft w:val="0"/>
      <w:marRight w:val="0"/>
      <w:marTop w:val="0"/>
      <w:marBottom w:val="0"/>
      <w:divBdr>
        <w:top w:val="none" w:sz="0" w:space="0" w:color="auto"/>
        <w:left w:val="none" w:sz="0" w:space="0" w:color="auto"/>
        <w:bottom w:val="none" w:sz="0" w:space="0" w:color="auto"/>
        <w:right w:val="none" w:sz="0" w:space="0" w:color="auto"/>
      </w:divBdr>
    </w:div>
    <w:div w:id="705527700">
      <w:bodyDiv w:val="1"/>
      <w:marLeft w:val="0"/>
      <w:marRight w:val="0"/>
      <w:marTop w:val="0"/>
      <w:marBottom w:val="0"/>
      <w:divBdr>
        <w:top w:val="none" w:sz="0" w:space="0" w:color="auto"/>
        <w:left w:val="none" w:sz="0" w:space="0" w:color="auto"/>
        <w:bottom w:val="none" w:sz="0" w:space="0" w:color="auto"/>
        <w:right w:val="none" w:sz="0" w:space="0" w:color="auto"/>
      </w:divBdr>
    </w:div>
    <w:div w:id="836306931">
      <w:bodyDiv w:val="1"/>
      <w:marLeft w:val="0"/>
      <w:marRight w:val="0"/>
      <w:marTop w:val="0"/>
      <w:marBottom w:val="0"/>
      <w:divBdr>
        <w:top w:val="none" w:sz="0" w:space="0" w:color="auto"/>
        <w:left w:val="none" w:sz="0" w:space="0" w:color="auto"/>
        <w:bottom w:val="none" w:sz="0" w:space="0" w:color="auto"/>
        <w:right w:val="none" w:sz="0" w:space="0" w:color="auto"/>
      </w:divBdr>
    </w:div>
    <w:div w:id="928730540">
      <w:bodyDiv w:val="1"/>
      <w:marLeft w:val="0"/>
      <w:marRight w:val="0"/>
      <w:marTop w:val="0"/>
      <w:marBottom w:val="0"/>
      <w:divBdr>
        <w:top w:val="none" w:sz="0" w:space="0" w:color="auto"/>
        <w:left w:val="none" w:sz="0" w:space="0" w:color="auto"/>
        <w:bottom w:val="none" w:sz="0" w:space="0" w:color="auto"/>
        <w:right w:val="none" w:sz="0" w:space="0" w:color="auto"/>
      </w:divBdr>
    </w:div>
    <w:div w:id="932251265">
      <w:bodyDiv w:val="1"/>
      <w:marLeft w:val="0"/>
      <w:marRight w:val="0"/>
      <w:marTop w:val="0"/>
      <w:marBottom w:val="0"/>
      <w:divBdr>
        <w:top w:val="none" w:sz="0" w:space="0" w:color="auto"/>
        <w:left w:val="none" w:sz="0" w:space="0" w:color="auto"/>
        <w:bottom w:val="none" w:sz="0" w:space="0" w:color="auto"/>
        <w:right w:val="none" w:sz="0" w:space="0" w:color="auto"/>
      </w:divBdr>
    </w:div>
    <w:div w:id="1232961212">
      <w:bodyDiv w:val="1"/>
      <w:marLeft w:val="0"/>
      <w:marRight w:val="0"/>
      <w:marTop w:val="0"/>
      <w:marBottom w:val="0"/>
      <w:divBdr>
        <w:top w:val="none" w:sz="0" w:space="0" w:color="auto"/>
        <w:left w:val="none" w:sz="0" w:space="0" w:color="auto"/>
        <w:bottom w:val="none" w:sz="0" w:space="0" w:color="auto"/>
        <w:right w:val="none" w:sz="0" w:space="0" w:color="auto"/>
      </w:divBdr>
    </w:div>
    <w:div w:id="1265460519">
      <w:bodyDiv w:val="1"/>
      <w:marLeft w:val="0"/>
      <w:marRight w:val="0"/>
      <w:marTop w:val="0"/>
      <w:marBottom w:val="0"/>
      <w:divBdr>
        <w:top w:val="none" w:sz="0" w:space="0" w:color="auto"/>
        <w:left w:val="none" w:sz="0" w:space="0" w:color="auto"/>
        <w:bottom w:val="none" w:sz="0" w:space="0" w:color="auto"/>
        <w:right w:val="none" w:sz="0" w:space="0" w:color="auto"/>
      </w:divBdr>
    </w:div>
    <w:div w:id="1269001532">
      <w:bodyDiv w:val="1"/>
      <w:marLeft w:val="0"/>
      <w:marRight w:val="0"/>
      <w:marTop w:val="0"/>
      <w:marBottom w:val="0"/>
      <w:divBdr>
        <w:top w:val="none" w:sz="0" w:space="0" w:color="auto"/>
        <w:left w:val="none" w:sz="0" w:space="0" w:color="auto"/>
        <w:bottom w:val="none" w:sz="0" w:space="0" w:color="auto"/>
        <w:right w:val="none" w:sz="0" w:space="0" w:color="auto"/>
      </w:divBdr>
    </w:div>
    <w:div w:id="1371150019">
      <w:bodyDiv w:val="1"/>
      <w:marLeft w:val="0"/>
      <w:marRight w:val="0"/>
      <w:marTop w:val="0"/>
      <w:marBottom w:val="0"/>
      <w:divBdr>
        <w:top w:val="none" w:sz="0" w:space="0" w:color="auto"/>
        <w:left w:val="none" w:sz="0" w:space="0" w:color="auto"/>
        <w:bottom w:val="none" w:sz="0" w:space="0" w:color="auto"/>
        <w:right w:val="none" w:sz="0" w:space="0" w:color="auto"/>
      </w:divBdr>
    </w:div>
    <w:div w:id="1391078381">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47737269">
      <w:bodyDiv w:val="1"/>
      <w:marLeft w:val="0"/>
      <w:marRight w:val="0"/>
      <w:marTop w:val="0"/>
      <w:marBottom w:val="0"/>
      <w:divBdr>
        <w:top w:val="none" w:sz="0" w:space="0" w:color="auto"/>
        <w:left w:val="none" w:sz="0" w:space="0" w:color="auto"/>
        <w:bottom w:val="none" w:sz="0" w:space="0" w:color="auto"/>
        <w:right w:val="none" w:sz="0" w:space="0" w:color="auto"/>
      </w:divBdr>
    </w:div>
    <w:div w:id="1728063705">
      <w:bodyDiv w:val="1"/>
      <w:marLeft w:val="0"/>
      <w:marRight w:val="0"/>
      <w:marTop w:val="0"/>
      <w:marBottom w:val="0"/>
      <w:divBdr>
        <w:top w:val="none" w:sz="0" w:space="0" w:color="auto"/>
        <w:left w:val="none" w:sz="0" w:space="0" w:color="auto"/>
        <w:bottom w:val="none" w:sz="0" w:space="0" w:color="auto"/>
        <w:right w:val="none" w:sz="0" w:space="0" w:color="auto"/>
      </w:divBdr>
    </w:div>
    <w:div w:id="204316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ipex.eu/IPEXL-WEB/dossier/document/COM20160820.do" TargetMode="External" Id="rId8" /><Relationship Type="http://schemas.openxmlformats.org/officeDocument/2006/relationships/theme" Target="theme/theme1.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hyperlink" Target="http://ec.europa.eu/yourvoice/consultations/index_nl.htm" TargetMode="External" Id="rId11" /><Relationship Type="http://schemas.openxmlformats.org/officeDocument/2006/relationships/webSettings" Target="webSettings.xml" Id="rId5"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0" /><Relationship Type="http://schemas.openxmlformats.org/officeDocument/2006/relationships/settings" Target="settings.xml" Id="rId4" /><Relationship Type="http://schemas.openxmlformats.org/officeDocument/2006/relationships/hyperlink" Target="http://ec.europa.eu/growth/tools-databases/newsroom/cf/itemdetail.cfm?item_id=9048" TargetMode="External" Id="rId9"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2443</ap:Words>
  <ap:Characters>13442</ap:Characters>
  <ap:DocSecurity>4</ap:DocSecurity>
  <ap:Lines>112</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15854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2017-01-18T08:35:00.0000000Z</lastPrinted>
  <dcterms:created xsi:type="dcterms:W3CDTF">2017-02-02T08:27:00.0000000Z</dcterms:created>
  <dcterms:modified xsi:type="dcterms:W3CDTF">2017-02-02T08:27:00.0000000Z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0x010100B67B5242A9FA9E42BA3A8F0F10DC7AF1</vt:lpwstr>
  </property>
</Properties>
</file>