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543C" w:rsidR="00856B8B" w:rsidP="004B38E8" w:rsidRDefault="00856B8B">
      <w:pPr>
        <w:autoSpaceDE w:val="0"/>
        <w:autoSpaceDN w:val="0"/>
        <w:adjustRightInd w:val="0"/>
        <w:rPr>
          <w:b/>
          <w:bCs/>
        </w:rPr>
      </w:pPr>
      <w:r w:rsidRPr="00D7543C">
        <w:rPr>
          <w:b/>
          <w:bCs/>
        </w:rPr>
        <w:t xml:space="preserve">Verdrag inzake de overbrenging van gevonniste personen tussen het Koninkrijk der Nederlanden en de </w:t>
      </w:r>
      <w:r w:rsidRPr="00D7543C" w:rsidR="003D1D88">
        <w:rPr>
          <w:b/>
          <w:bCs/>
        </w:rPr>
        <w:t>Republiek Cuba</w:t>
      </w:r>
      <w:r w:rsidRPr="00D7543C" w:rsidR="00825A8D">
        <w:rPr>
          <w:b/>
          <w:bCs/>
        </w:rPr>
        <w:t xml:space="preserve">; </w:t>
      </w:r>
      <w:r w:rsidRPr="00D7543C" w:rsidR="003D1D88">
        <w:rPr>
          <w:b/>
          <w:bCs/>
        </w:rPr>
        <w:t>Havanna, 5 juli 2013</w:t>
      </w:r>
      <w:r w:rsidRPr="00D7543C" w:rsidR="00936B13">
        <w:rPr>
          <w:b/>
          <w:bCs/>
        </w:rPr>
        <w:t xml:space="preserve"> (Trb. 201</w:t>
      </w:r>
      <w:r w:rsidR="004269F3">
        <w:rPr>
          <w:b/>
          <w:bCs/>
        </w:rPr>
        <w:t>3</w:t>
      </w:r>
      <w:r w:rsidRPr="00D7543C" w:rsidR="00936B13">
        <w:rPr>
          <w:b/>
          <w:bCs/>
        </w:rPr>
        <w:t>, 144)</w:t>
      </w:r>
    </w:p>
    <w:p w:rsidRPr="00D7543C" w:rsidR="00856B8B" w:rsidP="004B38E8" w:rsidRDefault="00856B8B">
      <w:pPr>
        <w:autoSpaceDE w:val="0"/>
        <w:autoSpaceDN w:val="0"/>
        <w:adjustRightInd w:val="0"/>
        <w:rPr>
          <w:b/>
          <w:bCs/>
        </w:rPr>
      </w:pPr>
    </w:p>
    <w:p w:rsidRPr="00D7543C" w:rsidR="000F6B3A" w:rsidP="004B38E8" w:rsidRDefault="000F6B3A">
      <w:pPr>
        <w:autoSpaceDE w:val="0"/>
        <w:autoSpaceDN w:val="0"/>
        <w:adjustRightInd w:val="0"/>
        <w:rPr>
          <w:b/>
          <w:bCs/>
        </w:rPr>
      </w:pPr>
    </w:p>
    <w:p w:rsidRPr="00D7543C" w:rsidR="00856B8B" w:rsidP="004B38E8" w:rsidRDefault="00856B8B">
      <w:pPr>
        <w:autoSpaceDE w:val="0"/>
        <w:autoSpaceDN w:val="0"/>
        <w:adjustRightInd w:val="0"/>
        <w:rPr>
          <w:b/>
          <w:bCs/>
        </w:rPr>
      </w:pPr>
      <w:r w:rsidRPr="00D7543C">
        <w:rPr>
          <w:b/>
          <w:bCs/>
        </w:rPr>
        <w:t xml:space="preserve">Toelichtende nota </w:t>
      </w:r>
    </w:p>
    <w:p w:rsidRPr="00D7543C" w:rsidR="00856B8B" w:rsidP="004B38E8" w:rsidRDefault="00856B8B">
      <w:pPr>
        <w:autoSpaceDE w:val="0"/>
        <w:autoSpaceDN w:val="0"/>
        <w:adjustRightInd w:val="0"/>
        <w:rPr>
          <w:b/>
          <w:bCs/>
        </w:rPr>
      </w:pPr>
    </w:p>
    <w:p w:rsidRPr="00DF2AFF" w:rsidR="00856B8B" w:rsidP="004B38E8" w:rsidRDefault="00856B8B">
      <w:pPr>
        <w:autoSpaceDE w:val="0"/>
        <w:autoSpaceDN w:val="0"/>
        <w:adjustRightInd w:val="0"/>
        <w:rPr>
          <w:b/>
          <w:bCs/>
          <w:u w:val="single"/>
        </w:rPr>
      </w:pPr>
      <w:r w:rsidRPr="00DF2AFF">
        <w:rPr>
          <w:b/>
          <w:bCs/>
          <w:u w:val="single"/>
        </w:rPr>
        <w:t>Inleiding</w:t>
      </w:r>
    </w:p>
    <w:p w:rsidRPr="00D7543C" w:rsidR="004B38E8" w:rsidP="004B38E8" w:rsidRDefault="004B38E8">
      <w:pPr>
        <w:autoSpaceDE w:val="0"/>
        <w:autoSpaceDN w:val="0"/>
        <w:adjustRightInd w:val="0"/>
        <w:rPr>
          <w:bCs/>
        </w:rPr>
      </w:pPr>
    </w:p>
    <w:p w:rsidR="0050272E" w:rsidP="004B38E8" w:rsidRDefault="00856B8B">
      <w:pPr>
        <w:autoSpaceDE w:val="0"/>
        <w:autoSpaceDN w:val="0"/>
        <w:adjustRightInd w:val="0"/>
        <w:rPr>
          <w:bCs/>
        </w:rPr>
      </w:pPr>
      <w:r w:rsidRPr="00D7543C">
        <w:rPr>
          <w:bCs/>
        </w:rPr>
        <w:t>Op</w:t>
      </w:r>
      <w:r w:rsidRPr="00D7543C" w:rsidR="003D1D88">
        <w:rPr>
          <w:bCs/>
        </w:rPr>
        <w:t xml:space="preserve"> 5 juli 2013 </w:t>
      </w:r>
      <w:r w:rsidRPr="00D7543C">
        <w:rPr>
          <w:bCs/>
        </w:rPr>
        <w:t xml:space="preserve">te </w:t>
      </w:r>
      <w:r w:rsidRPr="00D7543C" w:rsidR="003D1D88">
        <w:rPr>
          <w:bCs/>
        </w:rPr>
        <w:t>Havanna</w:t>
      </w:r>
      <w:r w:rsidRPr="00D7543C">
        <w:rPr>
          <w:bCs/>
        </w:rPr>
        <w:t xml:space="preserve"> kwam tot stand het Verdrag inzake de overbrenging van gevonniste personen tussen het Koninkrijk der Nederlanden en de Republiek </w:t>
      </w:r>
      <w:r w:rsidRPr="00D7543C" w:rsidR="0072614B">
        <w:rPr>
          <w:bCs/>
        </w:rPr>
        <w:t xml:space="preserve">Cuba </w:t>
      </w:r>
      <w:r w:rsidRPr="00D7543C">
        <w:rPr>
          <w:bCs/>
        </w:rPr>
        <w:t>(Trb.</w:t>
      </w:r>
      <w:r w:rsidRPr="00D7543C" w:rsidR="0072614B">
        <w:rPr>
          <w:bCs/>
        </w:rPr>
        <w:t> </w:t>
      </w:r>
      <w:r w:rsidRPr="00D7543C" w:rsidR="003D1D88">
        <w:rPr>
          <w:bCs/>
        </w:rPr>
        <w:t>2013</w:t>
      </w:r>
      <w:r w:rsidRPr="00D7543C" w:rsidR="004B38E8">
        <w:rPr>
          <w:bCs/>
        </w:rPr>
        <w:t>, </w:t>
      </w:r>
      <w:r w:rsidRPr="00D7543C" w:rsidR="003D1D88">
        <w:rPr>
          <w:bCs/>
        </w:rPr>
        <w:t>144)</w:t>
      </w:r>
      <w:r w:rsidRPr="00D7543C" w:rsidR="0072614B">
        <w:rPr>
          <w:bCs/>
        </w:rPr>
        <w:t xml:space="preserve"> </w:t>
      </w:r>
      <w:r w:rsidRPr="00D7543C" w:rsidR="006637B7">
        <w:rPr>
          <w:bCs/>
        </w:rPr>
        <w:t>(hierna: het verdrag)</w:t>
      </w:r>
      <w:r w:rsidRPr="00D7543C">
        <w:rPr>
          <w:bCs/>
        </w:rPr>
        <w:t>.</w:t>
      </w:r>
      <w:r w:rsidRPr="00D7543C" w:rsidR="0052440D">
        <w:rPr>
          <w:bCs/>
        </w:rPr>
        <w:t xml:space="preserve"> Het verdrag wordt </w:t>
      </w:r>
      <w:r w:rsidRPr="00D7543C" w:rsidR="002A2F99">
        <w:rPr>
          <w:bCs/>
        </w:rPr>
        <w:t xml:space="preserve">tegelijk </w:t>
      </w:r>
      <w:r w:rsidRPr="00D7543C" w:rsidR="0052440D">
        <w:rPr>
          <w:bCs/>
        </w:rPr>
        <w:t xml:space="preserve">met het op </w:t>
      </w:r>
      <w:r w:rsidRPr="00D7543C" w:rsidR="00D7543C">
        <w:rPr>
          <w:bCs/>
        </w:rPr>
        <w:t>25 juli 2016</w:t>
      </w:r>
      <w:r w:rsidRPr="00D7543C" w:rsidR="0052440D">
        <w:rPr>
          <w:bCs/>
        </w:rPr>
        <w:t xml:space="preserve"> te </w:t>
      </w:r>
      <w:r w:rsidRPr="00D7543C" w:rsidR="00D7543C">
        <w:rPr>
          <w:bCs/>
        </w:rPr>
        <w:t>Santo Domingo</w:t>
      </w:r>
      <w:r w:rsidRPr="00D7543C" w:rsidR="003D1D88">
        <w:rPr>
          <w:bCs/>
        </w:rPr>
        <w:t xml:space="preserve"> </w:t>
      </w:r>
      <w:r w:rsidRPr="00D7543C" w:rsidR="0052440D">
        <w:rPr>
          <w:bCs/>
        </w:rPr>
        <w:t>tot</w:t>
      </w:r>
      <w:r w:rsidRPr="00D7543C" w:rsidR="004B4D36">
        <w:rPr>
          <w:bCs/>
        </w:rPr>
        <w:t xml:space="preserve"> </w:t>
      </w:r>
      <w:r w:rsidRPr="00D7543C" w:rsidR="0052440D">
        <w:rPr>
          <w:bCs/>
        </w:rPr>
        <w:t>stand</w:t>
      </w:r>
      <w:r w:rsidRPr="00D7543C" w:rsidR="004B4D36">
        <w:rPr>
          <w:bCs/>
        </w:rPr>
        <w:t xml:space="preserve"> </w:t>
      </w:r>
      <w:r w:rsidRPr="00D7543C" w:rsidR="0052440D">
        <w:rPr>
          <w:bCs/>
        </w:rPr>
        <w:t xml:space="preserve">gekomen Verdrag inzake de overbrenging van gevonniste personen tussen het Koninkrijk der Nederlanden en </w:t>
      </w:r>
      <w:r w:rsidRPr="00D7543C" w:rsidR="000F6B3A">
        <w:rPr>
          <w:bCs/>
        </w:rPr>
        <w:t xml:space="preserve">de </w:t>
      </w:r>
      <w:r w:rsidRPr="00D7543C" w:rsidR="003D1D88">
        <w:rPr>
          <w:bCs/>
        </w:rPr>
        <w:t xml:space="preserve">Dominicaanse </w:t>
      </w:r>
      <w:r w:rsidRPr="00D7543C" w:rsidR="000F6B3A">
        <w:rPr>
          <w:bCs/>
        </w:rPr>
        <w:t xml:space="preserve">Republiek </w:t>
      </w:r>
      <w:r w:rsidRPr="00D7543C" w:rsidR="00936B13">
        <w:rPr>
          <w:bCs/>
        </w:rPr>
        <w:t>(Trb.</w:t>
      </w:r>
      <w:r w:rsidR="00D7543C">
        <w:rPr>
          <w:bCs/>
        </w:rPr>
        <w:t> </w:t>
      </w:r>
      <w:r w:rsidRPr="00D7543C" w:rsidR="00936B13">
        <w:rPr>
          <w:bCs/>
        </w:rPr>
        <w:t>201</w:t>
      </w:r>
      <w:r w:rsidRPr="00D7543C" w:rsidR="00D7543C">
        <w:rPr>
          <w:bCs/>
        </w:rPr>
        <w:t>6</w:t>
      </w:r>
      <w:r w:rsidRPr="00D7543C" w:rsidR="00936B13">
        <w:rPr>
          <w:bCs/>
        </w:rPr>
        <w:t xml:space="preserve">, </w:t>
      </w:r>
      <w:r w:rsidR="00BB10E1">
        <w:rPr>
          <w:bCs/>
        </w:rPr>
        <w:t>145)</w:t>
      </w:r>
      <w:r w:rsidRPr="00D7543C" w:rsidR="00936B13">
        <w:rPr>
          <w:bCs/>
        </w:rPr>
        <w:t xml:space="preserve"> </w:t>
      </w:r>
      <w:r w:rsidRPr="00D7543C" w:rsidR="0052440D">
        <w:rPr>
          <w:bCs/>
        </w:rPr>
        <w:t>ter stilzwijgende goedkeuring voorgelegd</w:t>
      </w:r>
      <w:r w:rsidRPr="00D7543C" w:rsidR="000F6B3A">
        <w:rPr>
          <w:bCs/>
        </w:rPr>
        <w:t xml:space="preserve">. De </w:t>
      </w:r>
      <w:r w:rsidR="004F022E">
        <w:rPr>
          <w:bCs/>
        </w:rPr>
        <w:t xml:space="preserve">keuze </w:t>
      </w:r>
      <w:r w:rsidRPr="00D7543C" w:rsidR="006C3D82">
        <w:rPr>
          <w:bCs/>
        </w:rPr>
        <w:t xml:space="preserve">voor </w:t>
      </w:r>
      <w:r w:rsidR="004F022E">
        <w:rPr>
          <w:bCs/>
        </w:rPr>
        <w:t xml:space="preserve">de </w:t>
      </w:r>
      <w:r w:rsidRPr="00D7543C" w:rsidR="006C3D82">
        <w:rPr>
          <w:bCs/>
        </w:rPr>
        <w:t>stilzwijgende procedure houd</w:t>
      </w:r>
      <w:r w:rsidR="004F022E">
        <w:rPr>
          <w:bCs/>
        </w:rPr>
        <w:t xml:space="preserve">t </w:t>
      </w:r>
      <w:r w:rsidRPr="00D7543C" w:rsidR="006C3D82">
        <w:rPr>
          <w:bCs/>
        </w:rPr>
        <w:t xml:space="preserve">verband met het feit dat </w:t>
      </w:r>
      <w:r w:rsidRPr="00D7543C" w:rsidR="000F6B3A">
        <w:rPr>
          <w:bCs/>
        </w:rPr>
        <w:t xml:space="preserve">in </w:t>
      </w:r>
      <w:r w:rsidRPr="00D7543C" w:rsidR="006C3D82">
        <w:rPr>
          <w:bCs/>
        </w:rPr>
        <w:t xml:space="preserve">2013 en </w:t>
      </w:r>
      <w:r w:rsidRPr="00D7543C" w:rsidR="000F6B3A">
        <w:rPr>
          <w:bCs/>
        </w:rPr>
        <w:t xml:space="preserve">2014 in de Tweede Kamer der Staten-Generaal </w:t>
      </w:r>
      <w:r w:rsidR="004F022E">
        <w:rPr>
          <w:bCs/>
        </w:rPr>
        <w:t xml:space="preserve">al </w:t>
      </w:r>
      <w:r w:rsidRPr="00D7543C" w:rsidR="000F6B3A">
        <w:rPr>
          <w:bCs/>
        </w:rPr>
        <w:t xml:space="preserve">een uitvoerig debat heeft plaatsgevonden over het door Nederland gevoerde beleid inzake overbrenging van gedetineerden en de </w:t>
      </w:r>
      <w:r w:rsidR="004F022E">
        <w:rPr>
          <w:bCs/>
        </w:rPr>
        <w:t xml:space="preserve">gevolgde en te volgen </w:t>
      </w:r>
      <w:r w:rsidRPr="00D7543C" w:rsidR="000F6B3A">
        <w:rPr>
          <w:bCs/>
        </w:rPr>
        <w:t>verdragspraktijk</w:t>
      </w:r>
      <w:r w:rsidRPr="00D7543C" w:rsidR="006C3D82">
        <w:rPr>
          <w:bCs/>
        </w:rPr>
        <w:t xml:space="preserve">, waarop hierna nog nader zal worden ingegaan. </w:t>
      </w:r>
      <w:r w:rsidR="004F022E">
        <w:rPr>
          <w:bCs/>
        </w:rPr>
        <w:t>Zoals toen ook is aangekondigd, vormen b</w:t>
      </w:r>
      <w:r w:rsidRPr="00D7543C" w:rsidR="006C3D82">
        <w:rPr>
          <w:bCs/>
        </w:rPr>
        <w:t xml:space="preserve">eide </w:t>
      </w:r>
      <w:r w:rsidRPr="00D7543C" w:rsidR="005648F5">
        <w:rPr>
          <w:bCs/>
        </w:rPr>
        <w:t xml:space="preserve">thans voorliggende </w:t>
      </w:r>
      <w:r w:rsidRPr="00D7543C" w:rsidR="006C3D82">
        <w:rPr>
          <w:bCs/>
        </w:rPr>
        <w:t xml:space="preserve">verdragen het sluitstuk van een pakket van wotsverdragen dat de laatste jaren tot stand is gebracht. </w:t>
      </w:r>
    </w:p>
    <w:p w:rsidRPr="00D7543C" w:rsidR="004F022E" w:rsidP="004B38E8" w:rsidRDefault="004F022E">
      <w:pPr>
        <w:autoSpaceDE w:val="0"/>
        <w:autoSpaceDN w:val="0"/>
        <w:adjustRightInd w:val="0"/>
        <w:rPr>
          <w:bCs/>
        </w:rPr>
      </w:pPr>
    </w:p>
    <w:p w:rsidRPr="00D7543C" w:rsidR="00AB5AD7" w:rsidP="004B38E8" w:rsidRDefault="006C3D82">
      <w:pPr>
        <w:pStyle w:val="FootnoteText"/>
        <w:rPr>
          <w:rFonts w:ascii="Times New Roman" w:hAnsi="Times New Roman"/>
          <w:sz w:val="24"/>
          <w:szCs w:val="24"/>
        </w:rPr>
      </w:pPr>
      <w:r w:rsidRPr="00D7543C">
        <w:rPr>
          <w:rFonts w:ascii="Times New Roman" w:hAnsi="Times New Roman"/>
          <w:sz w:val="24"/>
          <w:szCs w:val="24"/>
        </w:rPr>
        <w:t xml:space="preserve">Voor de goede orde </w:t>
      </w:r>
      <w:r w:rsidRPr="00D7543C" w:rsidR="005E5D44">
        <w:rPr>
          <w:rFonts w:ascii="Times New Roman" w:hAnsi="Times New Roman"/>
          <w:sz w:val="24"/>
          <w:szCs w:val="24"/>
        </w:rPr>
        <w:t xml:space="preserve">wordt </w:t>
      </w:r>
      <w:r w:rsidRPr="00D7543C">
        <w:rPr>
          <w:rFonts w:ascii="Times New Roman" w:hAnsi="Times New Roman"/>
          <w:sz w:val="24"/>
          <w:szCs w:val="24"/>
        </w:rPr>
        <w:t xml:space="preserve">hier nog </w:t>
      </w:r>
      <w:r w:rsidRPr="00D7543C" w:rsidR="005648F5">
        <w:rPr>
          <w:rFonts w:ascii="Times New Roman" w:hAnsi="Times New Roman"/>
          <w:sz w:val="24"/>
          <w:szCs w:val="24"/>
        </w:rPr>
        <w:t>in</w:t>
      </w:r>
      <w:r w:rsidRPr="00D7543C" w:rsidR="005E5D44">
        <w:rPr>
          <w:rFonts w:ascii="Times New Roman" w:hAnsi="Times New Roman"/>
          <w:sz w:val="24"/>
          <w:szCs w:val="24"/>
        </w:rPr>
        <w:t>gegaan</w:t>
      </w:r>
      <w:r w:rsidRPr="00D7543C" w:rsidR="005648F5">
        <w:rPr>
          <w:rFonts w:ascii="Times New Roman" w:hAnsi="Times New Roman"/>
          <w:sz w:val="24"/>
          <w:szCs w:val="24"/>
        </w:rPr>
        <w:t xml:space="preserve"> op </w:t>
      </w:r>
      <w:r w:rsidRPr="00D7543C">
        <w:rPr>
          <w:rFonts w:ascii="Times New Roman" w:hAnsi="Times New Roman"/>
          <w:sz w:val="24"/>
          <w:szCs w:val="24"/>
        </w:rPr>
        <w:t xml:space="preserve">de voorgeschiedenis. </w:t>
      </w:r>
      <w:r w:rsidRPr="00D7543C" w:rsidR="00856B8B">
        <w:rPr>
          <w:rFonts w:ascii="Times New Roman" w:hAnsi="Times New Roman"/>
          <w:sz w:val="24"/>
          <w:szCs w:val="24"/>
        </w:rPr>
        <w:t xml:space="preserve">Op 7 november 2007 zond de toenmalige Minister van Justitie het beleidskader betreffende de overdracht en overname van de tenuitvoerlegging van strafvonnissen </w:t>
      </w:r>
      <w:r w:rsidRPr="00D7543C" w:rsidR="00311C58">
        <w:rPr>
          <w:rFonts w:ascii="Times New Roman" w:hAnsi="Times New Roman"/>
          <w:sz w:val="24"/>
          <w:szCs w:val="24"/>
        </w:rPr>
        <w:t>aan</w:t>
      </w:r>
      <w:r w:rsidRPr="00D7543C" w:rsidR="00AB5AD7">
        <w:rPr>
          <w:rFonts w:ascii="Times New Roman" w:hAnsi="Times New Roman"/>
          <w:sz w:val="24"/>
          <w:szCs w:val="24"/>
        </w:rPr>
        <w:t xml:space="preserve"> </w:t>
      </w:r>
      <w:r w:rsidRPr="00D7543C" w:rsidR="00311C58">
        <w:rPr>
          <w:rFonts w:ascii="Times New Roman" w:hAnsi="Times New Roman"/>
          <w:sz w:val="24"/>
          <w:szCs w:val="24"/>
        </w:rPr>
        <w:t>de Tweede Kamer der Staten-</w:t>
      </w:r>
      <w:r w:rsidRPr="00D7543C" w:rsidR="00AB5AD7">
        <w:rPr>
          <w:rFonts w:ascii="Times New Roman" w:hAnsi="Times New Roman"/>
          <w:sz w:val="24"/>
          <w:szCs w:val="24"/>
        </w:rPr>
        <w:t>G</w:t>
      </w:r>
      <w:r w:rsidRPr="00D7543C" w:rsidR="00311C58">
        <w:rPr>
          <w:rFonts w:ascii="Times New Roman" w:hAnsi="Times New Roman"/>
          <w:sz w:val="24"/>
          <w:szCs w:val="24"/>
        </w:rPr>
        <w:t>eneraal</w:t>
      </w:r>
      <w:r w:rsidRPr="00D7543C" w:rsidR="00AB5AD7">
        <w:rPr>
          <w:rFonts w:ascii="Times New Roman" w:hAnsi="Times New Roman"/>
          <w:sz w:val="24"/>
          <w:szCs w:val="24"/>
        </w:rPr>
        <w:t xml:space="preserve"> </w:t>
      </w:r>
      <w:r w:rsidRPr="00D7543C" w:rsidR="00856B8B">
        <w:rPr>
          <w:rFonts w:ascii="Times New Roman" w:hAnsi="Times New Roman"/>
          <w:sz w:val="24"/>
          <w:szCs w:val="24"/>
        </w:rPr>
        <w:t>(Kamerstukken II 2007/08, 31 200 VI, nr. 30). Naar aanleiding daarvan vond op 13</w:t>
      </w:r>
      <w:r w:rsidR="007E2812">
        <w:rPr>
          <w:rFonts w:ascii="Times New Roman" w:hAnsi="Times New Roman"/>
          <w:sz w:val="24"/>
          <w:szCs w:val="24"/>
        </w:rPr>
        <w:t> </w:t>
      </w:r>
      <w:r w:rsidRPr="00D7543C" w:rsidR="00856B8B">
        <w:rPr>
          <w:rFonts w:ascii="Times New Roman" w:hAnsi="Times New Roman"/>
          <w:sz w:val="24"/>
          <w:szCs w:val="24"/>
        </w:rPr>
        <w:t>februari 2008 een Algemeen Overleg plaats (Kamerstukken II 2008/09, 31 200 VI, nr.</w:t>
      </w:r>
      <w:r w:rsidRPr="00D7543C" w:rsidR="001F654D">
        <w:rPr>
          <w:rFonts w:ascii="Times New Roman" w:hAnsi="Times New Roman"/>
          <w:sz w:val="24"/>
          <w:szCs w:val="24"/>
        </w:rPr>
        <w:t> </w:t>
      </w:r>
      <w:r w:rsidRPr="00D7543C" w:rsidR="00856B8B">
        <w:rPr>
          <w:rFonts w:ascii="Times New Roman" w:hAnsi="Times New Roman"/>
          <w:sz w:val="24"/>
          <w:szCs w:val="24"/>
        </w:rPr>
        <w:t xml:space="preserve">115). In dat overleg kondigde de toenmalige Minister van Justitie aan dat hij alle landen waar Nederlandse onderdanen waren gedetineerd en waarmee geen verdragsrelatie bestond, de vraag zou doen voorleggen over de wijze waarop deze relatie tot stand zou kunnen worden gebracht. De resultaten daarvan zijn gepubliceerd in Kamerstukken II 2008/09, 30 010, nr. 13. </w:t>
      </w:r>
      <w:r w:rsidRPr="00D7543C" w:rsidR="00700D24">
        <w:rPr>
          <w:rFonts w:ascii="Times New Roman" w:hAnsi="Times New Roman"/>
          <w:sz w:val="24"/>
          <w:szCs w:val="24"/>
        </w:rPr>
        <w:t xml:space="preserve">Het benaderen van de landen </w:t>
      </w:r>
      <w:r w:rsidRPr="00D7543C" w:rsidR="0064642E">
        <w:rPr>
          <w:rFonts w:ascii="Times New Roman" w:hAnsi="Times New Roman"/>
          <w:sz w:val="24"/>
          <w:szCs w:val="24"/>
        </w:rPr>
        <w:t xml:space="preserve">heeft </w:t>
      </w:r>
      <w:r w:rsidRPr="00D7543C" w:rsidR="00700D24">
        <w:rPr>
          <w:rFonts w:ascii="Times New Roman" w:hAnsi="Times New Roman"/>
          <w:sz w:val="24"/>
          <w:szCs w:val="24"/>
        </w:rPr>
        <w:t xml:space="preserve">toen </w:t>
      </w:r>
      <w:r w:rsidRPr="00D7543C" w:rsidR="0064642E">
        <w:rPr>
          <w:rFonts w:ascii="Times New Roman" w:hAnsi="Times New Roman"/>
          <w:sz w:val="24"/>
          <w:szCs w:val="24"/>
        </w:rPr>
        <w:t xml:space="preserve">geleid tot </w:t>
      </w:r>
      <w:r w:rsidRPr="00D7543C" w:rsidR="00700D24">
        <w:rPr>
          <w:rFonts w:ascii="Times New Roman" w:hAnsi="Times New Roman"/>
          <w:sz w:val="24"/>
          <w:szCs w:val="24"/>
        </w:rPr>
        <w:t xml:space="preserve">het sluiten van </w:t>
      </w:r>
      <w:r w:rsidRPr="00D7543C" w:rsidR="0064642E">
        <w:rPr>
          <w:rFonts w:ascii="Times New Roman" w:hAnsi="Times New Roman"/>
          <w:sz w:val="24"/>
          <w:szCs w:val="24"/>
        </w:rPr>
        <w:t>bilaterale verdragen met Brazilië en Peru</w:t>
      </w:r>
      <w:r w:rsidRPr="00D7543C" w:rsidR="0064642E">
        <w:rPr>
          <w:rStyle w:val="FootnoteReference"/>
          <w:rFonts w:ascii="Times New Roman" w:hAnsi="Times New Roman"/>
          <w:sz w:val="24"/>
          <w:szCs w:val="24"/>
        </w:rPr>
        <w:footnoteReference w:id="2"/>
      </w:r>
      <w:r w:rsidRPr="00D7543C" w:rsidR="0064642E">
        <w:rPr>
          <w:rFonts w:ascii="Times New Roman" w:hAnsi="Times New Roman"/>
          <w:sz w:val="24"/>
          <w:szCs w:val="24"/>
        </w:rPr>
        <w:t xml:space="preserve"> en </w:t>
      </w:r>
      <w:r w:rsidRPr="00D7543C" w:rsidR="00AB5AD7">
        <w:rPr>
          <w:rFonts w:ascii="Times New Roman" w:hAnsi="Times New Roman"/>
          <w:sz w:val="24"/>
          <w:szCs w:val="24"/>
        </w:rPr>
        <w:t>recentelijk</w:t>
      </w:r>
      <w:r w:rsidRPr="00D7543C" w:rsidR="0064642E">
        <w:rPr>
          <w:rFonts w:ascii="Times New Roman" w:hAnsi="Times New Roman"/>
          <w:sz w:val="24"/>
          <w:szCs w:val="24"/>
        </w:rPr>
        <w:t xml:space="preserve"> Cuba en </w:t>
      </w:r>
      <w:r w:rsidRPr="00D7543C" w:rsidR="00602F7C">
        <w:rPr>
          <w:rFonts w:ascii="Times New Roman" w:hAnsi="Times New Roman"/>
          <w:sz w:val="24"/>
          <w:szCs w:val="24"/>
        </w:rPr>
        <w:t>d</w:t>
      </w:r>
      <w:r w:rsidRPr="00D7543C" w:rsidR="00856B8B">
        <w:rPr>
          <w:rFonts w:ascii="Times New Roman" w:hAnsi="Times New Roman"/>
          <w:sz w:val="24"/>
          <w:szCs w:val="24"/>
        </w:rPr>
        <w:t>e Dominicaanse Republiek</w:t>
      </w:r>
      <w:r w:rsidRPr="00D7543C" w:rsidR="0064642E">
        <w:rPr>
          <w:rFonts w:ascii="Times New Roman" w:hAnsi="Times New Roman"/>
          <w:sz w:val="24"/>
          <w:szCs w:val="24"/>
        </w:rPr>
        <w:t>. Daarmee zijn de onderhandelingen over bilaterale wotsverdragen afgerond</w:t>
      </w:r>
      <w:r w:rsidRPr="00D7543C" w:rsidR="00AB5AD7">
        <w:rPr>
          <w:rFonts w:ascii="Times New Roman" w:hAnsi="Times New Roman"/>
          <w:sz w:val="24"/>
          <w:szCs w:val="24"/>
        </w:rPr>
        <w:t xml:space="preserve">, zo heeft </w:t>
      </w:r>
      <w:r w:rsidRPr="00D7543C" w:rsidR="00A44946">
        <w:rPr>
          <w:rFonts w:ascii="Times New Roman" w:hAnsi="Times New Roman"/>
          <w:sz w:val="24"/>
          <w:szCs w:val="24"/>
        </w:rPr>
        <w:t>de vorige Minister van Veiligheid en Justitie</w:t>
      </w:r>
      <w:r w:rsidRPr="00D7543C" w:rsidR="00AB5AD7">
        <w:rPr>
          <w:rFonts w:ascii="Times New Roman" w:hAnsi="Times New Roman"/>
          <w:sz w:val="24"/>
          <w:szCs w:val="24"/>
        </w:rPr>
        <w:t xml:space="preserve"> b</w:t>
      </w:r>
      <w:r w:rsidRPr="00D7543C" w:rsidR="0064642E">
        <w:rPr>
          <w:rFonts w:ascii="Times New Roman" w:hAnsi="Times New Roman"/>
          <w:sz w:val="24"/>
          <w:szCs w:val="24"/>
        </w:rPr>
        <w:t xml:space="preserve">ij gelegenheid van de </w:t>
      </w:r>
      <w:r w:rsidRPr="00D7543C" w:rsidR="00AB5AD7">
        <w:rPr>
          <w:rFonts w:ascii="Times New Roman" w:hAnsi="Times New Roman"/>
          <w:sz w:val="24"/>
          <w:szCs w:val="24"/>
        </w:rPr>
        <w:t>plenaire behandeling van</w:t>
      </w:r>
      <w:r w:rsidRPr="00D7543C" w:rsidR="004B38E8">
        <w:rPr>
          <w:rFonts w:ascii="Times New Roman" w:hAnsi="Times New Roman"/>
          <w:sz w:val="24"/>
          <w:szCs w:val="24"/>
        </w:rPr>
        <w:t xml:space="preserve"> </w:t>
      </w:r>
      <w:r w:rsidRPr="00D7543C" w:rsidR="00AB5AD7">
        <w:rPr>
          <w:rFonts w:ascii="Times New Roman" w:hAnsi="Times New Roman"/>
          <w:sz w:val="24"/>
          <w:szCs w:val="24"/>
        </w:rPr>
        <w:t xml:space="preserve">het verdrag met Peru (Kamerstukken 33486 </w:t>
      </w:r>
      <w:r w:rsidRPr="00D7543C" w:rsidR="001E7A7A">
        <w:rPr>
          <w:rFonts w:ascii="Times New Roman" w:hAnsi="Times New Roman"/>
          <w:sz w:val="24"/>
          <w:szCs w:val="24"/>
        </w:rPr>
        <w:t>(</w:t>
      </w:r>
      <w:r w:rsidRPr="00D7543C" w:rsidR="00AB5AD7">
        <w:rPr>
          <w:rFonts w:ascii="Times New Roman" w:hAnsi="Times New Roman"/>
          <w:sz w:val="24"/>
          <w:szCs w:val="24"/>
        </w:rPr>
        <w:t>R1994)</w:t>
      </w:r>
      <w:r w:rsidRPr="00D7543C" w:rsidR="001E7A7A">
        <w:rPr>
          <w:rFonts w:ascii="Times New Roman" w:hAnsi="Times New Roman"/>
          <w:sz w:val="24"/>
          <w:szCs w:val="24"/>
        </w:rPr>
        <w:t>)</w:t>
      </w:r>
      <w:r w:rsidRPr="00D7543C" w:rsidR="00AB5AD7">
        <w:rPr>
          <w:rFonts w:ascii="Times New Roman" w:hAnsi="Times New Roman"/>
          <w:sz w:val="24"/>
          <w:szCs w:val="24"/>
        </w:rPr>
        <w:t xml:space="preserve"> en bij de behandeling van de Wet tot wijziging van de Wet overdracht tenuitvoerlegging strafvonnissen in verband met aanvulling van de procedure van </w:t>
      </w:r>
      <w:r w:rsidRPr="00D7543C" w:rsidR="004C702A">
        <w:rPr>
          <w:rFonts w:ascii="Times New Roman" w:hAnsi="Times New Roman"/>
          <w:sz w:val="24"/>
          <w:szCs w:val="24"/>
        </w:rPr>
        <w:t xml:space="preserve">de </w:t>
      </w:r>
      <w:r w:rsidRPr="00D7543C" w:rsidR="00AB5AD7">
        <w:rPr>
          <w:rFonts w:ascii="Times New Roman" w:hAnsi="Times New Roman"/>
          <w:sz w:val="24"/>
          <w:szCs w:val="24"/>
        </w:rPr>
        <w:t>voortgezette tenuitvoerlegging (Kamerstukken 33742) in de Tweede Kamer der Staten-Generaal</w:t>
      </w:r>
      <w:r w:rsidRPr="00D7543C" w:rsidR="004B38E8">
        <w:rPr>
          <w:rFonts w:ascii="Times New Roman" w:hAnsi="Times New Roman"/>
          <w:sz w:val="24"/>
          <w:szCs w:val="24"/>
        </w:rPr>
        <w:t xml:space="preserve"> </w:t>
      </w:r>
      <w:r w:rsidRPr="00D7543C" w:rsidR="00AB5AD7">
        <w:rPr>
          <w:rFonts w:ascii="Times New Roman" w:hAnsi="Times New Roman"/>
          <w:sz w:val="24"/>
          <w:szCs w:val="24"/>
        </w:rPr>
        <w:t xml:space="preserve">aangegeven. </w:t>
      </w:r>
    </w:p>
    <w:p w:rsidRPr="00D7543C" w:rsidR="0050272E" w:rsidP="004B38E8" w:rsidRDefault="0050272E">
      <w:pPr>
        <w:pStyle w:val="FootnoteText"/>
        <w:rPr>
          <w:rFonts w:ascii="Times New Roman" w:hAnsi="Times New Roman"/>
          <w:sz w:val="24"/>
          <w:szCs w:val="24"/>
        </w:rPr>
      </w:pPr>
    </w:p>
    <w:p w:rsidR="001F704A" w:rsidP="004B38E8" w:rsidRDefault="004B38E8">
      <w:pPr>
        <w:pStyle w:val="FootnoteText"/>
        <w:rPr>
          <w:rFonts w:ascii="Times New Roman" w:hAnsi="Times New Roman"/>
          <w:sz w:val="24"/>
          <w:szCs w:val="24"/>
        </w:rPr>
      </w:pPr>
      <w:r w:rsidRPr="00D7543C">
        <w:rPr>
          <w:rFonts w:ascii="Times New Roman" w:hAnsi="Times New Roman"/>
          <w:sz w:val="24"/>
          <w:szCs w:val="24"/>
        </w:rPr>
        <w:t>T</w:t>
      </w:r>
      <w:r w:rsidRPr="00D7543C" w:rsidR="00AB5AD7">
        <w:rPr>
          <w:rFonts w:ascii="Times New Roman" w:hAnsi="Times New Roman"/>
          <w:sz w:val="24"/>
          <w:szCs w:val="24"/>
        </w:rPr>
        <w:t xml:space="preserve">en tijde van de behandeling van </w:t>
      </w:r>
      <w:r w:rsidRPr="00D7543C" w:rsidR="000F6B3A">
        <w:rPr>
          <w:rFonts w:ascii="Times New Roman" w:hAnsi="Times New Roman"/>
          <w:sz w:val="24"/>
          <w:szCs w:val="24"/>
        </w:rPr>
        <w:t xml:space="preserve">de </w:t>
      </w:r>
      <w:r w:rsidRPr="00D7543C" w:rsidR="00AB5AD7">
        <w:rPr>
          <w:rFonts w:ascii="Times New Roman" w:hAnsi="Times New Roman"/>
          <w:sz w:val="24"/>
          <w:szCs w:val="24"/>
        </w:rPr>
        <w:t xml:space="preserve">genoemde wetsvoorstellen is </w:t>
      </w:r>
      <w:r w:rsidRPr="00D7543C" w:rsidR="00DE5C34">
        <w:rPr>
          <w:rFonts w:ascii="Times New Roman" w:hAnsi="Times New Roman"/>
          <w:sz w:val="24"/>
          <w:szCs w:val="24"/>
        </w:rPr>
        <w:t xml:space="preserve">in de Tweede Kamer der Staten-Generaal </w:t>
      </w:r>
      <w:r w:rsidRPr="00D7543C" w:rsidR="00AB5AD7">
        <w:rPr>
          <w:rFonts w:ascii="Times New Roman" w:hAnsi="Times New Roman"/>
          <w:sz w:val="24"/>
          <w:szCs w:val="24"/>
        </w:rPr>
        <w:t>het beleid</w:t>
      </w:r>
      <w:r w:rsidRPr="00D7543C" w:rsidR="00D93606">
        <w:rPr>
          <w:rFonts w:ascii="Times New Roman" w:hAnsi="Times New Roman"/>
          <w:sz w:val="24"/>
          <w:szCs w:val="24"/>
        </w:rPr>
        <w:t xml:space="preserve"> inzake overbrenging van gedetineerden vanuit het buitenland naar Nederland</w:t>
      </w:r>
      <w:r w:rsidRPr="00D7543C" w:rsidR="00AB5AD7">
        <w:rPr>
          <w:rFonts w:ascii="Times New Roman" w:hAnsi="Times New Roman"/>
          <w:sz w:val="24"/>
          <w:szCs w:val="24"/>
        </w:rPr>
        <w:t xml:space="preserve"> ten gronde besproken. D</w:t>
      </w:r>
      <w:r w:rsidRPr="00D7543C" w:rsidR="005648F5">
        <w:rPr>
          <w:rFonts w:ascii="Times New Roman" w:hAnsi="Times New Roman"/>
          <w:sz w:val="24"/>
          <w:szCs w:val="24"/>
        </w:rPr>
        <w:t xml:space="preserve">aaruit bleek </w:t>
      </w:r>
      <w:r w:rsidRPr="00D7543C" w:rsidR="00AC3DA0">
        <w:rPr>
          <w:rFonts w:ascii="Times New Roman" w:hAnsi="Times New Roman"/>
          <w:sz w:val="24"/>
          <w:szCs w:val="24"/>
        </w:rPr>
        <w:t xml:space="preserve">bij een meerderheid in de Kamer </w:t>
      </w:r>
      <w:r w:rsidRPr="00D7543C" w:rsidR="005648F5">
        <w:rPr>
          <w:rFonts w:ascii="Times New Roman" w:hAnsi="Times New Roman"/>
          <w:sz w:val="24"/>
          <w:szCs w:val="24"/>
        </w:rPr>
        <w:t xml:space="preserve">niet alleen een grotere terughoudendheid tegenover overbrenging van Nederlandse gedetineerden vanuit het buitenland naar Nederland maar ook de wens om tot een strengere aanpak bij de </w:t>
      </w:r>
    </w:p>
    <w:p w:rsidRPr="00D7543C" w:rsidR="00172FB1" w:rsidP="004B38E8" w:rsidRDefault="005648F5">
      <w:pPr>
        <w:pStyle w:val="FootnoteText"/>
        <w:rPr>
          <w:rFonts w:ascii="Times New Roman" w:hAnsi="Times New Roman"/>
          <w:sz w:val="24"/>
          <w:szCs w:val="24"/>
        </w:rPr>
      </w:pPr>
      <w:bookmarkStart w:name="_GoBack" w:id="0"/>
      <w:bookmarkEnd w:id="0"/>
      <w:r w:rsidRPr="00D7543C">
        <w:rPr>
          <w:rFonts w:ascii="Times New Roman" w:hAnsi="Times New Roman"/>
          <w:sz w:val="24"/>
          <w:szCs w:val="24"/>
        </w:rPr>
        <w:lastRenderedPageBreak/>
        <w:t xml:space="preserve">tenuitvoerlegging in Nederland te geraken. </w:t>
      </w:r>
      <w:r w:rsidRPr="00D7543C" w:rsidR="00AC3DA0">
        <w:rPr>
          <w:rFonts w:ascii="Times New Roman" w:hAnsi="Times New Roman"/>
          <w:sz w:val="24"/>
          <w:szCs w:val="24"/>
        </w:rPr>
        <w:t>Daaruit vloeit voort dat er</w:t>
      </w:r>
      <w:r w:rsidRPr="00D7543C" w:rsidR="00694971">
        <w:rPr>
          <w:rFonts w:ascii="Times New Roman" w:hAnsi="Times New Roman"/>
          <w:sz w:val="24"/>
          <w:szCs w:val="24"/>
        </w:rPr>
        <w:t>, voor wat Nederland betreft,</w:t>
      </w:r>
      <w:r w:rsidRPr="00D7543C" w:rsidR="00AC3DA0">
        <w:rPr>
          <w:rFonts w:ascii="Times New Roman" w:hAnsi="Times New Roman"/>
          <w:sz w:val="24"/>
          <w:szCs w:val="24"/>
        </w:rPr>
        <w:t xml:space="preserve"> geen nieuwe wotsverdragen meer worden opgestart, maar ook een reeds door </w:t>
      </w:r>
      <w:r w:rsidRPr="00D7543C" w:rsidR="00A44946">
        <w:rPr>
          <w:rFonts w:ascii="Times New Roman" w:hAnsi="Times New Roman"/>
          <w:sz w:val="24"/>
          <w:szCs w:val="24"/>
        </w:rPr>
        <w:t xml:space="preserve">de </w:t>
      </w:r>
      <w:r w:rsidRPr="00D7543C" w:rsidR="0050272E">
        <w:rPr>
          <w:rFonts w:ascii="Times New Roman" w:hAnsi="Times New Roman"/>
          <w:sz w:val="24"/>
          <w:szCs w:val="24"/>
        </w:rPr>
        <w:t xml:space="preserve">ambtsvoorganger van de </w:t>
      </w:r>
      <w:r w:rsidRPr="00D7543C" w:rsidR="00A44946">
        <w:rPr>
          <w:rFonts w:ascii="Times New Roman" w:hAnsi="Times New Roman"/>
          <w:sz w:val="24"/>
          <w:szCs w:val="24"/>
        </w:rPr>
        <w:t>Minister van Justitie</w:t>
      </w:r>
      <w:r w:rsidRPr="00D7543C" w:rsidR="00AC3DA0">
        <w:rPr>
          <w:rFonts w:ascii="Times New Roman" w:hAnsi="Times New Roman"/>
          <w:sz w:val="24"/>
          <w:szCs w:val="24"/>
        </w:rPr>
        <w:t xml:space="preserve"> doorgevoerde </w:t>
      </w:r>
      <w:r w:rsidRPr="00D7543C" w:rsidR="00AB5AD7">
        <w:rPr>
          <w:rFonts w:ascii="Times New Roman" w:hAnsi="Times New Roman"/>
          <w:sz w:val="24"/>
          <w:szCs w:val="24"/>
        </w:rPr>
        <w:t>beleidswijziging, te weten het meer toepassen van de procedure va</w:t>
      </w:r>
      <w:r w:rsidRPr="00D7543C" w:rsidR="00DE5C34">
        <w:rPr>
          <w:rFonts w:ascii="Times New Roman" w:hAnsi="Times New Roman"/>
          <w:sz w:val="24"/>
          <w:szCs w:val="24"/>
        </w:rPr>
        <w:t>n</w:t>
      </w:r>
      <w:r w:rsidRPr="00D7543C" w:rsidR="00AB5AD7">
        <w:rPr>
          <w:rFonts w:ascii="Times New Roman" w:hAnsi="Times New Roman"/>
          <w:sz w:val="24"/>
          <w:szCs w:val="24"/>
        </w:rPr>
        <w:t xml:space="preserve"> </w:t>
      </w:r>
      <w:r w:rsidRPr="00D7543C" w:rsidR="004C702A">
        <w:rPr>
          <w:rFonts w:ascii="Times New Roman" w:hAnsi="Times New Roman"/>
          <w:sz w:val="24"/>
          <w:szCs w:val="24"/>
        </w:rPr>
        <w:t xml:space="preserve">de </w:t>
      </w:r>
      <w:r w:rsidRPr="00D7543C" w:rsidR="00AB5AD7">
        <w:rPr>
          <w:rFonts w:ascii="Times New Roman" w:hAnsi="Times New Roman"/>
          <w:sz w:val="24"/>
          <w:szCs w:val="24"/>
        </w:rPr>
        <w:t>voortgezette tenuitvoerlegging</w:t>
      </w:r>
      <w:r w:rsidRPr="00D7543C" w:rsidR="00DE5C34">
        <w:rPr>
          <w:rFonts w:ascii="Times New Roman" w:hAnsi="Times New Roman"/>
          <w:sz w:val="24"/>
          <w:szCs w:val="24"/>
        </w:rPr>
        <w:t xml:space="preserve"> en het zoveel mogelijk beperken van toepassing van de zogeheten omzettingsprocedure. </w:t>
      </w:r>
      <w:r w:rsidRPr="00D7543C" w:rsidR="005E5D44">
        <w:rPr>
          <w:rFonts w:ascii="Times New Roman" w:hAnsi="Times New Roman"/>
          <w:sz w:val="24"/>
          <w:szCs w:val="24"/>
        </w:rPr>
        <w:t>V</w:t>
      </w:r>
      <w:r w:rsidRPr="00D7543C" w:rsidR="00DE5C34">
        <w:rPr>
          <w:rFonts w:ascii="Times New Roman" w:hAnsi="Times New Roman"/>
          <w:sz w:val="24"/>
          <w:szCs w:val="24"/>
        </w:rPr>
        <w:t xml:space="preserve">oor een uitvoerige uiteenzetting </w:t>
      </w:r>
      <w:r w:rsidRPr="00D7543C" w:rsidR="005E5D44">
        <w:rPr>
          <w:rFonts w:ascii="Times New Roman" w:hAnsi="Times New Roman"/>
          <w:sz w:val="24"/>
          <w:szCs w:val="24"/>
        </w:rPr>
        <w:t xml:space="preserve">wordt verwezen </w:t>
      </w:r>
      <w:r w:rsidRPr="00D7543C" w:rsidR="00DE5C34">
        <w:rPr>
          <w:rFonts w:ascii="Times New Roman" w:hAnsi="Times New Roman"/>
          <w:sz w:val="24"/>
          <w:szCs w:val="24"/>
        </w:rPr>
        <w:t>naar Kamerstukken II 2013</w:t>
      </w:r>
      <w:r w:rsidRPr="00D7543C" w:rsidR="001E7A7A">
        <w:rPr>
          <w:rFonts w:ascii="Times New Roman" w:hAnsi="Times New Roman"/>
          <w:sz w:val="24"/>
          <w:szCs w:val="24"/>
        </w:rPr>
        <w:t>/</w:t>
      </w:r>
      <w:r w:rsidRPr="00D7543C" w:rsidR="00DE5C34">
        <w:rPr>
          <w:rFonts w:ascii="Times New Roman" w:hAnsi="Times New Roman"/>
          <w:sz w:val="24"/>
          <w:szCs w:val="24"/>
        </w:rPr>
        <w:t>2014, 33742, nr. 5 en nr.</w:t>
      </w:r>
      <w:r w:rsidRPr="00D7543C" w:rsidR="004B38E8">
        <w:rPr>
          <w:rFonts w:ascii="Times New Roman" w:hAnsi="Times New Roman"/>
          <w:sz w:val="24"/>
          <w:szCs w:val="24"/>
        </w:rPr>
        <w:t> </w:t>
      </w:r>
      <w:r w:rsidRPr="00D7543C" w:rsidR="00DE5C34">
        <w:rPr>
          <w:rFonts w:ascii="Times New Roman" w:hAnsi="Times New Roman"/>
          <w:sz w:val="24"/>
          <w:szCs w:val="24"/>
        </w:rPr>
        <w:t>10.</w:t>
      </w:r>
      <w:r w:rsidRPr="00D7543C" w:rsidR="00810B9D">
        <w:rPr>
          <w:rFonts w:ascii="Times New Roman" w:hAnsi="Times New Roman"/>
          <w:sz w:val="24"/>
          <w:szCs w:val="24"/>
        </w:rPr>
        <w:t xml:space="preserve"> </w:t>
      </w:r>
      <w:r w:rsidRPr="00D7543C" w:rsidR="00602F7C">
        <w:rPr>
          <w:rFonts w:ascii="Times New Roman" w:hAnsi="Times New Roman"/>
          <w:sz w:val="24"/>
          <w:szCs w:val="24"/>
        </w:rPr>
        <w:t>D</w:t>
      </w:r>
      <w:r w:rsidRPr="00D7543C" w:rsidR="00810B9D">
        <w:rPr>
          <w:rFonts w:ascii="Times New Roman" w:hAnsi="Times New Roman"/>
          <w:sz w:val="24"/>
          <w:szCs w:val="24"/>
        </w:rPr>
        <w:t xml:space="preserve">ie beleidswijziging </w:t>
      </w:r>
      <w:r w:rsidRPr="00D7543C" w:rsidR="00602F7C">
        <w:rPr>
          <w:rFonts w:ascii="Times New Roman" w:hAnsi="Times New Roman"/>
          <w:sz w:val="24"/>
          <w:szCs w:val="24"/>
        </w:rPr>
        <w:t xml:space="preserve">kon </w:t>
      </w:r>
      <w:r w:rsidRPr="00D7543C" w:rsidR="00810B9D">
        <w:rPr>
          <w:rFonts w:ascii="Times New Roman" w:hAnsi="Times New Roman"/>
          <w:sz w:val="24"/>
          <w:szCs w:val="24"/>
        </w:rPr>
        <w:t xml:space="preserve">niet meer in de tekst van het </w:t>
      </w:r>
      <w:r w:rsidRPr="00D7543C" w:rsidR="00602F7C">
        <w:rPr>
          <w:rFonts w:ascii="Times New Roman" w:hAnsi="Times New Roman"/>
          <w:sz w:val="24"/>
          <w:szCs w:val="24"/>
        </w:rPr>
        <w:t>onderhavige</w:t>
      </w:r>
      <w:r w:rsidRPr="00D7543C" w:rsidR="00810B9D">
        <w:rPr>
          <w:rFonts w:ascii="Times New Roman" w:hAnsi="Times New Roman"/>
          <w:sz w:val="24"/>
          <w:szCs w:val="24"/>
        </w:rPr>
        <w:t xml:space="preserve"> verdrag tot uitdrukking worden gebracht, omdat </w:t>
      </w:r>
      <w:r w:rsidRPr="00D7543C" w:rsidR="00602F7C">
        <w:rPr>
          <w:rFonts w:ascii="Times New Roman" w:hAnsi="Times New Roman"/>
          <w:sz w:val="24"/>
          <w:szCs w:val="24"/>
        </w:rPr>
        <w:t>het al was ondertekend</w:t>
      </w:r>
      <w:r w:rsidRPr="00D7543C" w:rsidR="0016753D">
        <w:rPr>
          <w:rFonts w:ascii="Times New Roman" w:hAnsi="Times New Roman"/>
          <w:sz w:val="24"/>
          <w:szCs w:val="24"/>
        </w:rPr>
        <w:t xml:space="preserve">, </w:t>
      </w:r>
      <w:r w:rsidRPr="00D7543C" w:rsidR="00810B9D">
        <w:rPr>
          <w:rFonts w:ascii="Times New Roman" w:hAnsi="Times New Roman"/>
          <w:sz w:val="24"/>
          <w:szCs w:val="24"/>
        </w:rPr>
        <w:t xml:space="preserve">terwijl dit bij het verdrag met de Dominicaanse Republiek nog wel mogelijk was. In het onderhavige verdrag </w:t>
      </w:r>
      <w:r w:rsidRPr="00D7543C" w:rsidR="001E7A7A">
        <w:rPr>
          <w:rFonts w:ascii="Times New Roman" w:hAnsi="Times New Roman"/>
          <w:sz w:val="24"/>
          <w:szCs w:val="24"/>
        </w:rPr>
        <w:t xml:space="preserve">met Cuba </w:t>
      </w:r>
      <w:r w:rsidRPr="00D7543C" w:rsidR="00810B9D">
        <w:rPr>
          <w:rFonts w:ascii="Times New Roman" w:hAnsi="Times New Roman"/>
          <w:sz w:val="24"/>
          <w:szCs w:val="24"/>
        </w:rPr>
        <w:t xml:space="preserve">is derhalve </w:t>
      </w:r>
      <w:r w:rsidRPr="00D7543C" w:rsidR="001E7A7A">
        <w:rPr>
          <w:rFonts w:ascii="Times New Roman" w:hAnsi="Times New Roman"/>
          <w:sz w:val="24"/>
          <w:szCs w:val="24"/>
        </w:rPr>
        <w:t xml:space="preserve">nog </w:t>
      </w:r>
      <w:r w:rsidRPr="00D7543C" w:rsidR="00810B9D">
        <w:rPr>
          <w:rFonts w:ascii="Times New Roman" w:hAnsi="Times New Roman"/>
          <w:sz w:val="24"/>
          <w:szCs w:val="24"/>
        </w:rPr>
        <w:t xml:space="preserve">voorzien in </w:t>
      </w:r>
      <w:r w:rsidRPr="00D7543C" w:rsidR="00472697">
        <w:rPr>
          <w:rFonts w:ascii="Times New Roman" w:hAnsi="Times New Roman"/>
          <w:sz w:val="24"/>
          <w:szCs w:val="24"/>
        </w:rPr>
        <w:t xml:space="preserve">zowel </w:t>
      </w:r>
      <w:r w:rsidRPr="00D7543C" w:rsidR="0072614B">
        <w:rPr>
          <w:rFonts w:ascii="Times New Roman" w:hAnsi="Times New Roman"/>
          <w:sz w:val="24"/>
          <w:szCs w:val="24"/>
        </w:rPr>
        <w:t xml:space="preserve">de procedure van de voortgezette tenuitvoerlegging (artikel 9) als </w:t>
      </w:r>
      <w:r w:rsidRPr="00D7543C" w:rsidR="00810B9D">
        <w:rPr>
          <w:rFonts w:ascii="Times New Roman" w:hAnsi="Times New Roman"/>
          <w:sz w:val="24"/>
          <w:szCs w:val="24"/>
        </w:rPr>
        <w:t xml:space="preserve">de </w:t>
      </w:r>
      <w:r w:rsidRPr="00D7543C" w:rsidR="00472697">
        <w:rPr>
          <w:rFonts w:ascii="Times New Roman" w:hAnsi="Times New Roman"/>
          <w:sz w:val="24"/>
          <w:szCs w:val="24"/>
        </w:rPr>
        <w:t>omzettingsprocedure (artikel 10)</w:t>
      </w:r>
      <w:r w:rsidRPr="00D7543C" w:rsidR="0072614B">
        <w:rPr>
          <w:rFonts w:ascii="Times New Roman" w:hAnsi="Times New Roman"/>
          <w:sz w:val="24"/>
          <w:szCs w:val="24"/>
        </w:rPr>
        <w:t>.</w:t>
      </w:r>
      <w:r w:rsidRPr="00D7543C" w:rsidR="00810B9D">
        <w:rPr>
          <w:rFonts w:ascii="Times New Roman" w:hAnsi="Times New Roman"/>
          <w:sz w:val="24"/>
          <w:szCs w:val="24"/>
        </w:rPr>
        <w:t xml:space="preserve"> </w:t>
      </w:r>
      <w:r w:rsidRPr="00D7543C" w:rsidR="009A4CF2">
        <w:rPr>
          <w:rFonts w:ascii="Times New Roman" w:hAnsi="Times New Roman"/>
          <w:sz w:val="24"/>
          <w:szCs w:val="24"/>
        </w:rPr>
        <w:t>Desondanks is h</w:t>
      </w:r>
      <w:r w:rsidRPr="00D7543C" w:rsidR="00172FB1">
        <w:rPr>
          <w:rFonts w:ascii="Times New Roman" w:hAnsi="Times New Roman"/>
          <w:sz w:val="24"/>
          <w:szCs w:val="24"/>
        </w:rPr>
        <w:t xml:space="preserve">et </w:t>
      </w:r>
      <w:r w:rsidRPr="00D7543C" w:rsidR="0050272E">
        <w:rPr>
          <w:rFonts w:ascii="Times New Roman" w:hAnsi="Times New Roman"/>
          <w:sz w:val="24"/>
          <w:szCs w:val="24"/>
        </w:rPr>
        <w:t>v</w:t>
      </w:r>
      <w:r w:rsidRPr="00D7543C" w:rsidR="00172FB1">
        <w:rPr>
          <w:rFonts w:ascii="Times New Roman" w:hAnsi="Times New Roman"/>
          <w:sz w:val="24"/>
          <w:szCs w:val="24"/>
        </w:rPr>
        <w:t>oornemen</w:t>
      </w:r>
      <w:r w:rsidRPr="00D7543C" w:rsidR="004B38E8">
        <w:rPr>
          <w:rFonts w:ascii="Times New Roman" w:hAnsi="Times New Roman"/>
          <w:sz w:val="24"/>
          <w:szCs w:val="24"/>
        </w:rPr>
        <w:t xml:space="preserve"> </w:t>
      </w:r>
      <w:r w:rsidRPr="00D7543C" w:rsidR="0050272E">
        <w:rPr>
          <w:rFonts w:ascii="Times New Roman" w:hAnsi="Times New Roman"/>
          <w:sz w:val="24"/>
          <w:szCs w:val="24"/>
        </w:rPr>
        <w:t xml:space="preserve">van de Minister van Veiligheid en Justitie </w:t>
      </w:r>
      <w:r w:rsidRPr="00D7543C" w:rsidR="00172FB1">
        <w:rPr>
          <w:rFonts w:ascii="Times New Roman" w:hAnsi="Times New Roman"/>
          <w:sz w:val="24"/>
          <w:szCs w:val="24"/>
        </w:rPr>
        <w:t xml:space="preserve">om </w:t>
      </w:r>
      <w:r w:rsidRPr="00D7543C" w:rsidR="009A4CF2">
        <w:rPr>
          <w:rFonts w:ascii="Times New Roman" w:hAnsi="Times New Roman"/>
          <w:sz w:val="24"/>
          <w:szCs w:val="24"/>
        </w:rPr>
        <w:t xml:space="preserve">ook bij overbrenging vanuit Cuba </w:t>
      </w:r>
      <w:r w:rsidRPr="00D7543C" w:rsidR="0072614B">
        <w:rPr>
          <w:rFonts w:ascii="Times New Roman" w:hAnsi="Times New Roman"/>
          <w:sz w:val="24"/>
          <w:szCs w:val="24"/>
        </w:rPr>
        <w:t xml:space="preserve">naar Nederland </w:t>
      </w:r>
      <w:r w:rsidRPr="00D7543C" w:rsidR="009A4CF2">
        <w:rPr>
          <w:rFonts w:ascii="Times New Roman" w:hAnsi="Times New Roman"/>
          <w:sz w:val="24"/>
          <w:szCs w:val="24"/>
        </w:rPr>
        <w:t xml:space="preserve">alleen de </w:t>
      </w:r>
      <w:r w:rsidRPr="00D7543C" w:rsidR="00172FB1">
        <w:rPr>
          <w:rFonts w:ascii="Times New Roman" w:hAnsi="Times New Roman"/>
          <w:sz w:val="24"/>
          <w:szCs w:val="24"/>
        </w:rPr>
        <w:t xml:space="preserve">procedure </w:t>
      </w:r>
      <w:r w:rsidRPr="00D7543C" w:rsidR="009A4CF2">
        <w:rPr>
          <w:rFonts w:ascii="Times New Roman" w:hAnsi="Times New Roman"/>
          <w:sz w:val="24"/>
          <w:szCs w:val="24"/>
        </w:rPr>
        <w:t xml:space="preserve">van </w:t>
      </w:r>
      <w:r w:rsidRPr="00D7543C" w:rsidR="004C702A">
        <w:rPr>
          <w:rFonts w:ascii="Times New Roman" w:hAnsi="Times New Roman"/>
          <w:sz w:val="24"/>
          <w:szCs w:val="24"/>
        </w:rPr>
        <w:t xml:space="preserve">de </w:t>
      </w:r>
      <w:r w:rsidRPr="00D7543C" w:rsidR="009A4CF2">
        <w:rPr>
          <w:rFonts w:ascii="Times New Roman" w:hAnsi="Times New Roman"/>
          <w:sz w:val="24"/>
          <w:szCs w:val="24"/>
        </w:rPr>
        <w:t>voortgezette tenuitvoerlegging toe te passen</w:t>
      </w:r>
      <w:r w:rsidRPr="00D7543C" w:rsidR="0050272E">
        <w:rPr>
          <w:rFonts w:ascii="Times New Roman" w:hAnsi="Times New Roman"/>
          <w:sz w:val="24"/>
          <w:szCs w:val="24"/>
        </w:rPr>
        <w:t>.</w:t>
      </w:r>
      <w:r w:rsidRPr="00D7543C" w:rsidR="002B0FE5">
        <w:rPr>
          <w:rFonts w:ascii="Times New Roman" w:hAnsi="Times New Roman"/>
          <w:sz w:val="24"/>
          <w:szCs w:val="24"/>
        </w:rPr>
        <w:t xml:space="preserve"> </w:t>
      </w:r>
    </w:p>
    <w:p w:rsidRPr="00D7543C" w:rsidR="003B660E" w:rsidP="004B38E8" w:rsidRDefault="003B660E">
      <w:pPr>
        <w:pStyle w:val="FootnoteText"/>
        <w:rPr>
          <w:rFonts w:ascii="Times New Roman" w:hAnsi="Times New Roman"/>
          <w:sz w:val="24"/>
          <w:szCs w:val="24"/>
        </w:rPr>
      </w:pPr>
    </w:p>
    <w:p w:rsidRPr="00D7543C" w:rsidR="00AB5AD7" w:rsidP="004B38E8" w:rsidRDefault="00097C60">
      <w:pPr>
        <w:pStyle w:val="FootnoteText"/>
        <w:rPr>
          <w:rFonts w:ascii="Times New Roman" w:hAnsi="Times New Roman"/>
          <w:sz w:val="24"/>
          <w:szCs w:val="24"/>
        </w:rPr>
      </w:pPr>
      <w:r w:rsidRPr="00D7543C">
        <w:rPr>
          <w:rFonts w:ascii="Times New Roman" w:hAnsi="Times New Roman"/>
          <w:sz w:val="24"/>
          <w:szCs w:val="24"/>
        </w:rPr>
        <w:t>Voor het overige bevat het verdrag</w:t>
      </w:r>
      <w:r w:rsidRPr="00D7543C" w:rsidR="009910B6">
        <w:rPr>
          <w:rFonts w:ascii="Times New Roman" w:hAnsi="Times New Roman"/>
          <w:sz w:val="24"/>
          <w:szCs w:val="24"/>
        </w:rPr>
        <w:t>, zoals gebruikelijk,</w:t>
      </w:r>
      <w:r w:rsidRPr="00D7543C">
        <w:rPr>
          <w:rFonts w:ascii="Times New Roman" w:hAnsi="Times New Roman"/>
          <w:sz w:val="24"/>
          <w:szCs w:val="24"/>
        </w:rPr>
        <w:t xml:space="preserve"> bepalingen die grotendeels zijn ontleend aan het </w:t>
      </w:r>
      <w:r w:rsidRPr="00D7543C" w:rsidR="009910B6">
        <w:rPr>
          <w:rFonts w:ascii="Times New Roman" w:hAnsi="Times New Roman"/>
          <w:sz w:val="24"/>
          <w:szCs w:val="24"/>
        </w:rPr>
        <w:t>op 21 maart 1983 te Straatsburg tot stand gekomen Verdrag inzake de overbrenging van gevonniste personen (voortaan: Vogp) van de Raad van Europa</w:t>
      </w:r>
      <w:r w:rsidRPr="00D7543C" w:rsidR="00333A3E">
        <w:rPr>
          <w:rFonts w:ascii="Times New Roman" w:hAnsi="Times New Roman"/>
          <w:sz w:val="24"/>
          <w:szCs w:val="24"/>
        </w:rPr>
        <w:t xml:space="preserve"> (Trb. 1983, 74) </w:t>
      </w:r>
      <w:r w:rsidRPr="00D7543C">
        <w:rPr>
          <w:rFonts w:ascii="Times New Roman" w:hAnsi="Times New Roman"/>
          <w:sz w:val="24"/>
          <w:szCs w:val="24"/>
        </w:rPr>
        <w:t>Zodoende past het verdrag ook in de rij van door het Koninkrijk gesloten bilaterale verdragen met Marokko (Trb. 1999, 198), Thailand (Trb. 2004, 216), Zambia (Trb. 2008, 4), Brazilië (Trb. 2009, 25) en Peru (Trb. 2011, 109) over de overbrenging van gevonniste personen.</w:t>
      </w:r>
    </w:p>
    <w:p w:rsidRPr="00D7543C" w:rsidR="0052440D" w:rsidP="004B38E8" w:rsidRDefault="0052440D">
      <w:pPr>
        <w:pStyle w:val="FootnoteText"/>
        <w:rPr>
          <w:rFonts w:ascii="Times New Roman" w:hAnsi="Times New Roman"/>
          <w:sz w:val="24"/>
          <w:szCs w:val="24"/>
        </w:rPr>
      </w:pPr>
    </w:p>
    <w:p w:rsidRPr="00D7543C" w:rsidR="003B660E" w:rsidP="004B38E8" w:rsidRDefault="003B660E">
      <w:pPr>
        <w:pStyle w:val="FootnoteText"/>
        <w:rPr>
          <w:rFonts w:ascii="Times New Roman" w:hAnsi="Times New Roman"/>
          <w:sz w:val="24"/>
          <w:szCs w:val="24"/>
        </w:rPr>
      </w:pPr>
      <w:r w:rsidRPr="00D7543C">
        <w:rPr>
          <w:rFonts w:ascii="Times New Roman" w:hAnsi="Times New Roman"/>
          <w:sz w:val="24"/>
          <w:szCs w:val="24"/>
        </w:rPr>
        <w:t xml:space="preserve">Momenteel bevinden zich in Cuba geen personen met de Nederlandse nationaliteit in detentie. Sinds 2000 waren er in Cuba in totaal 21 personen Nederlanders gedetineerd. Hiervan waren er 5 afkomstig uit Nederland, en 11 </w:t>
      </w:r>
      <w:r w:rsidR="00600167">
        <w:rPr>
          <w:rFonts w:ascii="Times New Roman" w:hAnsi="Times New Roman"/>
          <w:sz w:val="24"/>
          <w:szCs w:val="24"/>
        </w:rPr>
        <w:t xml:space="preserve">afkomstig </w:t>
      </w:r>
      <w:r w:rsidRPr="00D7543C">
        <w:rPr>
          <w:rFonts w:ascii="Times New Roman" w:hAnsi="Times New Roman"/>
          <w:sz w:val="24"/>
          <w:szCs w:val="24"/>
        </w:rPr>
        <w:t xml:space="preserve">uit </w:t>
      </w:r>
      <w:r w:rsidRPr="00D7543C" w:rsidR="000812A3">
        <w:rPr>
          <w:rFonts w:ascii="Times New Roman" w:hAnsi="Times New Roman"/>
          <w:sz w:val="24"/>
          <w:szCs w:val="24"/>
        </w:rPr>
        <w:t>Curaçao</w:t>
      </w:r>
      <w:r w:rsidRPr="00D7543C">
        <w:rPr>
          <w:rFonts w:ascii="Times New Roman" w:hAnsi="Times New Roman"/>
          <w:sz w:val="24"/>
          <w:szCs w:val="24"/>
        </w:rPr>
        <w:t>. De overige personen kwamen uit landen die niet tot het Koninkrijk behoren. Laatstgenoemde categorie zou uiteraard niet voor een overbrenging in aanmerking zijn gekomen, althans niet naar Nederland.</w:t>
      </w:r>
    </w:p>
    <w:p w:rsidRPr="00D7543C" w:rsidR="000F6B3A" w:rsidP="004B38E8" w:rsidRDefault="000F6B3A">
      <w:pPr>
        <w:pStyle w:val="FootnoteText"/>
        <w:rPr>
          <w:rFonts w:ascii="Times New Roman" w:hAnsi="Times New Roman"/>
          <w:b/>
          <w:sz w:val="24"/>
          <w:szCs w:val="24"/>
        </w:rPr>
      </w:pPr>
    </w:p>
    <w:p w:rsidRPr="00DF2AFF" w:rsidR="00856B8B" w:rsidP="004B38E8" w:rsidRDefault="00856B8B">
      <w:pPr>
        <w:pStyle w:val="FootnoteText"/>
        <w:rPr>
          <w:rFonts w:ascii="Times New Roman" w:hAnsi="Times New Roman"/>
          <w:b/>
          <w:sz w:val="24"/>
          <w:szCs w:val="24"/>
          <w:u w:val="single"/>
        </w:rPr>
      </w:pPr>
      <w:r w:rsidRPr="00DF2AFF">
        <w:rPr>
          <w:rFonts w:ascii="Times New Roman" w:hAnsi="Times New Roman"/>
          <w:b/>
          <w:sz w:val="24"/>
          <w:szCs w:val="24"/>
          <w:u w:val="single"/>
        </w:rPr>
        <w:t>Koninkrijkspositie</w:t>
      </w:r>
    </w:p>
    <w:p w:rsidRPr="00D7543C" w:rsidR="004B38E8" w:rsidP="004B38E8" w:rsidRDefault="004B38E8">
      <w:pPr>
        <w:pStyle w:val="FootnoteText"/>
        <w:rPr>
          <w:rFonts w:ascii="Times New Roman" w:hAnsi="Times New Roman"/>
          <w:sz w:val="24"/>
          <w:szCs w:val="24"/>
        </w:rPr>
      </w:pPr>
    </w:p>
    <w:p w:rsidRPr="00D7543C" w:rsidR="004F4BBE" w:rsidP="004B38E8" w:rsidRDefault="00856B8B">
      <w:pPr>
        <w:pStyle w:val="FootnoteText"/>
        <w:rPr>
          <w:rFonts w:ascii="Times New Roman" w:hAnsi="Times New Roman"/>
          <w:sz w:val="24"/>
          <w:szCs w:val="24"/>
        </w:rPr>
      </w:pPr>
      <w:r w:rsidRPr="00D7543C">
        <w:rPr>
          <w:rFonts w:ascii="Times New Roman" w:hAnsi="Times New Roman"/>
          <w:sz w:val="24"/>
          <w:szCs w:val="24"/>
        </w:rPr>
        <w:t xml:space="preserve">Artikel </w:t>
      </w:r>
      <w:r w:rsidRPr="00D7543C" w:rsidR="00333A3E">
        <w:rPr>
          <w:rFonts w:ascii="Times New Roman" w:hAnsi="Times New Roman"/>
          <w:sz w:val="24"/>
          <w:szCs w:val="24"/>
        </w:rPr>
        <w:t>18</w:t>
      </w:r>
      <w:r w:rsidRPr="00D7543C">
        <w:rPr>
          <w:rFonts w:ascii="Times New Roman" w:hAnsi="Times New Roman"/>
          <w:sz w:val="24"/>
          <w:szCs w:val="24"/>
        </w:rPr>
        <w:t>, tweede lid, van het verdrag voorziet in een toepassing op het Europese deel en het Car</w:t>
      </w:r>
      <w:r w:rsidRPr="00D7543C" w:rsidR="00D879B7">
        <w:rPr>
          <w:rFonts w:ascii="Times New Roman" w:hAnsi="Times New Roman"/>
          <w:sz w:val="24"/>
          <w:szCs w:val="24"/>
        </w:rPr>
        <w:t>i</w:t>
      </w:r>
      <w:r w:rsidRPr="00D7543C">
        <w:rPr>
          <w:rFonts w:ascii="Times New Roman" w:hAnsi="Times New Roman"/>
          <w:sz w:val="24"/>
          <w:szCs w:val="24"/>
        </w:rPr>
        <w:t xml:space="preserve">bische deel van </w:t>
      </w:r>
      <w:r w:rsidRPr="00D7543C" w:rsidR="00584EA7">
        <w:rPr>
          <w:rFonts w:ascii="Times New Roman" w:hAnsi="Times New Roman"/>
          <w:sz w:val="24"/>
          <w:szCs w:val="24"/>
        </w:rPr>
        <w:t>Nederland, alsmede op Aruba</w:t>
      </w:r>
      <w:r w:rsidR="009140A1">
        <w:rPr>
          <w:rFonts w:ascii="Times New Roman" w:hAnsi="Times New Roman"/>
          <w:sz w:val="24"/>
          <w:szCs w:val="24"/>
        </w:rPr>
        <w:t>, Curaçao en Sint Maarten</w:t>
      </w:r>
      <w:r w:rsidRPr="00D7543C">
        <w:rPr>
          <w:rFonts w:ascii="Times New Roman" w:hAnsi="Times New Roman"/>
          <w:sz w:val="24"/>
          <w:szCs w:val="24"/>
        </w:rPr>
        <w:t>. De goedkeuring van het verdrag wordt dan ook voor het gehele Koninkrijk gevraagd.</w:t>
      </w:r>
    </w:p>
    <w:p w:rsidRPr="00D7543C" w:rsidR="00856B8B" w:rsidP="004B38E8" w:rsidRDefault="004F4BBE">
      <w:pPr>
        <w:pStyle w:val="FootnoteText"/>
        <w:rPr>
          <w:rFonts w:ascii="Times New Roman" w:hAnsi="Times New Roman"/>
          <w:sz w:val="24"/>
          <w:szCs w:val="24"/>
        </w:rPr>
      </w:pPr>
      <w:r w:rsidRPr="00D7543C">
        <w:rPr>
          <w:rFonts w:ascii="Times New Roman" w:hAnsi="Times New Roman"/>
          <w:sz w:val="24"/>
          <w:szCs w:val="24"/>
        </w:rPr>
        <w:t xml:space="preserve">De regeringen van Aruba, Curaçao en Sint Maarten hebben te </w:t>
      </w:r>
      <w:r w:rsidRPr="00D7543C" w:rsidR="00700D24">
        <w:rPr>
          <w:rFonts w:ascii="Times New Roman" w:hAnsi="Times New Roman"/>
          <w:sz w:val="24"/>
          <w:szCs w:val="24"/>
        </w:rPr>
        <w:t xml:space="preserve">kennen </w:t>
      </w:r>
      <w:r w:rsidRPr="00D7543C">
        <w:rPr>
          <w:rFonts w:ascii="Times New Roman" w:hAnsi="Times New Roman"/>
          <w:sz w:val="24"/>
          <w:szCs w:val="24"/>
        </w:rPr>
        <w:t>gegeven medegel</w:t>
      </w:r>
      <w:r w:rsidRPr="00D7543C" w:rsidR="00700D24">
        <w:rPr>
          <w:rFonts w:ascii="Times New Roman" w:hAnsi="Times New Roman"/>
          <w:sz w:val="24"/>
          <w:szCs w:val="24"/>
        </w:rPr>
        <w:t>d</w:t>
      </w:r>
      <w:r w:rsidRPr="00D7543C">
        <w:rPr>
          <w:rFonts w:ascii="Times New Roman" w:hAnsi="Times New Roman"/>
          <w:sz w:val="24"/>
          <w:szCs w:val="24"/>
        </w:rPr>
        <w:t>ing van het verdrag voor hun land wenselijk te achten en dat voor het verdrag geen uitvoeringswetgeving nodig is.</w:t>
      </w:r>
    </w:p>
    <w:p w:rsidRPr="00D7543C" w:rsidR="004B38E8" w:rsidP="004B38E8" w:rsidRDefault="004B38E8">
      <w:pPr>
        <w:pStyle w:val="FootnoteText"/>
        <w:rPr>
          <w:rFonts w:ascii="Times New Roman" w:hAnsi="Times New Roman"/>
          <w:b/>
          <w:sz w:val="24"/>
          <w:szCs w:val="24"/>
        </w:rPr>
      </w:pPr>
    </w:p>
    <w:p w:rsidRPr="00B76031" w:rsidR="00DF2AFF" w:rsidP="004B38E8" w:rsidRDefault="00DF2AFF">
      <w:pPr>
        <w:pStyle w:val="FootnoteText"/>
        <w:rPr>
          <w:rStyle w:val="Strong"/>
          <w:rFonts w:ascii="Times New Roman" w:hAnsi="Times New Roman"/>
          <w:sz w:val="24"/>
          <w:szCs w:val="24"/>
          <w:u w:val="single"/>
        </w:rPr>
      </w:pPr>
      <w:r w:rsidRPr="00B76031">
        <w:rPr>
          <w:rStyle w:val="Strong"/>
          <w:rFonts w:ascii="Times New Roman" w:hAnsi="Times New Roman"/>
          <w:sz w:val="24"/>
          <w:szCs w:val="24"/>
          <w:u w:val="single"/>
        </w:rPr>
        <w:t>Een ieder verbindende bepaling</w:t>
      </w:r>
      <w:r w:rsidR="00B76031">
        <w:rPr>
          <w:rStyle w:val="Strong"/>
          <w:rFonts w:ascii="Times New Roman" w:hAnsi="Times New Roman"/>
          <w:sz w:val="24"/>
          <w:szCs w:val="24"/>
          <w:u w:val="single"/>
        </w:rPr>
        <w:t>en</w:t>
      </w:r>
    </w:p>
    <w:p w:rsidR="00DF2AFF" w:rsidP="004B38E8" w:rsidRDefault="00DF2AFF">
      <w:pPr>
        <w:pStyle w:val="FootnoteText"/>
        <w:rPr>
          <w:rStyle w:val="Strong"/>
          <w:rFonts w:ascii="Times New Roman" w:hAnsi="Times New Roman"/>
          <w:b w:val="0"/>
          <w:sz w:val="24"/>
          <w:szCs w:val="24"/>
        </w:rPr>
      </w:pPr>
    </w:p>
    <w:p w:rsidR="00DF2AFF" w:rsidP="004B38E8" w:rsidRDefault="00DF2AFF">
      <w:pPr>
        <w:pStyle w:val="FootnoteText"/>
        <w:rPr>
          <w:rFonts w:ascii="Times New Roman" w:hAnsi="Times New Roman"/>
          <w:b/>
          <w:sz w:val="24"/>
          <w:szCs w:val="24"/>
        </w:rPr>
      </w:pPr>
      <w:r w:rsidRPr="00DF2AFF" w:rsidDel="00107B54">
        <w:rPr>
          <w:rStyle w:val="Strong"/>
          <w:rFonts w:ascii="Times New Roman" w:hAnsi="Times New Roman"/>
          <w:b w:val="0"/>
          <w:sz w:val="24"/>
          <w:szCs w:val="24"/>
        </w:rPr>
        <w:t xml:space="preserve">Het verdrag bestaat uit 20 artikelen. </w:t>
      </w:r>
      <w:r w:rsidRPr="00DF2AFF" w:rsidDel="00107B54">
        <w:rPr>
          <w:rFonts w:ascii="Times New Roman" w:hAnsi="Times New Roman"/>
          <w:sz w:val="24"/>
          <w:szCs w:val="24"/>
        </w:rPr>
        <w:t xml:space="preserve">Een burger kan aan de hand van dit verdrag geen enkel recht ontlenen om te worden overgedragen ter fine van de verdere tenuitvoerlegging van hun buitenlandse straf. De regering is </w:t>
      </w:r>
      <w:r w:rsidRPr="00DF2AFF">
        <w:rPr>
          <w:rFonts w:ascii="Times New Roman" w:hAnsi="Times New Roman"/>
          <w:sz w:val="24"/>
          <w:szCs w:val="24"/>
        </w:rPr>
        <w:t xml:space="preserve">dan ook </w:t>
      </w:r>
      <w:r w:rsidRPr="00DF2AFF" w:rsidDel="00107B54">
        <w:rPr>
          <w:rFonts w:ascii="Times New Roman" w:hAnsi="Times New Roman"/>
          <w:sz w:val="24"/>
          <w:szCs w:val="24"/>
        </w:rPr>
        <w:t xml:space="preserve">van mening dat </w:t>
      </w:r>
      <w:r w:rsidRPr="00DF2AFF">
        <w:rPr>
          <w:rFonts w:ascii="Times New Roman" w:hAnsi="Times New Roman"/>
          <w:sz w:val="24"/>
          <w:szCs w:val="24"/>
        </w:rPr>
        <w:t>de bepalingen van het verdrag niet een ieder verbindend</w:t>
      </w:r>
      <w:r w:rsidR="00D051AA">
        <w:rPr>
          <w:rFonts w:ascii="Times New Roman" w:hAnsi="Times New Roman"/>
          <w:sz w:val="24"/>
          <w:szCs w:val="24"/>
        </w:rPr>
        <w:t xml:space="preserve"> </w:t>
      </w:r>
      <w:r w:rsidRPr="00DF2AFF">
        <w:rPr>
          <w:rFonts w:ascii="Times New Roman" w:hAnsi="Times New Roman"/>
          <w:sz w:val="24"/>
          <w:szCs w:val="24"/>
        </w:rPr>
        <w:t xml:space="preserve">zijn, met uitzondering van het eerste en het vijfde lid van artikel 4. Naar de mening van de regering zouden deze twee bepalingen wel een ieder verbindend kunnen zijn, omdat op basis hiervan </w:t>
      </w:r>
      <w:r w:rsidRPr="00DF2AFF" w:rsidDel="00107B54">
        <w:rPr>
          <w:rFonts w:ascii="Times New Roman" w:hAnsi="Times New Roman"/>
          <w:sz w:val="24"/>
          <w:szCs w:val="24"/>
        </w:rPr>
        <w:t xml:space="preserve">een gedetineerde het recht </w:t>
      </w:r>
      <w:r w:rsidRPr="00DF2AFF">
        <w:rPr>
          <w:rFonts w:ascii="Times New Roman" w:hAnsi="Times New Roman"/>
          <w:sz w:val="24"/>
          <w:szCs w:val="24"/>
        </w:rPr>
        <w:t xml:space="preserve">heeft </w:t>
      </w:r>
      <w:r w:rsidRPr="00DF2AFF" w:rsidDel="00107B54">
        <w:rPr>
          <w:rFonts w:ascii="Times New Roman" w:hAnsi="Times New Roman"/>
          <w:sz w:val="24"/>
          <w:szCs w:val="24"/>
        </w:rPr>
        <w:t>op verstrekking van inlichtingen over het verdrag en om van iedere actie/beslissing op de hoogte te worden gehouden (zie hierna ook de toelichting op artikel 4).</w:t>
      </w:r>
    </w:p>
    <w:p w:rsidR="00DF2AFF" w:rsidP="004B38E8" w:rsidRDefault="00DF2AFF">
      <w:pPr>
        <w:pStyle w:val="FootnoteText"/>
        <w:rPr>
          <w:rFonts w:ascii="Times New Roman" w:hAnsi="Times New Roman"/>
          <w:b/>
          <w:sz w:val="24"/>
          <w:szCs w:val="24"/>
        </w:rPr>
      </w:pPr>
    </w:p>
    <w:p w:rsidRPr="00B76031" w:rsidR="00856B8B" w:rsidP="004B38E8" w:rsidRDefault="00725BB3">
      <w:pPr>
        <w:pStyle w:val="FootnoteText"/>
        <w:rPr>
          <w:rFonts w:ascii="Times New Roman" w:hAnsi="Times New Roman"/>
          <w:b/>
          <w:sz w:val="24"/>
          <w:szCs w:val="24"/>
          <w:u w:val="single"/>
        </w:rPr>
      </w:pPr>
      <w:r>
        <w:rPr>
          <w:rFonts w:ascii="Times New Roman" w:hAnsi="Times New Roman"/>
          <w:b/>
          <w:sz w:val="24"/>
          <w:szCs w:val="24"/>
          <w:u w:val="single"/>
        </w:rPr>
        <w:br w:type="column"/>
      </w:r>
      <w:r w:rsidRPr="00B76031" w:rsidR="00856B8B">
        <w:rPr>
          <w:rFonts w:ascii="Times New Roman" w:hAnsi="Times New Roman"/>
          <w:b/>
          <w:sz w:val="24"/>
          <w:szCs w:val="24"/>
          <w:u w:val="single"/>
        </w:rPr>
        <w:lastRenderedPageBreak/>
        <w:t>Artikelsgewijze toelichting</w:t>
      </w:r>
    </w:p>
    <w:p w:rsidRPr="00D93606" w:rsidR="00D7543C" w:rsidP="004B38E8" w:rsidRDefault="00D7543C">
      <w:pPr>
        <w:pStyle w:val="FootnoteText"/>
        <w:rPr>
          <w:rFonts w:ascii="Times New Roman" w:hAnsi="Times New Roman"/>
          <w:b/>
          <w:sz w:val="24"/>
          <w:szCs w:val="24"/>
        </w:rPr>
      </w:pPr>
    </w:p>
    <w:p w:rsidRPr="00D93606" w:rsidR="00856B8B" w:rsidP="004B38E8" w:rsidRDefault="00856B8B">
      <w:pPr>
        <w:pStyle w:val="FootnoteText"/>
        <w:rPr>
          <w:rFonts w:ascii="Times New Roman" w:hAnsi="Times New Roman"/>
          <w:b/>
          <w:sz w:val="24"/>
          <w:szCs w:val="24"/>
        </w:rPr>
      </w:pPr>
      <w:r w:rsidRPr="00D93606">
        <w:rPr>
          <w:rFonts w:ascii="Times New Roman" w:hAnsi="Times New Roman"/>
          <w:b/>
          <w:sz w:val="24"/>
          <w:szCs w:val="24"/>
        </w:rPr>
        <w:t>Artikel 1</w:t>
      </w:r>
    </w:p>
    <w:p w:rsidRPr="00D93606" w:rsidR="00856B8B" w:rsidP="004B38E8" w:rsidRDefault="00856B8B">
      <w:pPr>
        <w:autoSpaceDE w:val="0"/>
        <w:autoSpaceDN w:val="0"/>
        <w:adjustRightInd w:val="0"/>
      </w:pPr>
      <w:r w:rsidRPr="00D93606">
        <w:t xml:space="preserve">Dit artikel bevat de in deze verdragen gebruikelijke definities. Uit </w:t>
      </w:r>
      <w:r w:rsidRPr="00D93606">
        <w:rPr>
          <w:i/>
        </w:rPr>
        <w:t xml:space="preserve">onderdeel </w:t>
      </w:r>
      <w:r w:rsidR="00783993">
        <w:rPr>
          <w:i/>
        </w:rPr>
        <w:t>d</w:t>
      </w:r>
      <w:r w:rsidRPr="00D93606">
        <w:t xml:space="preserve"> blijkt dat </w:t>
      </w:r>
      <w:r w:rsidR="00783993">
        <w:t xml:space="preserve">Cuba het begrip onderdaan wil beperken tot personen met de Cubaanse nationaliteit die een permanente verblijfplaats op Cuba hebben. Hoewel de achtergrond verschillend is, is dit vergelijkbaar met het beleid van het Koninkrijk dat Nederlanders kunnen worden overgebracht naar het land van het Koninkrijk waar zij hun hoofdverblijfplaats hebben. </w:t>
      </w:r>
      <w:r w:rsidRPr="00D93606">
        <w:t xml:space="preserve">Verder zijn </w:t>
      </w:r>
      <w:r w:rsidR="00A44946">
        <w:t>met verwijzing naar</w:t>
      </w:r>
      <w:r w:rsidRPr="00D93606">
        <w:t xml:space="preserve"> </w:t>
      </w:r>
      <w:r w:rsidRPr="00B82043">
        <w:rPr>
          <w:i/>
        </w:rPr>
        <w:t>onderdeel</w:t>
      </w:r>
      <w:r w:rsidR="00A44946">
        <w:rPr>
          <w:i/>
        </w:rPr>
        <w:t xml:space="preserve"> g</w:t>
      </w:r>
      <w:r w:rsidRPr="00D93606">
        <w:t xml:space="preserve"> de minister van Veiligheid en Justitie van Nederland respectievelijk de ministers van Justitie van de andere landen van het Koninkrijk aangewezen als bevoegde autoriteit. </w:t>
      </w:r>
    </w:p>
    <w:p w:rsidRPr="00D93606" w:rsidR="00856B8B" w:rsidP="004B38E8" w:rsidRDefault="00856B8B">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2</w:t>
      </w:r>
    </w:p>
    <w:p w:rsidRPr="00D93606" w:rsidR="00856B8B" w:rsidP="004B38E8" w:rsidRDefault="00856B8B">
      <w:r w:rsidRPr="00D93606">
        <w:t xml:space="preserve">Uit dit artikel blijkt dat het verdrag overbrenging mogelijk maakt, maar dat het geen recht voor de gedetineerde op overbrenging creëert. Artikel 2 van het </w:t>
      </w:r>
      <w:r w:rsidRPr="00D93606" w:rsidR="004D33B9">
        <w:t>Vogp</w:t>
      </w:r>
      <w:r w:rsidRPr="00D93606">
        <w:t xml:space="preserve"> bevat een soortgelijke regeling.</w:t>
      </w:r>
    </w:p>
    <w:p w:rsidRPr="00D93606" w:rsidR="00856B8B" w:rsidP="004B38E8" w:rsidRDefault="00856B8B"/>
    <w:p w:rsidRPr="00D93606" w:rsidR="00856B8B" w:rsidP="004B38E8" w:rsidRDefault="00856B8B">
      <w:pPr>
        <w:autoSpaceDE w:val="0"/>
        <w:autoSpaceDN w:val="0"/>
        <w:adjustRightInd w:val="0"/>
        <w:rPr>
          <w:b/>
        </w:rPr>
      </w:pPr>
      <w:r w:rsidRPr="00D93606">
        <w:rPr>
          <w:b/>
        </w:rPr>
        <w:t>Artikel 3</w:t>
      </w:r>
    </w:p>
    <w:p w:rsidRPr="00D93606" w:rsidR="00B220E6" w:rsidP="004B38E8" w:rsidRDefault="00856B8B">
      <w:r w:rsidRPr="00D93606">
        <w:t xml:space="preserve">In artikel 3 worden voorwaarden voor overbrenging opgesomd. Aan deze voorwaarden dient in elk geval te zijn voldaan, wil overbrenging aan de orde kunnen komen. De opsomming is niet limitatief, zodat ook wanneer aan alle genoemde voorwaarden is voldaan, geen verplichting tot overbrenging bestaat. Het ontbreken van die verplichting vloeit voort uit </w:t>
      </w:r>
      <w:r w:rsidR="00F4766F">
        <w:t>het</w:t>
      </w:r>
      <w:r w:rsidRPr="00D93606">
        <w:t xml:space="preserve"> </w:t>
      </w:r>
      <w:r w:rsidRPr="00D93606" w:rsidR="00105EBB">
        <w:t xml:space="preserve">eerste lid, </w:t>
      </w:r>
      <w:r w:rsidRPr="00F4766F">
        <w:rPr>
          <w:i/>
        </w:rPr>
        <w:t xml:space="preserve">onderdeel </w:t>
      </w:r>
      <w:r w:rsidR="00452EC6">
        <w:rPr>
          <w:i/>
        </w:rPr>
        <w:t>h</w:t>
      </w:r>
      <w:r w:rsidRPr="00D93606">
        <w:t xml:space="preserve">. Het verdrag laat </w:t>
      </w:r>
      <w:r w:rsidR="0067104C">
        <w:t>p</w:t>
      </w:r>
      <w:r w:rsidRPr="00D93606">
        <w:t>artijen</w:t>
      </w:r>
      <w:r w:rsidR="0067104C">
        <w:t xml:space="preserve"> </w:t>
      </w:r>
      <w:r w:rsidRPr="00D93606">
        <w:t xml:space="preserve">derhalve vrij om in voorkomend geval om andere, hen moverende redenen, niet aan een overbrenging mee te werken. </w:t>
      </w:r>
      <w:r w:rsidR="00B220E6">
        <w:t xml:space="preserve">Voor Nederland betreft dit onder ander het ontbreken van voldoende binding van de gedetineerde met Nederland </w:t>
      </w:r>
    </w:p>
    <w:p w:rsidRPr="00D93606" w:rsidR="00856B8B" w:rsidP="004B38E8" w:rsidRDefault="00856B8B">
      <w:r w:rsidRPr="00D93606">
        <w:t xml:space="preserve">Het in </w:t>
      </w:r>
      <w:r w:rsidRPr="00D93606">
        <w:rPr>
          <w:i/>
        </w:rPr>
        <w:t xml:space="preserve">onderdeel a </w:t>
      </w:r>
      <w:r w:rsidRPr="00D93606">
        <w:t>opgenomen vereiste dat de veroordeelde de nationaliteit van de staat van tenuitvoerlegging moet hebben komt eveneens voor in andere bilaterale verdragen die het Koninkrijk op dit terrein heeft gesloten.</w:t>
      </w:r>
    </w:p>
    <w:p w:rsidR="003D6BA4" w:rsidP="004B38E8" w:rsidRDefault="003D6BA4">
      <w:pPr>
        <w:rPr>
          <w:i/>
        </w:rPr>
      </w:pPr>
      <w:r>
        <w:rPr>
          <w:i/>
        </w:rPr>
        <w:t xml:space="preserve">Onderdeel b </w:t>
      </w:r>
      <w:r w:rsidRPr="003D6BA4">
        <w:t>is opgenomen op verzoek van Cuba</w:t>
      </w:r>
      <w:r>
        <w:t xml:space="preserve">. Het komt niet voor in het Vogp, maar er bestaat desondanks geen bezwaar tegen </w:t>
      </w:r>
      <w:r w:rsidR="00F95BC9">
        <w:t xml:space="preserve">om </w:t>
      </w:r>
      <w:r>
        <w:t>aan de Cubaanse wens tegemoet te komen.</w:t>
      </w:r>
    </w:p>
    <w:p w:rsidRPr="00D93606" w:rsidR="00856B8B" w:rsidP="004B38E8" w:rsidRDefault="00856B8B">
      <w:r w:rsidRPr="00D93606">
        <w:rPr>
          <w:i/>
        </w:rPr>
        <w:t xml:space="preserve">Onderdeel </w:t>
      </w:r>
      <w:r w:rsidR="003D6BA4">
        <w:rPr>
          <w:i/>
        </w:rPr>
        <w:t>c</w:t>
      </w:r>
      <w:r w:rsidRPr="00D93606">
        <w:rPr>
          <w:i/>
        </w:rPr>
        <w:t xml:space="preserve"> </w:t>
      </w:r>
      <w:r w:rsidRPr="00D93606">
        <w:t xml:space="preserve">komt inhoudelijk overeen met artikel 3, eerste lid, sub b, van het </w:t>
      </w:r>
      <w:r w:rsidRPr="00D93606" w:rsidR="004D33B9">
        <w:t>Vogp</w:t>
      </w:r>
      <w:r w:rsidRPr="00D93606">
        <w:t xml:space="preserve">. Het bevat het vereiste dat de veroordeling voor tenuitvoerlegging vatbaar is. Dit betekent dat de veroordeling onherroepelijk dient te zijn. </w:t>
      </w:r>
    </w:p>
    <w:p w:rsidRPr="00D93606" w:rsidR="00856B8B" w:rsidP="004B38E8" w:rsidRDefault="00856B8B">
      <w:r w:rsidRPr="00D93606">
        <w:rPr>
          <w:i/>
        </w:rPr>
        <w:t xml:space="preserve">Onderdeel </w:t>
      </w:r>
      <w:r w:rsidR="003D6BA4">
        <w:rPr>
          <w:i/>
        </w:rPr>
        <w:t>d</w:t>
      </w:r>
      <w:r w:rsidRPr="00D93606">
        <w:t xml:space="preserve"> bevat het vereiste dat het strafrestant ten tijde van het verzoek nog ten minste zes maanden dient te bedragen.</w:t>
      </w:r>
      <w:r w:rsidR="003D6BA4">
        <w:t xml:space="preserve"> Het komt overeen met artikel 3, eerste lid, sub </w:t>
      </w:r>
      <w:r w:rsidR="0011541E">
        <w:t>c</w:t>
      </w:r>
      <w:r w:rsidR="00B80859">
        <w:t>,</w:t>
      </w:r>
      <w:r w:rsidR="0011541E">
        <w:t xml:space="preserve"> van het Vogp.</w:t>
      </w:r>
      <w:r w:rsidRPr="00D93606">
        <w:t xml:space="preserve"> De ratio hierachter is, dat op deze wijze wordt gewaarborgd dat op het moment van de feitelijke overdracht, aan het einde van de procedure, er nog een strafrestant is dat ten uitvoer kan worden gelegd. Dat is immers het doel van de overbrenging, opdat de resocialisatie in de landen van het Koninkrijk gestalte kan krijgen.</w:t>
      </w:r>
      <w:r w:rsidR="0011541E">
        <w:t xml:space="preserve"> Zoals uitvoerig is besproken tijdens het bovenvermelde overleg over wetsvoorstel 33742 zal bij toepassing van de procedure van</w:t>
      </w:r>
      <w:r w:rsidR="00F15EFA">
        <w:t xml:space="preserve"> de</w:t>
      </w:r>
      <w:r w:rsidR="0011541E">
        <w:t xml:space="preserve"> voortgezette tenuitvoerlegging het strafrestant in het algemeen geen hindernis vormen. </w:t>
      </w:r>
      <w:r w:rsidRPr="00D93606">
        <w:t xml:space="preserve">Uit het </w:t>
      </w:r>
      <w:r w:rsidRPr="00D93606">
        <w:rPr>
          <w:i/>
        </w:rPr>
        <w:t>tweede lid</w:t>
      </w:r>
      <w:r w:rsidRPr="00D93606">
        <w:t xml:space="preserve"> van dit artikel blijkt verder dat in bijzondere gevallen overbrenging mogelijk is als het strafrestant minder dan zes maanden is. Deze regeling komt overeen met die van artikel 3, eerste lid, sub c, en tweede lid</w:t>
      </w:r>
      <w:r w:rsidR="00640F42">
        <w:t xml:space="preserve"> van het Vogp</w:t>
      </w:r>
      <w:r w:rsidRPr="00D93606">
        <w:t xml:space="preserve">. </w:t>
      </w:r>
    </w:p>
    <w:p w:rsidRPr="00D93606" w:rsidR="00856B8B" w:rsidP="004B38E8" w:rsidRDefault="00856B8B">
      <w:r w:rsidRPr="00D93606">
        <w:t xml:space="preserve">Het in </w:t>
      </w:r>
      <w:r w:rsidRPr="00D93606">
        <w:rPr>
          <w:i/>
        </w:rPr>
        <w:t xml:space="preserve">onderdeel </w:t>
      </w:r>
      <w:r w:rsidR="006313C1">
        <w:rPr>
          <w:i/>
        </w:rPr>
        <w:t>e</w:t>
      </w:r>
      <w:r w:rsidRPr="00D93606">
        <w:t xml:space="preserve"> opgenomen vereiste van dubbele strafbaarheid is gebruikelijk,</w:t>
      </w:r>
      <w:r w:rsidRPr="00D93606" w:rsidR="00BE5234">
        <w:t xml:space="preserve"> </w:t>
      </w:r>
      <w:r w:rsidRPr="00D93606">
        <w:t xml:space="preserve">zo blijkt ook uit artikel 3, eerste lid, sub e, van het </w:t>
      </w:r>
      <w:r w:rsidRPr="00D93606" w:rsidR="004D33B9">
        <w:t>Vogp</w:t>
      </w:r>
      <w:r w:rsidRPr="00D93606">
        <w:t xml:space="preserve">. De dubbele strafbaarheid wordt, mede gelet op het arrest van de Hoge Raad van 20 mei 2008, LJN: BD1852, beoordeeld aan de hand van de wetgeving die geldt op het moment van de beslissing op het verzoek. Voor de goede orde </w:t>
      </w:r>
      <w:r w:rsidRPr="00D93606">
        <w:lastRenderedPageBreak/>
        <w:t>wordt nog opgemerkt dat de Hoge Raad in dit arrest uitdrukkelijk stelt dat deze handelwijze geen schending oplevert van het legaliteitsbeginsel.</w:t>
      </w:r>
    </w:p>
    <w:p w:rsidRPr="00D93606" w:rsidR="00856B8B" w:rsidP="004B38E8" w:rsidRDefault="00856B8B">
      <w:r w:rsidRPr="00D93606">
        <w:rPr>
          <w:i/>
        </w:rPr>
        <w:t xml:space="preserve">Onderdeel </w:t>
      </w:r>
      <w:r w:rsidR="006313C1">
        <w:rPr>
          <w:i/>
        </w:rPr>
        <w:t>f</w:t>
      </w:r>
      <w:r w:rsidRPr="00D93606">
        <w:t xml:space="preserve"> bevat het vereiste dat de veroordeelde met zijn overbrenging instemt. Deze bepaling komt overeen met artikel 3, eerste lid, sub d, van het </w:t>
      </w:r>
      <w:r w:rsidRPr="00D93606" w:rsidR="004D33B9">
        <w:t>Vogp</w:t>
      </w:r>
      <w:r w:rsidRPr="00D93606">
        <w:t xml:space="preserve">. </w:t>
      </w:r>
    </w:p>
    <w:p w:rsidRPr="00D93606" w:rsidR="00856B8B" w:rsidP="004B38E8" w:rsidRDefault="00856B8B">
      <w:r w:rsidRPr="00D93606">
        <w:rPr>
          <w:i/>
        </w:rPr>
        <w:t xml:space="preserve">Onderdeel </w:t>
      </w:r>
      <w:r w:rsidR="006313C1">
        <w:rPr>
          <w:i/>
        </w:rPr>
        <w:t>g</w:t>
      </w:r>
      <w:r w:rsidRPr="00D93606" w:rsidR="00BE5234">
        <w:t xml:space="preserve"> </w:t>
      </w:r>
      <w:r w:rsidRPr="00D93606">
        <w:t>bevat het vereiste dat de veroordeelde de hem opgelegde geldboete moet hebben betaald en aan de in voorkomend geval opgelegde verplichting tot het betalen van schadevergoeding moet hebben voldaan. Dit leidt slechts uitzondering indien de veroordeelde naar het oordeel van de staat van veroordeling genoegzaam heeft aangetoond dat hij aan die betalingsverplichtingen niet kan voldoen.</w:t>
      </w:r>
      <w:r w:rsidR="00952B56">
        <w:t xml:space="preserve"> In artikel 15 van het onderhavige verdrag is een bepaling inzake civiele schadevergoeding opgenomen d</w:t>
      </w:r>
      <w:r w:rsidR="00585B89">
        <w:t>at</w:t>
      </w:r>
      <w:r w:rsidR="00952B56">
        <w:t xml:space="preserve"> kan worden gezien als een species</w:t>
      </w:r>
      <w:r w:rsidR="00585B89">
        <w:t xml:space="preserve"> bepaling</w:t>
      </w:r>
      <w:r w:rsidR="00952B56">
        <w:t xml:space="preserve"> van artikel 3, eerste lid, onderdeel g. Voor een nadere toelichting wordt verwezen naar dat artikel.</w:t>
      </w:r>
    </w:p>
    <w:p w:rsidRPr="00D93606" w:rsidR="00856B8B" w:rsidP="004B38E8" w:rsidRDefault="00856B8B">
      <w:r w:rsidRPr="00D93606">
        <w:t xml:space="preserve">Het in </w:t>
      </w:r>
      <w:r w:rsidRPr="00D93606">
        <w:rPr>
          <w:i/>
        </w:rPr>
        <w:t xml:space="preserve">onderdeel </w:t>
      </w:r>
      <w:r w:rsidR="006313C1">
        <w:rPr>
          <w:i/>
        </w:rPr>
        <w:t>h</w:t>
      </w:r>
      <w:r w:rsidRPr="00D93606">
        <w:t xml:space="preserve"> opgenomen vereiste dat beide staten moeten instemmen met de overbrenging is evenzeer gebruikelijk, zoals blijkt uit artikel 3, eerste lid, onderdeel f, van het </w:t>
      </w:r>
      <w:r w:rsidRPr="00D93606" w:rsidR="004D33B9">
        <w:t>Vogp</w:t>
      </w:r>
      <w:r w:rsidRPr="00D93606">
        <w:t>.</w:t>
      </w:r>
    </w:p>
    <w:p w:rsidRPr="00D93606" w:rsidR="006313C1" w:rsidP="004B38E8" w:rsidRDefault="006313C1"/>
    <w:p w:rsidRPr="00D93606" w:rsidR="00856B8B" w:rsidP="004B38E8" w:rsidRDefault="00856B8B">
      <w:pPr>
        <w:rPr>
          <w:b/>
        </w:rPr>
      </w:pPr>
      <w:r w:rsidRPr="00D93606">
        <w:rPr>
          <w:b/>
        </w:rPr>
        <w:t>Artikel 4</w:t>
      </w:r>
    </w:p>
    <w:p w:rsidRPr="00D93606" w:rsidR="00856B8B" w:rsidP="004B38E8" w:rsidRDefault="00856B8B">
      <w:r w:rsidRPr="00D93606">
        <w:t xml:space="preserve">Deze bepaling komt grotendeels overeen met artikel 4 van het </w:t>
      </w:r>
      <w:r w:rsidRPr="00D93606" w:rsidR="004D33B9">
        <w:t>Vogp</w:t>
      </w:r>
      <w:r w:rsidRPr="00D93606">
        <w:t>.</w:t>
      </w:r>
    </w:p>
    <w:p w:rsidRPr="00D93606" w:rsidR="00856B8B" w:rsidP="004B38E8" w:rsidRDefault="00856B8B">
      <w:r w:rsidRPr="00D93606">
        <w:t xml:space="preserve">Het </w:t>
      </w:r>
      <w:r w:rsidRPr="00D93606">
        <w:rPr>
          <w:i/>
        </w:rPr>
        <w:t xml:space="preserve">eerste lid </w:t>
      </w:r>
      <w:r w:rsidRPr="00D93606">
        <w:t xml:space="preserve">bevat een algemene informatieplicht tegenover veroordeelden over het bestaan van het verdrag door de staat van veroordeling. </w:t>
      </w:r>
      <w:r w:rsidRPr="00BD541F">
        <w:t>Van de zijde van het Koninkrijk zullen Nederlandse gedetineerden ook door de consulaire vertegenwoordiging van het Koninkrijk over de inhoud van het verdrag worden geïnformeerd.</w:t>
      </w:r>
    </w:p>
    <w:p w:rsidRPr="00A11745" w:rsidR="00856B8B" w:rsidP="004B38E8" w:rsidRDefault="00856B8B">
      <w:r w:rsidRPr="00D93606">
        <w:t xml:space="preserve">Het </w:t>
      </w:r>
      <w:r w:rsidRPr="00D93606">
        <w:rPr>
          <w:i/>
        </w:rPr>
        <w:t>tweede lid</w:t>
      </w:r>
      <w:r w:rsidRPr="00D93606">
        <w:t xml:space="preserve"> regelt dat de veroordeelde aan de staat van veroordeling te kennen kan geven dat hij overgebracht wenst te worden en dat die staat vervolgens de staat van tenuitvoerlegging ter</w:t>
      </w:r>
      <w:r w:rsidRPr="00D93606" w:rsidR="004D33B9">
        <w:t xml:space="preserve"> </w:t>
      </w:r>
      <w:r w:rsidRPr="00D93606">
        <w:t xml:space="preserve">zake informeert. Hij legt daarbij de in het </w:t>
      </w:r>
      <w:r w:rsidRPr="00D93606">
        <w:rPr>
          <w:i/>
        </w:rPr>
        <w:t xml:space="preserve">derde lid </w:t>
      </w:r>
      <w:r w:rsidRPr="00D93606">
        <w:t>opgesomde gegevens over</w:t>
      </w:r>
      <w:r w:rsidRPr="00D93606">
        <w:rPr>
          <w:i/>
        </w:rPr>
        <w:t>.</w:t>
      </w:r>
      <w:r w:rsidR="00A11745">
        <w:t xml:space="preserve"> Onderdeel e is opgenomen op verzoek van Cuba en zal de behandeling van de zaak zeker bevorderen.</w:t>
      </w:r>
    </w:p>
    <w:p w:rsidRPr="00D93606" w:rsidR="00856B8B" w:rsidP="004B38E8" w:rsidRDefault="00856B8B">
      <w:pPr>
        <w:autoSpaceDE w:val="0"/>
        <w:autoSpaceDN w:val="0"/>
        <w:adjustRightInd w:val="0"/>
      </w:pPr>
      <w:r w:rsidRPr="00D93606">
        <w:t xml:space="preserve">Het </w:t>
      </w:r>
      <w:r w:rsidRPr="00D93606">
        <w:rPr>
          <w:i/>
        </w:rPr>
        <w:t>vierde lid</w:t>
      </w:r>
      <w:r w:rsidRPr="00D93606">
        <w:t xml:space="preserve"> regelt wat er dient te gebeuren indien de veroordeelde zich niet tot de staat van veroordeling heeft gewend, maar zijn wens tot overbrenging aan de staat van tenuitvoerlegging heeft gericht.</w:t>
      </w:r>
    </w:p>
    <w:p w:rsidR="00B76031" w:rsidP="004B38E8" w:rsidRDefault="00856B8B">
      <w:pPr>
        <w:autoSpaceDE w:val="0"/>
        <w:autoSpaceDN w:val="0"/>
        <w:adjustRightInd w:val="0"/>
      </w:pPr>
      <w:r w:rsidRPr="00D93606">
        <w:t xml:space="preserve">Het </w:t>
      </w:r>
      <w:r w:rsidRPr="00D93606">
        <w:rPr>
          <w:i/>
        </w:rPr>
        <w:t>vijfde lid</w:t>
      </w:r>
      <w:r w:rsidRPr="00D93606">
        <w:t xml:space="preserve"> bevat de verplichting voor de </w:t>
      </w:r>
      <w:r w:rsidR="0067104C">
        <w:t>p</w:t>
      </w:r>
      <w:r w:rsidRPr="00D93606">
        <w:t>artijen om in voorkomend geval de veroordeelde die zich met zijn wens om te worden overgebracht tot hen heeft gewend, op de hoogte te houden van de verdere behandeling daarvan.</w:t>
      </w:r>
    </w:p>
    <w:p w:rsidRPr="00D93606" w:rsidR="00856B8B" w:rsidP="004B38E8" w:rsidRDefault="00B76031">
      <w:pPr>
        <w:autoSpaceDE w:val="0"/>
        <w:autoSpaceDN w:val="0"/>
        <w:adjustRightInd w:val="0"/>
      </w:pPr>
      <w:r>
        <w:t>Zoals hierboven, onder een ieder verbindende bepalingen, al werd opgemerkt, kunnen het eerste en vijfde lid van dit artikel aangemerkt worden als een ieder verbindende bepaling.</w:t>
      </w:r>
      <w:r w:rsidRPr="00D93606" w:rsidR="00856B8B">
        <w:t xml:space="preserve"> </w:t>
      </w:r>
    </w:p>
    <w:p w:rsidRPr="00D93606" w:rsidR="00856B8B" w:rsidP="004B38E8" w:rsidRDefault="00856B8B">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5</w:t>
      </w:r>
    </w:p>
    <w:p w:rsidR="00ED1838" w:rsidP="004B38E8" w:rsidRDefault="00856B8B">
      <w:pPr>
        <w:autoSpaceDE w:val="0"/>
        <w:autoSpaceDN w:val="0"/>
        <w:adjustRightInd w:val="0"/>
      </w:pPr>
      <w:r w:rsidRPr="00D93606">
        <w:t xml:space="preserve">Deze bepaling komt inhoudelijk overeen met de eerste twee leden van artikel 5 van het </w:t>
      </w:r>
      <w:r w:rsidRPr="00D93606" w:rsidR="004D33B9">
        <w:t>Vogp</w:t>
      </w:r>
      <w:r w:rsidRPr="00D93606">
        <w:t xml:space="preserve">. Het bepaalt dat verzoeken tot overbrenging schriftelijk worden gedaan en </w:t>
      </w:r>
      <w:r w:rsidRPr="00D93606" w:rsidR="00E17CC7">
        <w:t xml:space="preserve">dat deze zullen worden uitgewisseld </w:t>
      </w:r>
      <w:r w:rsidRPr="00D93606">
        <w:t xml:space="preserve">tussen </w:t>
      </w:r>
      <w:r w:rsidR="0071496F">
        <w:t>het</w:t>
      </w:r>
      <w:r w:rsidRPr="00D93606">
        <w:t xml:space="preserve"> Nederlandse Minister</w:t>
      </w:r>
      <w:r w:rsidR="0071496F">
        <w:t>ie</w:t>
      </w:r>
      <w:r w:rsidRPr="00D93606">
        <w:t xml:space="preserve"> van Veiligheid en Justitie respectievelijk de minister</w:t>
      </w:r>
      <w:r w:rsidR="0071496F">
        <w:t>ie</w:t>
      </w:r>
      <w:r w:rsidRPr="00D93606">
        <w:t xml:space="preserve">s van Justitie van de </w:t>
      </w:r>
      <w:r w:rsidRPr="00D93606" w:rsidR="00B51F58">
        <w:t xml:space="preserve">Caribische </w:t>
      </w:r>
      <w:r w:rsidRPr="00D93606">
        <w:t xml:space="preserve">landen van het Koninkrijk en </w:t>
      </w:r>
      <w:r w:rsidR="0071496F">
        <w:t xml:space="preserve">het ministerie van Justitie </w:t>
      </w:r>
      <w:r w:rsidRPr="00D93606">
        <w:t xml:space="preserve">van </w:t>
      </w:r>
      <w:r w:rsidR="004F3EF6">
        <w:t>Cuba</w:t>
      </w:r>
      <w:r w:rsidRPr="00D93606">
        <w:t xml:space="preserve">. In het eerste lid is ook voorzien in het gebruik van elektronische vormen van communicatie. </w:t>
      </w:r>
      <w:r w:rsidRPr="00D93606" w:rsidR="00ED1838">
        <w:t xml:space="preserve">Ook voor dit verdrag geldt dat wat het Koninkrijk betreft </w:t>
      </w:r>
      <w:r w:rsidR="00ED1838">
        <w:t>dat verzoeken</w:t>
      </w:r>
      <w:r w:rsidR="0046165F">
        <w:t xml:space="preserve"> tot overbrenging betreffende</w:t>
      </w:r>
      <w:r w:rsidR="00ED1838">
        <w:t xml:space="preserve"> </w:t>
      </w:r>
      <w:r w:rsidRPr="00D93606" w:rsidR="00ED1838">
        <w:t>Nederlands</w:t>
      </w:r>
      <w:r w:rsidR="00ED1838">
        <w:t xml:space="preserve">e gedetineerden vanuit </w:t>
      </w:r>
      <w:r w:rsidR="00BA7F4D">
        <w:t>Cuba</w:t>
      </w:r>
      <w:r w:rsidR="00ED1838">
        <w:t xml:space="preserve"> moeten worden gericht aan het ministerie van het land van het Koninkrijk waar zij </w:t>
      </w:r>
      <w:r w:rsidRPr="00D93606" w:rsidR="00ED1838">
        <w:t>laatste</w:t>
      </w:r>
      <w:r w:rsidR="00ED1838">
        <w:t>lijk</w:t>
      </w:r>
      <w:r w:rsidRPr="00D93606" w:rsidR="00ED1838">
        <w:t xml:space="preserve"> hun hoofdverblijf hadden.</w:t>
      </w:r>
    </w:p>
    <w:p w:rsidRPr="00D93606" w:rsidR="00ED1838" w:rsidP="004B38E8" w:rsidRDefault="00ED1838">
      <w:pPr>
        <w:autoSpaceDE w:val="0"/>
        <w:autoSpaceDN w:val="0"/>
        <w:adjustRightInd w:val="0"/>
      </w:pPr>
    </w:p>
    <w:p w:rsidRPr="00D93606" w:rsidR="00856B8B" w:rsidP="004B38E8" w:rsidRDefault="00B76031">
      <w:pPr>
        <w:autoSpaceDE w:val="0"/>
        <w:autoSpaceDN w:val="0"/>
        <w:adjustRightInd w:val="0"/>
        <w:rPr>
          <w:b/>
        </w:rPr>
      </w:pPr>
      <w:r>
        <w:rPr>
          <w:b/>
        </w:rPr>
        <w:br w:type="column"/>
      </w:r>
      <w:r w:rsidRPr="00D93606" w:rsidR="00856B8B">
        <w:rPr>
          <w:b/>
        </w:rPr>
        <w:lastRenderedPageBreak/>
        <w:t xml:space="preserve">Artikel </w:t>
      </w:r>
      <w:r w:rsidR="000F6B3A">
        <w:rPr>
          <w:b/>
        </w:rPr>
        <w:t>6</w:t>
      </w:r>
    </w:p>
    <w:p w:rsidRPr="00886B73" w:rsidR="00856B8B" w:rsidP="004B38E8" w:rsidRDefault="00856B8B">
      <w:pPr>
        <w:autoSpaceDE w:val="0"/>
        <w:autoSpaceDN w:val="0"/>
        <w:adjustRightInd w:val="0"/>
      </w:pPr>
      <w:r w:rsidRPr="00D93606">
        <w:t xml:space="preserve">Deze bepaling bevat de lijst van stukken die ter ondersteuning van een verzoek tot overbrenging door de ene partij aan de andere partij dient te worden overgelegd. De lijst is overgenomen uit artikel 6 van het </w:t>
      </w:r>
      <w:r w:rsidRPr="00D93606" w:rsidR="004D33B9">
        <w:t>Vogp</w:t>
      </w:r>
      <w:r w:rsidRPr="00D93606">
        <w:t xml:space="preserve">. </w:t>
      </w:r>
      <w:r w:rsidRPr="00886B73" w:rsidR="00886B73">
        <w:rPr>
          <w:i/>
        </w:rPr>
        <w:t>O</w:t>
      </w:r>
      <w:r w:rsidRPr="00D93606">
        <w:rPr>
          <w:i/>
        </w:rPr>
        <w:t>nderdeel e van het tweede lid</w:t>
      </w:r>
      <w:r w:rsidRPr="00D93606">
        <w:t xml:space="preserve"> is nieuw. Het verplicht tot overlegging van informatie betreffende de wetgeving en beslissingen over voorwaardelijke invrijheidstelling</w:t>
      </w:r>
      <w:r w:rsidR="00DA1281">
        <w:t xml:space="preserve"> (VI)</w:t>
      </w:r>
      <w:r w:rsidRPr="00D93606">
        <w:t xml:space="preserve">, opdat daarmee rekening kan worden gehouden bij de beslissing op het verzoek en, indien met de overbrenging wordt ingestemd, bij de verdere tenuitvoerlegging van de straf in de staat van tenuitvoerlegging. </w:t>
      </w:r>
      <w:r w:rsidRPr="00886B73" w:rsidR="00886B73">
        <w:rPr>
          <w:i/>
        </w:rPr>
        <w:t>Onderdeel f</w:t>
      </w:r>
      <w:r w:rsidR="00886B73">
        <w:rPr>
          <w:i/>
        </w:rPr>
        <w:t xml:space="preserve"> </w:t>
      </w:r>
      <w:r w:rsidR="00886B73">
        <w:t>is t</w:t>
      </w:r>
      <w:r w:rsidR="004F3EF6">
        <w:t>oegevoegd op verzoek van Cuba.</w:t>
      </w:r>
      <w:r w:rsidR="00886B73">
        <w:t xml:space="preserve"> </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rPr>
          <w:b/>
        </w:rPr>
      </w:pPr>
      <w:r w:rsidRPr="00D93606">
        <w:rPr>
          <w:b/>
        </w:rPr>
        <w:t>Artikel 7</w:t>
      </w:r>
    </w:p>
    <w:p w:rsidRPr="00D93606" w:rsidR="00856B8B" w:rsidP="004B38E8" w:rsidRDefault="00856B8B">
      <w:pPr>
        <w:autoSpaceDE w:val="0"/>
        <w:autoSpaceDN w:val="0"/>
        <w:adjustRightInd w:val="0"/>
      </w:pPr>
      <w:r w:rsidRPr="00D93606">
        <w:t xml:space="preserve">Dit artikel regelt de rechtsgevolgen voor de staat van veroordeling na de overbrenging van een veroordeelde naar de staat van tenuitvoerlegging. Deze bepaling komt overeen met artikel 8 van het </w:t>
      </w:r>
      <w:r w:rsidRPr="00D93606" w:rsidR="004D33B9">
        <w:t>Vogp</w:t>
      </w:r>
      <w:r w:rsidRPr="00D93606">
        <w:t>.</w:t>
      </w:r>
    </w:p>
    <w:p w:rsidRPr="00D93606" w:rsidR="00856B8B" w:rsidP="004B38E8" w:rsidRDefault="00856B8B"/>
    <w:p w:rsidRPr="00D93606" w:rsidR="00856B8B" w:rsidP="004B38E8" w:rsidRDefault="00856B8B">
      <w:pPr>
        <w:rPr>
          <w:b/>
        </w:rPr>
      </w:pPr>
      <w:r w:rsidRPr="00D93606">
        <w:rPr>
          <w:b/>
        </w:rPr>
        <w:t xml:space="preserve">Artikel </w:t>
      </w:r>
      <w:r w:rsidRPr="00D93606" w:rsidR="00E17CC7">
        <w:rPr>
          <w:b/>
        </w:rPr>
        <w:t>8</w:t>
      </w:r>
    </w:p>
    <w:p w:rsidR="009F3406" w:rsidP="004B38E8" w:rsidRDefault="00856B8B">
      <w:pPr>
        <w:autoSpaceDE w:val="0"/>
        <w:autoSpaceDN w:val="0"/>
        <w:adjustRightInd w:val="0"/>
      </w:pPr>
      <w:r w:rsidRPr="00D93606">
        <w:t xml:space="preserve">Deze bepaling komt </w:t>
      </w:r>
      <w:r w:rsidR="009F3406">
        <w:t>o</w:t>
      </w:r>
      <w:r w:rsidRPr="00D93606">
        <w:t xml:space="preserve">vereen met </w:t>
      </w:r>
      <w:r w:rsidRPr="00D93606" w:rsidR="00D3703B">
        <w:t xml:space="preserve">van </w:t>
      </w:r>
      <w:r w:rsidRPr="00D93606">
        <w:t xml:space="preserve">artikel </w:t>
      </w:r>
      <w:r w:rsidRPr="00D93606" w:rsidR="00D3703B">
        <w:t xml:space="preserve">9 van het </w:t>
      </w:r>
      <w:r w:rsidR="009F3406">
        <w:t xml:space="preserve">Vogp. In het </w:t>
      </w:r>
      <w:r w:rsidRPr="009F3406" w:rsidR="009F3406">
        <w:rPr>
          <w:i/>
        </w:rPr>
        <w:t>eerste lid</w:t>
      </w:r>
      <w:r w:rsidR="009F3406">
        <w:t xml:space="preserve"> is vastgelegd</w:t>
      </w:r>
      <w:r w:rsidRPr="00D93606" w:rsidR="00D3703B">
        <w:t xml:space="preserve"> dat de tenuitvoerlegging </w:t>
      </w:r>
      <w:r w:rsidR="009F3406">
        <w:t>kan geschieden met toepassing van de procedure van de voortgezette tenuitvoerlegging (</w:t>
      </w:r>
      <w:r w:rsidRPr="009F3406" w:rsidR="009F3406">
        <w:rPr>
          <w:i/>
        </w:rPr>
        <w:t>onderdeel a</w:t>
      </w:r>
      <w:r w:rsidR="009F3406">
        <w:t>) of de omzettingsprocedure (</w:t>
      </w:r>
      <w:r w:rsidRPr="009F3406" w:rsidR="009F3406">
        <w:rPr>
          <w:i/>
        </w:rPr>
        <w:t>onderdeel b</w:t>
      </w:r>
      <w:r w:rsidR="009F3406">
        <w:t>). Deze procedures worden verder uitgewerkt in respectievelijk de artikelen 9 en 10.</w:t>
      </w:r>
      <w:r w:rsidRPr="00D93606" w:rsidR="00D3703B">
        <w:t xml:space="preserve"> </w:t>
      </w:r>
      <w:r w:rsidR="005E17E0">
        <w:t xml:space="preserve">Ter zake </w:t>
      </w:r>
      <w:r w:rsidR="005E5D44">
        <w:t>wordt verwezen</w:t>
      </w:r>
      <w:r w:rsidR="009F3406">
        <w:t xml:space="preserve"> naar het geen hierboven in de inleiding </w:t>
      </w:r>
      <w:r w:rsidR="005E5D44">
        <w:t xml:space="preserve">is </w:t>
      </w:r>
      <w:r w:rsidR="009F3406">
        <w:t xml:space="preserve">opgemerkt over de opname van beide procedures in dit verdrag en </w:t>
      </w:r>
      <w:r w:rsidR="005E17E0">
        <w:t xml:space="preserve">wordt </w:t>
      </w:r>
      <w:r w:rsidR="009F3406">
        <w:t xml:space="preserve">hier het voornemen om conform het met de Tweede Kamer afgesproken beleid alleen de procedure van de voortgezette procedure toe te passen bij een overbrenging </w:t>
      </w:r>
      <w:r w:rsidR="00391922">
        <w:t xml:space="preserve">vanuit Cuba </w:t>
      </w:r>
      <w:r w:rsidR="009F3406">
        <w:t>naar Nederland</w:t>
      </w:r>
      <w:r w:rsidR="005E17E0">
        <w:t xml:space="preserve"> herhaald</w:t>
      </w:r>
      <w:r w:rsidR="009F3406">
        <w:t xml:space="preserve">. </w:t>
      </w:r>
    </w:p>
    <w:p w:rsidRPr="009F3406" w:rsidR="009F3406" w:rsidP="004B38E8" w:rsidRDefault="009F3406">
      <w:pPr>
        <w:autoSpaceDE w:val="0"/>
        <w:autoSpaceDN w:val="0"/>
        <w:adjustRightInd w:val="0"/>
      </w:pPr>
      <w:r>
        <w:t xml:space="preserve">Het </w:t>
      </w:r>
      <w:r>
        <w:rPr>
          <w:i/>
        </w:rPr>
        <w:t>tweede lid</w:t>
      </w:r>
      <w:r>
        <w:t xml:space="preserve"> stelt de staat van veroordeling in staat om voorafgaand aan de overbrenging van een persoon te worden geïnformeerd over de </w:t>
      </w:r>
      <w:r w:rsidR="00D879B7">
        <w:t>procedure</w:t>
      </w:r>
      <w:r>
        <w:t xml:space="preserve"> die door de staat van tenuitvoerlegging zal worden toegepast.</w:t>
      </w:r>
    </w:p>
    <w:p w:rsidRPr="00D93606" w:rsidR="00856B8B" w:rsidP="004B38E8" w:rsidRDefault="009F3406">
      <w:pPr>
        <w:autoSpaceDE w:val="0"/>
        <w:autoSpaceDN w:val="0"/>
        <w:adjustRightInd w:val="0"/>
      </w:pPr>
      <w:r>
        <w:t xml:space="preserve">Het </w:t>
      </w:r>
      <w:r w:rsidRPr="009F3406">
        <w:rPr>
          <w:i/>
        </w:rPr>
        <w:t>derde lid</w:t>
      </w:r>
      <w:r>
        <w:rPr>
          <w:i/>
        </w:rPr>
        <w:t xml:space="preserve"> </w:t>
      </w:r>
      <w:r>
        <w:t xml:space="preserve">bepaalt dat op de tenuitvoerlegging het recht van de staat van tenuitvoerlegging van toepassing is. </w:t>
      </w:r>
      <w:r w:rsidRPr="00D93606" w:rsidR="00D3703B">
        <w:t xml:space="preserve">Voorts is </w:t>
      </w:r>
      <w:r>
        <w:t xml:space="preserve">daarin </w:t>
      </w:r>
      <w:r w:rsidRPr="00D93606" w:rsidR="00D3703B">
        <w:t xml:space="preserve">opgenomen dat </w:t>
      </w:r>
      <w:r>
        <w:t>deze</w:t>
      </w:r>
      <w:r w:rsidR="00DC06DA">
        <w:t xml:space="preserve"> staat </w:t>
      </w:r>
      <w:r w:rsidRPr="00D93606" w:rsidR="00D3703B">
        <w:t>bij de tenuitvoerlegging rekening kan worden gehouden met de VI-datum van de staat van veroordeling. Dit is slechts relevant als deze bij de overbrenging al bekend is en bovendien op een vroeger tijdstip ligt dan de Nederlandse VI-datum.</w:t>
      </w:r>
    </w:p>
    <w:p w:rsidR="000F6B3A" w:rsidP="004B38E8" w:rsidRDefault="000F6B3A">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9</w:t>
      </w:r>
    </w:p>
    <w:p w:rsidRPr="00D93606" w:rsidR="00856B8B" w:rsidP="004B38E8" w:rsidRDefault="00DC06DA">
      <w:pPr>
        <w:autoSpaceDE w:val="0"/>
        <w:autoSpaceDN w:val="0"/>
        <w:adjustRightInd w:val="0"/>
      </w:pPr>
      <w:r>
        <w:t xml:space="preserve">In </w:t>
      </w:r>
      <w:r w:rsidRPr="00D93606" w:rsidR="00D3703B">
        <w:t>d</w:t>
      </w:r>
      <w:r w:rsidRPr="00D93606" w:rsidR="00856B8B">
        <w:t xml:space="preserve">eze bepaling </w:t>
      </w:r>
      <w:r>
        <w:t xml:space="preserve">is </w:t>
      </w:r>
      <w:r w:rsidRPr="00D93606" w:rsidR="00D3703B">
        <w:t xml:space="preserve">de procedure van de voortgezette tenuitvoerlegging </w:t>
      </w:r>
      <w:r>
        <w:t>uitgewerkt.</w:t>
      </w:r>
      <w:r w:rsidRPr="00D93606" w:rsidR="00D3703B">
        <w:t xml:space="preserve"> De tekst ervan </w:t>
      </w:r>
      <w:r w:rsidRPr="00D93606" w:rsidR="00856B8B">
        <w:t xml:space="preserve">komt </w:t>
      </w:r>
      <w:r w:rsidRPr="00D93606" w:rsidR="00D3703B">
        <w:t xml:space="preserve">nagenoeg letterlijk overeen met </w:t>
      </w:r>
      <w:r w:rsidRPr="00D93606" w:rsidR="00856B8B">
        <w:t xml:space="preserve">artikel 10 van het </w:t>
      </w:r>
      <w:r w:rsidRPr="00D93606" w:rsidR="004D33B9">
        <w:t>Vogp</w:t>
      </w:r>
      <w:r w:rsidRPr="00D93606" w:rsidR="00856B8B">
        <w:t xml:space="preserve">. De procedure van </w:t>
      </w:r>
      <w:r w:rsidR="006E7BC3">
        <w:t xml:space="preserve">de </w:t>
      </w:r>
      <w:r w:rsidRPr="00D93606" w:rsidR="00856B8B">
        <w:t xml:space="preserve">voortgezette tenuitvoerlegging is in </w:t>
      </w:r>
      <w:r w:rsidRPr="00D93606" w:rsidR="00D93606">
        <w:t xml:space="preserve">de artikelen 43 tot en met 43c van </w:t>
      </w:r>
      <w:r w:rsidRPr="00D93606" w:rsidR="00856B8B">
        <w:t xml:space="preserve">de Wet overdracht tenuitvoerlegging strafvonnissen vastgelegd en in artikel 593 van respectievelijk het Wetboek van Strafvordering BES en de Wetboeken van Strafvordering van respectievelijk Aruba, Curaçao en Sint Maarten. Het </w:t>
      </w:r>
      <w:r w:rsidRPr="00D93606" w:rsidR="00856B8B">
        <w:rPr>
          <w:i/>
        </w:rPr>
        <w:t>tweede lid</w:t>
      </w:r>
      <w:r w:rsidRPr="00D93606" w:rsidR="00856B8B">
        <w:t xml:space="preserve"> laat toe dat de straf, indien deze hoger is dan het strafmaximum dat in de staat van tenuitvoerlegging op het delict waarvoor betrokkene is veroordeeld, is gesteld, mag worden aangepast tot de hoogte van dat maximum. Bij deze beoordeling wordt, evenals bij de bepaling van de dubbele strafbaarheid, uitgegaan van het strafmaximum dat geldt op het moment van de beslissing op het verzoek. </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rPr>
          <w:b/>
          <w:bCs/>
          <w:lang w:eastAsia="zh-CN"/>
        </w:rPr>
      </w:pPr>
      <w:r w:rsidRPr="00D93606">
        <w:rPr>
          <w:b/>
          <w:bCs/>
          <w:lang w:eastAsia="zh-CN"/>
        </w:rPr>
        <w:t>Artikel 10</w:t>
      </w:r>
    </w:p>
    <w:p w:rsidR="00990C91" w:rsidP="004B38E8" w:rsidRDefault="00721BF2">
      <w:pPr>
        <w:autoSpaceDE w:val="0"/>
        <w:autoSpaceDN w:val="0"/>
        <w:adjustRightInd w:val="0"/>
        <w:rPr>
          <w:lang w:eastAsia="nl-NL"/>
        </w:rPr>
      </w:pPr>
      <w:r>
        <w:t xml:space="preserve">In deze bepaling is de omzettingsprocedure uitgewerkt. De tekst ervan komt nagenoeg overeen met artikel 11 van het Vogp. </w:t>
      </w:r>
      <w:r w:rsidRPr="00721BF2">
        <w:rPr>
          <w:lang w:eastAsia="nl-NL"/>
        </w:rPr>
        <w:t>De omzettingsprocedure houdt in dat de buitenlandse straf</w:t>
      </w:r>
      <w:r>
        <w:rPr>
          <w:lang w:eastAsia="nl-NL"/>
        </w:rPr>
        <w:t xml:space="preserve"> </w:t>
      </w:r>
      <w:r w:rsidRPr="00721BF2">
        <w:rPr>
          <w:lang w:eastAsia="nl-NL"/>
        </w:rPr>
        <w:t>wordt omgezet in een Nederlandse straf, waarna die Nederlandse straf ten</w:t>
      </w:r>
      <w:r w:rsidR="00B80859">
        <w:rPr>
          <w:lang w:eastAsia="nl-NL"/>
        </w:rPr>
        <w:t xml:space="preserve"> </w:t>
      </w:r>
      <w:r w:rsidRPr="00721BF2">
        <w:rPr>
          <w:lang w:eastAsia="nl-NL"/>
        </w:rPr>
        <w:t>uitvoer wordt gelegd.</w:t>
      </w:r>
      <w:r>
        <w:rPr>
          <w:lang w:eastAsia="nl-NL"/>
        </w:rPr>
        <w:t xml:space="preserve"> Voor die omzetting gelden de in het </w:t>
      </w:r>
      <w:r w:rsidRPr="00721BF2">
        <w:rPr>
          <w:i/>
          <w:lang w:eastAsia="nl-NL"/>
        </w:rPr>
        <w:t>eerste lid</w:t>
      </w:r>
      <w:r>
        <w:rPr>
          <w:lang w:eastAsia="nl-NL"/>
        </w:rPr>
        <w:t xml:space="preserve"> opgesomde criteria. </w:t>
      </w:r>
      <w:r w:rsidR="005A19E9">
        <w:rPr>
          <w:lang w:eastAsia="nl-NL"/>
        </w:rPr>
        <w:t xml:space="preserve">Deze procedure is </w:t>
      </w:r>
      <w:r w:rsidR="005A19E9">
        <w:rPr>
          <w:lang w:eastAsia="nl-NL"/>
        </w:rPr>
        <w:lastRenderedPageBreak/>
        <w:t xml:space="preserve">in de artikelen </w:t>
      </w:r>
      <w:r w:rsidR="00C35688">
        <w:rPr>
          <w:lang w:eastAsia="nl-NL"/>
        </w:rPr>
        <w:t>5</w:t>
      </w:r>
      <w:r w:rsidR="005A19E9">
        <w:rPr>
          <w:lang w:eastAsia="nl-NL"/>
        </w:rPr>
        <w:t xml:space="preserve">83 tot en met 591 van de Wetboeken </w:t>
      </w:r>
      <w:r w:rsidRPr="00D93606" w:rsidR="005A19E9">
        <w:t>van Strafvordering van respectievelijk Aruba, Curaçao en Sint Maarten</w:t>
      </w:r>
      <w:r w:rsidR="005A19E9">
        <w:t xml:space="preserve"> vastgelegd.</w:t>
      </w:r>
    </w:p>
    <w:p w:rsidR="00721BF2" w:rsidP="004B38E8" w:rsidRDefault="00721BF2">
      <w:pPr>
        <w:autoSpaceDE w:val="0"/>
        <w:autoSpaceDN w:val="0"/>
        <w:adjustRightInd w:val="0"/>
      </w:pPr>
      <w:r>
        <w:rPr>
          <w:lang w:eastAsia="nl-NL"/>
        </w:rPr>
        <w:t xml:space="preserve">Het </w:t>
      </w:r>
      <w:r w:rsidRPr="00725197">
        <w:rPr>
          <w:i/>
          <w:lang w:eastAsia="nl-NL"/>
        </w:rPr>
        <w:t>tweede lid</w:t>
      </w:r>
      <w:r>
        <w:rPr>
          <w:lang w:eastAsia="nl-NL"/>
        </w:rPr>
        <w:t xml:space="preserve"> </w:t>
      </w:r>
      <w:r w:rsidR="00725197">
        <w:rPr>
          <w:lang w:eastAsia="nl-NL"/>
        </w:rPr>
        <w:t xml:space="preserve">houdt rekening met het feit dat een omzettingsprocedure pas volgt nadat de gedetineerde al is overgebracht en </w:t>
      </w:r>
      <w:r>
        <w:rPr>
          <w:lang w:eastAsia="nl-NL"/>
        </w:rPr>
        <w:t xml:space="preserve">bevat de verplichting voor de staat van tenuitvoerlegging om maatregelen te treffen </w:t>
      </w:r>
      <w:r w:rsidR="00725197">
        <w:rPr>
          <w:lang w:eastAsia="nl-NL"/>
        </w:rPr>
        <w:t xml:space="preserve">om te voorkomen dat betrokkene zich aan justitie zou kunnen onttrekken. </w:t>
      </w:r>
    </w:p>
    <w:p w:rsidR="00721BF2" w:rsidP="004B38E8" w:rsidRDefault="00721BF2">
      <w:pPr>
        <w:autoSpaceDE w:val="0"/>
        <w:autoSpaceDN w:val="0"/>
        <w:adjustRightInd w:val="0"/>
      </w:pPr>
    </w:p>
    <w:p w:rsidRPr="00990C91" w:rsidR="00990C91" w:rsidP="004B38E8" w:rsidRDefault="00990C91">
      <w:pPr>
        <w:autoSpaceDE w:val="0"/>
        <w:autoSpaceDN w:val="0"/>
        <w:adjustRightInd w:val="0"/>
        <w:rPr>
          <w:b/>
        </w:rPr>
      </w:pPr>
      <w:r w:rsidRPr="00990C91">
        <w:rPr>
          <w:b/>
        </w:rPr>
        <w:t>Artikel 11</w:t>
      </w:r>
    </w:p>
    <w:p w:rsidRPr="00D93606" w:rsidR="00856B8B" w:rsidP="004B38E8" w:rsidRDefault="00856B8B">
      <w:pPr>
        <w:autoSpaceDE w:val="0"/>
        <w:autoSpaceDN w:val="0"/>
        <w:adjustRightInd w:val="0"/>
      </w:pPr>
      <w:r w:rsidRPr="00D93606">
        <w:t xml:space="preserve">De bepaling komt inhoudelijk overeen met artikel 12 van het </w:t>
      </w:r>
      <w:r w:rsidRPr="00D93606" w:rsidR="004D33B9">
        <w:t>Vogp</w:t>
      </w:r>
      <w:r w:rsidRPr="00D93606">
        <w:t xml:space="preserve"> en voorziet erin dat beide staten bevoegd zijn conform hun wetgeving gratie, amnestie of strafvermindering verlenen.</w:t>
      </w:r>
    </w:p>
    <w:p w:rsidRPr="00D93606" w:rsidR="00856B8B" w:rsidP="004B38E8" w:rsidRDefault="00856B8B">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1</w:t>
      </w:r>
      <w:r w:rsidR="00990C91">
        <w:rPr>
          <w:b/>
        </w:rPr>
        <w:t>2</w:t>
      </w:r>
    </w:p>
    <w:p w:rsidRPr="00D93606" w:rsidR="00856B8B" w:rsidP="004B38E8" w:rsidRDefault="00856B8B">
      <w:pPr>
        <w:autoSpaceDE w:val="0"/>
        <w:autoSpaceDN w:val="0"/>
        <w:adjustRightInd w:val="0"/>
      </w:pPr>
      <w:r w:rsidRPr="00D93606">
        <w:t xml:space="preserve">Uit deze bepaling blijkt dat alleen de staat van veroordeling de bevoegdheid heeft om over herziening te beslissen. Dit komt overeen met de regeling van artikel 13 van het </w:t>
      </w:r>
      <w:r w:rsidRPr="00D93606" w:rsidR="004D33B9">
        <w:t>Vogp</w:t>
      </w:r>
      <w:r w:rsidRPr="00D93606">
        <w:t>.</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rPr>
          <w:b/>
        </w:rPr>
      </w:pPr>
      <w:r w:rsidRPr="00D93606">
        <w:rPr>
          <w:b/>
        </w:rPr>
        <w:t>Artikel 1</w:t>
      </w:r>
      <w:r w:rsidR="00990C91">
        <w:rPr>
          <w:b/>
        </w:rPr>
        <w:t>3</w:t>
      </w:r>
    </w:p>
    <w:p w:rsidRPr="00D93606" w:rsidR="00856B8B" w:rsidP="004B38E8" w:rsidRDefault="00856B8B">
      <w:pPr>
        <w:autoSpaceDE w:val="0"/>
        <w:autoSpaceDN w:val="0"/>
        <w:adjustRightInd w:val="0"/>
      </w:pPr>
      <w:r w:rsidRPr="00D93606">
        <w:t xml:space="preserve">De in deze bepaling vastgelegde verplichting tot beëindiging van de tenuitvoerlegging door de staat van tenuitvoerlegging is letterlijk overgenomen uit artikel 14 van het </w:t>
      </w:r>
      <w:r w:rsidRPr="00D93606" w:rsidR="004D33B9">
        <w:t>Vogp</w:t>
      </w:r>
      <w:r w:rsidRPr="00D93606">
        <w:t>.</w:t>
      </w:r>
    </w:p>
    <w:p w:rsidRPr="00D93606" w:rsidR="00856B8B" w:rsidP="004B38E8" w:rsidRDefault="00856B8B">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1</w:t>
      </w:r>
      <w:r w:rsidR="00990C91">
        <w:rPr>
          <w:b/>
        </w:rPr>
        <w:t>4</w:t>
      </w:r>
    </w:p>
    <w:p w:rsidRPr="00D93606" w:rsidR="00856B8B" w:rsidP="004B38E8" w:rsidRDefault="00856B8B">
      <w:pPr>
        <w:autoSpaceDE w:val="0"/>
        <w:autoSpaceDN w:val="0"/>
        <w:adjustRightInd w:val="0"/>
      </w:pPr>
      <w:r w:rsidRPr="00D93606">
        <w:t xml:space="preserve">Ook de inhoud van deze bepaling betreffende het verstrekken van informatie over de tenuitvoerlegging is letterlijk overgenomen uit het </w:t>
      </w:r>
      <w:r w:rsidRPr="00D93606" w:rsidR="004D33B9">
        <w:t>Vogp</w:t>
      </w:r>
      <w:r w:rsidRPr="00D93606">
        <w:t>, te weten artikel 15.</w:t>
      </w:r>
    </w:p>
    <w:p w:rsidRPr="00D93606" w:rsidR="00856B8B" w:rsidP="004B38E8" w:rsidRDefault="00856B8B">
      <w:pPr>
        <w:autoSpaceDE w:val="0"/>
        <w:autoSpaceDN w:val="0"/>
        <w:adjustRightInd w:val="0"/>
        <w:rPr>
          <w:b/>
        </w:rPr>
      </w:pPr>
    </w:p>
    <w:p w:rsidR="00856B8B" w:rsidP="004B38E8" w:rsidRDefault="00856B8B">
      <w:pPr>
        <w:autoSpaceDE w:val="0"/>
        <w:autoSpaceDN w:val="0"/>
        <w:adjustRightInd w:val="0"/>
        <w:rPr>
          <w:b/>
        </w:rPr>
      </w:pPr>
      <w:r w:rsidRPr="00D93606">
        <w:rPr>
          <w:b/>
        </w:rPr>
        <w:t>Artikel 1</w:t>
      </w:r>
      <w:r w:rsidR="00990C91">
        <w:rPr>
          <w:b/>
        </w:rPr>
        <w:t>5</w:t>
      </w:r>
    </w:p>
    <w:p w:rsidRPr="00725197" w:rsidR="00990C91" w:rsidP="004B38E8" w:rsidRDefault="00725197">
      <w:pPr>
        <w:autoSpaceDE w:val="0"/>
        <w:autoSpaceDN w:val="0"/>
        <w:adjustRightInd w:val="0"/>
      </w:pPr>
      <w:r>
        <w:t>De bepaling inzake civiele schadevergoeding doelt op het voldoen van een bij het strafvonnis opgelegde verplichting tot het betalen van onder andere een schadevergoeding aan het slachtoffer. Deze bepaling ho</w:t>
      </w:r>
      <w:r w:rsidR="00060EDA">
        <w:t xml:space="preserve">udt in feite een voorwaarde voor de overbrenging in en hoort </w:t>
      </w:r>
      <w:r>
        <w:t>syste</w:t>
      </w:r>
      <w:r w:rsidR="00060EDA">
        <w:t xml:space="preserve">matisch thuis in artikel 3. Cuba hechtte er echter aan dit in een aparte </w:t>
      </w:r>
      <w:r w:rsidR="00D879B7">
        <w:t>bepaling</w:t>
      </w:r>
      <w:r w:rsidR="00060EDA">
        <w:t xml:space="preserve"> </w:t>
      </w:r>
      <w:r w:rsidR="006E7BC3">
        <w:t xml:space="preserve">en </w:t>
      </w:r>
      <w:r w:rsidR="00060EDA">
        <w:t xml:space="preserve">op deze plaats in het </w:t>
      </w:r>
      <w:r w:rsidR="00D462CC">
        <w:t>verdrag op te nemen. Artikel 15</w:t>
      </w:r>
      <w:r w:rsidR="00060EDA">
        <w:t xml:space="preserve"> </w:t>
      </w:r>
      <w:r w:rsidR="006E7BC3">
        <w:t>vormt</w:t>
      </w:r>
      <w:r>
        <w:t xml:space="preserve"> een species van het bepaalde in artikel 3, eerste lid, onderdeel g. </w:t>
      </w:r>
    </w:p>
    <w:p w:rsidR="00060EDA" w:rsidP="004B38E8" w:rsidRDefault="00060EDA">
      <w:pPr>
        <w:autoSpaceDE w:val="0"/>
        <w:autoSpaceDN w:val="0"/>
        <w:adjustRightInd w:val="0"/>
        <w:rPr>
          <w:b/>
        </w:rPr>
      </w:pPr>
    </w:p>
    <w:p w:rsidR="00990C91" w:rsidP="004B38E8" w:rsidRDefault="00990C91">
      <w:pPr>
        <w:autoSpaceDE w:val="0"/>
        <w:autoSpaceDN w:val="0"/>
        <w:adjustRightInd w:val="0"/>
        <w:rPr>
          <w:b/>
        </w:rPr>
      </w:pPr>
      <w:r>
        <w:rPr>
          <w:b/>
        </w:rPr>
        <w:t>Artikel 16</w:t>
      </w:r>
    </w:p>
    <w:p w:rsidRPr="00952B56" w:rsidR="00990C91" w:rsidP="004B38E8" w:rsidRDefault="00952B56">
      <w:pPr>
        <w:autoSpaceDE w:val="0"/>
        <w:autoSpaceDN w:val="0"/>
        <w:adjustRightInd w:val="0"/>
      </w:pPr>
      <w:r w:rsidRPr="00952B56">
        <w:t>De be</w:t>
      </w:r>
      <w:r>
        <w:t xml:space="preserve">paling bevat een uitvoerige </w:t>
      </w:r>
      <w:r w:rsidR="00035859">
        <w:t>regeling</w:t>
      </w:r>
      <w:r>
        <w:t xml:space="preserve"> over de daadwerkelijke overlevering van een gevonniste persoon. Het </w:t>
      </w:r>
      <w:r w:rsidRPr="00952B56">
        <w:rPr>
          <w:i/>
        </w:rPr>
        <w:t>eerste lid</w:t>
      </w:r>
      <w:r>
        <w:t xml:space="preserve"> gaat over de overbrenging en de verantwoordelijkheid voor de gedetineerde. Het </w:t>
      </w:r>
      <w:r w:rsidRPr="00E667A5">
        <w:rPr>
          <w:i/>
        </w:rPr>
        <w:t>tweede lid</w:t>
      </w:r>
      <w:r>
        <w:t xml:space="preserve"> bevat een gedetailleerde uitwerking van de verplichting van de staat van veroordeling om op het moment van de overbrenging zorg te dragen </w:t>
      </w:r>
      <w:r w:rsidR="00E667A5">
        <w:t>voor informatie over de tijd die de gedetineerde in de staat van veroordeling in detentie heeft doorgebracht, alsmede van omstandigheden die relevant zijn voor de berekening van het strafrestant. Deze informatie wordt overigens na elke overbrenging verstrekt, bijzonder is hier dat dit op het moment van de overbrenging dient te geschieden. Ook deze bepaling is op verzoek van Cuba opgenomen. Met die opname is ingestemd omdat het de administratieve afhandeling van een overbrenging zal bevorderen.</w:t>
      </w:r>
      <w:r>
        <w:t xml:space="preserve"> </w:t>
      </w:r>
    </w:p>
    <w:p w:rsidRPr="00952B56" w:rsidR="00990C91" w:rsidP="004B38E8" w:rsidRDefault="00990C91">
      <w:pPr>
        <w:autoSpaceDE w:val="0"/>
        <w:autoSpaceDN w:val="0"/>
        <w:adjustRightInd w:val="0"/>
      </w:pPr>
    </w:p>
    <w:p w:rsidRPr="00D93606" w:rsidR="00990C91" w:rsidP="004B38E8" w:rsidRDefault="00990C91">
      <w:pPr>
        <w:autoSpaceDE w:val="0"/>
        <w:autoSpaceDN w:val="0"/>
        <w:adjustRightInd w:val="0"/>
        <w:rPr>
          <w:b/>
        </w:rPr>
      </w:pPr>
      <w:r>
        <w:rPr>
          <w:b/>
        </w:rPr>
        <w:t>Artikel 17</w:t>
      </w:r>
    </w:p>
    <w:p w:rsidRPr="00D93606" w:rsidR="00856B8B" w:rsidP="004B38E8" w:rsidRDefault="00856B8B">
      <w:pPr>
        <w:autoSpaceDE w:val="0"/>
        <w:autoSpaceDN w:val="0"/>
        <w:adjustRightInd w:val="0"/>
      </w:pPr>
      <w:r w:rsidRPr="00D93606">
        <w:t xml:space="preserve">De regeling van vertaling en kosten in deze bepaling komt letterlijk overeen met artikel 17 van het </w:t>
      </w:r>
      <w:r w:rsidRPr="00D93606" w:rsidR="004D33B9">
        <w:t>Vogp</w:t>
      </w:r>
      <w:r w:rsidRPr="00D93606">
        <w:rPr>
          <w:b/>
        </w:rPr>
        <w:t xml:space="preserve">. </w:t>
      </w:r>
      <w:r w:rsidRPr="00D93606">
        <w:t xml:space="preserve">Voor de goede orde wordt in verband met het </w:t>
      </w:r>
      <w:r w:rsidRPr="00D93606">
        <w:rPr>
          <w:i/>
        </w:rPr>
        <w:t>tweede lid</w:t>
      </w:r>
      <w:r w:rsidRPr="00D93606">
        <w:t xml:space="preserve"> hier nog opgemerkt dat ingevolge artikel 6, tweede lid, onderdeel a, van het verdrag een vonnis moet worden overgelegd in de vorm van een gewaarmerkt afschrift.</w:t>
      </w:r>
    </w:p>
    <w:p w:rsidRPr="00D93606" w:rsidR="00856B8B" w:rsidP="004B38E8" w:rsidRDefault="00856B8B">
      <w:pPr>
        <w:autoSpaceDE w:val="0"/>
        <w:autoSpaceDN w:val="0"/>
        <w:adjustRightInd w:val="0"/>
      </w:pPr>
      <w:r w:rsidRPr="00D93606">
        <w:t xml:space="preserve">De kostenverdeling in het </w:t>
      </w:r>
      <w:r w:rsidRPr="00D93606">
        <w:rPr>
          <w:i/>
        </w:rPr>
        <w:t>derde lid</w:t>
      </w:r>
      <w:r w:rsidRPr="00D93606">
        <w:t xml:space="preserve"> </w:t>
      </w:r>
      <w:r w:rsidR="00E667A5">
        <w:t xml:space="preserve">houdt - zoals gebruikelijk </w:t>
      </w:r>
      <w:r w:rsidR="00035859">
        <w:t>-</w:t>
      </w:r>
      <w:r w:rsidR="00E667A5">
        <w:t xml:space="preserve"> in</w:t>
      </w:r>
      <w:r w:rsidR="00832D67">
        <w:t>,</w:t>
      </w:r>
      <w:r w:rsidR="00E667A5">
        <w:t xml:space="preserve"> dat e</w:t>
      </w:r>
      <w:r w:rsidRPr="00D93606">
        <w:t xml:space="preserve">lke staat de kosten </w:t>
      </w:r>
      <w:r w:rsidR="00E667A5">
        <w:t xml:space="preserve">draagt </w:t>
      </w:r>
      <w:r w:rsidRPr="00D93606">
        <w:t>die op zijn grondgebied zijn gemaakt.</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rPr>
          <w:b/>
        </w:rPr>
      </w:pPr>
      <w:r w:rsidRPr="00D93606">
        <w:rPr>
          <w:b/>
        </w:rPr>
        <w:t>Artikel 1</w:t>
      </w:r>
      <w:r w:rsidR="00990C91">
        <w:rPr>
          <w:b/>
        </w:rPr>
        <w:t>8</w:t>
      </w:r>
    </w:p>
    <w:p w:rsidRPr="00D93606" w:rsidR="00856B8B" w:rsidP="004B38E8" w:rsidRDefault="00160C4F">
      <w:pPr>
        <w:autoSpaceDE w:val="0"/>
        <w:autoSpaceDN w:val="0"/>
        <w:adjustRightInd w:val="0"/>
      </w:pPr>
      <w:r w:rsidRPr="00D93606">
        <w:t xml:space="preserve">Dit artikel </w:t>
      </w:r>
      <w:r w:rsidRPr="00D93606" w:rsidR="00856B8B">
        <w:t>bevat de gebruikelijke regeling voor inwerkingtreding.</w:t>
      </w:r>
      <w:r w:rsidRPr="00D93606" w:rsidR="00D93606">
        <w:t xml:space="preserve"> </w:t>
      </w:r>
      <w:r w:rsidRPr="00D93606" w:rsidR="005C672F">
        <w:t xml:space="preserve">Ten aanzien van het </w:t>
      </w:r>
      <w:r w:rsidRPr="00D93606" w:rsidR="005C672F">
        <w:rPr>
          <w:i/>
        </w:rPr>
        <w:t>tweede</w:t>
      </w:r>
      <w:r w:rsidR="00216798">
        <w:rPr>
          <w:i/>
        </w:rPr>
        <w:t> </w:t>
      </w:r>
      <w:r w:rsidRPr="00D93606" w:rsidR="005C672F">
        <w:rPr>
          <w:i/>
        </w:rPr>
        <w:t>lid</w:t>
      </w:r>
      <w:r w:rsidRPr="00D93606" w:rsidR="005C672F">
        <w:t xml:space="preserve"> wordt verwezen naar de paragraaf “Koninkrijkspositie” in deze nota.</w:t>
      </w:r>
    </w:p>
    <w:p w:rsidRPr="00D93606" w:rsidR="00856B8B" w:rsidP="004B38E8" w:rsidRDefault="00856B8B">
      <w:pPr>
        <w:autoSpaceDE w:val="0"/>
        <w:autoSpaceDN w:val="0"/>
        <w:adjustRightInd w:val="0"/>
        <w:rPr>
          <w:b/>
        </w:rPr>
      </w:pPr>
    </w:p>
    <w:p w:rsidRPr="00D93606" w:rsidR="00856B8B" w:rsidP="004B38E8" w:rsidRDefault="00856B8B">
      <w:pPr>
        <w:autoSpaceDE w:val="0"/>
        <w:autoSpaceDN w:val="0"/>
        <w:adjustRightInd w:val="0"/>
        <w:rPr>
          <w:b/>
        </w:rPr>
      </w:pPr>
      <w:r w:rsidRPr="00D93606">
        <w:rPr>
          <w:b/>
        </w:rPr>
        <w:t>Artikel 1</w:t>
      </w:r>
      <w:r w:rsidR="00990C91">
        <w:rPr>
          <w:b/>
        </w:rPr>
        <w:t>9</w:t>
      </w:r>
    </w:p>
    <w:p w:rsidRPr="00D93606" w:rsidR="00856B8B" w:rsidP="004B38E8" w:rsidRDefault="00856B8B">
      <w:pPr>
        <w:autoSpaceDE w:val="0"/>
        <w:autoSpaceDN w:val="0"/>
        <w:adjustRightInd w:val="0"/>
      </w:pPr>
      <w:r w:rsidRPr="00D93606">
        <w:t xml:space="preserve">Dit artikel over de werking in de tijd komt inhoudelijk overeen met artikel 21 van het </w:t>
      </w:r>
      <w:r w:rsidRPr="00D93606" w:rsidR="004D33B9">
        <w:t>Vogp</w:t>
      </w:r>
      <w:r w:rsidRPr="00D93606">
        <w:t xml:space="preserve">. Het bepaalt dat het verdrag van toepassing is op vonnissen die zowel vóór als na de inwerkingtreding van het verdrag zijn gewezen. Voor de goede orde wordt erop gewezen dat de verzoeken om overname en overdracht van tenuitvoerlegging van straffen </w:t>
      </w:r>
      <w:r w:rsidR="00832D67">
        <w:t>pas</w:t>
      </w:r>
      <w:r w:rsidRPr="00D93606">
        <w:t xml:space="preserve"> kunnen worden gedaan na de inwerkingtreding van het verdrag. </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rPr>
          <w:b/>
        </w:rPr>
      </w:pPr>
      <w:r w:rsidRPr="00D93606">
        <w:rPr>
          <w:b/>
        </w:rPr>
        <w:t xml:space="preserve">Artikel </w:t>
      </w:r>
      <w:r w:rsidR="00990C91">
        <w:rPr>
          <w:b/>
        </w:rPr>
        <w:t>20</w:t>
      </w:r>
      <w:r w:rsidRPr="00D93606">
        <w:rPr>
          <w:b/>
        </w:rPr>
        <w:t xml:space="preserve"> </w:t>
      </w:r>
    </w:p>
    <w:p w:rsidRPr="00D93606" w:rsidR="00856B8B" w:rsidP="004B38E8" w:rsidRDefault="00856B8B">
      <w:pPr>
        <w:autoSpaceDE w:val="0"/>
        <w:autoSpaceDN w:val="0"/>
        <w:adjustRightInd w:val="0"/>
      </w:pPr>
      <w:r w:rsidRPr="00D93606">
        <w:t xml:space="preserve">Dit artikel bevat de gebruikelijke regeling voor </w:t>
      </w:r>
      <w:r w:rsidR="0072614B">
        <w:t>het opzeggen</w:t>
      </w:r>
      <w:r w:rsidRPr="00D93606" w:rsidR="0072614B">
        <w:t xml:space="preserve"> </w:t>
      </w:r>
      <w:r w:rsidRPr="00D93606">
        <w:t>van het verdrag.</w:t>
      </w: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pPr>
    </w:p>
    <w:p w:rsidR="00B76031" w:rsidP="004B38E8" w:rsidRDefault="00B76031">
      <w:pPr>
        <w:autoSpaceDE w:val="0"/>
        <w:autoSpaceDN w:val="0"/>
        <w:adjustRightInd w:val="0"/>
      </w:pPr>
    </w:p>
    <w:p w:rsidRPr="00D93606" w:rsidR="00856B8B" w:rsidP="004B38E8" w:rsidRDefault="00856B8B">
      <w:pPr>
        <w:autoSpaceDE w:val="0"/>
        <w:autoSpaceDN w:val="0"/>
        <w:adjustRightInd w:val="0"/>
      </w:pPr>
      <w:r w:rsidRPr="00D93606">
        <w:t>De Minister van Veiligheid en Justitie,</w:t>
      </w:r>
    </w:p>
    <w:p w:rsidRPr="00D93606" w:rsidR="00856B8B" w:rsidP="004B38E8" w:rsidRDefault="00856B8B">
      <w:pPr>
        <w:autoSpaceDE w:val="0"/>
        <w:autoSpaceDN w:val="0"/>
        <w:adjustRightInd w:val="0"/>
      </w:pPr>
    </w:p>
    <w:p w:rsidR="00856B8B" w:rsidP="004B38E8" w:rsidRDefault="00856B8B">
      <w:pPr>
        <w:autoSpaceDE w:val="0"/>
        <w:autoSpaceDN w:val="0"/>
        <w:adjustRightInd w:val="0"/>
      </w:pPr>
    </w:p>
    <w:p w:rsidR="00410ECE" w:rsidP="004B38E8" w:rsidRDefault="00410ECE">
      <w:pPr>
        <w:autoSpaceDE w:val="0"/>
        <w:autoSpaceDN w:val="0"/>
        <w:adjustRightInd w:val="0"/>
      </w:pPr>
    </w:p>
    <w:p w:rsidRPr="00D93606" w:rsidR="00410ECE" w:rsidP="004B38E8" w:rsidRDefault="00410ECE">
      <w:pPr>
        <w:autoSpaceDE w:val="0"/>
        <w:autoSpaceDN w:val="0"/>
        <w:adjustRightInd w:val="0"/>
      </w:pPr>
    </w:p>
    <w:p w:rsidRPr="00D93606" w:rsidR="00856B8B" w:rsidP="004B38E8" w:rsidRDefault="00856B8B">
      <w:pPr>
        <w:autoSpaceDE w:val="0"/>
        <w:autoSpaceDN w:val="0"/>
        <w:adjustRightInd w:val="0"/>
      </w:pPr>
    </w:p>
    <w:p w:rsidRPr="00D93606" w:rsidR="00856B8B" w:rsidP="004B38E8" w:rsidRDefault="00856B8B">
      <w:pPr>
        <w:autoSpaceDE w:val="0"/>
        <w:autoSpaceDN w:val="0"/>
        <w:adjustRightInd w:val="0"/>
      </w:pPr>
      <w:r w:rsidRPr="00D93606">
        <w:t>De Minister van Buitenlandse Zaken,</w:t>
      </w:r>
    </w:p>
    <w:sectPr w:rsidRPr="00D93606" w:rsidR="00856B8B" w:rsidSect="003C7584">
      <w:footerReference w:type="even" r:id="rId7"/>
      <w:footerReference w:type="default" r:id="rId8"/>
      <w:foot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AA6" w:rsidRDefault="00D46AA6">
      <w:r>
        <w:separator/>
      </w:r>
    </w:p>
  </w:endnote>
  <w:endnote w:type="continuationSeparator" w:id="0">
    <w:p w:rsidR="00D46AA6" w:rsidRDefault="00D46AA6">
      <w:r>
        <w:continuationSeparator/>
      </w:r>
    </w:p>
  </w:endnote>
  <w:endnote w:type="continuationNotice" w:id="1">
    <w:p w:rsidR="00D46AA6" w:rsidRDefault="00D4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topia">
    <w:altName w:val="Corbe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8B" w:rsidRDefault="00856B8B" w:rsidP="00D316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ECE">
      <w:rPr>
        <w:rStyle w:val="PageNumber"/>
        <w:noProof/>
      </w:rPr>
      <w:t>7</w:t>
    </w:r>
    <w:r>
      <w:rPr>
        <w:rStyle w:val="PageNumber"/>
      </w:rPr>
      <w:fldChar w:fldCharType="end"/>
    </w:r>
  </w:p>
  <w:p w:rsidR="00856B8B" w:rsidRDefault="00856B8B" w:rsidP="00B34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46990"/>
      <w:docPartObj>
        <w:docPartGallery w:val="Page Numbers (Bottom of Page)"/>
        <w:docPartUnique/>
      </w:docPartObj>
    </w:sdtPr>
    <w:sdtEndPr/>
    <w:sdtContent>
      <w:p w:rsidR="003C7584" w:rsidRDefault="003C7584" w:rsidP="003C7584">
        <w:pPr>
          <w:pStyle w:val="Footer"/>
          <w:jc w:val="right"/>
        </w:pPr>
        <w:r>
          <w:fldChar w:fldCharType="begin"/>
        </w:r>
        <w:r>
          <w:instrText>PAGE   \* MERGEFORMAT</w:instrText>
        </w:r>
        <w:r>
          <w:fldChar w:fldCharType="separate"/>
        </w:r>
        <w:r w:rsidR="001F704A">
          <w:rPr>
            <w:noProof/>
          </w:rPr>
          <w:t>7</w:t>
        </w:r>
        <w:r>
          <w:fldChar w:fldCharType="end"/>
        </w:r>
      </w:p>
    </w:sdtContent>
  </w:sdt>
  <w:p w:rsidR="00856B8B" w:rsidRDefault="00856B8B" w:rsidP="00B34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584" w:rsidRDefault="003C7584">
    <w:pPr>
      <w:pStyle w:val="Footer"/>
      <w:pBdr>
        <w:bottom w:val="single" w:sz="12" w:space="1" w:color="auto"/>
      </w:pBdr>
      <w:rPr>
        <w:lang w:val="en-US"/>
      </w:rPr>
    </w:pPr>
  </w:p>
  <w:p w:rsidR="003C7584" w:rsidRPr="003C7584" w:rsidRDefault="003C7584">
    <w:pPr>
      <w:pStyle w:val="Footer"/>
      <w:rPr>
        <w:sz w:val="18"/>
        <w:szCs w:val="18"/>
      </w:rPr>
    </w:pPr>
    <w:r w:rsidRPr="003C7584">
      <w:rPr>
        <w:sz w:val="18"/>
        <w:szCs w:val="18"/>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AA6" w:rsidRDefault="00D46AA6">
      <w:r>
        <w:separator/>
      </w:r>
    </w:p>
  </w:footnote>
  <w:footnote w:type="continuationSeparator" w:id="0">
    <w:p w:rsidR="00D46AA6" w:rsidRDefault="00D46AA6">
      <w:r>
        <w:continuationSeparator/>
      </w:r>
    </w:p>
  </w:footnote>
  <w:footnote w:type="continuationNotice" w:id="1">
    <w:p w:rsidR="00D46AA6" w:rsidRDefault="00D46AA6"/>
  </w:footnote>
  <w:footnote w:id="2">
    <w:p w:rsidR="0064642E" w:rsidRPr="00AB5AD7" w:rsidRDefault="0064642E">
      <w:pPr>
        <w:pStyle w:val="FootnoteText"/>
        <w:rPr>
          <w:rFonts w:ascii="Times New Roman" w:hAnsi="Times New Roman"/>
          <w:sz w:val="22"/>
          <w:szCs w:val="22"/>
        </w:rPr>
      </w:pPr>
      <w:r>
        <w:rPr>
          <w:rStyle w:val="FootnoteReference"/>
        </w:rPr>
        <w:footnoteRef/>
      </w:r>
      <w:r w:rsidRPr="00AB5AD7">
        <w:rPr>
          <w:rFonts w:ascii="Times New Roman" w:hAnsi="Times New Roman"/>
          <w:sz w:val="22"/>
          <w:szCs w:val="22"/>
        </w:rPr>
        <w:t xml:space="preserve">Het op 23 januari </w:t>
      </w:r>
      <w:r w:rsidR="001E7A7A" w:rsidRPr="00AB5AD7">
        <w:rPr>
          <w:rFonts w:ascii="Times New Roman" w:hAnsi="Times New Roman"/>
          <w:sz w:val="22"/>
          <w:szCs w:val="22"/>
        </w:rPr>
        <w:t>20</w:t>
      </w:r>
      <w:r w:rsidR="001E7A7A">
        <w:rPr>
          <w:rFonts w:ascii="Times New Roman" w:hAnsi="Times New Roman"/>
          <w:sz w:val="22"/>
          <w:szCs w:val="22"/>
        </w:rPr>
        <w:t>0</w:t>
      </w:r>
      <w:r w:rsidR="001E7A7A" w:rsidRPr="00AB5AD7">
        <w:rPr>
          <w:rFonts w:ascii="Times New Roman" w:hAnsi="Times New Roman"/>
          <w:sz w:val="22"/>
          <w:szCs w:val="22"/>
        </w:rPr>
        <w:t xml:space="preserve">9 </w:t>
      </w:r>
      <w:r w:rsidRPr="00AB5AD7">
        <w:rPr>
          <w:rFonts w:ascii="Times New Roman" w:hAnsi="Times New Roman"/>
          <w:sz w:val="22"/>
          <w:szCs w:val="22"/>
        </w:rPr>
        <w:t xml:space="preserve">te ’s-Gravenhage tot stand gekomen </w:t>
      </w:r>
      <w:r w:rsidR="001E7A7A">
        <w:rPr>
          <w:rFonts w:ascii="Times New Roman" w:hAnsi="Times New Roman"/>
          <w:sz w:val="22"/>
          <w:szCs w:val="22"/>
        </w:rPr>
        <w:t>V</w:t>
      </w:r>
      <w:r w:rsidR="001E7A7A" w:rsidRPr="00AB5AD7">
        <w:rPr>
          <w:rFonts w:ascii="Times New Roman" w:hAnsi="Times New Roman"/>
          <w:sz w:val="22"/>
          <w:szCs w:val="22"/>
        </w:rPr>
        <w:t xml:space="preserve">erdrag </w:t>
      </w:r>
      <w:r w:rsidRPr="00AB5AD7">
        <w:rPr>
          <w:rFonts w:ascii="Times New Roman" w:hAnsi="Times New Roman"/>
          <w:sz w:val="22"/>
          <w:szCs w:val="22"/>
        </w:rPr>
        <w:t>inzake de overdracht van gevonniste personen en van de tenuitvoerlegging van veroordelingen opgelegd bij vonnissen tussen het Koninkrijk der Nederlanden en de Federale Republiek Brazilië (Trb</w:t>
      </w:r>
      <w:r w:rsidR="00936B13">
        <w:rPr>
          <w:rFonts w:ascii="Times New Roman" w:hAnsi="Times New Roman"/>
          <w:sz w:val="22"/>
          <w:szCs w:val="22"/>
        </w:rPr>
        <w:t>.</w:t>
      </w:r>
      <w:r w:rsidRPr="00AB5AD7">
        <w:rPr>
          <w:rFonts w:ascii="Times New Roman" w:hAnsi="Times New Roman"/>
          <w:sz w:val="22"/>
          <w:szCs w:val="22"/>
        </w:rPr>
        <w:t xml:space="preserve"> 2009, 2</w:t>
      </w:r>
      <w:r w:rsidR="00333A3E">
        <w:rPr>
          <w:rFonts w:ascii="Times New Roman" w:hAnsi="Times New Roman"/>
          <w:sz w:val="22"/>
          <w:szCs w:val="22"/>
        </w:rPr>
        <w:t>5</w:t>
      </w:r>
      <w:r w:rsidRPr="00AB5AD7">
        <w:rPr>
          <w:rFonts w:ascii="Times New Roman" w:hAnsi="Times New Roman"/>
          <w:sz w:val="22"/>
          <w:szCs w:val="22"/>
        </w:rPr>
        <w:t>)</w:t>
      </w:r>
      <w:r w:rsidR="00AB5AD7" w:rsidRPr="00AB5AD7">
        <w:rPr>
          <w:rFonts w:ascii="Times New Roman" w:hAnsi="Times New Roman"/>
          <w:sz w:val="22"/>
          <w:szCs w:val="22"/>
        </w:rPr>
        <w:t xml:space="preserve"> en </w:t>
      </w:r>
    </w:p>
    <w:p w:rsidR="0064642E" w:rsidRPr="00AB5AD7" w:rsidRDefault="0064642E">
      <w:pPr>
        <w:pStyle w:val="FootnoteText"/>
        <w:rPr>
          <w:sz w:val="22"/>
          <w:szCs w:val="22"/>
        </w:rPr>
      </w:pPr>
      <w:r w:rsidRPr="00AB5AD7">
        <w:rPr>
          <w:rFonts w:ascii="Times New Roman" w:hAnsi="Times New Roman"/>
          <w:sz w:val="22"/>
          <w:szCs w:val="22"/>
        </w:rPr>
        <w:t>het op 12 mei 2011 te ’s-Gravenhage tot stand gekomen Verdrag inzake de</w:t>
      </w:r>
      <w:r w:rsidR="00D93606">
        <w:rPr>
          <w:rFonts w:ascii="Times New Roman" w:hAnsi="Times New Roman"/>
          <w:sz w:val="22"/>
          <w:szCs w:val="22"/>
        </w:rPr>
        <w:t xml:space="preserve"> </w:t>
      </w:r>
      <w:r w:rsidRPr="00AB5AD7">
        <w:rPr>
          <w:rFonts w:ascii="Times New Roman" w:hAnsi="Times New Roman"/>
          <w:sz w:val="22"/>
          <w:szCs w:val="22"/>
        </w:rPr>
        <w:t>overbrenging van gevonniste personen tussen het Koninkrijk der Nederlanden en de Republiek Peru (Trb. 2011, 109)</w:t>
      </w:r>
      <w:r w:rsidR="00AB5AD7">
        <w:rPr>
          <w:rFonts w:ascii="Times New Roman" w:hAnsi="Times New Roman"/>
          <w:sz w:val="22"/>
          <w:szCs w:val="22"/>
        </w:rPr>
        <w:t>.</w:t>
      </w:r>
      <w:r w:rsidR="004B38E8">
        <w:rPr>
          <w:rFonts w:ascii="Times New Roman" w:hAnsi="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E2"/>
    <w:rsid w:val="0000416B"/>
    <w:rsid w:val="00005FD3"/>
    <w:rsid w:val="00025B30"/>
    <w:rsid w:val="00025FF5"/>
    <w:rsid w:val="00035859"/>
    <w:rsid w:val="00054A20"/>
    <w:rsid w:val="00060EDA"/>
    <w:rsid w:val="00071CEA"/>
    <w:rsid w:val="00073B3B"/>
    <w:rsid w:val="000812A3"/>
    <w:rsid w:val="00083E46"/>
    <w:rsid w:val="0009013D"/>
    <w:rsid w:val="00092437"/>
    <w:rsid w:val="0009405C"/>
    <w:rsid w:val="00094E3C"/>
    <w:rsid w:val="00097C60"/>
    <w:rsid w:val="000A0DBF"/>
    <w:rsid w:val="000A3A5A"/>
    <w:rsid w:val="000A4EE7"/>
    <w:rsid w:val="000B030C"/>
    <w:rsid w:val="000B1AE0"/>
    <w:rsid w:val="000B5EC0"/>
    <w:rsid w:val="000B7B81"/>
    <w:rsid w:val="000E111C"/>
    <w:rsid w:val="000E4338"/>
    <w:rsid w:val="000E6953"/>
    <w:rsid w:val="000F4240"/>
    <w:rsid w:val="000F6B3A"/>
    <w:rsid w:val="00105EBB"/>
    <w:rsid w:val="0011541E"/>
    <w:rsid w:val="001218D7"/>
    <w:rsid w:val="00131D5B"/>
    <w:rsid w:val="00143E2D"/>
    <w:rsid w:val="001457C0"/>
    <w:rsid w:val="00160C4F"/>
    <w:rsid w:val="00161E0F"/>
    <w:rsid w:val="0016753D"/>
    <w:rsid w:val="00172FB1"/>
    <w:rsid w:val="00176BF8"/>
    <w:rsid w:val="001918C1"/>
    <w:rsid w:val="001A2DD1"/>
    <w:rsid w:val="001A7ABC"/>
    <w:rsid w:val="001B274A"/>
    <w:rsid w:val="001B3B00"/>
    <w:rsid w:val="001D000C"/>
    <w:rsid w:val="001E632E"/>
    <w:rsid w:val="001E7A7A"/>
    <w:rsid w:val="001F654D"/>
    <w:rsid w:val="001F704A"/>
    <w:rsid w:val="002163DE"/>
    <w:rsid w:val="00216798"/>
    <w:rsid w:val="0022679E"/>
    <w:rsid w:val="002358FE"/>
    <w:rsid w:val="00236435"/>
    <w:rsid w:val="00236855"/>
    <w:rsid w:val="00241077"/>
    <w:rsid w:val="00243B06"/>
    <w:rsid w:val="00252D35"/>
    <w:rsid w:val="002615DB"/>
    <w:rsid w:val="00265818"/>
    <w:rsid w:val="00287A61"/>
    <w:rsid w:val="002A2F99"/>
    <w:rsid w:val="002A32DE"/>
    <w:rsid w:val="002A4502"/>
    <w:rsid w:val="002B0FE5"/>
    <w:rsid w:val="002C062C"/>
    <w:rsid w:val="002C2E9C"/>
    <w:rsid w:val="003110E2"/>
    <w:rsid w:val="00311C58"/>
    <w:rsid w:val="00316D39"/>
    <w:rsid w:val="00316E90"/>
    <w:rsid w:val="00320FED"/>
    <w:rsid w:val="003223DB"/>
    <w:rsid w:val="00333A3E"/>
    <w:rsid w:val="00343129"/>
    <w:rsid w:val="00357AC0"/>
    <w:rsid w:val="003608E2"/>
    <w:rsid w:val="003678EE"/>
    <w:rsid w:val="00375E22"/>
    <w:rsid w:val="003775D3"/>
    <w:rsid w:val="00391922"/>
    <w:rsid w:val="00393959"/>
    <w:rsid w:val="003A3CAF"/>
    <w:rsid w:val="003B156E"/>
    <w:rsid w:val="003B660E"/>
    <w:rsid w:val="003C7584"/>
    <w:rsid w:val="003C7A3A"/>
    <w:rsid w:val="003D1B17"/>
    <w:rsid w:val="003D1D88"/>
    <w:rsid w:val="003D6BA4"/>
    <w:rsid w:val="00401F04"/>
    <w:rsid w:val="00402A08"/>
    <w:rsid w:val="00403099"/>
    <w:rsid w:val="0040323E"/>
    <w:rsid w:val="00410ECE"/>
    <w:rsid w:val="0042503D"/>
    <w:rsid w:val="004269F3"/>
    <w:rsid w:val="0043073B"/>
    <w:rsid w:val="0044227F"/>
    <w:rsid w:val="00447EDA"/>
    <w:rsid w:val="00450DFD"/>
    <w:rsid w:val="00452EC6"/>
    <w:rsid w:val="0046039E"/>
    <w:rsid w:val="0046165F"/>
    <w:rsid w:val="00461E8E"/>
    <w:rsid w:val="00472697"/>
    <w:rsid w:val="004848F0"/>
    <w:rsid w:val="0049589B"/>
    <w:rsid w:val="00497970"/>
    <w:rsid w:val="004A0D42"/>
    <w:rsid w:val="004A2A02"/>
    <w:rsid w:val="004A6070"/>
    <w:rsid w:val="004B38E8"/>
    <w:rsid w:val="004B4D36"/>
    <w:rsid w:val="004B5DBF"/>
    <w:rsid w:val="004C13F6"/>
    <w:rsid w:val="004C702A"/>
    <w:rsid w:val="004C75F1"/>
    <w:rsid w:val="004D1998"/>
    <w:rsid w:val="004D33B9"/>
    <w:rsid w:val="004D6399"/>
    <w:rsid w:val="004F022E"/>
    <w:rsid w:val="004F0E32"/>
    <w:rsid w:val="004F2A38"/>
    <w:rsid w:val="004F3EF6"/>
    <w:rsid w:val="004F4BBE"/>
    <w:rsid w:val="005017AC"/>
    <w:rsid w:val="0050272E"/>
    <w:rsid w:val="00505DD5"/>
    <w:rsid w:val="00506823"/>
    <w:rsid w:val="005078CC"/>
    <w:rsid w:val="00512005"/>
    <w:rsid w:val="00521AC1"/>
    <w:rsid w:val="0052440D"/>
    <w:rsid w:val="00531416"/>
    <w:rsid w:val="00546367"/>
    <w:rsid w:val="00563313"/>
    <w:rsid w:val="005648F5"/>
    <w:rsid w:val="00567AB9"/>
    <w:rsid w:val="00584EA7"/>
    <w:rsid w:val="00585B89"/>
    <w:rsid w:val="005869D2"/>
    <w:rsid w:val="0059104C"/>
    <w:rsid w:val="005A07DA"/>
    <w:rsid w:val="005A19E9"/>
    <w:rsid w:val="005A2885"/>
    <w:rsid w:val="005A69C7"/>
    <w:rsid w:val="005B27FC"/>
    <w:rsid w:val="005B2DBF"/>
    <w:rsid w:val="005B3EA7"/>
    <w:rsid w:val="005B6AAC"/>
    <w:rsid w:val="005C2039"/>
    <w:rsid w:val="005C672F"/>
    <w:rsid w:val="005D39F3"/>
    <w:rsid w:val="005E17E0"/>
    <w:rsid w:val="005E2807"/>
    <w:rsid w:val="005E5D44"/>
    <w:rsid w:val="00600167"/>
    <w:rsid w:val="00601688"/>
    <w:rsid w:val="00601948"/>
    <w:rsid w:val="0060274C"/>
    <w:rsid w:val="00602F7C"/>
    <w:rsid w:val="00605A74"/>
    <w:rsid w:val="0061466D"/>
    <w:rsid w:val="00621FA8"/>
    <w:rsid w:val="00624C21"/>
    <w:rsid w:val="00627462"/>
    <w:rsid w:val="00627BA6"/>
    <w:rsid w:val="006313C1"/>
    <w:rsid w:val="00631E27"/>
    <w:rsid w:val="00640F42"/>
    <w:rsid w:val="00641BAB"/>
    <w:rsid w:val="0064642E"/>
    <w:rsid w:val="006537B2"/>
    <w:rsid w:val="00656A40"/>
    <w:rsid w:val="00656E74"/>
    <w:rsid w:val="00662DDE"/>
    <w:rsid w:val="006637B7"/>
    <w:rsid w:val="0067104C"/>
    <w:rsid w:val="00675393"/>
    <w:rsid w:val="00690B9A"/>
    <w:rsid w:val="00690BA6"/>
    <w:rsid w:val="00691F5C"/>
    <w:rsid w:val="00694971"/>
    <w:rsid w:val="006B0A3F"/>
    <w:rsid w:val="006B4354"/>
    <w:rsid w:val="006C15CA"/>
    <w:rsid w:val="006C31D3"/>
    <w:rsid w:val="006C3D82"/>
    <w:rsid w:val="006C4551"/>
    <w:rsid w:val="006D3570"/>
    <w:rsid w:val="006D6569"/>
    <w:rsid w:val="006E5AB2"/>
    <w:rsid w:val="006E7BC3"/>
    <w:rsid w:val="006F13C6"/>
    <w:rsid w:val="006F1853"/>
    <w:rsid w:val="006F209C"/>
    <w:rsid w:val="006F5ECF"/>
    <w:rsid w:val="006F6C78"/>
    <w:rsid w:val="00700D24"/>
    <w:rsid w:val="007051BB"/>
    <w:rsid w:val="00706E9D"/>
    <w:rsid w:val="00710616"/>
    <w:rsid w:val="0071496F"/>
    <w:rsid w:val="00721BF2"/>
    <w:rsid w:val="00725197"/>
    <w:rsid w:val="00725BB3"/>
    <w:rsid w:val="0072614B"/>
    <w:rsid w:val="007334E1"/>
    <w:rsid w:val="00745627"/>
    <w:rsid w:val="00746A00"/>
    <w:rsid w:val="00773A97"/>
    <w:rsid w:val="00773B53"/>
    <w:rsid w:val="00783993"/>
    <w:rsid w:val="00797A01"/>
    <w:rsid w:val="007A1504"/>
    <w:rsid w:val="007B15F0"/>
    <w:rsid w:val="007C442D"/>
    <w:rsid w:val="007D76EA"/>
    <w:rsid w:val="007E14E4"/>
    <w:rsid w:val="007E2812"/>
    <w:rsid w:val="007E6F11"/>
    <w:rsid w:val="00801EC1"/>
    <w:rsid w:val="008028AE"/>
    <w:rsid w:val="00804D10"/>
    <w:rsid w:val="00805AFD"/>
    <w:rsid w:val="0080707D"/>
    <w:rsid w:val="00810B9D"/>
    <w:rsid w:val="00822E5A"/>
    <w:rsid w:val="00824131"/>
    <w:rsid w:val="00825A8D"/>
    <w:rsid w:val="0082641B"/>
    <w:rsid w:val="00831FF3"/>
    <w:rsid w:val="00832D67"/>
    <w:rsid w:val="00836894"/>
    <w:rsid w:val="00846488"/>
    <w:rsid w:val="00850F52"/>
    <w:rsid w:val="00856B8B"/>
    <w:rsid w:val="00860267"/>
    <w:rsid w:val="0086607E"/>
    <w:rsid w:val="00880F9D"/>
    <w:rsid w:val="00881D12"/>
    <w:rsid w:val="008847D6"/>
    <w:rsid w:val="00886B73"/>
    <w:rsid w:val="0088738E"/>
    <w:rsid w:val="00890826"/>
    <w:rsid w:val="00895DE3"/>
    <w:rsid w:val="008A0D04"/>
    <w:rsid w:val="008C217B"/>
    <w:rsid w:val="008D729B"/>
    <w:rsid w:val="008E0EBA"/>
    <w:rsid w:val="008E17E2"/>
    <w:rsid w:val="008E3327"/>
    <w:rsid w:val="008F3EE2"/>
    <w:rsid w:val="009140A1"/>
    <w:rsid w:val="00936B13"/>
    <w:rsid w:val="00937EDF"/>
    <w:rsid w:val="00952B56"/>
    <w:rsid w:val="00956591"/>
    <w:rsid w:val="0096117E"/>
    <w:rsid w:val="00961B55"/>
    <w:rsid w:val="00962294"/>
    <w:rsid w:val="00964A3F"/>
    <w:rsid w:val="00966FB3"/>
    <w:rsid w:val="0097052B"/>
    <w:rsid w:val="00971DE9"/>
    <w:rsid w:val="0097522D"/>
    <w:rsid w:val="009806DC"/>
    <w:rsid w:val="00990C91"/>
    <w:rsid w:val="009910B6"/>
    <w:rsid w:val="009910C8"/>
    <w:rsid w:val="009A4CF2"/>
    <w:rsid w:val="009D54C0"/>
    <w:rsid w:val="009E6DB3"/>
    <w:rsid w:val="009F3406"/>
    <w:rsid w:val="00A11745"/>
    <w:rsid w:val="00A15B80"/>
    <w:rsid w:val="00A16513"/>
    <w:rsid w:val="00A20A06"/>
    <w:rsid w:val="00A30A1B"/>
    <w:rsid w:val="00A30BE4"/>
    <w:rsid w:val="00A34A0C"/>
    <w:rsid w:val="00A35F6E"/>
    <w:rsid w:val="00A44946"/>
    <w:rsid w:val="00A45FB8"/>
    <w:rsid w:val="00A53190"/>
    <w:rsid w:val="00A74657"/>
    <w:rsid w:val="00A76865"/>
    <w:rsid w:val="00A850C3"/>
    <w:rsid w:val="00A86970"/>
    <w:rsid w:val="00A91A27"/>
    <w:rsid w:val="00AA0EE3"/>
    <w:rsid w:val="00AA43F9"/>
    <w:rsid w:val="00AA5BA8"/>
    <w:rsid w:val="00AA7E52"/>
    <w:rsid w:val="00AB5AD7"/>
    <w:rsid w:val="00AB6418"/>
    <w:rsid w:val="00AB699C"/>
    <w:rsid w:val="00AB7F5E"/>
    <w:rsid w:val="00AC3DA0"/>
    <w:rsid w:val="00AE354A"/>
    <w:rsid w:val="00AF27BA"/>
    <w:rsid w:val="00B0364B"/>
    <w:rsid w:val="00B12581"/>
    <w:rsid w:val="00B15BD8"/>
    <w:rsid w:val="00B220E6"/>
    <w:rsid w:val="00B22190"/>
    <w:rsid w:val="00B33E92"/>
    <w:rsid w:val="00B34E91"/>
    <w:rsid w:val="00B4335A"/>
    <w:rsid w:val="00B43DBF"/>
    <w:rsid w:val="00B43F4F"/>
    <w:rsid w:val="00B51F58"/>
    <w:rsid w:val="00B52983"/>
    <w:rsid w:val="00B54F7E"/>
    <w:rsid w:val="00B65C00"/>
    <w:rsid w:val="00B76031"/>
    <w:rsid w:val="00B80859"/>
    <w:rsid w:val="00B82043"/>
    <w:rsid w:val="00B9061F"/>
    <w:rsid w:val="00B929CC"/>
    <w:rsid w:val="00BA7F4D"/>
    <w:rsid w:val="00BB10E1"/>
    <w:rsid w:val="00BB5158"/>
    <w:rsid w:val="00BB7514"/>
    <w:rsid w:val="00BB7C28"/>
    <w:rsid w:val="00BC2AB1"/>
    <w:rsid w:val="00BC4993"/>
    <w:rsid w:val="00BD1D11"/>
    <w:rsid w:val="00BD541F"/>
    <w:rsid w:val="00BE5234"/>
    <w:rsid w:val="00C067F0"/>
    <w:rsid w:val="00C21676"/>
    <w:rsid w:val="00C24FF3"/>
    <w:rsid w:val="00C35688"/>
    <w:rsid w:val="00C37706"/>
    <w:rsid w:val="00C42CA6"/>
    <w:rsid w:val="00C53760"/>
    <w:rsid w:val="00C66285"/>
    <w:rsid w:val="00C66797"/>
    <w:rsid w:val="00C73F61"/>
    <w:rsid w:val="00C7400B"/>
    <w:rsid w:val="00C76EE3"/>
    <w:rsid w:val="00C775C6"/>
    <w:rsid w:val="00C778A8"/>
    <w:rsid w:val="00C84483"/>
    <w:rsid w:val="00C85E04"/>
    <w:rsid w:val="00CA038F"/>
    <w:rsid w:val="00CA1390"/>
    <w:rsid w:val="00CA4525"/>
    <w:rsid w:val="00CA79B0"/>
    <w:rsid w:val="00CC68CE"/>
    <w:rsid w:val="00CD0644"/>
    <w:rsid w:val="00CD7D84"/>
    <w:rsid w:val="00CE670F"/>
    <w:rsid w:val="00CF16DA"/>
    <w:rsid w:val="00CF514E"/>
    <w:rsid w:val="00CF6E1F"/>
    <w:rsid w:val="00D02E8C"/>
    <w:rsid w:val="00D051AA"/>
    <w:rsid w:val="00D23C6A"/>
    <w:rsid w:val="00D31670"/>
    <w:rsid w:val="00D3703B"/>
    <w:rsid w:val="00D403E5"/>
    <w:rsid w:val="00D43A27"/>
    <w:rsid w:val="00D462CC"/>
    <w:rsid w:val="00D46AA6"/>
    <w:rsid w:val="00D477A2"/>
    <w:rsid w:val="00D5260A"/>
    <w:rsid w:val="00D613C6"/>
    <w:rsid w:val="00D6426D"/>
    <w:rsid w:val="00D71E05"/>
    <w:rsid w:val="00D7298A"/>
    <w:rsid w:val="00D7543C"/>
    <w:rsid w:val="00D879B7"/>
    <w:rsid w:val="00D93606"/>
    <w:rsid w:val="00D944C6"/>
    <w:rsid w:val="00D97257"/>
    <w:rsid w:val="00DA1281"/>
    <w:rsid w:val="00DA3482"/>
    <w:rsid w:val="00DC0295"/>
    <w:rsid w:val="00DC06DA"/>
    <w:rsid w:val="00DD0237"/>
    <w:rsid w:val="00DD3DD5"/>
    <w:rsid w:val="00DD6E17"/>
    <w:rsid w:val="00DE3EFF"/>
    <w:rsid w:val="00DE4251"/>
    <w:rsid w:val="00DE4D07"/>
    <w:rsid w:val="00DE5C34"/>
    <w:rsid w:val="00DE7594"/>
    <w:rsid w:val="00DF2AFF"/>
    <w:rsid w:val="00DF46DD"/>
    <w:rsid w:val="00DF651C"/>
    <w:rsid w:val="00E04329"/>
    <w:rsid w:val="00E1222D"/>
    <w:rsid w:val="00E13671"/>
    <w:rsid w:val="00E155DE"/>
    <w:rsid w:val="00E17CC7"/>
    <w:rsid w:val="00E44F37"/>
    <w:rsid w:val="00E454A0"/>
    <w:rsid w:val="00E62B80"/>
    <w:rsid w:val="00E667A5"/>
    <w:rsid w:val="00E701D7"/>
    <w:rsid w:val="00E72361"/>
    <w:rsid w:val="00E87E78"/>
    <w:rsid w:val="00E9782E"/>
    <w:rsid w:val="00EB3436"/>
    <w:rsid w:val="00EC018E"/>
    <w:rsid w:val="00ED1838"/>
    <w:rsid w:val="00ED2BB9"/>
    <w:rsid w:val="00EE2F9F"/>
    <w:rsid w:val="00EF2BCC"/>
    <w:rsid w:val="00EF32C6"/>
    <w:rsid w:val="00EF4529"/>
    <w:rsid w:val="00EF46C5"/>
    <w:rsid w:val="00EF5C2D"/>
    <w:rsid w:val="00F10489"/>
    <w:rsid w:val="00F15784"/>
    <w:rsid w:val="00F15EFA"/>
    <w:rsid w:val="00F30C22"/>
    <w:rsid w:val="00F35A18"/>
    <w:rsid w:val="00F37DFF"/>
    <w:rsid w:val="00F4766F"/>
    <w:rsid w:val="00F60FA2"/>
    <w:rsid w:val="00F64412"/>
    <w:rsid w:val="00F71FB0"/>
    <w:rsid w:val="00F82796"/>
    <w:rsid w:val="00F95BC9"/>
    <w:rsid w:val="00FA1938"/>
    <w:rsid w:val="00FA47DB"/>
    <w:rsid w:val="00FA5351"/>
    <w:rsid w:val="00FA550F"/>
    <w:rsid w:val="00FA67E6"/>
    <w:rsid w:val="00FA68CF"/>
    <w:rsid w:val="00FB0B6D"/>
    <w:rsid w:val="00FB7D8D"/>
    <w:rsid w:val="00FD6072"/>
    <w:rsid w:val="00FE6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2C0A4"/>
  <w15:docId w15:val="{9DFA06C9-EA6D-423C-9D34-AD100761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627"/>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E17E2"/>
    <w:rPr>
      <w:rFonts w:ascii="Utopia" w:hAnsi="Utopia"/>
      <w:sz w:val="20"/>
      <w:szCs w:val="20"/>
      <w:lang w:eastAsia="nl-NL"/>
    </w:rPr>
  </w:style>
  <w:style w:type="character" w:customStyle="1" w:styleId="FootnoteTextChar">
    <w:name w:val="Footnote Text Char"/>
    <w:basedOn w:val="DefaultParagraphFont"/>
    <w:link w:val="FootnoteText"/>
    <w:uiPriority w:val="99"/>
    <w:semiHidden/>
    <w:locked/>
    <w:rsid w:val="0088738E"/>
    <w:rPr>
      <w:rFonts w:cs="Times New Roman"/>
      <w:sz w:val="20"/>
      <w:szCs w:val="20"/>
      <w:lang w:eastAsia="zh-TW"/>
    </w:rPr>
  </w:style>
  <w:style w:type="character" w:styleId="FootnoteReference">
    <w:name w:val="footnote reference"/>
    <w:basedOn w:val="DefaultParagraphFont"/>
    <w:uiPriority w:val="99"/>
    <w:semiHidden/>
    <w:rsid w:val="008E17E2"/>
    <w:rPr>
      <w:rFonts w:cs="Times New Roman"/>
      <w:vertAlign w:val="superscript"/>
    </w:rPr>
  </w:style>
  <w:style w:type="character" w:styleId="CommentReference">
    <w:name w:val="annotation reference"/>
    <w:basedOn w:val="DefaultParagraphFont"/>
    <w:uiPriority w:val="99"/>
    <w:semiHidden/>
    <w:rsid w:val="000F4240"/>
    <w:rPr>
      <w:rFonts w:cs="Times New Roman"/>
      <w:sz w:val="16"/>
    </w:rPr>
  </w:style>
  <w:style w:type="paragraph" w:styleId="CommentText">
    <w:name w:val="annotation text"/>
    <w:basedOn w:val="Normal"/>
    <w:link w:val="CommentTextChar"/>
    <w:uiPriority w:val="99"/>
    <w:semiHidden/>
    <w:rsid w:val="000F4240"/>
    <w:rPr>
      <w:sz w:val="20"/>
      <w:szCs w:val="20"/>
    </w:rPr>
  </w:style>
  <w:style w:type="character" w:customStyle="1" w:styleId="CommentTextChar">
    <w:name w:val="Comment Text Char"/>
    <w:basedOn w:val="DefaultParagraphFont"/>
    <w:link w:val="CommentText"/>
    <w:uiPriority w:val="99"/>
    <w:semiHidden/>
    <w:locked/>
    <w:rsid w:val="0088738E"/>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0F4240"/>
    <w:rPr>
      <w:b/>
      <w:bCs/>
    </w:rPr>
  </w:style>
  <w:style w:type="character" w:customStyle="1" w:styleId="CommentSubjectChar">
    <w:name w:val="Comment Subject Char"/>
    <w:basedOn w:val="CommentTextChar"/>
    <w:link w:val="CommentSubject"/>
    <w:uiPriority w:val="99"/>
    <w:semiHidden/>
    <w:locked/>
    <w:rsid w:val="0088738E"/>
    <w:rPr>
      <w:rFonts w:cs="Times New Roman"/>
      <w:b/>
      <w:bCs/>
      <w:sz w:val="20"/>
      <w:szCs w:val="20"/>
      <w:lang w:eastAsia="zh-TW"/>
    </w:rPr>
  </w:style>
  <w:style w:type="paragraph" w:styleId="BalloonText">
    <w:name w:val="Balloon Text"/>
    <w:basedOn w:val="Normal"/>
    <w:link w:val="BalloonTextChar"/>
    <w:uiPriority w:val="99"/>
    <w:semiHidden/>
    <w:rsid w:val="000F42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738E"/>
    <w:rPr>
      <w:rFonts w:cs="Times New Roman"/>
      <w:sz w:val="2"/>
      <w:lang w:eastAsia="zh-TW"/>
    </w:rPr>
  </w:style>
  <w:style w:type="paragraph" w:styleId="Footer">
    <w:name w:val="footer"/>
    <w:basedOn w:val="Normal"/>
    <w:link w:val="FooterChar"/>
    <w:uiPriority w:val="99"/>
    <w:rsid w:val="00B34E91"/>
    <w:pPr>
      <w:tabs>
        <w:tab w:val="center" w:pos="4536"/>
        <w:tab w:val="right" w:pos="9072"/>
      </w:tabs>
    </w:pPr>
  </w:style>
  <w:style w:type="character" w:customStyle="1" w:styleId="FooterChar">
    <w:name w:val="Footer Char"/>
    <w:basedOn w:val="DefaultParagraphFont"/>
    <w:link w:val="Footer"/>
    <w:uiPriority w:val="99"/>
    <w:locked/>
    <w:rsid w:val="0088738E"/>
    <w:rPr>
      <w:rFonts w:cs="Times New Roman"/>
      <w:sz w:val="24"/>
      <w:szCs w:val="24"/>
      <w:lang w:eastAsia="zh-TW"/>
    </w:rPr>
  </w:style>
  <w:style w:type="character" w:styleId="PageNumber">
    <w:name w:val="page number"/>
    <w:basedOn w:val="DefaultParagraphFont"/>
    <w:uiPriority w:val="99"/>
    <w:rsid w:val="00B34E91"/>
    <w:rPr>
      <w:rFonts w:cs="Times New Roman"/>
    </w:rPr>
  </w:style>
  <w:style w:type="paragraph" w:styleId="Header">
    <w:name w:val="header"/>
    <w:basedOn w:val="Normal"/>
    <w:link w:val="HeaderChar"/>
    <w:uiPriority w:val="99"/>
    <w:rsid w:val="00E9782E"/>
    <w:pPr>
      <w:tabs>
        <w:tab w:val="center" w:pos="4536"/>
        <w:tab w:val="right" w:pos="9072"/>
      </w:tabs>
    </w:pPr>
  </w:style>
  <w:style w:type="character" w:customStyle="1" w:styleId="HeaderChar">
    <w:name w:val="Header Char"/>
    <w:basedOn w:val="DefaultParagraphFont"/>
    <w:link w:val="Header"/>
    <w:uiPriority w:val="99"/>
    <w:semiHidden/>
    <w:locked/>
    <w:rsid w:val="0088738E"/>
    <w:rPr>
      <w:rFonts w:cs="Times New Roman"/>
      <w:sz w:val="24"/>
      <w:szCs w:val="24"/>
      <w:lang w:eastAsia="zh-TW"/>
    </w:rPr>
  </w:style>
  <w:style w:type="paragraph" w:styleId="Revision">
    <w:name w:val="Revision"/>
    <w:hidden/>
    <w:uiPriority w:val="99"/>
    <w:semiHidden/>
    <w:rsid w:val="00810B9D"/>
    <w:rPr>
      <w:sz w:val="24"/>
      <w:szCs w:val="24"/>
      <w:lang w:eastAsia="zh-TW"/>
    </w:rPr>
  </w:style>
  <w:style w:type="character" w:styleId="Strong">
    <w:name w:val="Strong"/>
    <w:basedOn w:val="DefaultParagraphFont"/>
    <w:uiPriority w:val="22"/>
    <w:qFormat/>
    <w:locked/>
    <w:rsid w:val="00D75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3113</ap:Words>
  <ap:Characters>17125</ap:Characters>
  <ap:DocSecurity>0</ap:DocSecurity>
  <ap:Lines>142</ap:Lines>
  <ap:Paragraphs>40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inzake de overbrenging van gevonniste personen tussen het Koninkrijk der Nederlanden en de Republiek Peru; Den Haag, 12 mei 2011 (Trb</vt:lpstr>
      <vt:lpstr>Verdrag inzake de overbrenging van gevonniste personen tussen het Koninkrijk der Nederlanden en de Republiek Peru; Den Haag, 12 mei 2011 (Trb</vt:lpstr>
    </vt:vector>
  </ap:TitlesOfParts>
  <ap:LinksUpToDate>false</ap:LinksUpToDate>
  <ap:CharactersWithSpaces>20198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2016-12-14T11:02:00.0000000Z</lastPrinted>
  <dcterms:created xsi:type="dcterms:W3CDTF">2017-01-17T14:41:00.0000000Z</dcterms:created>
  <dcterms:modified xsi:type="dcterms:W3CDTF">2017-01-17T14:41:00.0000000Z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