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88B" w:rsidP="0051188B" w:rsidRDefault="0051188B">
      <w:pPr>
        <w:spacing w:line="360" w:lineRule="auto"/>
        <w:rPr>
          <w:rFonts w:ascii="Verdana" w:hAnsi="Verdana" w:cs="Times New Roman"/>
          <w:b/>
          <w:bCs/>
          <w:sz w:val="20"/>
          <w:szCs w:val="20"/>
        </w:rPr>
      </w:pPr>
      <w:r w:rsidRPr="0051188B">
        <w:rPr>
          <w:rFonts w:ascii="Verdana" w:hAnsi="Verdana" w:cs="Times New Roman"/>
          <w:b/>
          <w:bCs/>
          <w:sz w:val="20"/>
          <w:szCs w:val="20"/>
        </w:rPr>
        <w:t xml:space="preserve">Wijziging </w:t>
      </w:r>
      <w:r w:rsidR="00AF18A3">
        <w:rPr>
          <w:rFonts w:ascii="Verdana" w:hAnsi="Verdana" w:cs="Times New Roman"/>
          <w:b/>
          <w:bCs/>
          <w:sz w:val="20"/>
          <w:szCs w:val="20"/>
        </w:rPr>
        <w:t xml:space="preserve">van </w:t>
      </w:r>
      <w:r w:rsidRPr="0051188B">
        <w:rPr>
          <w:rFonts w:ascii="Verdana" w:hAnsi="Verdana" w:cs="Times New Roman"/>
          <w:b/>
          <w:bCs/>
          <w:sz w:val="20"/>
          <w:szCs w:val="20"/>
        </w:rPr>
        <w:t xml:space="preserve">artikel 124 van </w:t>
      </w:r>
      <w:r w:rsidRPr="0051188B">
        <w:rPr>
          <w:rFonts w:ascii="Verdana" w:hAnsi="Verdana"/>
          <w:b/>
          <w:sz w:val="20"/>
          <w:szCs w:val="20"/>
        </w:rPr>
        <w:t>het Statuut van Rome inzake het Internationaal Strafhof</w:t>
      </w:r>
      <w:r w:rsidRPr="0051188B">
        <w:rPr>
          <w:rFonts w:ascii="Verdana" w:hAnsi="Verdana" w:cs="Times New Roman"/>
          <w:b/>
          <w:bCs/>
          <w:sz w:val="20"/>
          <w:szCs w:val="20"/>
        </w:rPr>
        <w:t>; ’s-Gravenhage, 26 november 2015 (</w:t>
      </w:r>
      <w:proofErr w:type="spellStart"/>
      <w:r w:rsidRPr="0051188B">
        <w:rPr>
          <w:rFonts w:ascii="Verdana" w:hAnsi="Verdana" w:cs="Times New Roman"/>
          <w:b/>
          <w:bCs/>
          <w:sz w:val="20"/>
          <w:szCs w:val="20"/>
        </w:rPr>
        <w:t>Trb</w:t>
      </w:r>
      <w:proofErr w:type="spellEnd"/>
      <w:r w:rsidRPr="0051188B">
        <w:rPr>
          <w:rFonts w:ascii="Verdana" w:hAnsi="Verdana" w:cs="Times New Roman"/>
          <w:b/>
          <w:bCs/>
          <w:sz w:val="20"/>
          <w:szCs w:val="20"/>
        </w:rPr>
        <w:t xml:space="preserve">.  2016, </w:t>
      </w:r>
      <w:r w:rsidR="00C47774">
        <w:rPr>
          <w:rFonts w:ascii="Verdana" w:hAnsi="Verdana" w:cs="Times New Roman"/>
          <w:b/>
          <w:bCs/>
          <w:sz w:val="20"/>
          <w:szCs w:val="20"/>
        </w:rPr>
        <w:t>74)</w:t>
      </w:r>
    </w:p>
    <w:p w:rsidRPr="0051188B" w:rsidR="0051188B" w:rsidP="0051188B" w:rsidRDefault="0051188B">
      <w:pPr>
        <w:spacing w:line="360" w:lineRule="auto"/>
        <w:rPr>
          <w:rFonts w:ascii="Verdana" w:hAnsi="Verdana" w:cs="Times New Roman"/>
          <w:b/>
          <w:bCs/>
          <w:sz w:val="20"/>
          <w:szCs w:val="20"/>
        </w:rPr>
      </w:pPr>
    </w:p>
    <w:p w:rsidR="0051188B" w:rsidP="0051188B" w:rsidRDefault="0051188B">
      <w:pPr>
        <w:spacing w:line="360" w:lineRule="auto"/>
        <w:rPr>
          <w:rFonts w:ascii="Verdana" w:hAnsi="Verdana" w:cs="Times New Roman"/>
          <w:b/>
          <w:bCs/>
          <w:sz w:val="20"/>
          <w:szCs w:val="20"/>
        </w:rPr>
      </w:pPr>
      <w:r w:rsidRPr="0051188B">
        <w:rPr>
          <w:rFonts w:ascii="Verdana" w:hAnsi="Verdana" w:cs="Times New Roman"/>
          <w:b/>
          <w:bCs/>
          <w:sz w:val="20"/>
          <w:szCs w:val="20"/>
        </w:rPr>
        <w:t xml:space="preserve">TOELICHTENDE NOTA </w:t>
      </w:r>
    </w:p>
    <w:p w:rsidR="00C15349" w:rsidP="0051188B" w:rsidRDefault="00C15349">
      <w:pPr>
        <w:spacing w:line="360" w:lineRule="auto"/>
        <w:rPr>
          <w:rFonts w:ascii="Verdana" w:hAnsi="Verdana"/>
          <w:i/>
          <w:sz w:val="20"/>
          <w:szCs w:val="20"/>
          <w:u w:val="single"/>
        </w:rPr>
      </w:pPr>
    </w:p>
    <w:p w:rsidRPr="005D2DBD" w:rsidR="005D2DBD" w:rsidP="0051188B" w:rsidRDefault="004E1D45">
      <w:pPr>
        <w:spacing w:line="360" w:lineRule="auto"/>
        <w:rPr>
          <w:rFonts w:ascii="Verdana" w:hAnsi="Verdana"/>
          <w:i/>
          <w:sz w:val="20"/>
          <w:szCs w:val="20"/>
          <w:u w:val="single"/>
        </w:rPr>
      </w:pPr>
      <w:r>
        <w:rPr>
          <w:rFonts w:ascii="Verdana" w:hAnsi="Verdana"/>
          <w:i/>
          <w:sz w:val="20"/>
          <w:szCs w:val="20"/>
          <w:u w:val="single"/>
        </w:rPr>
        <w:t xml:space="preserve">Schrapping van artikel </w:t>
      </w:r>
      <w:r w:rsidR="00C87ADD">
        <w:rPr>
          <w:rFonts w:ascii="Verdana" w:hAnsi="Verdana"/>
          <w:i/>
          <w:sz w:val="20"/>
          <w:szCs w:val="20"/>
          <w:u w:val="single"/>
        </w:rPr>
        <w:t>1</w:t>
      </w:r>
      <w:r>
        <w:rPr>
          <w:rFonts w:ascii="Verdana" w:hAnsi="Verdana"/>
          <w:i/>
          <w:sz w:val="20"/>
          <w:szCs w:val="20"/>
          <w:u w:val="single"/>
        </w:rPr>
        <w:t>24 van het Statuut</w:t>
      </w:r>
    </w:p>
    <w:p w:rsidRPr="005D2DBD" w:rsidR="005D2DBD" w:rsidP="0051188B" w:rsidRDefault="005D2DBD">
      <w:pPr>
        <w:spacing w:line="360" w:lineRule="auto"/>
        <w:rPr>
          <w:rFonts w:ascii="Verdana" w:hAnsi="Verdana"/>
          <w:sz w:val="20"/>
          <w:szCs w:val="20"/>
        </w:rPr>
      </w:pPr>
      <w:r w:rsidRPr="005D2DBD">
        <w:rPr>
          <w:rFonts w:ascii="Verdana" w:hAnsi="Verdana"/>
          <w:sz w:val="20"/>
          <w:szCs w:val="20"/>
        </w:rPr>
        <w:t>Op 17 juli 1998 kwam te Rome tot stand het Statuut van Rome inzake het Internationaal Strafhof (</w:t>
      </w:r>
      <w:proofErr w:type="spellStart"/>
      <w:r w:rsidRPr="005D2DBD">
        <w:rPr>
          <w:rFonts w:ascii="Verdana" w:hAnsi="Verdana"/>
          <w:sz w:val="20"/>
          <w:szCs w:val="20"/>
        </w:rPr>
        <w:t>Trb</w:t>
      </w:r>
      <w:proofErr w:type="spellEnd"/>
      <w:r w:rsidRPr="005D2DBD">
        <w:rPr>
          <w:rFonts w:ascii="Verdana" w:hAnsi="Verdana"/>
          <w:sz w:val="20"/>
          <w:szCs w:val="20"/>
        </w:rPr>
        <w:t xml:space="preserve">. 2000, 120; hierna: het Statuut). Bij dit verdrag is het Internationaal Strafhof in het leven geroepen dat bevoegd is rechtsmacht uit te oefenen over personen ter zake van de meest ernstige internationale misdrijven. </w:t>
      </w:r>
    </w:p>
    <w:p w:rsidRPr="005D2DBD" w:rsidR="005D2DBD" w:rsidP="0051188B" w:rsidRDefault="005D2DBD">
      <w:pPr>
        <w:spacing w:line="360" w:lineRule="auto"/>
        <w:rPr>
          <w:rFonts w:ascii="Verdana" w:hAnsi="Verdana"/>
          <w:sz w:val="20"/>
          <w:szCs w:val="20"/>
        </w:rPr>
      </w:pPr>
      <w:r w:rsidRPr="005D2DBD">
        <w:rPr>
          <w:rFonts w:ascii="Verdana" w:hAnsi="Verdana"/>
          <w:sz w:val="20"/>
          <w:szCs w:val="20"/>
        </w:rPr>
        <w:t xml:space="preserve">Het Statuut is bij rijkswet goedgekeurd voor het gehele Koninkrijk (zie Stb. 2001, 343) en is op 1 juli 2002 voor het gehele Koninkrijk in werking getreden. Voor een toelichting op het verdrag wordt verwezen naar de memorie van toelichting die ten behoeve van de parlementaire goedkeuring was opgesteld (zie Kamerstukken II 2000–2001, 27 484 (R 1669), nr. 3). </w:t>
      </w:r>
    </w:p>
    <w:p w:rsidR="00C15349" w:rsidP="0051188B" w:rsidRDefault="00C15349">
      <w:pPr>
        <w:spacing w:line="360" w:lineRule="auto"/>
        <w:rPr>
          <w:rFonts w:ascii="Verdana" w:hAnsi="Verdana" w:cs="Times New Roman"/>
          <w:sz w:val="20"/>
          <w:szCs w:val="20"/>
        </w:rPr>
      </w:pPr>
    </w:p>
    <w:p w:rsidRPr="005D2DBD" w:rsidR="005D2DBD" w:rsidP="0051188B" w:rsidRDefault="005D2DBD">
      <w:pPr>
        <w:spacing w:line="360" w:lineRule="auto"/>
        <w:rPr>
          <w:rFonts w:ascii="Verdana" w:hAnsi="Verdana"/>
          <w:sz w:val="20"/>
          <w:szCs w:val="20"/>
        </w:rPr>
      </w:pPr>
      <w:r w:rsidRPr="005D2DBD">
        <w:rPr>
          <w:rFonts w:ascii="Verdana" w:hAnsi="Verdana" w:cs="Times New Roman"/>
          <w:sz w:val="20"/>
          <w:szCs w:val="20"/>
        </w:rPr>
        <w:t>Van 18 tot en met 26 november 2015 vond in ’s-Gravenhage de 1</w:t>
      </w:r>
      <w:r w:rsidR="00043ED1">
        <w:rPr>
          <w:rFonts w:ascii="Verdana" w:hAnsi="Verdana" w:cs="Times New Roman"/>
          <w:sz w:val="20"/>
          <w:szCs w:val="20"/>
        </w:rPr>
        <w:t>4</w:t>
      </w:r>
      <w:r w:rsidRPr="005D2DBD">
        <w:rPr>
          <w:rFonts w:ascii="Verdana" w:hAnsi="Verdana" w:cs="Times New Roman"/>
          <w:sz w:val="20"/>
          <w:szCs w:val="20"/>
          <w:vertAlign w:val="superscript"/>
        </w:rPr>
        <w:t>e</w:t>
      </w:r>
      <w:r w:rsidRPr="005D2DBD">
        <w:rPr>
          <w:rFonts w:ascii="Verdana" w:hAnsi="Verdana" w:cs="Times New Roman"/>
          <w:sz w:val="20"/>
          <w:szCs w:val="20"/>
        </w:rPr>
        <w:t xml:space="preserve"> Vergadering van de Staten die partij zijn bij het Statuut plaats. </w:t>
      </w:r>
      <w:r>
        <w:rPr>
          <w:rFonts w:ascii="Verdana" w:hAnsi="Verdana" w:cs="Times New Roman"/>
          <w:sz w:val="20"/>
          <w:szCs w:val="20"/>
        </w:rPr>
        <w:t>T</w:t>
      </w:r>
      <w:r w:rsidRPr="005D2DBD">
        <w:rPr>
          <w:rFonts w:ascii="Verdana" w:hAnsi="Verdana" w:cs="Times New Roman"/>
          <w:sz w:val="20"/>
          <w:szCs w:val="20"/>
        </w:rPr>
        <w:t xml:space="preserve">ijdens deze </w:t>
      </w:r>
      <w:r>
        <w:rPr>
          <w:rFonts w:ascii="Verdana" w:hAnsi="Verdana" w:cs="Times New Roman"/>
          <w:sz w:val="20"/>
          <w:szCs w:val="20"/>
        </w:rPr>
        <w:t>v</w:t>
      </w:r>
      <w:r w:rsidRPr="005D2DBD">
        <w:rPr>
          <w:rFonts w:ascii="Verdana" w:hAnsi="Verdana" w:cs="Times New Roman"/>
          <w:sz w:val="20"/>
          <w:szCs w:val="20"/>
        </w:rPr>
        <w:t xml:space="preserve">ergadering </w:t>
      </w:r>
      <w:r>
        <w:rPr>
          <w:rFonts w:ascii="Verdana" w:hAnsi="Verdana" w:cs="Times New Roman"/>
          <w:sz w:val="20"/>
          <w:szCs w:val="20"/>
        </w:rPr>
        <w:t xml:space="preserve">is </w:t>
      </w:r>
      <w:r w:rsidR="00C2137E">
        <w:rPr>
          <w:rFonts w:ascii="Verdana" w:hAnsi="Verdana" w:cs="Times New Roman"/>
          <w:sz w:val="20"/>
          <w:szCs w:val="20"/>
        </w:rPr>
        <w:t xml:space="preserve">bij consensus </w:t>
      </w:r>
      <w:r w:rsidRPr="005D2DBD">
        <w:rPr>
          <w:rFonts w:ascii="Verdana" w:hAnsi="Verdana" w:cs="Times New Roman"/>
          <w:sz w:val="20"/>
          <w:szCs w:val="20"/>
        </w:rPr>
        <w:t xml:space="preserve">een </w:t>
      </w:r>
      <w:r>
        <w:rPr>
          <w:rFonts w:ascii="Verdana" w:hAnsi="Verdana" w:cs="Times New Roman"/>
          <w:sz w:val="20"/>
          <w:szCs w:val="20"/>
        </w:rPr>
        <w:t>r</w:t>
      </w:r>
      <w:r w:rsidRPr="005D2DBD">
        <w:rPr>
          <w:rFonts w:ascii="Verdana" w:hAnsi="Verdana" w:cs="Times New Roman"/>
          <w:sz w:val="20"/>
          <w:szCs w:val="20"/>
        </w:rPr>
        <w:t xml:space="preserve">esolutie aangenomen </w:t>
      </w:r>
      <w:r>
        <w:rPr>
          <w:rFonts w:ascii="Verdana" w:hAnsi="Verdana" w:cs="Times New Roman"/>
          <w:sz w:val="20"/>
          <w:szCs w:val="20"/>
        </w:rPr>
        <w:t>die ertoe strekt dat artikel 124 van het Statuut wordt geschrapt</w:t>
      </w:r>
      <w:r w:rsidR="00A83114">
        <w:rPr>
          <w:rFonts w:ascii="Verdana" w:hAnsi="Verdana" w:cs="Times New Roman"/>
          <w:sz w:val="20"/>
          <w:szCs w:val="20"/>
        </w:rPr>
        <w:t>.</w:t>
      </w:r>
      <w:r>
        <w:rPr>
          <w:rStyle w:val="FootnoteReference"/>
          <w:rFonts w:ascii="Verdana" w:hAnsi="Verdana" w:cs="Times New Roman"/>
          <w:sz w:val="20"/>
          <w:szCs w:val="20"/>
        </w:rPr>
        <w:footnoteReference w:id="1"/>
      </w:r>
    </w:p>
    <w:p w:rsidR="00767686" w:rsidP="0051188B" w:rsidRDefault="00767686">
      <w:pPr>
        <w:spacing w:line="360" w:lineRule="auto"/>
        <w:rPr>
          <w:rFonts w:ascii="Verdana" w:hAnsi="Verdana" w:cs="Times New Roman"/>
          <w:sz w:val="20"/>
          <w:szCs w:val="20"/>
        </w:rPr>
      </w:pPr>
    </w:p>
    <w:p w:rsidR="00B07276" w:rsidP="0051188B" w:rsidRDefault="005D2DBD">
      <w:pPr>
        <w:spacing w:line="360" w:lineRule="auto"/>
        <w:rPr>
          <w:rFonts w:ascii="Verdana" w:hAnsi="Verdana" w:cs="Times New Roman"/>
          <w:sz w:val="20"/>
          <w:szCs w:val="20"/>
        </w:rPr>
      </w:pPr>
      <w:r w:rsidRPr="005D2DBD">
        <w:rPr>
          <w:rFonts w:ascii="Verdana" w:hAnsi="Verdana" w:cs="Times New Roman"/>
          <w:sz w:val="20"/>
          <w:szCs w:val="20"/>
        </w:rPr>
        <w:t xml:space="preserve">Artikel 124 </w:t>
      </w:r>
      <w:r w:rsidR="008B4274">
        <w:rPr>
          <w:rFonts w:ascii="Verdana" w:hAnsi="Verdana" w:cs="Times New Roman"/>
          <w:sz w:val="20"/>
          <w:szCs w:val="20"/>
        </w:rPr>
        <w:t xml:space="preserve">bevat voor een staat, wanneer deze partij wordt bij het Statuut, </w:t>
      </w:r>
      <w:r w:rsidRPr="005D2DBD">
        <w:rPr>
          <w:rFonts w:ascii="Verdana" w:hAnsi="Verdana" w:cs="Times New Roman"/>
          <w:sz w:val="20"/>
          <w:szCs w:val="20"/>
        </w:rPr>
        <w:t xml:space="preserve">een </w:t>
      </w:r>
      <w:r w:rsidRPr="005D2DBD" w:rsidR="00142122">
        <w:rPr>
          <w:rFonts w:ascii="Verdana" w:hAnsi="Verdana" w:cs="Times New Roman"/>
          <w:sz w:val="20"/>
          <w:szCs w:val="20"/>
        </w:rPr>
        <w:t>overgangs</w:t>
      </w:r>
      <w:r w:rsidR="00142122">
        <w:rPr>
          <w:rFonts w:ascii="Verdana" w:hAnsi="Verdana" w:cs="Times New Roman"/>
          <w:sz w:val="20"/>
          <w:szCs w:val="20"/>
        </w:rPr>
        <w:t>regeling</w:t>
      </w:r>
      <w:r w:rsidRPr="005D2DBD" w:rsidR="00142122">
        <w:rPr>
          <w:rFonts w:ascii="Verdana" w:hAnsi="Verdana" w:cs="Times New Roman"/>
          <w:sz w:val="20"/>
          <w:szCs w:val="20"/>
        </w:rPr>
        <w:t xml:space="preserve"> </w:t>
      </w:r>
      <w:r w:rsidRPr="005D2DBD">
        <w:rPr>
          <w:rFonts w:ascii="Verdana" w:hAnsi="Verdana" w:cs="Times New Roman"/>
          <w:sz w:val="20"/>
          <w:szCs w:val="20"/>
        </w:rPr>
        <w:t xml:space="preserve">die het mogelijk maakt voor </w:t>
      </w:r>
      <w:r w:rsidR="008B4274">
        <w:rPr>
          <w:rFonts w:ascii="Verdana" w:hAnsi="Verdana" w:cs="Times New Roman"/>
          <w:sz w:val="20"/>
          <w:szCs w:val="20"/>
        </w:rPr>
        <w:t xml:space="preserve">deze </w:t>
      </w:r>
      <w:r w:rsidRPr="005D2DBD">
        <w:rPr>
          <w:rFonts w:ascii="Verdana" w:hAnsi="Verdana" w:cs="Times New Roman"/>
          <w:sz w:val="20"/>
          <w:szCs w:val="20"/>
        </w:rPr>
        <w:t>sta</w:t>
      </w:r>
      <w:r w:rsidR="00767686">
        <w:rPr>
          <w:rFonts w:ascii="Verdana" w:hAnsi="Verdana" w:cs="Times New Roman"/>
          <w:sz w:val="20"/>
          <w:szCs w:val="20"/>
        </w:rPr>
        <w:t>a</w:t>
      </w:r>
      <w:r w:rsidRPr="005D2DBD">
        <w:rPr>
          <w:rFonts w:ascii="Verdana" w:hAnsi="Verdana" w:cs="Times New Roman"/>
          <w:sz w:val="20"/>
          <w:szCs w:val="20"/>
        </w:rPr>
        <w:t xml:space="preserve">t om ervoor te kiezen dat </w:t>
      </w:r>
      <w:r w:rsidR="00767686">
        <w:rPr>
          <w:rFonts w:ascii="Verdana" w:hAnsi="Verdana" w:cs="Times New Roman"/>
          <w:sz w:val="20"/>
          <w:szCs w:val="20"/>
        </w:rPr>
        <w:t xml:space="preserve">zijn </w:t>
      </w:r>
      <w:r w:rsidRPr="005D2DBD">
        <w:rPr>
          <w:rFonts w:ascii="Verdana" w:hAnsi="Verdana" w:cs="Times New Roman"/>
          <w:sz w:val="20"/>
          <w:szCs w:val="20"/>
        </w:rPr>
        <w:t xml:space="preserve">onderdanen gedurende zeven jaar na </w:t>
      </w:r>
      <w:r w:rsidR="008B4274">
        <w:rPr>
          <w:rFonts w:ascii="Verdana" w:hAnsi="Verdana" w:cs="Times New Roman"/>
          <w:sz w:val="20"/>
          <w:szCs w:val="20"/>
        </w:rPr>
        <w:t xml:space="preserve">betreffende </w:t>
      </w:r>
      <w:r w:rsidRPr="005D2DBD">
        <w:rPr>
          <w:rFonts w:ascii="Verdana" w:hAnsi="Verdana" w:cs="Times New Roman"/>
          <w:sz w:val="20"/>
          <w:szCs w:val="20"/>
        </w:rPr>
        <w:t>ratificatie van het Statuut niet onder de jurisdictie van het Hof op het gebied van oorlogsmisdaden vallen.</w:t>
      </w:r>
    </w:p>
    <w:p w:rsidR="00B07276" w:rsidP="0051188B" w:rsidRDefault="00B07276">
      <w:pPr>
        <w:spacing w:line="360" w:lineRule="auto"/>
        <w:rPr>
          <w:rFonts w:ascii="Verdana" w:hAnsi="Verdana" w:cs="Times New Roman"/>
          <w:sz w:val="20"/>
          <w:szCs w:val="20"/>
        </w:rPr>
      </w:pPr>
    </w:p>
    <w:p w:rsidRPr="005D2DBD" w:rsidR="005D2DBD" w:rsidP="0051188B" w:rsidRDefault="005D2DBD">
      <w:pPr>
        <w:spacing w:line="360" w:lineRule="auto"/>
        <w:rPr>
          <w:rFonts w:ascii="Verdana" w:hAnsi="Verdana" w:cs="Times New Roman"/>
          <w:sz w:val="20"/>
          <w:szCs w:val="20"/>
        </w:rPr>
      </w:pPr>
      <w:r w:rsidRPr="005D2DBD">
        <w:rPr>
          <w:rFonts w:ascii="Verdana" w:hAnsi="Verdana" w:cs="Times New Roman"/>
          <w:sz w:val="20"/>
          <w:szCs w:val="20"/>
        </w:rPr>
        <w:t xml:space="preserve">Artikel 124 stelt dat het </w:t>
      </w:r>
      <w:r w:rsidR="00B07276">
        <w:rPr>
          <w:rFonts w:ascii="Verdana" w:hAnsi="Verdana" w:cs="Times New Roman"/>
          <w:sz w:val="20"/>
          <w:szCs w:val="20"/>
        </w:rPr>
        <w:t xml:space="preserve">in dit </w:t>
      </w:r>
      <w:r w:rsidRPr="005D2DBD">
        <w:rPr>
          <w:rFonts w:ascii="Verdana" w:hAnsi="Verdana" w:cs="Times New Roman"/>
          <w:sz w:val="20"/>
          <w:szCs w:val="20"/>
        </w:rPr>
        <w:t xml:space="preserve">artikel </w:t>
      </w:r>
      <w:r w:rsidR="00B07276">
        <w:rPr>
          <w:rFonts w:ascii="Verdana" w:hAnsi="Verdana" w:cs="Times New Roman"/>
          <w:sz w:val="20"/>
          <w:szCs w:val="20"/>
        </w:rPr>
        <w:t xml:space="preserve">bepaalde kan </w:t>
      </w:r>
      <w:r w:rsidRPr="005D2DBD">
        <w:rPr>
          <w:rFonts w:ascii="Verdana" w:hAnsi="Verdana" w:cs="Times New Roman"/>
          <w:sz w:val="20"/>
          <w:szCs w:val="20"/>
        </w:rPr>
        <w:t xml:space="preserve">worden herzien. </w:t>
      </w:r>
      <w:r w:rsidR="00B07276">
        <w:rPr>
          <w:rFonts w:ascii="Verdana" w:hAnsi="Verdana" w:cs="Times New Roman"/>
          <w:sz w:val="20"/>
          <w:szCs w:val="20"/>
        </w:rPr>
        <w:t>Echter, z</w:t>
      </w:r>
      <w:r w:rsidR="004E1D45">
        <w:rPr>
          <w:rFonts w:ascii="Verdana" w:hAnsi="Verdana" w:cs="Times New Roman"/>
          <w:sz w:val="20"/>
          <w:szCs w:val="20"/>
        </w:rPr>
        <w:t xml:space="preserve">oals hiervoor al opgemerkt, heeft de Vergadering van verdragspartijen </w:t>
      </w:r>
      <w:r w:rsidRPr="005D2DBD">
        <w:rPr>
          <w:rFonts w:ascii="Verdana" w:hAnsi="Verdana" w:cs="Times New Roman"/>
          <w:sz w:val="20"/>
          <w:szCs w:val="20"/>
        </w:rPr>
        <w:t xml:space="preserve">besloten het artikel te </w:t>
      </w:r>
      <w:r w:rsidR="004E1D45">
        <w:rPr>
          <w:rFonts w:ascii="Verdana" w:hAnsi="Verdana" w:cs="Times New Roman"/>
          <w:sz w:val="20"/>
          <w:szCs w:val="20"/>
        </w:rPr>
        <w:t>schrappen</w:t>
      </w:r>
      <w:r w:rsidRPr="005D2DBD">
        <w:rPr>
          <w:rFonts w:ascii="Verdana" w:hAnsi="Verdana" w:cs="Times New Roman"/>
          <w:sz w:val="20"/>
          <w:szCs w:val="20"/>
        </w:rPr>
        <w:t>. Een aantal delegaties heeft geopperd dat artikel 124 wellicht een positieve invloed zou kunnen uitoefenen op de universaliteit van het Statuut van Rome. Hier is uiteindelijk aan voorbij gegaan</w:t>
      </w:r>
      <w:r w:rsidR="004E1D45">
        <w:rPr>
          <w:rFonts w:ascii="Verdana" w:hAnsi="Verdana" w:cs="Times New Roman"/>
          <w:sz w:val="20"/>
          <w:szCs w:val="20"/>
        </w:rPr>
        <w:t>,</w:t>
      </w:r>
      <w:r w:rsidRPr="005D2DBD">
        <w:rPr>
          <w:rFonts w:ascii="Verdana" w:hAnsi="Verdana" w:cs="Times New Roman"/>
          <w:sz w:val="20"/>
          <w:szCs w:val="20"/>
        </w:rPr>
        <w:t xml:space="preserve"> gezien het feit dat het artikel een overgangsregeling betreft en het artikel zelden is ingeroepen. Slechts twee landen, Frankrijk en Colombia, hebben gebruik gemaakt van het artikel. Frankrijk heeft in 2008 zijn verklaring ingetrokken. De effecten van de verklaring van Colombia zijn op 1 november 2009 verstreken. Nederland heeft zich bij </w:t>
      </w:r>
      <w:r w:rsidR="00C87ADD">
        <w:rPr>
          <w:rFonts w:ascii="Verdana" w:hAnsi="Verdana" w:cs="Times New Roman"/>
          <w:sz w:val="20"/>
          <w:szCs w:val="20"/>
        </w:rPr>
        <w:t xml:space="preserve">het algemene </w:t>
      </w:r>
      <w:r w:rsidRPr="005D2DBD">
        <w:rPr>
          <w:rFonts w:ascii="Verdana" w:hAnsi="Verdana" w:cs="Times New Roman"/>
          <w:sz w:val="20"/>
          <w:szCs w:val="20"/>
        </w:rPr>
        <w:t xml:space="preserve">standpunt </w:t>
      </w:r>
      <w:r w:rsidR="00C87ADD">
        <w:rPr>
          <w:rFonts w:ascii="Verdana" w:hAnsi="Verdana" w:cs="Times New Roman"/>
          <w:sz w:val="20"/>
          <w:szCs w:val="20"/>
        </w:rPr>
        <w:t xml:space="preserve">van de Vergadering </w:t>
      </w:r>
      <w:r w:rsidRPr="005D2DBD">
        <w:rPr>
          <w:rFonts w:ascii="Verdana" w:hAnsi="Verdana" w:cs="Times New Roman"/>
          <w:sz w:val="20"/>
          <w:szCs w:val="20"/>
        </w:rPr>
        <w:t>aangesloten.</w:t>
      </w:r>
    </w:p>
    <w:p w:rsidRPr="005D2DBD" w:rsidR="005D2DBD" w:rsidP="0051188B" w:rsidRDefault="005D2DBD">
      <w:pPr>
        <w:spacing w:line="360" w:lineRule="auto"/>
        <w:rPr>
          <w:rFonts w:ascii="Verdana" w:hAnsi="Verdana"/>
          <w:sz w:val="20"/>
          <w:szCs w:val="20"/>
        </w:rPr>
      </w:pPr>
    </w:p>
    <w:p w:rsidRPr="004E1D45" w:rsidR="005D2DBD" w:rsidP="0051188B" w:rsidRDefault="004E1D45">
      <w:pPr>
        <w:spacing w:line="360" w:lineRule="auto"/>
        <w:rPr>
          <w:rFonts w:ascii="Verdana" w:hAnsi="Verdana"/>
          <w:i/>
          <w:iCs/>
          <w:sz w:val="20"/>
          <w:szCs w:val="20"/>
          <w:u w:val="single"/>
        </w:rPr>
      </w:pPr>
      <w:r w:rsidRPr="004E1D45">
        <w:rPr>
          <w:rFonts w:ascii="Verdana" w:hAnsi="Verdana"/>
          <w:i/>
          <w:iCs/>
          <w:sz w:val="20"/>
          <w:szCs w:val="20"/>
          <w:u w:val="single"/>
        </w:rPr>
        <w:t>Procedurele aspecten</w:t>
      </w:r>
      <w:bookmarkStart w:name="_GoBack" w:id="0"/>
      <w:bookmarkEnd w:id="0"/>
    </w:p>
    <w:p w:rsidRPr="005D2DBD" w:rsidR="005D2DBD" w:rsidP="0051188B" w:rsidRDefault="005D2DBD">
      <w:pPr>
        <w:spacing w:line="360" w:lineRule="auto"/>
        <w:rPr>
          <w:rFonts w:ascii="Verdana" w:hAnsi="Verdana" w:cs="Times New Roman"/>
          <w:sz w:val="20"/>
          <w:szCs w:val="20"/>
        </w:rPr>
      </w:pPr>
      <w:r w:rsidRPr="005D2DBD">
        <w:rPr>
          <w:rFonts w:ascii="Verdana" w:hAnsi="Verdana" w:cs="Times New Roman"/>
          <w:sz w:val="20"/>
          <w:szCs w:val="20"/>
        </w:rPr>
        <w:t>Voor het aannemen van de wijziging, die betrekking heeft op het schrappen van artikel 124 van het Statuut, is de procedure gevolgd zoals omsc</w:t>
      </w:r>
      <w:r w:rsidR="00317F8D">
        <w:rPr>
          <w:rFonts w:ascii="Verdana" w:hAnsi="Verdana" w:cs="Times New Roman"/>
          <w:sz w:val="20"/>
          <w:szCs w:val="20"/>
        </w:rPr>
        <w:t>hreven in artikel 121</w:t>
      </w:r>
      <w:r w:rsidRPr="005D2DBD">
        <w:rPr>
          <w:rFonts w:ascii="Verdana" w:hAnsi="Verdana" w:cs="Times New Roman"/>
          <w:sz w:val="20"/>
          <w:szCs w:val="20"/>
        </w:rPr>
        <w:t xml:space="preserve"> van het Statuut. </w:t>
      </w:r>
    </w:p>
    <w:p w:rsidR="00283EC5" w:rsidP="0051188B" w:rsidRDefault="00283EC5">
      <w:pPr>
        <w:spacing w:line="360" w:lineRule="auto"/>
        <w:rPr>
          <w:rFonts w:ascii="Verdana" w:hAnsi="Verdana" w:cs="Times New Roman"/>
          <w:sz w:val="20"/>
          <w:szCs w:val="20"/>
        </w:rPr>
      </w:pPr>
    </w:p>
    <w:p w:rsidRPr="005D2DBD" w:rsidR="005D2DBD" w:rsidP="0051188B" w:rsidRDefault="005D2DBD">
      <w:pPr>
        <w:spacing w:line="360" w:lineRule="auto"/>
        <w:rPr>
          <w:rFonts w:ascii="Verdana" w:hAnsi="Verdana" w:cs="Times New Roman"/>
          <w:sz w:val="20"/>
          <w:szCs w:val="20"/>
        </w:rPr>
      </w:pPr>
      <w:r w:rsidRPr="005D2DBD">
        <w:rPr>
          <w:rFonts w:ascii="Verdana" w:hAnsi="Verdana" w:cs="Times New Roman"/>
          <w:sz w:val="20"/>
          <w:szCs w:val="20"/>
        </w:rPr>
        <w:t xml:space="preserve">Voor de inwerkingtreding van </w:t>
      </w:r>
      <w:r w:rsidR="00C87ADD">
        <w:rPr>
          <w:rFonts w:ascii="Verdana" w:hAnsi="Verdana" w:cs="Times New Roman"/>
          <w:sz w:val="20"/>
          <w:szCs w:val="20"/>
        </w:rPr>
        <w:t xml:space="preserve">een </w:t>
      </w:r>
      <w:r w:rsidRPr="005D2DBD">
        <w:rPr>
          <w:rFonts w:ascii="Verdana" w:hAnsi="Verdana" w:cs="Times New Roman"/>
          <w:sz w:val="20"/>
          <w:szCs w:val="20"/>
        </w:rPr>
        <w:t xml:space="preserve">wijziging is </w:t>
      </w:r>
      <w:r w:rsidR="004179F0">
        <w:rPr>
          <w:rFonts w:ascii="Verdana" w:hAnsi="Verdana" w:cs="Times New Roman"/>
          <w:sz w:val="20"/>
          <w:szCs w:val="20"/>
        </w:rPr>
        <w:t xml:space="preserve">de hoofdregel dat als </w:t>
      </w:r>
      <w:proofErr w:type="spellStart"/>
      <w:r w:rsidR="004179F0">
        <w:rPr>
          <w:rFonts w:ascii="Verdana" w:hAnsi="Verdana" w:cs="Times New Roman"/>
          <w:sz w:val="20"/>
          <w:szCs w:val="20"/>
        </w:rPr>
        <w:t>zeven</w:t>
      </w:r>
      <w:r w:rsidRPr="005D2DBD">
        <w:rPr>
          <w:rFonts w:ascii="Verdana" w:hAnsi="Verdana" w:cs="Times New Roman"/>
          <w:sz w:val="20"/>
          <w:szCs w:val="20"/>
        </w:rPr>
        <w:t>achtste</w:t>
      </w:r>
      <w:proofErr w:type="spellEnd"/>
      <w:r w:rsidRPr="005D2DBD">
        <w:rPr>
          <w:rFonts w:ascii="Verdana" w:hAnsi="Verdana" w:cs="Times New Roman"/>
          <w:sz w:val="20"/>
          <w:szCs w:val="20"/>
        </w:rPr>
        <w:t xml:space="preserve"> van het aantal partijen bij het Statuut </w:t>
      </w:r>
      <w:r w:rsidR="00916B78">
        <w:rPr>
          <w:rFonts w:ascii="Verdana" w:hAnsi="Verdana" w:cs="Times New Roman"/>
          <w:sz w:val="20"/>
          <w:szCs w:val="20"/>
        </w:rPr>
        <w:t xml:space="preserve">de wijziging </w:t>
      </w:r>
      <w:r w:rsidRPr="005D2DBD">
        <w:rPr>
          <w:rFonts w:ascii="Verdana" w:hAnsi="Verdana" w:cs="Times New Roman"/>
          <w:sz w:val="20"/>
          <w:szCs w:val="20"/>
        </w:rPr>
        <w:t>heeft bekrachtigd, de</w:t>
      </w:r>
      <w:r w:rsidR="00916B78">
        <w:rPr>
          <w:rFonts w:ascii="Verdana" w:hAnsi="Verdana" w:cs="Times New Roman"/>
          <w:sz w:val="20"/>
          <w:szCs w:val="20"/>
        </w:rPr>
        <w:t>ze</w:t>
      </w:r>
      <w:r w:rsidRPr="005D2DBD">
        <w:rPr>
          <w:rFonts w:ascii="Verdana" w:hAnsi="Verdana" w:cs="Times New Roman"/>
          <w:sz w:val="20"/>
          <w:szCs w:val="20"/>
        </w:rPr>
        <w:t xml:space="preserve"> wijziging voor alle partijen van kracht wordt (</w:t>
      </w:r>
      <w:r w:rsidR="00916B78">
        <w:rPr>
          <w:rFonts w:ascii="Verdana" w:hAnsi="Verdana" w:cs="Times New Roman"/>
          <w:sz w:val="20"/>
          <w:szCs w:val="20"/>
        </w:rPr>
        <w:t xml:space="preserve">zie </w:t>
      </w:r>
      <w:r w:rsidRPr="005D2DBD">
        <w:rPr>
          <w:rFonts w:ascii="Verdana" w:hAnsi="Verdana" w:cs="Times New Roman"/>
          <w:sz w:val="20"/>
          <w:szCs w:val="20"/>
        </w:rPr>
        <w:t xml:space="preserve">artikel 121, vierde lid). Gezien de hoge drempel voor inwerkingtreding zal de </w:t>
      </w:r>
      <w:r w:rsidR="00283EC5">
        <w:rPr>
          <w:rFonts w:ascii="Verdana" w:hAnsi="Verdana" w:cs="Times New Roman"/>
          <w:sz w:val="20"/>
          <w:szCs w:val="20"/>
        </w:rPr>
        <w:t xml:space="preserve">onderhavige </w:t>
      </w:r>
      <w:r w:rsidRPr="005D2DBD">
        <w:rPr>
          <w:rFonts w:ascii="Verdana" w:hAnsi="Verdana" w:cs="Times New Roman"/>
          <w:sz w:val="20"/>
          <w:szCs w:val="20"/>
        </w:rPr>
        <w:t xml:space="preserve">parlementaire goedkeuringsprocedure met betrekking tot de </w:t>
      </w:r>
      <w:r w:rsidR="00283EC5">
        <w:rPr>
          <w:rFonts w:ascii="Verdana" w:hAnsi="Verdana" w:cs="Times New Roman"/>
          <w:sz w:val="20"/>
          <w:szCs w:val="20"/>
        </w:rPr>
        <w:t>deze</w:t>
      </w:r>
      <w:r w:rsidRPr="005D2DBD">
        <w:rPr>
          <w:rFonts w:ascii="Verdana" w:hAnsi="Verdana" w:cs="Times New Roman"/>
          <w:sz w:val="20"/>
          <w:szCs w:val="20"/>
        </w:rPr>
        <w:t xml:space="preserve"> wijziging</w:t>
      </w:r>
      <w:r w:rsidR="00C87ADD">
        <w:rPr>
          <w:rFonts w:ascii="Verdana" w:hAnsi="Verdana" w:cs="Times New Roman"/>
          <w:sz w:val="20"/>
          <w:szCs w:val="20"/>
        </w:rPr>
        <w:t xml:space="preserve"> zonder meer </w:t>
      </w:r>
      <w:r w:rsidRPr="005D2DBD">
        <w:rPr>
          <w:rFonts w:ascii="Verdana" w:hAnsi="Verdana" w:cs="Times New Roman"/>
          <w:sz w:val="20"/>
          <w:szCs w:val="20"/>
        </w:rPr>
        <w:t>zijn afgerond voordat de wijziging in werking treedt.</w:t>
      </w:r>
    </w:p>
    <w:p w:rsidR="008363EB" w:rsidP="0051188B" w:rsidRDefault="008363EB">
      <w:pPr>
        <w:rPr>
          <w:rFonts w:ascii="Verdana" w:hAnsi="Verdana"/>
          <w:sz w:val="20"/>
          <w:szCs w:val="20"/>
        </w:rPr>
      </w:pPr>
    </w:p>
    <w:p w:rsidRPr="0051188B" w:rsidR="0051188B" w:rsidP="0051188B" w:rsidRDefault="0051188B">
      <w:pPr>
        <w:spacing w:line="360" w:lineRule="auto"/>
        <w:rPr>
          <w:rFonts w:ascii="Verdana" w:hAnsi="Verdana" w:cs="Times New Roman"/>
          <w:i/>
          <w:sz w:val="20"/>
          <w:szCs w:val="20"/>
          <w:u w:val="single"/>
        </w:rPr>
      </w:pPr>
      <w:proofErr w:type="spellStart"/>
      <w:r w:rsidRPr="0051188B">
        <w:rPr>
          <w:rFonts w:ascii="Verdana" w:hAnsi="Verdana" w:cs="Times New Roman"/>
          <w:bCs/>
          <w:i/>
          <w:sz w:val="20"/>
          <w:szCs w:val="20"/>
          <w:u w:val="single"/>
        </w:rPr>
        <w:t>Koninkrijk</w:t>
      </w:r>
      <w:r>
        <w:rPr>
          <w:rFonts w:ascii="Verdana" w:hAnsi="Verdana" w:cs="Times New Roman"/>
          <w:bCs/>
          <w:i/>
          <w:sz w:val="20"/>
          <w:szCs w:val="20"/>
          <w:u w:val="single"/>
        </w:rPr>
        <w:t>s</w:t>
      </w:r>
      <w:r w:rsidRPr="0051188B">
        <w:rPr>
          <w:rFonts w:ascii="Verdana" w:hAnsi="Verdana" w:cs="Times New Roman"/>
          <w:bCs/>
          <w:i/>
          <w:sz w:val="20"/>
          <w:szCs w:val="20"/>
          <w:u w:val="single"/>
        </w:rPr>
        <w:t>positie</w:t>
      </w:r>
      <w:proofErr w:type="spellEnd"/>
    </w:p>
    <w:p w:rsidR="008B4274" w:rsidP="0051188B" w:rsidRDefault="008B4274">
      <w:pPr>
        <w:spacing w:line="360" w:lineRule="auto"/>
        <w:rPr>
          <w:rFonts w:ascii="Verdana" w:hAnsi="Verdana"/>
          <w:sz w:val="20"/>
          <w:szCs w:val="20"/>
        </w:rPr>
      </w:pPr>
      <w:r w:rsidRPr="00283EC5">
        <w:rPr>
          <w:rFonts w:ascii="Verdana" w:hAnsi="Verdana"/>
          <w:sz w:val="20"/>
          <w:szCs w:val="20"/>
        </w:rPr>
        <w:t xml:space="preserve">De wijziging van het Statuut zal gelden voor het Europese deel en het Caribische deel van Nederland. </w:t>
      </w:r>
    </w:p>
    <w:p w:rsidRPr="003D57A5" w:rsidR="00283EC5" w:rsidP="0051188B" w:rsidRDefault="0051188B">
      <w:pPr>
        <w:spacing w:line="360" w:lineRule="auto"/>
        <w:rPr>
          <w:rFonts w:ascii="Verdana" w:hAnsi="Verdana"/>
          <w:sz w:val="20"/>
          <w:szCs w:val="20"/>
        </w:rPr>
      </w:pPr>
      <w:r w:rsidRPr="00283EC5">
        <w:rPr>
          <w:rFonts w:ascii="Verdana" w:hAnsi="Verdana"/>
          <w:sz w:val="20"/>
          <w:szCs w:val="20"/>
        </w:rPr>
        <w:t xml:space="preserve">Zoals in de inleiding is aangegeven geldt het Statuut van Rome inzake het Internationaal Strafhof voor het gehele Koninkrijk. De onderhavige wijziging van het Statuut zal dan ook voor het gehele Koninkrijk worden goedgekeurd. </w:t>
      </w:r>
      <w:r w:rsidR="00C47774">
        <w:rPr>
          <w:rFonts w:ascii="Verdana" w:hAnsi="Verdana"/>
          <w:sz w:val="20"/>
          <w:szCs w:val="20"/>
        </w:rPr>
        <w:t>De regering van Curaçao heeft aangegeven medegelding</w:t>
      </w:r>
      <w:r w:rsidRPr="00283EC5" w:rsidR="00C47774">
        <w:rPr>
          <w:rFonts w:ascii="Verdana" w:hAnsi="Verdana"/>
          <w:sz w:val="20"/>
          <w:szCs w:val="20"/>
        </w:rPr>
        <w:t xml:space="preserve"> </w:t>
      </w:r>
      <w:r w:rsidR="00C47774">
        <w:rPr>
          <w:rFonts w:ascii="Verdana" w:hAnsi="Verdana"/>
          <w:sz w:val="20"/>
          <w:szCs w:val="20"/>
        </w:rPr>
        <w:t xml:space="preserve">wenselijk te achten. </w:t>
      </w:r>
      <w:r w:rsidRPr="00283EC5" w:rsidR="00283EC5">
        <w:rPr>
          <w:rFonts w:ascii="Verdana" w:hAnsi="Verdana"/>
          <w:sz w:val="20"/>
          <w:szCs w:val="20"/>
        </w:rPr>
        <w:t>Van Aruba en Sint Maarten is nog geen bevestiging over de medegelding ontvangen omdat de regeringen van die landen hierover nog geen besluit hebben kunnen nemen. Wanneer deze landen hebben aangegeven dat medegelding van de wijziging gewenst is, zal de onderhavige wijziging van het Statuut eveneens voor die landen kunnen worden aanvaard.</w:t>
      </w:r>
    </w:p>
    <w:p w:rsidRPr="003D57A5" w:rsidR="0051188B" w:rsidP="0051188B" w:rsidRDefault="0051188B">
      <w:pPr>
        <w:spacing w:line="360" w:lineRule="auto"/>
        <w:rPr>
          <w:rFonts w:ascii="Verdana" w:hAnsi="Verdana" w:cs="Times New Roman"/>
          <w:sz w:val="20"/>
          <w:szCs w:val="20"/>
        </w:rPr>
      </w:pPr>
    </w:p>
    <w:p w:rsidRPr="003D57A5" w:rsidR="0051188B" w:rsidP="0051188B" w:rsidRDefault="0051188B">
      <w:pPr>
        <w:spacing w:line="360" w:lineRule="auto"/>
        <w:rPr>
          <w:rFonts w:ascii="Verdana" w:hAnsi="Verdana" w:cs="Times New Roman"/>
          <w:sz w:val="20"/>
          <w:szCs w:val="20"/>
        </w:rPr>
      </w:pPr>
      <w:r w:rsidRPr="003D57A5">
        <w:rPr>
          <w:rFonts w:ascii="Verdana" w:hAnsi="Verdana" w:cs="Times New Roman"/>
          <w:sz w:val="20"/>
          <w:szCs w:val="20"/>
        </w:rPr>
        <w:t>De Minister van Buitenlandse Zaken,</w:t>
      </w:r>
    </w:p>
    <w:p w:rsidRPr="003D57A5" w:rsidR="0051188B" w:rsidP="0051188B" w:rsidRDefault="0051188B">
      <w:pPr>
        <w:spacing w:line="360" w:lineRule="auto"/>
        <w:rPr>
          <w:rFonts w:ascii="Verdana" w:hAnsi="Verdana" w:cs="Times New Roman"/>
          <w:sz w:val="20"/>
          <w:szCs w:val="20"/>
        </w:rPr>
      </w:pPr>
    </w:p>
    <w:p w:rsidRPr="003D57A5" w:rsidR="0051188B" w:rsidP="0051188B" w:rsidRDefault="0051188B">
      <w:pPr>
        <w:spacing w:line="360" w:lineRule="auto"/>
        <w:rPr>
          <w:rFonts w:ascii="Verdana" w:hAnsi="Verdana" w:cs="Times New Roman"/>
          <w:sz w:val="20"/>
          <w:szCs w:val="20"/>
        </w:rPr>
      </w:pPr>
    </w:p>
    <w:p w:rsidRPr="003D57A5" w:rsidR="0051188B" w:rsidP="0051188B" w:rsidRDefault="0051188B">
      <w:pPr>
        <w:spacing w:line="360" w:lineRule="auto"/>
        <w:rPr>
          <w:rFonts w:ascii="Verdana" w:hAnsi="Verdana" w:cs="Times New Roman"/>
          <w:sz w:val="20"/>
          <w:szCs w:val="20"/>
        </w:rPr>
      </w:pPr>
      <w:r w:rsidRPr="003D57A5">
        <w:rPr>
          <w:rFonts w:ascii="Verdana" w:hAnsi="Verdana" w:cs="Times New Roman"/>
          <w:sz w:val="20"/>
          <w:szCs w:val="20"/>
        </w:rPr>
        <w:t>De Minister van Veiligheid en Justitie,</w:t>
      </w:r>
    </w:p>
    <w:p w:rsidR="0051188B" w:rsidP="0051188B" w:rsidRDefault="0051188B">
      <w:pPr>
        <w:rPr>
          <w:rFonts w:ascii="Verdana" w:hAnsi="Verdana"/>
          <w:sz w:val="20"/>
          <w:szCs w:val="20"/>
        </w:rPr>
      </w:pPr>
    </w:p>
    <w:p w:rsidRPr="005D2DBD" w:rsidR="0051188B" w:rsidP="0051188B" w:rsidRDefault="0051188B">
      <w:pPr>
        <w:rPr>
          <w:rFonts w:ascii="Verdana" w:hAnsi="Verdana"/>
          <w:sz w:val="20"/>
          <w:szCs w:val="20"/>
        </w:rPr>
      </w:pPr>
    </w:p>
    <w:sectPr w:rsidRPr="005D2DBD" w:rsidR="0051188B" w:rsidSect="00A62E0F">
      <w:footerReference w:type="default" r:id="rId8"/>
      <w:footerReference w:type="first" r:id="rId9"/>
      <w:pgSz w:w="11906" w:h="16838"/>
      <w:pgMar w:top="1134" w:right="1440" w:bottom="1134" w:left="1440"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9C5" w:rsidRDefault="006B59C5" w:rsidP="005D2DBD">
      <w:r>
        <w:separator/>
      </w:r>
    </w:p>
  </w:endnote>
  <w:endnote w:type="continuationSeparator" w:id="0">
    <w:p w:rsidR="006B59C5" w:rsidRDefault="006B59C5" w:rsidP="005D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977909"/>
      <w:docPartObj>
        <w:docPartGallery w:val="Page Numbers (Bottom of Page)"/>
        <w:docPartUnique/>
      </w:docPartObj>
    </w:sdtPr>
    <w:sdtEndPr/>
    <w:sdtContent>
      <w:p w:rsidR="00D00756" w:rsidRDefault="00D00756" w:rsidP="00D00756">
        <w:pPr>
          <w:pStyle w:val="Footer"/>
          <w:jc w:val="right"/>
        </w:pPr>
        <w:r>
          <w:fldChar w:fldCharType="begin"/>
        </w:r>
        <w:r>
          <w:instrText>PAGE   \* MERGEFORMAT</w:instrText>
        </w:r>
        <w:r>
          <w:fldChar w:fldCharType="separate"/>
        </w:r>
        <w:r w:rsidR="00A62E0F">
          <w:rPr>
            <w:noProof/>
          </w:rPr>
          <w:t>2</w:t>
        </w:r>
        <w:r>
          <w:fldChar w:fldCharType="end"/>
        </w:r>
      </w:p>
    </w:sdtContent>
  </w:sdt>
  <w:p w:rsidR="00C15349" w:rsidRPr="00D00756" w:rsidRDefault="00C15349" w:rsidP="00D00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56" w:rsidRDefault="00D00756">
    <w:pPr>
      <w:pStyle w:val="Footer"/>
      <w:pBdr>
        <w:bottom w:val="single" w:sz="12" w:space="1" w:color="auto"/>
      </w:pBdr>
      <w:rPr>
        <w:lang w:val="en-US"/>
      </w:rPr>
    </w:pPr>
  </w:p>
  <w:p w:rsidR="00D00756" w:rsidRPr="00D00756" w:rsidRDefault="00D00756">
    <w:pPr>
      <w:pStyle w:val="Footer"/>
      <w:rPr>
        <w:sz w:val="18"/>
        <w:szCs w:val="18"/>
      </w:rPr>
    </w:pPr>
    <w:r w:rsidRPr="00D00756">
      <w:rPr>
        <w:sz w:val="18"/>
        <w:szCs w:val="18"/>
      </w:rPr>
      <w:t>Het advies van de Afdeling advisering van de Raad van State van het Koninkrijk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9C5" w:rsidRDefault="006B59C5" w:rsidP="005D2DBD">
      <w:r>
        <w:separator/>
      </w:r>
    </w:p>
  </w:footnote>
  <w:footnote w:type="continuationSeparator" w:id="0">
    <w:p w:rsidR="006B59C5" w:rsidRDefault="006B59C5" w:rsidP="005D2DBD">
      <w:r>
        <w:continuationSeparator/>
      </w:r>
    </w:p>
  </w:footnote>
  <w:footnote w:id="1">
    <w:p w:rsidR="005D2DBD" w:rsidRPr="004E1D45" w:rsidRDefault="005D2DBD" w:rsidP="004E1D45">
      <w:pPr>
        <w:pStyle w:val="FootnoteText"/>
        <w:rPr>
          <w:rFonts w:ascii="Verdana" w:hAnsi="Verdana"/>
          <w:sz w:val="16"/>
          <w:szCs w:val="16"/>
        </w:rPr>
      </w:pPr>
      <w:r w:rsidRPr="004E1D45">
        <w:rPr>
          <w:rStyle w:val="FootnoteReference"/>
          <w:rFonts w:ascii="Verdana" w:hAnsi="Verdana"/>
          <w:sz w:val="16"/>
          <w:szCs w:val="16"/>
        </w:rPr>
        <w:footnoteRef/>
      </w:r>
      <w:r w:rsidRPr="004E1D45">
        <w:rPr>
          <w:rFonts w:ascii="Verdana" w:hAnsi="Verdana"/>
          <w:sz w:val="16"/>
          <w:szCs w:val="16"/>
        </w:rPr>
        <w:t xml:space="preserve"> </w:t>
      </w:r>
      <w:r w:rsidR="004E1D45">
        <w:rPr>
          <w:rFonts w:ascii="Verdana" w:hAnsi="Verdana"/>
          <w:sz w:val="16"/>
          <w:szCs w:val="16"/>
        </w:rPr>
        <w:t>R</w:t>
      </w:r>
      <w:r w:rsidR="004E1D45" w:rsidRPr="004E1D45">
        <w:rPr>
          <w:rFonts w:ascii="Verdana" w:hAnsi="Verdana" w:cs="Times New Roman"/>
          <w:sz w:val="16"/>
          <w:szCs w:val="16"/>
        </w:rPr>
        <w:t>esolutie van 26 november 2015, ICC-ASP/14/Res.2</w:t>
      </w:r>
      <w:r w:rsidR="004E1D45">
        <w:rPr>
          <w:rFonts w:ascii="Verdana" w:hAnsi="Verdana" w:cs="Times New Roman"/>
          <w:sz w:val="16"/>
          <w:szCs w:val="16"/>
        </w:rPr>
        <w:t xml:space="preserve">. </w:t>
      </w:r>
      <w:r w:rsidR="004E1D45" w:rsidRPr="004E1D45">
        <w:rPr>
          <w:rFonts w:ascii="Verdana" w:hAnsi="Verdana" w:cs="Times New Roman"/>
          <w:sz w:val="16"/>
          <w:szCs w:val="16"/>
        </w:rPr>
        <w:t xml:space="preserve">De resolutie kan worden geraadpleegd op de website van het Internationaal Strafhof: </w:t>
      </w:r>
      <w:r w:rsidRPr="004E1D45">
        <w:rPr>
          <w:rFonts w:ascii="Verdana" w:hAnsi="Verdana"/>
          <w:sz w:val="16"/>
          <w:szCs w:val="16"/>
        </w:rPr>
        <w:t>https://www.icc-cpi.int/iccdocs/asp_docs/Resolutions/ASP14/ICC-ASP-14-Res2-ENG.pdf</w:t>
      </w:r>
      <w:r w:rsidR="004E1D45">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86EBF"/>
    <w:multiLevelType w:val="hybridMultilevel"/>
    <w:tmpl w:val="5C50EA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BD"/>
    <w:rsid w:val="00043ED1"/>
    <w:rsid w:val="0011681E"/>
    <w:rsid w:val="00142122"/>
    <w:rsid w:val="00155985"/>
    <w:rsid w:val="001A1868"/>
    <w:rsid w:val="002742C5"/>
    <w:rsid w:val="00283EC5"/>
    <w:rsid w:val="00317F8D"/>
    <w:rsid w:val="003A4E6E"/>
    <w:rsid w:val="00406F22"/>
    <w:rsid w:val="004179F0"/>
    <w:rsid w:val="004948A2"/>
    <w:rsid w:val="004E1D45"/>
    <w:rsid w:val="0051188B"/>
    <w:rsid w:val="0051310A"/>
    <w:rsid w:val="005D2DBD"/>
    <w:rsid w:val="006B59C5"/>
    <w:rsid w:val="006D6A4C"/>
    <w:rsid w:val="00767686"/>
    <w:rsid w:val="00781ED3"/>
    <w:rsid w:val="008363EB"/>
    <w:rsid w:val="008B4274"/>
    <w:rsid w:val="00916B78"/>
    <w:rsid w:val="00921774"/>
    <w:rsid w:val="009B1769"/>
    <w:rsid w:val="009B4372"/>
    <w:rsid w:val="00A62E0F"/>
    <w:rsid w:val="00A83114"/>
    <w:rsid w:val="00AF18A3"/>
    <w:rsid w:val="00B07276"/>
    <w:rsid w:val="00B54B37"/>
    <w:rsid w:val="00C15349"/>
    <w:rsid w:val="00C2137E"/>
    <w:rsid w:val="00C47774"/>
    <w:rsid w:val="00C87ADD"/>
    <w:rsid w:val="00CC2D17"/>
    <w:rsid w:val="00D00756"/>
    <w:rsid w:val="00DF32D9"/>
    <w:rsid w:val="00E87FEA"/>
    <w:rsid w:val="00EA27A1"/>
    <w:rsid w:val="00F82087"/>
    <w:rsid w:val="00FB3AD4"/>
    <w:rsid w:val="00FC2E8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C3806-AA4B-4B47-BDD4-56B497A8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DBD"/>
    <w:pPr>
      <w:spacing w:after="0" w:line="240" w:lineRule="auto"/>
    </w:pPr>
    <w:rPr>
      <w:rFonts w:ascii="Calibri" w:hAnsi="Calibri" w:cs="Calibri"/>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2DBD"/>
    <w:rPr>
      <w:sz w:val="16"/>
      <w:szCs w:val="16"/>
    </w:rPr>
  </w:style>
  <w:style w:type="paragraph" w:styleId="CommentText">
    <w:name w:val="annotation text"/>
    <w:basedOn w:val="Normal"/>
    <w:link w:val="CommentTextChar"/>
    <w:uiPriority w:val="99"/>
    <w:semiHidden/>
    <w:unhideWhenUsed/>
    <w:rsid w:val="005D2DBD"/>
    <w:rPr>
      <w:sz w:val="20"/>
      <w:szCs w:val="20"/>
    </w:rPr>
  </w:style>
  <w:style w:type="character" w:customStyle="1" w:styleId="CommentTextChar">
    <w:name w:val="Comment Text Char"/>
    <w:basedOn w:val="DefaultParagraphFont"/>
    <w:link w:val="CommentText"/>
    <w:uiPriority w:val="99"/>
    <w:semiHidden/>
    <w:rsid w:val="005D2DBD"/>
    <w:rPr>
      <w:rFonts w:ascii="Calibri" w:hAnsi="Calibri" w:cs="Calibri"/>
      <w:sz w:val="20"/>
      <w:szCs w:val="20"/>
      <w:lang w:eastAsia="nl-NL"/>
    </w:rPr>
  </w:style>
  <w:style w:type="character" w:styleId="Hyperlink">
    <w:name w:val="Hyperlink"/>
    <w:basedOn w:val="DefaultParagraphFont"/>
    <w:uiPriority w:val="99"/>
    <w:unhideWhenUsed/>
    <w:rsid w:val="005D2DBD"/>
    <w:rPr>
      <w:color w:val="0000FF" w:themeColor="hyperlink"/>
      <w:u w:val="single"/>
    </w:rPr>
  </w:style>
  <w:style w:type="paragraph" w:styleId="ListParagraph">
    <w:name w:val="List Paragraph"/>
    <w:basedOn w:val="Normal"/>
    <w:uiPriority w:val="34"/>
    <w:qFormat/>
    <w:rsid w:val="005D2DBD"/>
    <w:pPr>
      <w:ind w:left="720"/>
      <w:contextualSpacing/>
    </w:pPr>
  </w:style>
  <w:style w:type="character" w:styleId="FollowedHyperlink">
    <w:name w:val="FollowedHyperlink"/>
    <w:basedOn w:val="DefaultParagraphFont"/>
    <w:uiPriority w:val="99"/>
    <w:semiHidden/>
    <w:unhideWhenUsed/>
    <w:rsid w:val="005D2DBD"/>
    <w:rPr>
      <w:color w:val="800080" w:themeColor="followedHyperlink"/>
      <w:u w:val="single"/>
    </w:rPr>
  </w:style>
  <w:style w:type="paragraph" w:styleId="BalloonText">
    <w:name w:val="Balloon Text"/>
    <w:basedOn w:val="Normal"/>
    <w:link w:val="BalloonTextChar"/>
    <w:uiPriority w:val="99"/>
    <w:semiHidden/>
    <w:unhideWhenUsed/>
    <w:rsid w:val="005D2DBD"/>
    <w:rPr>
      <w:rFonts w:ascii="Tahoma" w:hAnsi="Tahoma" w:cs="Tahoma"/>
      <w:sz w:val="16"/>
      <w:szCs w:val="16"/>
    </w:rPr>
  </w:style>
  <w:style w:type="character" w:customStyle="1" w:styleId="BalloonTextChar">
    <w:name w:val="Balloon Text Char"/>
    <w:basedOn w:val="DefaultParagraphFont"/>
    <w:link w:val="BalloonText"/>
    <w:uiPriority w:val="99"/>
    <w:semiHidden/>
    <w:rsid w:val="005D2DBD"/>
    <w:rPr>
      <w:rFonts w:ascii="Tahoma" w:hAnsi="Tahoma" w:cs="Tahoma"/>
      <w:sz w:val="16"/>
      <w:szCs w:val="16"/>
      <w:lang w:eastAsia="nl-NL"/>
    </w:rPr>
  </w:style>
  <w:style w:type="paragraph" w:styleId="FootnoteText">
    <w:name w:val="footnote text"/>
    <w:basedOn w:val="Normal"/>
    <w:link w:val="FootnoteTextChar"/>
    <w:uiPriority w:val="99"/>
    <w:semiHidden/>
    <w:unhideWhenUsed/>
    <w:rsid w:val="005D2DBD"/>
    <w:rPr>
      <w:sz w:val="20"/>
      <w:szCs w:val="20"/>
    </w:rPr>
  </w:style>
  <w:style w:type="character" w:customStyle="1" w:styleId="FootnoteTextChar">
    <w:name w:val="Footnote Text Char"/>
    <w:basedOn w:val="DefaultParagraphFont"/>
    <w:link w:val="FootnoteText"/>
    <w:uiPriority w:val="99"/>
    <w:semiHidden/>
    <w:rsid w:val="005D2DBD"/>
    <w:rPr>
      <w:rFonts w:ascii="Calibri" w:hAnsi="Calibri" w:cs="Calibri"/>
      <w:sz w:val="20"/>
      <w:szCs w:val="20"/>
      <w:lang w:eastAsia="nl-NL"/>
    </w:rPr>
  </w:style>
  <w:style w:type="character" w:styleId="FootnoteReference">
    <w:name w:val="footnote reference"/>
    <w:basedOn w:val="DefaultParagraphFont"/>
    <w:uiPriority w:val="99"/>
    <w:semiHidden/>
    <w:unhideWhenUsed/>
    <w:rsid w:val="005D2DBD"/>
    <w:rPr>
      <w:vertAlign w:val="superscript"/>
    </w:rPr>
  </w:style>
  <w:style w:type="paragraph" w:styleId="CommentSubject">
    <w:name w:val="annotation subject"/>
    <w:basedOn w:val="CommentText"/>
    <w:next w:val="CommentText"/>
    <w:link w:val="CommentSubjectChar"/>
    <w:uiPriority w:val="99"/>
    <w:semiHidden/>
    <w:unhideWhenUsed/>
    <w:rsid w:val="0051188B"/>
    <w:rPr>
      <w:b/>
      <w:bCs/>
    </w:rPr>
  </w:style>
  <w:style w:type="character" w:customStyle="1" w:styleId="CommentSubjectChar">
    <w:name w:val="Comment Subject Char"/>
    <w:basedOn w:val="CommentTextChar"/>
    <w:link w:val="CommentSubject"/>
    <w:uiPriority w:val="99"/>
    <w:semiHidden/>
    <w:rsid w:val="0051188B"/>
    <w:rPr>
      <w:rFonts w:ascii="Calibri" w:hAnsi="Calibri" w:cs="Calibri"/>
      <w:b/>
      <w:bCs/>
      <w:sz w:val="20"/>
      <w:szCs w:val="20"/>
      <w:lang w:eastAsia="nl-NL"/>
    </w:rPr>
  </w:style>
  <w:style w:type="paragraph" w:styleId="Header">
    <w:name w:val="header"/>
    <w:basedOn w:val="Normal"/>
    <w:link w:val="HeaderChar"/>
    <w:uiPriority w:val="99"/>
    <w:unhideWhenUsed/>
    <w:rsid w:val="00C15349"/>
    <w:pPr>
      <w:tabs>
        <w:tab w:val="center" w:pos="4680"/>
        <w:tab w:val="right" w:pos="9360"/>
      </w:tabs>
    </w:pPr>
  </w:style>
  <w:style w:type="character" w:customStyle="1" w:styleId="HeaderChar">
    <w:name w:val="Header Char"/>
    <w:basedOn w:val="DefaultParagraphFont"/>
    <w:link w:val="Header"/>
    <w:uiPriority w:val="99"/>
    <w:rsid w:val="00C15349"/>
    <w:rPr>
      <w:rFonts w:ascii="Calibri" w:hAnsi="Calibri" w:cs="Calibri"/>
      <w:lang w:eastAsia="nl-NL"/>
    </w:rPr>
  </w:style>
  <w:style w:type="paragraph" w:styleId="Footer">
    <w:name w:val="footer"/>
    <w:basedOn w:val="Normal"/>
    <w:link w:val="FooterChar"/>
    <w:uiPriority w:val="99"/>
    <w:unhideWhenUsed/>
    <w:rsid w:val="00C15349"/>
    <w:pPr>
      <w:tabs>
        <w:tab w:val="center" w:pos="4680"/>
        <w:tab w:val="right" w:pos="9360"/>
      </w:tabs>
    </w:pPr>
  </w:style>
  <w:style w:type="character" w:customStyle="1" w:styleId="FooterChar">
    <w:name w:val="Footer Char"/>
    <w:basedOn w:val="DefaultParagraphFont"/>
    <w:link w:val="Footer"/>
    <w:uiPriority w:val="99"/>
    <w:rsid w:val="00C15349"/>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573</ap:Words>
  <ap:Characters>3152</ap:Characters>
  <ap:DocSecurity>0</ap:DocSecurity>
  <ap:Lines>26</ap:Lines>
  <ap:Paragraphs>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2016-12-14T13:00:00.0000000Z</lastPrinted>
  <dcterms:created xsi:type="dcterms:W3CDTF">2017-01-17T14:02:00.0000000Z</dcterms:created>
  <dcterms:modified xsi:type="dcterms:W3CDTF">2017-01-17T14:02:00.0000000Z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0x010100EF01C4AD5514FF42852E86E64F522663</vt:lpwstr>
  </property>
</Properties>
</file>