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6F9A" w:rsidR="00876F9A" w:rsidP="00876F9A" w:rsidRDefault="00876F9A" w14:paraId="2AB26A95" w14:textId="77777777">
      <w:pPr>
        <w:rPr>
          <w:color w:val="C00000"/>
          <w:sz w:val="20"/>
          <w:szCs w:val="20"/>
        </w:rPr>
      </w:pPr>
      <w:r>
        <w:rPr>
          <w:color w:val="C00000"/>
          <w:sz w:val="20"/>
          <w:szCs w:val="20"/>
        </w:rPr>
        <w:br/>
      </w:r>
      <w:r w:rsidRPr="00876F9A">
        <w:rPr>
          <w:color w:val="C00000"/>
          <w:sz w:val="20"/>
          <w:szCs w:val="20"/>
        </w:rPr>
        <w:t>16 januari ‘17</w:t>
      </w:r>
    </w:p>
    <w:p w:rsidR="005B5C31" w:rsidP="00204651" w:rsidRDefault="00F937C8" w14:paraId="19AFA0C3" w14:textId="777D4F31">
      <w:pPr>
        <w:jc w:val="center"/>
        <w:rPr>
          <w:i/>
          <w:color w:val="C00000"/>
          <w:sz w:val="20"/>
          <w:szCs w:val="20"/>
        </w:rPr>
      </w:pPr>
      <w:r>
        <w:rPr>
          <w:b/>
          <w:color w:val="C00000"/>
          <w:sz w:val="20"/>
          <w:szCs w:val="20"/>
        </w:rPr>
        <w:t>Lang zullen ze leren</w:t>
      </w:r>
      <w:r>
        <w:rPr>
          <w:b/>
          <w:color w:val="C00000"/>
          <w:sz w:val="20"/>
          <w:szCs w:val="20"/>
        </w:rPr>
        <w:br/>
      </w:r>
      <w:r w:rsidR="00E845A9">
        <w:rPr>
          <w:i/>
          <w:color w:val="C00000"/>
          <w:sz w:val="20"/>
          <w:szCs w:val="20"/>
        </w:rPr>
        <w:t>Effectief l</w:t>
      </w:r>
      <w:r>
        <w:rPr>
          <w:i/>
          <w:color w:val="C00000"/>
          <w:sz w:val="20"/>
          <w:szCs w:val="20"/>
        </w:rPr>
        <w:t>even lang</w:t>
      </w:r>
      <w:r w:rsidR="005757B3">
        <w:rPr>
          <w:i/>
          <w:color w:val="C00000"/>
          <w:sz w:val="20"/>
          <w:szCs w:val="20"/>
        </w:rPr>
        <w:t xml:space="preserve"> leren beleid =  </w:t>
      </w:r>
      <w:r w:rsidR="00072F0F">
        <w:rPr>
          <w:i/>
          <w:color w:val="C00000"/>
          <w:sz w:val="20"/>
          <w:szCs w:val="20"/>
        </w:rPr>
        <w:t>overzichtelijk en levenslang toegankelijk</w:t>
      </w:r>
    </w:p>
    <w:p w:rsidR="00DF63CD" w:rsidP="00E845A9" w:rsidRDefault="00E845A9" w14:paraId="01B70906" w14:textId="442D151B">
      <w:pPr>
        <w:rPr>
          <w:sz w:val="20"/>
          <w:szCs w:val="20"/>
        </w:rPr>
      </w:pPr>
      <w:r>
        <w:rPr>
          <w:sz w:val="20"/>
          <w:szCs w:val="20"/>
        </w:rPr>
        <w:t>‘Lang zullen ze leren’</w:t>
      </w:r>
      <w:r w:rsidR="00E62145">
        <w:rPr>
          <w:sz w:val="20"/>
          <w:szCs w:val="20"/>
        </w:rPr>
        <w:t xml:space="preserve"> is de boodschap die voortdurend in het leven lang leren beleid weerklinkt. </w:t>
      </w:r>
      <w:r w:rsidR="00876F9A">
        <w:rPr>
          <w:sz w:val="20"/>
          <w:szCs w:val="20"/>
        </w:rPr>
        <w:t xml:space="preserve">Volgens het kabinet is optimale ontwikkeling en benutting van talenten nodig om het verdienvermogen van de Nederlandse economie op peil te houden; </w:t>
      </w:r>
      <w:r w:rsidR="000C6FA0">
        <w:rPr>
          <w:sz w:val="20"/>
          <w:szCs w:val="20"/>
        </w:rPr>
        <w:t>voortdurende</w:t>
      </w:r>
      <w:r w:rsidR="005757B3">
        <w:rPr>
          <w:sz w:val="20"/>
          <w:szCs w:val="20"/>
        </w:rPr>
        <w:t xml:space="preserve"> </w:t>
      </w:r>
      <w:r w:rsidR="00DF63CD">
        <w:rPr>
          <w:sz w:val="20"/>
          <w:szCs w:val="20"/>
        </w:rPr>
        <w:t xml:space="preserve">ontwikkeling </w:t>
      </w:r>
      <w:r w:rsidR="005757B3">
        <w:rPr>
          <w:sz w:val="20"/>
          <w:szCs w:val="20"/>
        </w:rPr>
        <w:t xml:space="preserve"> is </w:t>
      </w:r>
      <w:r w:rsidR="00DF63CD">
        <w:rPr>
          <w:sz w:val="20"/>
          <w:szCs w:val="20"/>
        </w:rPr>
        <w:t>noodzakelijk</w:t>
      </w:r>
      <w:r w:rsidR="005757B3">
        <w:rPr>
          <w:sz w:val="20"/>
          <w:szCs w:val="20"/>
        </w:rPr>
        <w:t xml:space="preserve"> om inzetbaar te blijven</w:t>
      </w:r>
      <w:r w:rsidR="00DF63CD">
        <w:rPr>
          <w:sz w:val="20"/>
          <w:szCs w:val="20"/>
        </w:rPr>
        <w:t xml:space="preserve">. </w:t>
      </w:r>
      <w:r w:rsidR="000C6FA0">
        <w:rPr>
          <w:sz w:val="20"/>
          <w:szCs w:val="20"/>
        </w:rPr>
        <w:t>De LSVb is verheugd dat de minister onderkent dat het onderwerp leven lang leren aandacht verdient en het een speer</w:t>
      </w:r>
      <w:r w:rsidR="00975E3A">
        <w:rPr>
          <w:sz w:val="20"/>
          <w:szCs w:val="20"/>
        </w:rPr>
        <w:t xml:space="preserve">punt betreft voor het kabinet. </w:t>
      </w:r>
      <w:r w:rsidR="00B27D65">
        <w:rPr>
          <w:sz w:val="20"/>
          <w:szCs w:val="20"/>
        </w:rPr>
        <w:t xml:space="preserve">Een leven lang kunnen leren is wat de LSVb betreft echter niet alleen van belang om economische redenen. Individuen de mogelijkheid en de ruimte te bieden zich verder te ontwikkelen is in dezen het hoofdbelang. In deze tegenstelling ziet de LSVb dan ook de kern van het probleem: personen worden aangespoord verder te leren omwille van de economie, niet omwille van zichzelf. </w:t>
      </w:r>
      <w:r w:rsidR="00017536">
        <w:rPr>
          <w:sz w:val="20"/>
          <w:szCs w:val="20"/>
        </w:rPr>
        <w:t>Bovendien wordt voor deze personen een leven lang leren niet makkelijker, maar worden zij hier op</w:t>
      </w:r>
      <w:r w:rsidR="002C5CEF">
        <w:rPr>
          <w:sz w:val="20"/>
          <w:szCs w:val="20"/>
        </w:rPr>
        <w:t xml:space="preserve"> dit moment juist in belemmerd</w:t>
      </w:r>
      <w:r w:rsidR="00017536">
        <w:rPr>
          <w:sz w:val="20"/>
          <w:szCs w:val="20"/>
        </w:rPr>
        <w:t>. Enerzijds is de bekostiging van twee</w:t>
      </w:r>
      <w:r w:rsidR="00864332">
        <w:rPr>
          <w:sz w:val="20"/>
          <w:szCs w:val="20"/>
        </w:rPr>
        <w:t>de</w:t>
      </w:r>
      <w:r w:rsidR="00017536">
        <w:rPr>
          <w:sz w:val="20"/>
          <w:szCs w:val="20"/>
        </w:rPr>
        <w:t xml:space="preserve"> studies afgeschaft waardoor verder studeren erg duur is, en anderzijds worden er op dit moment zoveel experimenten geïmplementeerd dat het overzicht ontbreekt. </w:t>
      </w:r>
      <w:r w:rsidR="00304B39">
        <w:rPr>
          <w:sz w:val="20"/>
          <w:szCs w:val="20"/>
        </w:rPr>
        <w:t xml:space="preserve">Met deze </w:t>
      </w:r>
      <w:proofErr w:type="spellStart"/>
      <w:r w:rsidR="00304B39">
        <w:rPr>
          <w:sz w:val="20"/>
          <w:szCs w:val="20"/>
        </w:rPr>
        <w:t>position</w:t>
      </w:r>
      <w:proofErr w:type="spellEnd"/>
      <w:r w:rsidR="00304B39">
        <w:rPr>
          <w:sz w:val="20"/>
          <w:szCs w:val="20"/>
        </w:rPr>
        <w:t xml:space="preserve"> paper zal de LSVb haar visie uiteenzetten omtrent het leven lang leren beleid en waarom tot vooralsnog niet </w:t>
      </w:r>
      <w:r w:rsidR="000E6022">
        <w:rPr>
          <w:sz w:val="20"/>
          <w:szCs w:val="20"/>
        </w:rPr>
        <w:t>effectief</w:t>
      </w:r>
      <w:r w:rsidR="00304B39">
        <w:rPr>
          <w:sz w:val="20"/>
          <w:szCs w:val="20"/>
        </w:rPr>
        <w:t xml:space="preserve"> van de grond is gekomen.</w:t>
      </w:r>
      <w:r w:rsidR="00DF63CD">
        <w:rPr>
          <w:sz w:val="20"/>
          <w:szCs w:val="20"/>
        </w:rPr>
        <w:t xml:space="preserve"> Van lang zullen ze leren, naar lang kunnen ze leren!</w:t>
      </w:r>
    </w:p>
    <w:p w:rsidR="00FC31F9" w:rsidP="00E845A9" w:rsidRDefault="00FC31F9" w14:paraId="6414B01A" w14:textId="14FE6082">
      <w:pPr>
        <w:rPr>
          <w:sz w:val="20"/>
          <w:szCs w:val="20"/>
        </w:rPr>
      </w:pPr>
      <w:r>
        <w:rPr>
          <w:b/>
          <w:color w:val="C00000"/>
          <w:sz w:val="20"/>
          <w:szCs w:val="20"/>
        </w:rPr>
        <w:t>Waarom leren wij nog geen leven lang</w:t>
      </w:r>
      <w:r w:rsidR="00D2093B">
        <w:rPr>
          <w:b/>
          <w:color w:val="C00000"/>
          <w:sz w:val="20"/>
          <w:szCs w:val="20"/>
        </w:rPr>
        <w:t xml:space="preserve">? </w:t>
      </w:r>
      <w:r w:rsidR="001D70C7">
        <w:rPr>
          <w:b/>
          <w:color w:val="C00000"/>
          <w:sz w:val="20"/>
          <w:szCs w:val="20"/>
        </w:rPr>
        <w:br/>
      </w:r>
      <w:r w:rsidR="001D70C7">
        <w:rPr>
          <w:color w:val="C00000"/>
          <w:sz w:val="20"/>
          <w:szCs w:val="20"/>
        </w:rPr>
        <w:t>On</w:t>
      </w:r>
      <w:r w:rsidR="00B27D65">
        <w:rPr>
          <w:color w:val="C00000"/>
          <w:sz w:val="20"/>
          <w:szCs w:val="20"/>
        </w:rPr>
        <w:t>duidelijk</w:t>
      </w:r>
      <w:r w:rsidR="001D70C7">
        <w:rPr>
          <w:color w:val="C00000"/>
          <w:sz w:val="20"/>
          <w:szCs w:val="20"/>
        </w:rPr>
        <w:t xml:space="preserve"> beleid</w:t>
      </w:r>
      <w:r w:rsidR="00D2093B">
        <w:rPr>
          <w:b/>
          <w:color w:val="C00000"/>
          <w:sz w:val="20"/>
          <w:szCs w:val="20"/>
        </w:rPr>
        <w:br/>
      </w:r>
      <w:r>
        <w:rPr>
          <w:sz w:val="20"/>
          <w:szCs w:val="20"/>
        </w:rPr>
        <w:t xml:space="preserve">Hoewel leven lang leren al langer op de politieke agenda staat, wil </w:t>
      </w:r>
      <w:r w:rsidR="00975E3A">
        <w:rPr>
          <w:sz w:val="20"/>
          <w:szCs w:val="20"/>
        </w:rPr>
        <w:t xml:space="preserve">de uitwerking nog niet </w:t>
      </w:r>
      <w:r w:rsidR="00304B39">
        <w:rPr>
          <w:sz w:val="20"/>
          <w:szCs w:val="20"/>
        </w:rPr>
        <w:t>vlotten</w:t>
      </w:r>
      <w:r>
        <w:rPr>
          <w:sz w:val="20"/>
          <w:szCs w:val="20"/>
        </w:rPr>
        <w:t xml:space="preserve">. </w:t>
      </w:r>
      <w:r w:rsidR="00B76C72">
        <w:rPr>
          <w:sz w:val="20"/>
          <w:szCs w:val="20"/>
        </w:rPr>
        <w:t xml:space="preserve">De afgelopen jaren is er veel </w:t>
      </w:r>
      <w:r w:rsidR="00304B39">
        <w:rPr>
          <w:sz w:val="20"/>
          <w:szCs w:val="20"/>
        </w:rPr>
        <w:t>geprobeerd</w:t>
      </w:r>
      <w:r w:rsidR="00B76C72">
        <w:rPr>
          <w:sz w:val="20"/>
          <w:szCs w:val="20"/>
        </w:rPr>
        <w:t xml:space="preserve"> op het gebied van leven lang leren; er werden door elkaar heen verschillende experimenten gestart (vraagfinanciering, </w:t>
      </w:r>
      <w:proofErr w:type="spellStart"/>
      <w:r w:rsidR="00B76C72">
        <w:rPr>
          <w:sz w:val="20"/>
          <w:szCs w:val="20"/>
        </w:rPr>
        <w:t>flexstu</w:t>
      </w:r>
      <w:r w:rsidR="004D720B">
        <w:rPr>
          <w:sz w:val="20"/>
          <w:szCs w:val="20"/>
        </w:rPr>
        <w:t>deren</w:t>
      </w:r>
      <w:proofErr w:type="spellEnd"/>
      <w:r w:rsidR="004D720B">
        <w:rPr>
          <w:sz w:val="20"/>
          <w:szCs w:val="20"/>
        </w:rPr>
        <w:t xml:space="preserve"> </w:t>
      </w:r>
      <w:r w:rsidR="00B76C72">
        <w:rPr>
          <w:sz w:val="20"/>
          <w:szCs w:val="20"/>
        </w:rPr>
        <w:t xml:space="preserve">en pilots flexibilisering) en een groot aantal concrete maatregelen opgesomd. </w:t>
      </w:r>
      <w:r w:rsidR="00975E3A">
        <w:rPr>
          <w:sz w:val="20"/>
          <w:szCs w:val="20"/>
        </w:rPr>
        <w:t xml:space="preserve">Paradoxaal genoeg zijn er een hoop middelen ingezet om leven lang leren van de grond te krijgen, maar </w:t>
      </w:r>
      <w:r w:rsidR="00365524">
        <w:rPr>
          <w:sz w:val="20"/>
          <w:szCs w:val="20"/>
        </w:rPr>
        <w:t>vormt de inzet van te veel en onduidelijke experimenten</w:t>
      </w:r>
      <w:r w:rsidR="001D70C7">
        <w:rPr>
          <w:sz w:val="20"/>
          <w:szCs w:val="20"/>
        </w:rPr>
        <w:t xml:space="preserve"> juist</w:t>
      </w:r>
      <w:r w:rsidR="00975E3A">
        <w:rPr>
          <w:sz w:val="20"/>
          <w:szCs w:val="20"/>
        </w:rPr>
        <w:t xml:space="preserve"> de oorzaak waarom er op dit moment nog ge</w:t>
      </w:r>
      <w:r w:rsidR="00365524">
        <w:rPr>
          <w:sz w:val="20"/>
          <w:szCs w:val="20"/>
        </w:rPr>
        <w:t xml:space="preserve">en vooruitgang is geboekt. Naast een gecompliceerd beleid </w:t>
      </w:r>
      <w:r w:rsidR="00975E3A">
        <w:rPr>
          <w:sz w:val="20"/>
          <w:szCs w:val="20"/>
        </w:rPr>
        <w:t xml:space="preserve">signaleert de LSVb </w:t>
      </w:r>
      <w:r w:rsidR="00365524">
        <w:rPr>
          <w:sz w:val="20"/>
          <w:szCs w:val="20"/>
        </w:rPr>
        <w:t xml:space="preserve">nog </w:t>
      </w:r>
      <w:r w:rsidR="00975E3A">
        <w:rPr>
          <w:sz w:val="20"/>
          <w:szCs w:val="20"/>
        </w:rPr>
        <w:t>een aantal ontwikkelingen die</w:t>
      </w:r>
      <w:r w:rsidR="00365524">
        <w:rPr>
          <w:sz w:val="20"/>
          <w:szCs w:val="20"/>
        </w:rPr>
        <w:t xml:space="preserve"> het</w:t>
      </w:r>
      <w:r w:rsidR="00975E3A">
        <w:rPr>
          <w:sz w:val="20"/>
          <w:szCs w:val="20"/>
        </w:rPr>
        <w:t xml:space="preserve"> leven lang leren</w:t>
      </w:r>
      <w:r w:rsidR="004D720B">
        <w:rPr>
          <w:sz w:val="20"/>
          <w:szCs w:val="20"/>
        </w:rPr>
        <w:t xml:space="preserve"> tot nog toe tegenhouden.</w:t>
      </w:r>
    </w:p>
    <w:p w:rsidRPr="000E6022" w:rsidR="00D2093B" w:rsidP="00D2093B" w:rsidRDefault="004D720B" w14:paraId="14C35FF0" w14:textId="3F89E0A1">
      <w:pPr>
        <w:rPr>
          <w:sz w:val="20"/>
        </w:rPr>
      </w:pPr>
      <w:r>
        <w:rPr>
          <w:i/>
          <w:color w:val="C00000"/>
          <w:sz w:val="20"/>
          <w:szCs w:val="20"/>
        </w:rPr>
        <w:t>Instellingsgeld voor tweede studie</w:t>
      </w:r>
      <w:r w:rsidR="00304B39">
        <w:rPr>
          <w:i/>
          <w:color w:val="C00000"/>
          <w:sz w:val="20"/>
          <w:szCs w:val="20"/>
        </w:rPr>
        <w:t>s</w:t>
      </w:r>
      <w:r>
        <w:rPr>
          <w:i/>
          <w:color w:val="C00000"/>
          <w:sz w:val="20"/>
          <w:szCs w:val="20"/>
        </w:rPr>
        <w:t xml:space="preserve"> </w:t>
      </w:r>
      <w:r>
        <w:rPr>
          <w:i/>
          <w:color w:val="C00000"/>
          <w:sz w:val="20"/>
          <w:szCs w:val="20"/>
        </w:rPr>
        <w:br/>
      </w:r>
      <w:r w:rsidRPr="00A77942">
        <w:rPr>
          <w:sz w:val="20"/>
        </w:rPr>
        <w:t>Sinds 1 september 2010 zijn de colleg</w:t>
      </w:r>
      <w:r>
        <w:rPr>
          <w:sz w:val="20"/>
        </w:rPr>
        <w:t>eg</w:t>
      </w:r>
      <w:r w:rsidRPr="00A77942">
        <w:rPr>
          <w:sz w:val="20"/>
        </w:rPr>
        <w:t>elden vrijgegeven voor studenten die een tweede studie willen doen</w:t>
      </w:r>
      <w:r w:rsidR="00304B39">
        <w:rPr>
          <w:sz w:val="20"/>
        </w:rPr>
        <w:t>:</w:t>
      </w:r>
      <w:r w:rsidRPr="00A77942">
        <w:rPr>
          <w:sz w:val="20"/>
        </w:rPr>
        <w:t xml:space="preserve"> de overheid financiert geen tweede bachelor of master opleiding meer (m.u.v. studies die in de sectoren onderwijs of zorg vallen).</w:t>
      </w:r>
      <w:r>
        <w:rPr>
          <w:sz w:val="20"/>
        </w:rPr>
        <w:t xml:space="preserve"> </w:t>
      </w:r>
      <w:r w:rsidRPr="00A77942">
        <w:rPr>
          <w:sz w:val="20"/>
        </w:rPr>
        <w:t xml:space="preserve">Bij een tweede studie is de instelling gemachtigd om het zogeheten ‘instellingstarief’ te vragen, </w:t>
      </w:r>
      <w:r w:rsidR="00DE2614">
        <w:rPr>
          <w:sz w:val="20"/>
        </w:rPr>
        <w:t>dat</w:t>
      </w:r>
      <w:r w:rsidRPr="00A77942">
        <w:rPr>
          <w:sz w:val="20"/>
        </w:rPr>
        <w:t xml:space="preserve"> soms wel </w:t>
      </w:r>
      <w:r w:rsidR="00304B39">
        <w:rPr>
          <w:sz w:val="20"/>
        </w:rPr>
        <w:t xml:space="preserve">kan </w:t>
      </w:r>
      <w:r w:rsidRPr="00A77942">
        <w:rPr>
          <w:sz w:val="20"/>
        </w:rPr>
        <w:t>oplopen tot ruim €30.000 per jaar.</w:t>
      </w:r>
      <w:r>
        <w:rPr>
          <w:sz w:val="20"/>
        </w:rPr>
        <w:t xml:space="preserve"> Ondanks het </w:t>
      </w:r>
      <w:r w:rsidR="00DE2614">
        <w:rPr>
          <w:sz w:val="20"/>
        </w:rPr>
        <w:t>feit dat het kabinet</w:t>
      </w:r>
      <w:r w:rsidR="00386DB1">
        <w:rPr>
          <w:sz w:val="20"/>
        </w:rPr>
        <w:t xml:space="preserve"> betoogt dat er grote behoefte is aan bij-, om- en </w:t>
      </w:r>
      <w:proofErr w:type="spellStart"/>
      <w:r w:rsidR="00386DB1">
        <w:rPr>
          <w:sz w:val="20"/>
        </w:rPr>
        <w:t>opscholing</w:t>
      </w:r>
      <w:proofErr w:type="spellEnd"/>
      <w:r w:rsidR="00386DB1">
        <w:rPr>
          <w:sz w:val="20"/>
        </w:rPr>
        <w:t>, is er eerder een financiële barrière ontworpen waarmee doorstuderen wordt ontmoedigd. Indien een individu zich (naast zijn/haar werk) op later</w:t>
      </w:r>
      <w:r w:rsidR="00304B39">
        <w:rPr>
          <w:sz w:val="20"/>
        </w:rPr>
        <w:t>e</w:t>
      </w:r>
      <w:r w:rsidR="00386DB1">
        <w:rPr>
          <w:sz w:val="20"/>
        </w:rPr>
        <w:t xml:space="preserve"> leeftijd  wil laten bijscholen, wordt diegene geacht  een enorm bedrag op te hoesten. Maatregelen zoals vraagfinanciering vouchers vallen in het niet, wanneer doorstuderen überhaupt geen betaalbare mogelijkheid is. </w:t>
      </w:r>
      <w:r w:rsidR="00386DB1">
        <w:rPr>
          <w:sz w:val="20"/>
        </w:rPr>
        <w:br/>
      </w:r>
      <w:r>
        <w:rPr>
          <w:i/>
          <w:color w:val="C00000"/>
          <w:sz w:val="20"/>
          <w:szCs w:val="20"/>
        </w:rPr>
        <w:br/>
        <w:t xml:space="preserve">Deeltijdonderwijs </w:t>
      </w:r>
      <w:r w:rsidR="00386DB1">
        <w:rPr>
          <w:i/>
          <w:color w:val="C00000"/>
          <w:sz w:val="20"/>
          <w:szCs w:val="20"/>
        </w:rPr>
        <w:br/>
      </w:r>
      <w:r w:rsidRPr="008062B8" w:rsidR="00386DB1">
        <w:rPr>
          <w:sz w:val="20"/>
        </w:rPr>
        <w:t>In 2014 verscheen het bericht dat afgelopen tien jaar het aantal inschrijvingen van deeltijdstudenten was gehalveerd</w:t>
      </w:r>
      <w:r w:rsidRPr="008062B8" w:rsidR="00386DB1">
        <w:rPr>
          <w:rStyle w:val="Voetnootmarkering"/>
          <w:sz w:val="20"/>
        </w:rPr>
        <w:footnoteReference w:id="1"/>
      </w:r>
      <w:r w:rsidRPr="008062B8" w:rsidR="00386DB1">
        <w:rPr>
          <w:sz w:val="20"/>
        </w:rPr>
        <w:t xml:space="preserve">. Zowel de politiek als het bedrijfsleven was van mening dat hier verandering in moest worden gebracht. Het ‘aantrekkelijker’ maken van het deeltijdonderwijs is hiermee tot één van de belangrijkste </w:t>
      </w:r>
      <w:r w:rsidRPr="008062B8" w:rsidR="00386DB1">
        <w:rPr>
          <w:sz w:val="20"/>
        </w:rPr>
        <w:lastRenderedPageBreak/>
        <w:t xml:space="preserve">speerpunten van </w:t>
      </w:r>
      <w:r w:rsidR="009D2E55">
        <w:rPr>
          <w:sz w:val="20"/>
        </w:rPr>
        <w:t>leven lang leren</w:t>
      </w:r>
      <w:r w:rsidRPr="008062B8" w:rsidR="00386DB1">
        <w:rPr>
          <w:sz w:val="20"/>
        </w:rPr>
        <w:t xml:space="preserve"> gedoopt</w:t>
      </w:r>
      <w:r w:rsidR="00386DB1">
        <w:rPr>
          <w:sz w:val="20"/>
        </w:rPr>
        <w:t>. Een concrete maatregel die hieruit voortvloeide was het idee van vraagfinanciering; als instellingen zich meer op de vraag zouden richten van de klant, ontstaat er ‘automatisch’ een aantrekkelijk onderwijsaanbod.</w:t>
      </w:r>
      <w:r w:rsidR="009D2E55">
        <w:rPr>
          <w:sz w:val="20"/>
        </w:rPr>
        <w:t xml:space="preserve"> Echter lost het creëren van marktwerking niet het achterliggende probleem van een onaantrekkelijk deeltijdonderwijsaanbod op.</w:t>
      </w:r>
      <w:r w:rsidR="001D70C7">
        <w:rPr>
          <w:sz w:val="20"/>
        </w:rPr>
        <w:t xml:space="preserve"> De bekostiging en accreditatiekaders zijn op dit moment gelijk  voor zowel voltijd- als deeltijdonderwijs. Meegenomen dat deeltijdonderwijsstudenten juist vaak langer studeren dan voltijdstudenten, maakt het voor instellingen </w:t>
      </w:r>
      <w:r w:rsidR="0052047B">
        <w:rPr>
          <w:sz w:val="20"/>
        </w:rPr>
        <w:t xml:space="preserve">waardevoller </w:t>
      </w:r>
      <w:r w:rsidR="001D70C7">
        <w:rPr>
          <w:sz w:val="20"/>
        </w:rPr>
        <w:t xml:space="preserve">om te investeren in voltijdonderwijs dan deeltijdonderwijs. Indien het kabinet meer deeltijdsstudenten </w:t>
      </w:r>
      <w:r w:rsidR="0052047B">
        <w:rPr>
          <w:sz w:val="20"/>
        </w:rPr>
        <w:t>wilt aantrekken,</w:t>
      </w:r>
      <w:r w:rsidR="002C5CEF">
        <w:rPr>
          <w:sz w:val="20"/>
        </w:rPr>
        <w:t xml:space="preserve"> is het raadzaam om </w:t>
      </w:r>
      <w:r w:rsidR="009D2E55">
        <w:rPr>
          <w:sz w:val="20"/>
        </w:rPr>
        <w:t>de bekostiging en accreditatiekaders voor deeltijdonderwijs aan te passen</w:t>
      </w:r>
      <w:r w:rsidR="002C5CEF">
        <w:rPr>
          <w:sz w:val="20"/>
        </w:rPr>
        <w:t xml:space="preserve">. </w:t>
      </w:r>
      <w:r w:rsidR="009D2E55">
        <w:rPr>
          <w:sz w:val="20"/>
        </w:rPr>
        <w:t xml:space="preserve">Door het implementeren van vraagfinanciering richt het kabinet zich op symptoombestrijding in plaats van oplossingen voor te stellen.  </w:t>
      </w:r>
      <w:r w:rsidR="009D2E55">
        <w:rPr>
          <w:sz w:val="20"/>
        </w:rPr>
        <w:br/>
      </w:r>
      <w:r w:rsidR="009D2E55">
        <w:rPr>
          <w:sz w:val="20"/>
        </w:rPr>
        <w:br/>
      </w:r>
      <w:r w:rsidR="00D2093B">
        <w:rPr>
          <w:b/>
          <w:color w:val="C00000"/>
          <w:sz w:val="20"/>
          <w:szCs w:val="20"/>
        </w:rPr>
        <w:t xml:space="preserve">Lang kunnen ze leren </w:t>
      </w:r>
      <w:r w:rsidR="000E6022">
        <w:rPr>
          <w:sz w:val="20"/>
        </w:rPr>
        <w:br/>
      </w:r>
      <w:proofErr w:type="spellStart"/>
      <w:r w:rsidRPr="00D2093B" w:rsidR="00D2093B">
        <w:rPr>
          <w:i/>
          <w:color w:val="C00000"/>
          <w:sz w:val="20"/>
          <w:szCs w:val="20"/>
        </w:rPr>
        <w:t>Levenlanglerenkrediet</w:t>
      </w:r>
      <w:proofErr w:type="spellEnd"/>
      <w:r w:rsidRPr="00D2093B" w:rsidR="00D2093B">
        <w:rPr>
          <w:i/>
          <w:color w:val="C00000"/>
          <w:sz w:val="20"/>
          <w:szCs w:val="20"/>
        </w:rPr>
        <w:t xml:space="preserve"> </w:t>
      </w:r>
      <w:r w:rsidR="00D2093B">
        <w:rPr>
          <w:b/>
          <w:color w:val="800000"/>
          <w:sz w:val="20"/>
          <w:szCs w:val="20"/>
        </w:rPr>
        <w:br/>
      </w:r>
      <w:r w:rsidR="00D2093B">
        <w:rPr>
          <w:sz w:val="20"/>
          <w:szCs w:val="20"/>
        </w:rPr>
        <w:t xml:space="preserve">Door de introductie van het </w:t>
      </w:r>
      <w:proofErr w:type="spellStart"/>
      <w:r w:rsidR="00D2093B">
        <w:rPr>
          <w:sz w:val="20"/>
          <w:szCs w:val="20"/>
        </w:rPr>
        <w:t>levenlanglerenkrediet</w:t>
      </w:r>
      <w:proofErr w:type="spellEnd"/>
      <w:r w:rsidR="00D2093B">
        <w:rPr>
          <w:sz w:val="20"/>
          <w:szCs w:val="20"/>
        </w:rPr>
        <w:t xml:space="preserve"> wordt het voor studenten tussen de 30 en 55 jaar mogelijk om collegegeldkrediet aan te vragen tijdens het volgen van hun (tweede) studie. Deze ontwikkeling draagt bij aan de verbreding van de toegankelijkheid van het hoger onderwijs; hiermee wordt het voor oudere studenten met minder financiële middelen makkelijker gemaakt om zich (verder) te ontwikkelen. Hoewel de LSVb positief tegenover deze ontwikkeling staat, zien wij het als zorgelijk dat er tot nu toe enkel bekend is gemaakt dat deze regeling vanaf studiejaar 2017-2018 zal intreden</w:t>
      </w:r>
      <w:r w:rsidR="00063C70">
        <w:rPr>
          <w:sz w:val="20"/>
          <w:szCs w:val="20"/>
        </w:rPr>
        <w:t>. Echter is er nog</w:t>
      </w:r>
      <w:r w:rsidR="00D2093B">
        <w:rPr>
          <w:sz w:val="20"/>
          <w:szCs w:val="20"/>
        </w:rPr>
        <w:t xml:space="preserve"> geen informatie is verschaft over de implementatie van deze regeling. Hoe worden studenten die hiervoor in aanmerking komen bijvoorbeeld hierover voorgelicht? De LSVb verzoekt het kabinet dan ook om een plan rondom de inwerkingtreding van deze maatregel te presenteren.   </w:t>
      </w:r>
    </w:p>
    <w:p w:rsidRPr="00063C70" w:rsidR="001D4899" w:rsidP="00D2093B" w:rsidRDefault="00365524" w14:paraId="22B3D774" w14:textId="4D4C69B4">
      <w:pPr>
        <w:rPr>
          <w:sz w:val="20"/>
          <w:szCs w:val="20"/>
        </w:rPr>
      </w:pPr>
      <w:r w:rsidRPr="001D70C7">
        <w:rPr>
          <w:i/>
          <w:color w:val="C00000"/>
          <w:sz w:val="20"/>
          <w:szCs w:val="20"/>
        </w:rPr>
        <w:t xml:space="preserve">Advies voor de toekomst </w:t>
      </w:r>
      <w:r w:rsidR="009D2E55">
        <w:rPr>
          <w:i/>
          <w:color w:val="C00000"/>
          <w:sz w:val="20"/>
          <w:szCs w:val="20"/>
        </w:rPr>
        <w:br/>
      </w:r>
      <w:r w:rsidR="000E6022">
        <w:rPr>
          <w:sz w:val="20"/>
          <w:szCs w:val="20"/>
        </w:rPr>
        <w:t xml:space="preserve">Eerder zijn er verschillende </w:t>
      </w:r>
      <w:r w:rsidR="001D4899">
        <w:rPr>
          <w:sz w:val="20"/>
          <w:szCs w:val="20"/>
        </w:rPr>
        <w:t>knel</w:t>
      </w:r>
      <w:r w:rsidR="000E6022">
        <w:rPr>
          <w:sz w:val="20"/>
          <w:szCs w:val="20"/>
        </w:rPr>
        <w:t xml:space="preserve">punten uiteengezet waarom het leven lang leren beleid op dit moment nog niet van de grond is gekomen. </w:t>
      </w:r>
      <w:r w:rsidR="00063C70">
        <w:rPr>
          <w:sz w:val="20"/>
          <w:szCs w:val="20"/>
        </w:rPr>
        <w:t>De conclusie betreft tweeledig: enerzijds is de huidige vorm van beleid te onduidelijk, en anderzijds zitten eerder gestelde barrières het slagen van een leven lang leren beleid</w:t>
      </w:r>
      <w:r w:rsidR="001D4899">
        <w:rPr>
          <w:sz w:val="20"/>
          <w:szCs w:val="20"/>
        </w:rPr>
        <w:t xml:space="preserve"> </w:t>
      </w:r>
      <w:r w:rsidR="00063C70">
        <w:rPr>
          <w:sz w:val="20"/>
          <w:szCs w:val="20"/>
        </w:rPr>
        <w:t xml:space="preserve">in de weg. </w:t>
      </w:r>
      <w:r w:rsidR="001D4899">
        <w:rPr>
          <w:sz w:val="20"/>
          <w:szCs w:val="20"/>
        </w:rPr>
        <w:t>H</w:t>
      </w:r>
      <w:r w:rsidR="00C06710">
        <w:rPr>
          <w:sz w:val="20"/>
          <w:szCs w:val="20"/>
        </w:rPr>
        <w:t>ieronder brengt de LSVb puntsgewijs een advies</w:t>
      </w:r>
      <w:r w:rsidR="001D4899">
        <w:rPr>
          <w:sz w:val="20"/>
          <w:szCs w:val="20"/>
        </w:rPr>
        <w:t xml:space="preserve"> uit,</w:t>
      </w:r>
      <w:r w:rsidR="00C06710">
        <w:rPr>
          <w:sz w:val="20"/>
          <w:szCs w:val="20"/>
        </w:rPr>
        <w:t xml:space="preserve"> wat het kabinet in staat stelt om een leven lang leren te ondersteunen en</w:t>
      </w:r>
      <w:r w:rsidR="001D4899">
        <w:rPr>
          <w:sz w:val="20"/>
          <w:szCs w:val="20"/>
        </w:rPr>
        <w:t xml:space="preserve"> waarmee deze knelpunten worden aan</w:t>
      </w:r>
      <w:r w:rsidR="00C06710">
        <w:rPr>
          <w:sz w:val="20"/>
          <w:szCs w:val="20"/>
        </w:rPr>
        <w:t xml:space="preserve">gepakt. </w:t>
      </w:r>
    </w:p>
    <w:p w:rsidRPr="00E4678B" w:rsidR="001D70C7" w:rsidP="001D70C7" w:rsidRDefault="001D4899" w14:paraId="0A69541F" w14:textId="32BCC4C9">
      <w:pPr>
        <w:pStyle w:val="Lijstalinea"/>
        <w:numPr>
          <w:ilvl w:val="0"/>
          <w:numId w:val="5"/>
        </w:numPr>
        <w:rPr>
          <w:b/>
          <w:i/>
          <w:color w:val="800000"/>
          <w:sz w:val="20"/>
          <w:szCs w:val="20"/>
        </w:rPr>
      </w:pPr>
      <w:r>
        <w:rPr>
          <w:i/>
          <w:sz w:val="20"/>
          <w:szCs w:val="20"/>
        </w:rPr>
        <w:t>Terugdringen van de complexiteit aan maatregelen in het beleid</w:t>
      </w:r>
      <w:r w:rsidRPr="001D4899">
        <w:rPr>
          <w:i/>
          <w:sz w:val="20"/>
          <w:szCs w:val="20"/>
        </w:rPr>
        <w:t>.</w:t>
      </w:r>
      <w:r w:rsidR="00886D3A">
        <w:rPr>
          <w:i/>
          <w:sz w:val="20"/>
          <w:szCs w:val="20"/>
        </w:rPr>
        <w:br/>
      </w:r>
      <w:r>
        <w:rPr>
          <w:sz w:val="20"/>
          <w:szCs w:val="20"/>
        </w:rPr>
        <w:t xml:space="preserve"> Op dit moment lopen er verschillende (experimenten) van maatregelen door elkaar, waardoor het kabinet een hoge beleidslast voor zichzelf creëert. De LSVb adviseert om </w:t>
      </w:r>
      <w:r w:rsidR="00263307">
        <w:rPr>
          <w:sz w:val="20"/>
          <w:szCs w:val="20"/>
        </w:rPr>
        <w:t xml:space="preserve">een overzichtelijk beleid op te stellen en hierbij </w:t>
      </w:r>
      <w:r>
        <w:rPr>
          <w:sz w:val="20"/>
          <w:szCs w:val="20"/>
        </w:rPr>
        <w:t xml:space="preserve">keuzes te maken </w:t>
      </w:r>
      <w:r w:rsidR="00263307">
        <w:rPr>
          <w:sz w:val="20"/>
          <w:szCs w:val="20"/>
        </w:rPr>
        <w:t>in maatregelen</w:t>
      </w:r>
      <w:r w:rsidR="009913AE">
        <w:rPr>
          <w:sz w:val="20"/>
          <w:szCs w:val="20"/>
        </w:rPr>
        <w:t xml:space="preserve">. </w:t>
      </w:r>
      <w:r w:rsidR="00263307">
        <w:rPr>
          <w:sz w:val="20"/>
          <w:szCs w:val="20"/>
        </w:rPr>
        <w:t xml:space="preserve">Het breed implementeren van de </w:t>
      </w:r>
      <w:r w:rsidR="009913AE">
        <w:rPr>
          <w:sz w:val="20"/>
          <w:szCs w:val="20"/>
        </w:rPr>
        <w:t>mo</w:t>
      </w:r>
      <w:r w:rsidR="00E4678B">
        <w:rPr>
          <w:sz w:val="20"/>
          <w:szCs w:val="20"/>
        </w:rPr>
        <w:t xml:space="preserve">gelijkheid tot </w:t>
      </w:r>
      <w:proofErr w:type="spellStart"/>
      <w:r w:rsidR="00E4678B">
        <w:rPr>
          <w:sz w:val="20"/>
          <w:szCs w:val="20"/>
        </w:rPr>
        <w:t>flexstuderen</w:t>
      </w:r>
      <w:proofErr w:type="spellEnd"/>
      <w:r w:rsidR="00E4678B">
        <w:rPr>
          <w:sz w:val="20"/>
          <w:szCs w:val="20"/>
        </w:rPr>
        <w:t xml:space="preserve"> </w:t>
      </w:r>
      <w:r w:rsidR="00263307">
        <w:rPr>
          <w:sz w:val="20"/>
          <w:szCs w:val="20"/>
        </w:rPr>
        <w:t xml:space="preserve">heeft hierbij </w:t>
      </w:r>
      <w:r w:rsidR="00E4678B">
        <w:rPr>
          <w:sz w:val="20"/>
          <w:szCs w:val="20"/>
        </w:rPr>
        <w:t>de</w:t>
      </w:r>
      <w:r w:rsidR="009913AE">
        <w:rPr>
          <w:sz w:val="20"/>
          <w:szCs w:val="20"/>
        </w:rPr>
        <w:t xml:space="preserve"> nadrukkelijke voorkeur</w:t>
      </w:r>
      <w:r w:rsidR="00263307">
        <w:rPr>
          <w:sz w:val="20"/>
          <w:szCs w:val="20"/>
        </w:rPr>
        <w:t xml:space="preserve"> als maatregel</w:t>
      </w:r>
      <w:r w:rsidR="009913AE">
        <w:rPr>
          <w:sz w:val="20"/>
          <w:szCs w:val="20"/>
        </w:rPr>
        <w:t>.</w:t>
      </w:r>
      <w:r w:rsidR="00263307">
        <w:rPr>
          <w:sz w:val="20"/>
          <w:szCs w:val="20"/>
        </w:rPr>
        <w:t xml:space="preserve"> </w:t>
      </w:r>
      <w:r w:rsidR="009913AE">
        <w:rPr>
          <w:sz w:val="20"/>
          <w:szCs w:val="20"/>
        </w:rPr>
        <w:t xml:space="preserve">Door middel van </w:t>
      </w:r>
      <w:proofErr w:type="spellStart"/>
      <w:r w:rsidR="009913AE">
        <w:rPr>
          <w:sz w:val="20"/>
          <w:szCs w:val="20"/>
        </w:rPr>
        <w:t>flexstuderen</w:t>
      </w:r>
      <w:proofErr w:type="spellEnd"/>
      <w:r w:rsidR="009913AE">
        <w:rPr>
          <w:sz w:val="20"/>
          <w:szCs w:val="20"/>
        </w:rPr>
        <w:t xml:space="preserve"> wordt het </w:t>
      </w:r>
      <w:r w:rsidR="00886D3A">
        <w:rPr>
          <w:sz w:val="20"/>
          <w:szCs w:val="20"/>
        </w:rPr>
        <w:t xml:space="preserve">mogelijk om andere activiteiten - </w:t>
      </w:r>
      <w:r w:rsidR="009913AE">
        <w:rPr>
          <w:sz w:val="20"/>
          <w:szCs w:val="20"/>
        </w:rPr>
        <w:t xml:space="preserve"> zoals het opdoen van werkervaring</w:t>
      </w:r>
      <w:r w:rsidR="00886D3A">
        <w:rPr>
          <w:sz w:val="20"/>
          <w:szCs w:val="20"/>
        </w:rPr>
        <w:t xml:space="preserve"> - </w:t>
      </w:r>
      <w:r w:rsidR="009913AE">
        <w:rPr>
          <w:sz w:val="20"/>
          <w:szCs w:val="20"/>
        </w:rPr>
        <w:t xml:space="preserve"> te combineren met onderwijs. Hierbij wordt het collegegeld naar rato van de omvang van het onderwijs bepaald. Binnen deze maatregel worden</w:t>
      </w:r>
      <w:r w:rsidR="00C06710">
        <w:rPr>
          <w:sz w:val="20"/>
          <w:szCs w:val="20"/>
        </w:rPr>
        <w:t xml:space="preserve"> (aspirant) studenten</w:t>
      </w:r>
      <w:r w:rsidR="009913AE">
        <w:rPr>
          <w:sz w:val="20"/>
          <w:szCs w:val="20"/>
        </w:rPr>
        <w:t xml:space="preserve"> niet belemmerd door financiële barrières en kunnen zij </w:t>
      </w:r>
      <w:r w:rsidR="00C06710">
        <w:rPr>
          <w:sz w:val="20"/>
          <w:szCs w:val="20"/>
        </w:rPr>
        <w:t>hun werkactiviteiten</w:t>
      </w:r>
      <w:r w:rsidR="00E4678B">
        <w:rPr>
          <w:sz w:val="20"/>
          <w:szCs w:val="20"/>
        </w:rPr>
        <w:t xml:space="preserve"> makkelijk</w:t>
      </w:r>
      <w:r w:rsidR="00C06710">
        <w:rPr>
          <w:sz w:val="20"/>
          <w:szCs w:val="20"/>
        </w:rPr>
        <w:t>er</w:t>
      </w:r>
      <w:r w:rsidR="00E4678B">
        <w:rPr>
          <w:sz w:val="20"/>
          <w:szCs w:val="20"/>
        </w:rPr>
        <w:t xml:space="preserve"> combineren met </w:t>
      </w:r>
      <w:r w:rsidR="00C06710">
        <w:rPr>
          <w:sz w:val="20"/>
          <w:szCs w:val="20"/>
        </w:rPr>
        <w:t xml:space="preserve">een </w:t>
      </w:r>
      <w:r w:rsidR="00E4678B">
        <w:rPr>
          <w:sz w:val="20"/>
          <w:szCs w:val="20"/>
        </w:rPr>
        <w:t xml:space="preserve">studie. </w:t>
      </w:r>
    </w:p>
    <w:p w:rsidRPr="00886D3A" w:rsidR="00886D3A" w:rsidP="00886D3A" w:rsidRDefault="00E4678B" w14:paraId="6C758A93" w14:textId="6073197D">
      <w:pPr>
        <w:pStyle w:val="Lijstalinea"/>
        <w:numPr>
          <w:ilvl w:val="0"/>
          <w:numId w:val="5"/>
        </w:numPr>
        <w:rPr>
          <w:b/>
          <w:i/>
          <w:color w:val="800000"/>
          <w:sz w:val="20"/>
          <w:szCs w:val="20"/>
        </w:rPr>
      </w:pPr>
      <w:r>
        <w:rPr>
          <w:i/>
          <w:sz w:val="20"/>
          <w:szCs w:val="20"/>
        </w:rPr>
        <w:t>Opheffen van maatregelen die interfereren met de to</w:t>
      </w:r>
      <w:bookmarkStart w:name="_GoBack" w:id="0"/>
      <w:bookmarkEnd w:id="0"/>
      <w:r>
        <w:rPr>
          <w:i/>
          <w:sz w:val="20"/>
          <w:szCs w:val="20"/>
        </w:rPr>
        <w:t>egankelijkheid van een leven lang leren.</w:t>
      </w:r>
      <w:r w:rsidR="00886D3A">
        <w:rPr>
          <w:sz w:val="20"/>
          <w:szCs w:val="20"/>
        </w:rPr>
        <w:br/>
      </w:r>
      <w:r>
        <w:rPr>
          <w:i/>
          <w:sz w:val="20"/>
          <w:szCs w:val="20"/>
        </w:rPr>
        <w:t xml:space="preserve"> </w:t>
      </w:r>
      <w:r>
        <w:rPr>
          <w:sz w:val="20"/>
          <w:szCs w:val="20"/>
        </w:rPr>
        <w:t>Indien het kabinet voortdurende bij-, op- en omscholing</w:t>
      </w:r>
      <w:r>
        <w:rPr>
          <w:i/>
          <w:sz w:val="20"/>
          <w:szCs w:val="20"/>
        </w:rPr>
        <w:t xml:space="preserve"> </w:t>
      </w:r>
      <w:r w:rsidR="00886D3A">
        <w:rPr>
          <w:sz w:val="20"/>
          <w:szCs w:val="20"/>
        </w:rPr>
        <w:t xml:space="preserve">wenst </w:t>
      </w:r>
      <w:r>
        <w:rPr>
          <w:sz w:val="20"/>
          <w:szCs w:val="20"/>
        </w:rPr>
        <w:t>te stimuleren, is het van belang dat verdere scholing in de basis</w:t>
      </w:r>
      <w:r w:rsidR="00886D3A">
        <w:rPr>
          <w:sz w:val="20"/>
          <w:szCs w:val="20"/>
        </w:rPr>
        <w:t xml:space="preserve"> (financieel) </w:t>
      </w:r>
      <w:r>
        <w:rPr>
          <w:sz w:val="20"/>
          <w:szCs w:val="20"/>
        </w:rPr>
        <w:t xml:space="preserve"> toegankelijk is. </w:t>
      </w:r>
      <w:r w:rsidR="00886D3A">
        <w:rPr>
          <w:sz w:val="20"/>
          <w:szCs w:val="20"/>
        </w:rPr>
        <w:t xml:space="preserve">Het volgen van een tweede master of bachelor is vaak enkel mogelijk als de aankomende student in staat is om een hoog bedrag aan instellingsgeld te betalen. </w:t>
      </w:r>
      <w:r w:rsidRPr="00886D3A" w:rsidR="00886D3A">
        <w:rPr>
          <w:sz w:val="20"/>
          <w:szCs w:val="20"/>
        </w:rPr>
        <w:t>Juist voor werkenden die ge</w:t>
      </w:r>
      <w:r w:rsidR="00886D3A">
        <w:rPr>
          <w:sz w:val="20"/>
          <w:szCs w:val="20"/>
        </w:rPr>
        <w:t>bonden zijn aan vaste lasten en</w:t>
      </w:r>
      <w:r w:rsidRPr="00886D3A" w:rsidR="00886D3A">
        <w:rPr>
          <w:sz w:val="20"/>
          <w:szCs w:val="20"/>
        </w:rPr>
        <w:t xml:space="preserve"> door het volgen van onderwijs </w:t>
      </w:r>
      <w:r w:rsidR="00886D3A">
        <w:rPr>
          <w:sz w:val="20"/>
          <w:szCs w:val="20"/>
        </w:rPr>
        <w:t xml:space="preserve">niet meer volledig kunnen </w:t>
      </w:r>
      <w:r w:rsidRPr="00886D3A" w:rsidR="00886D3A">
        <w:rPr>
          <w:sz w:val="20"/>
          <w:szCs w:val="20"/>
        </w:rPr>
        <w:t>werken</w:t>
      </w:r>
      <w:r w:rsidR="00886D3A">
        <w:rPr>
          <w:sz w:val="20"/>
          <w:szCs w:val="20"/>
        </w:rPr>
        <w:t>,</w:t>
      </w:r>
      <w:r w:rsidRPr="00886D3A" w:rsidR="00886D3A">
        <w:rPr>
          <w:sz w:val="20"/>
          <w:szCs w:val="20"/>
        </w:rPr>
        <w:t xml:space="preserve"> is het lastig om een dergelijk bedrag te financieren.</w:t>
      </w:r>
      <w:r w:rsidRPr="00886D3A" w:rsidR="00886D3A">
        <w:rPr>
          <w:b/>
          <w:i/>
          <w:color w:val="800000"/>
          <w:sz w:val="20"/>
          <w:szCs w:val="20"/>
        </w:rPr>
        <w:t xml:space="preserve"> </w:t>
      </w:r>
      <w:r w:rsidRPr="00886D3A" w:rsidR="000509C0">
        <w:rPr>
          <w:sz w:val="20"/>
          <w:szCs w:val="20"/>
        </w:rPr>
        <w:t xml:space="preserve">De LSVb </w:t>
      </w:r>
      <w:r w:rsidRPr="00886D3A" w:rsidR="00886D3A">
        <w:rPr>
          <w:sz w:val="20"/>
          <w:szCs w:val="20"/>
        </w:rPr>
        <w:t xml:space="preserve">pleit </w:t>
      </w:r>
      <w:r w:rsidRPr="00886D3A" w:rsidR="00886D3A">
        <w:rPr>
          <w:sz w:val="20"/>
          <w:szCs w:val="20"/>
        </w:rPr>
        <w:lastRenderedPageBreak/>
        <w:t>voor het afschaffen van instellingsgeld voor een tweede studie en dit terug te brengen naar het wettelijke collegegeld</w:t>
      </w:r>
      <w:r w:rsidRPr="00886D3A" w:rsidR="000509C0">
        <w:rPr>
          <w:sz w:val="20"/>
          <w:szCs w:val="20"/>
        </w:rPr>
        <w:t xml:space="preserve">. Het implementeren van beleid </w:t>
      </w:r>
      <w:r w:rsidR="00886D3A">
        <w:rPr>
          <w:sz w:val="20"/>
          <w:szCs w:val="20"/>
        </w:rPr>
        <w:t xml:space="preserve">wat leven lang leren zou moeten stimuleren heeft geen enkel nut wanneer doorstuderen onmogelijk te financieren is. </w:t>
      </w:r>
    </w:p>
    <w:p w:rsidRPr="00067895" w:rsidR="001D4899" w:rsidP="001D4899" w:rsidRDefault="00263307" w14:paraId="46F8A7AA" w14:textId="307C2816">
      <w:pPr>
        <w:pStyle w:val="Lijstalinea"/>
        <w:numPr>
          <w:ilvl w:val="0"/>
          <w:numId w:val="5"/>
        </w:numPr>
        <w:rPr>
          <w:b/>
          <w:i/>
          <w:color w:val="800000"/>
          <w:sz w:val="20"/>
          <w:szCs w:val="20"/>
        </w:rPr>
      </w:pPr>
      <w:r w:rsidRPr="00886D3A">
        <w:rPr>
          <w:i/>
          <w:sz w:val="20"/>
          <w:szCs w:val="20"/>
        </w:rPr>
        <w:t>Bevorder de doorstroom tussen opleidingsniveaus.</w:t>
      </w:r>
      <w:r w:rsidRPr="00886D3A" w:rsidR="000509C0">
        <w:rPr>
          <w:i/>
          <w:sz w:val="20"/>
          <w:szCs w:val="20"/>
        </w:rPr>
        <w:t xml:space="preserve"> </w:t>
      </w:r>
      <w:r w:rsidRPr="00886D3A" w:rsidR="000509C0">
        <w:rPr>
          <w:sz w:val="20"/>
          <w:szCs w:val="20"/>
        </w:rPr>
        <w:t xml:space="preserve">Het kabinet betoogt in haar Kamerbrieven </w:t>
      </w:r>
      <w:r w:rsidRPr="00886D3A">
        <w:rPr>
          <w:sz w:val="20"/>
          <w:szCs w:val="20"/>
        </w:rPr>
        <w:t>de stap van het mbo naar het hbo te willen stimuleren met behulp van vraagfinancierin</w:t>
      </w:r>
      <w:r w:rsidR="00886D3A">
        <w:rPr>
          <w:sz w:val="20"/>
          <w:szCs w:val="20"/>
        </w:rPr>
        <w:t xml:space="preserve">g. </w:t>
      </w:r>
      <w:r w:rsidRPr="00886D3A" w:rsidR="00C74C16">
        <w:rPr>
          <w:sz w:val="20"/>
          <w:szCs w:val="20"/>
        </w:rPr>
        <w:t xml:space="preserve">Ook hier geldt dat het belangrijk is om ervoor te zorgen dat doorstroommogelijkheden in de basis goed zijn, waardoor personen </w:t>
      </w:r>
      <w:r w:rsidR="00067895">
        <w:rPr>
          <w:sz w:val="20"/>
          <w:szCs w:val="20"/>
        </w:rPr>
        <w:t>ook de mogelijkheid krijgen tot doorstuderen</w:t>
      </w:r>
      <w:r w:rsidRPr="00886D3A" w:rsidR="00C74C16">
        <w:rPr>
          <w:sz w:val="20"/>
          <w:szCs w:val="20"/>
        </w:rPr>
        <w:t>. Op dit moment blijkt de doorstroom tussen mbo en hbo op zichzelf zorgelijk, doordat de sprong vanuit mbo naar hbo alleen maar moeilijker is geworden</w:t>
      </w:r>
      <w:r w:rsidR="00C74C16">
        <w:rPr>
          <w:rStyle w:val="Voetnootmarkering"/>
          <w:sz w:val="20"/>
          <w:szCs w:val="20"/>
        </w:rPr>
        <w:footnoteReference w:id="2"/>
      </w:r>
      <w:r w:rsidRPr="00886D3A" w:rsidR="00C74C16">
        <w:rPr>
          <w:sz w:val="20"/>
          <w:szCs w:val="20"/>
        </w:rPr>
        <w:t>. Daarbij blijkt ook de stap van hbo naar wo niet altijd gemakkelijk, doordat er steeds meer</w:t>
      </w:r>
      <w:r w:rsidRPr="00886D3A" w:rsidR="00C06710">
        <w:rPr>
          <w:sz w:val="20"/>
          <w:szCs w:val="20"/>
        </w:rPr>
        <w:t xml:space="preserve"> (aanvullende)</w:t>
      </w:r>
      <w:r w:rsidRPr="00886D3A" w:rsidR="00C74C16">
        <w:rPr>
          <w:sz w:val="20"/>
          <w:szCs w:val="20"/>
        </w:rPr>
        <w:t xml:space="preserve"> selectiec</w:t>
      </w:r>
      <w:r w:rsidRPr="00886D3A" w:rsidR="00C06710">
        <w:rPr>
          <w:sz w:val="20"/>
          <w:szCs w:val="20"/>
        </w:rPr>
        <w:t>riteria gelden bij toelating in de masterfase</w:t>
      </w:r>
      <w:r w:rsidR="00C06710">
        <w:rPr>
          <w:rStyle w:val="Voetnootmarkering"/>
          <w:sz w:val="20"/>
          <w:szCs w:val="20"/>
        </w:rPr>
        <w:footnoteReference w:id="3"/>
      </w:r>
      <w:r w:rsidRPr="00886D3A" w:rsidR="00C74C16">
        <w:rPr>
          <w:sz w:val="20"/>
          <w:szCs w:val="20"/>
        </w:rPr>
        <w:t>.</w:t>
      </w:r>
      <w:r w:rsidRPr="00886D3A" w:rsidR="00C06710">
        <w:rPr>
          <w:sz w:val="20"/>
          <w:szCs w:val="20"/>
        </w:rPr>
        <w:t xml:space="preserve"> Daarenboven</w:t>
      </w:r>
      <w:r w:rsidRPr="00886D3A" w:rsidR="00C74C16">
        <w:rPr>
          <w:sz w:val="20"/>
          <w:szCs w:val="20"/>
        </w:rPr>
        <w:t xml:space="preserve"> ligt het collegegeld voor pre-masters vaak hoger dan het reguliere collegegeld en hebb</w:t>
      </w:r>
      <w:r w:rsidRPr="00886D3A" w:rsidR="00C06710">
        <w:rPr>
          <w:sz w:val="20"/>
          <w:szCs w:val="20"/>
        </w:rPr>
        <w:t>en pre-masterstudenten vaak geen recht op ov en studiefinanciering</w:t>
      </w:r>
      <w:r w:rsidR="00C06710">
        <w:rPr>
          <w:rStyle w:val="Voetnootmarkering"/>
          <w:sz w:val="20"/>
          <w:szCs w:val="20"/>
        </w:rPr>
        <w:footnoteReference w:id="4"/>
      </w:r>
      <w:r w:rsidRPr="00886D3A" w:rsidR="00C74C16">
        <w:rPr>
          <w:sz w:val="20"/>
          <w:szCs w:val="20"/>
        </w:rPr>
        <w:t xml:space="preserve">. </w:t>
      </w:r>
      <w:r w:rsidRPr="00886D3A" w:rsidR="00C06710">
        <w:rPr>
          <w:sz w:val="20"/>
          <w:szCs w:val="20"/>
        </w:rPr>
        <w:t xml:space="preserve">De LSVb adviseert het kabinet dan ook om de doorstroom tussen opleidingsniveaus kritisch onder de loep te nemen </w:t>
      </w:r>
      <w:r w:rsidR="00067895">
        <w:rPr>
          <w:sz w:val="20"/>
          <w:szCs w:val="20"/>
        </w:rPr>
        <w:t xml:space="preserve">en kijken hoe deze bevorderd kunnen worden. Het stimuleren doorstuderen, begint bij het mogelijk maken van doorstuderen. </w:t>
      </w:r>
    </w:p>
    <w:p w:rsidRPr="001D70C7" w:rsidR="001D70C7" w:rsidP="001D70C7" w:rsidRDefault="001D70C7" w14:paraId="33B8704F" w14:textId="12E51351">
      <w:pPr>
        <w:rPr>
          <w:b/>
          <w:color w:val="800000"/>
          <w:sz w:val="20"/>
          <w:szCs w:val="20"/>
        </w:rPr>
      </w:pPr>
      <w:r w:rsidRPr="001D70C7">
        <w:rPr>
          <w:i/>
          <w:color w:val="C00000"/>
          <w:sz w:val="20"/>
          <w:szCs w:val="20"/>
        </w:rPr>
        <w:br/>
      </w:r>
      <w:r w:rsidRPr="001D70C7">
        <w:rPr>
          <w:color w:val="C00000"/>
          <w:sz w:val="20"/>
          <w:szCs w:val="20"/>
        </w:rPr>
        <w:br/>
      </w:r>
      <w:r w:rsidRPr="001D70C7">
        <w:rPr>
          <w:color w:val="C00000"/>
          <w:sz w:val="20"/>
          <w:szCs w:val="20"/>
        </w:rPr>
        <w:br/>
      </w:r>
      <w:r w:rsidRPr="001D70C7">
        <w:rPr>
          <w:b/>
          <w:color w:val="800000"/>
          <w:sz w:val="20"/>
          <w:szCs w:val="20"/>
        </w:rPr>
        <w:br/>
      </w:r>
    </w:p>
    <w:p w:rsidRPr="00DB3742" w:rsidR="00E62145" w:rsidP="00E845A9" w:rsidRDefault="00DB3742" w14:paraId="65E1D6C9" w14:textId="45B95A65">
      <w:pPr>
        <w:rPr>
          <w:b/>
          <w:color w:val="800000"/>
          <w:sz w:val="20"/>
          <w:szCs w:val="20"/>
        </w:rPr>
      </w:pPr>
      <w:r w:rsidRPr="00DB3742">
        <w:rPr>
          <w:b/>
          <w:color w:val="800000"/>
          <w:sz w:val="20"/>
          <w:szCs w:val="20"/>
        </w:rPr>
        <w:br/>
      </w:r>
      <w:r w:rsidRPr="00DB3742">
        <w:rPr>
          <w:b/>
          <w:color w:val="800000"/>
          <w:sz w:val="20"/>
          <w:szCs w:val="20"/>
        </w:rPr>
        <w:br/>
      </w:r>
    </w:p>
    <w:p w:rsidRPr="00E845A9" w:rsidR="00E845A9" w:rsidP="00E845A9" w:rsidRDefault="00E845A9" w14:paraId="23F9D249" w14:textId="77777777">
      <w:pPr>
        <w:rPr>
          <w:color w:val="C00000"/>
          <w:sz w:val="20"/>
          <w:szCs w:val="20"/>
        </w:rPr>
      </w:pPr>
    </w:p>
    <w:p w:rsidRPr="00E845A9" w:rsidR="00E845A9" w:rsidP="00E845A9" w:rsidRDefault="00E845A9" w14:paraId="42050F43" w14:textId="77777777">
      <w:pPr>
        <w:rPr>
          <w:color w:val="C00000"/>
          <w:sz w:val="20"/>
          <w:szCs w:val="20"/>
        </w:rPr>
      </w:pPr>
    </w:p>
    <w:p w:rsidRPr="00A77942" w:rsidR="00F81F20" w:rsidP="00A77942" w:rsidRDefault="00F81F20" w14:paraId="2DDB1AFA" w14:textId="028EAEE9">
      <w:pPr>
        <w:rPr>
          <w:sz w:val="20"/>
          <w:szCs w:val="20"/>
          <w:u w:val="single"/>
        </w:rPr>
      </w:pPr>
    </w:p>
    <w:p w:rsidR="00F81F20" w:rsidP="00F81F20" w:rsidRDefault="00F81F20" w14:paraId="49A6C0DC" w14:textId="77777777">
      <w:pPr>
        <w:ind w:left="360"/>
        <w:rPr>
          <w:sz w:val="20"/>
          <w:szCs w:val="20"/>
        </w:rPr>
      </w:pPr>
    </w:p>
    <w:p w:rsidRPr="00F81F20" w:rsidR="00F81F20" w:rsidP="00F81F20" w:rsidRDefault="00F81F20" w14:paraId="1D41A22C" w14:textId="77777777">
      <w:pPr>
        <w:ind w:left="360"/>
        <w:rPr>
          <w:sz w:val="20"/>
          <w:szCs w:val="20"/>
        </w:rPr>
      </w:pPr>
    </w:p>
    <w:p w:rsidRPr="00501FD9" w:rsidR="005B5C31" w:rsidP="00501FD9" w:rsidRDefault="005B5C31" w14:paraId="79F73B30" w14:textId="77777777">
      <w:pPr>
        <w:pStyle w:val="Lijstalinea"/>
        <w:rPr>
          <w:sz w:val="20"/>
          <w:szCs w:val="20"/>
        </w:rPr>
      </w:pPr>
      <w:r w:rsidRPr="00501FD9">
        <w:rPr>
          <w:i/>
          <w:sz w:val="20"/>
        </w:rPr>
        <w:br/>
      </w:r>
      <w:r w:rsidRPr="00501FD9">
        <w:rPr>
          <w:i/>
          <w:sz w:val="20"/>
        </w:rPr>
        <w:br/>
      </w:r>
      <w:r w:rsidRPr="00501FD9">
        <w:rPr>
          <w:i/>
        </w:rPr>
        <w:br/>
      </w:r>
    </w:p>
    <w:p w:rsidR="005B5C31" w:rsidP="005B5C31" w:rsidRDefault="005B5C31" w14:paraId="1CA68C09" w14:textId="77777777"/>
    <w:sectPr w:rsidR="005B5C31">
      <w:headerReference w:type="default"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A9E3A" w14:textId="77777777" w:rsidR="00A21E82" w:rsidRDefault="00A21E82" w:rsidP="005B5C31">
      <w:pPr>
        <w:spacing w:after="0" w:line="240" w:lineRule="auto"/>
      </w:pPr>
      <w:r>
        <w:separator/>
      </w:r>
    </w:p>
  </w:endnote>
  <w:endnote w:type="continuationSeparator" w:id="0">
    <w:p w14:paraId="27DA4ED5" w14:textId="77777777" w:rsidR="00A21E82" w:rsidRDefault="00A21E82" w:rsidP="005B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8D8C" w14:textId="77777777" w:rsidR="00365524" w:rsidRDefault="00365524">
    <w:pPr>
      <w:pStyle w:val="Voettekst"/>
    </w:pPr>
    <w:r>
      <w:rPr>
        <w:noProof/>
        <w:lang w:eastAsia="nl-NL"/>
      </w:rPr>
      <w:drawing>
        <wp:inline distT="0" distB="0" distL="0" distR="0" wp14:anchorId="7A44E9BC" wp14:editId="40C7D6D2">
          <wp:extent cx="1908175" cy="475615"/>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75615"/>
                  </a:xfrm>
                  <a:prstGeom prst="rect">
                    <a:avLst/>
                  </a:prstGeom>
                  <a:noFill/>
                </pic:spPr>
              </pic:pic>
            </a:graphicData>
          </a:graphic>
        </wp:inline>
      </w:drawing>
    </w:r>
  </w:p>
  <w:p w14:paraId="7468F9B1" w14:textId="77777777" w:rsidR="00365524" w:rsidRDefault="003655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49B2D" w14:textId="77777777" w:rsidR="00A21E82" w:rsidRDefault="00A21E82" w:rsidP="005B5C31">
      <w:pPr>
        <w:spacing w:after="0" w:line="240" w:lineRule="auto"/>
      </w:pPr>
      <w:r>
        <w:separator/>
      </w:r>
    </w:p>
  </w:footnote>
  <w:footnote w:type="continuationSeparator" w:id="0">
    <w:p w14:paraId="700E41F7" w14:textId="77777777" w:rsidR="00A21E82" w:rsidRDefault="00A21E82" w:rsidP="005B5C31">
      <w:pPr>
        <w:spacing w:after="0" w:line="240" w:lineRule="auto"/>
      </w:pPr>
      <w:r>
        <w:continuationSeparator/>
      </w:r>
    </w:p>
  </w:footnote>
  <w:footnote w:id="1">
    <w:p w14:paraId="26C88377" w14:textId="77777777" w:rsidR="00365524" w:rsidRDefault="00365524" w:rsidP="00386DB1">
      <w:pPr>
        <w:pStyle w:val="Voetnoottekst"/>
      </w:pPr>
      <w:r>
        <w:rPr>
          <w:rStyle w:val="Voetnootmarkering"/>
        </w:rPr>
        <w:footnoteRef/>
      </w:r>
      <w:r>
        <w:t xml:space="preserve"> </w:t>
      </w:r>
      <w:r w:rsidRPr="008048F3">
        <w:t>https://www.nrc.nl/nieuws/2014/03/13/wij-leren-geen-leven-lang-1354055-a156888</w:t>
      </w:r>
    </w:p>
  </w:footnote>
  <w:footnote w:id="2">
    <w:p w14:paraId="663E2B55" w14:textId="5CF8B264" w:rsidR="00C74C16" w:rsidRDefault="00C74C16">
      <w:pPr>
        <w:pStyle w:val="Voetnoottekst"/>
      </w:pPr>
      <w:r>
        <w:rPr>
          <w:rStyle w:val="Voetnootmarkering"/>
        </w:rPr>
        <w:footnoteRef/>
      </w:r>
      <w:r>
        <w:t xml:space="preserve"> </w:t>
      </w:r>
      <w:r w:rsidRPr="00C74C16">
        <w:t>http://nos.nl/artikel/2136228-schakelprogramma-moet-mbo-ers-beter-voorbereiden-op-hbo.html</w:t>
      </w:r>
    </w:p>
  </w:footnote>
  <w:footnote w:id="3">
    <w:p w14:paraId="6A2142B0" w14:textId="4E2C715E" w:rsidR="00C06710" w:rsidRDefault="00C06710">
      <w:pPr>
        <w:pStyle w:val="Voetnoottekst"/>
      </w:pPr>
      <w:r>
        <w:rPr>
          <w:rStyle w:val="Voetnootmarkering"/>
        </w:rPr>
        <w:footnoteRef/>
      </w:r>
      <w:r>
        <w:t xml:space="preserve"> </w:t>
      </w:r>
      <w:r w:rsidRPr="00C06710">
        <w:t>http://www.keuzegids.org/nieuws7718-mastergids-2016-selectieve-toelating-is-de-trend</w:t>
      </w:r>
    </w:p>
  </w:footnote>
  <w:footnote w:id="4">
    <w:p w14:paraId="389EF835" w14:textId="593A9D73" w:rsidR="00C06710" w:rsidRDefault="00C06710">
      <w:pPr>
        <w:pStyle w:val="Voetnoottekst"/>
      </w:pPr>
      <w:r>
        <w:rPr>
          <w:rStyle w:val="Voetnootmarkering"/>
        </w:rPr>
        <w:footnoteRef/>
      </w:r>
      <w:r>
        <w:t xml:space="preserve"> </w:t>
      </w:r>
      <w:r w:rsidRPr="00C06710">
        <w:t>https://duo.nl/particulier/student-hbo-of-universiteit/studeren/een-master-gaan-doen.jsp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1C0EC" w14:textId="77777777" w:rsidR="00365524" w:rsidRDefault="00365524">
    <w:pPr>
      <w:pStyle w:val="Koptekst"/>
    </w:pPr>
    <w:r>
      <w:rPr>
        <w:noProof/>
        <w:lang w:eastAsia="nl-NL"/>
      </w:rPr>
      <w:drawing>
        <wp:inline distT="0" distB="0" distL="0" distR="0" wp14:anchorId="6CE291E7" wp14:editId="4B042D26">
          <wp:extent cx="5273675" cy="90233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02335"/>
                  </a:xfrm>
                  <a:prstGeom prst="rect">
                    <a:avLst/>
                  </a:prstGeom>
                  <a:noFill/>
                </pic:spPr>
              </pic:pic>
            </a:graphicData>
          </a:graphic>
        </wp:inline>
      </w:drawing>
    </w:r>
  </w:p>
  <w:p w14:paraId="43C2FD91" w14:textId="77777777" w:rsidR="00365524" w:rsidRDefault="0036552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2011"/>
    <w:multiLevelType w:val="hybridMultilevel"/>
    <w:tmpl w:val="CA047E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50226"/>
    <w:multiLevelType w:val="hybridMultilevel"/>
    <w:tmpl w:val="313081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9730AB2"/>
    <w:multiLevelType w:val="hybridMultilevel"/>
    <w:tmpl w:val="EEEC7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4AB7E56"/>
    <w:multiLevelType w:val="hybridMultilevel"/>
    <w:tmpl w:val="AA7AA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0E0184"/>
    <w:multiLevelType w:val="hybridMultilevel"/>
    <w:tmpl w:val="9280E4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3C"/>
    <w:rsid w:val="00017536"/>
    <w:rsid w:val="000509C0"/>
    <w:rsid w:val="00063C70"/>
    <w:rsid w:val="00067895"/>
    <w:rsid w:val="00072F0F"/>
    <w:rsid w:val="000C6FA0"/>
    <w:rsid w:val="000E6022"/>
    <w:rsid w:val="000E71A1"/>
    <w:rsid w:val="001D4899"/>
    <w:rsid w:val="001D70C7"/>
    <w:rsid w:val="00204651"/>
    <w:rsid w:val="00263307"/>
    <w:rsid w:val="002C5CEF"/>
    <w:rsid w:val="00304B39"/>
    <w:rsid w:val="00365524"/>
    <w:rsid w:val="00386DB1"/>
    <w:rsid w:val="00453441"/>
    <w:rsid w:val="004A6696"/>
    <w:rsid w:val="004D720B"/>
    <w:rsid w:val="00501FD9"/>
    <w:rsid w:val="0052047B"/>
    <w:rsid w:val="005757B3"/>
    <w:rsid w:val="005B5C31"/>
    <w:rsid w:val="008062B8"/>
    <w:rsid w:val="00864332"/>
    <w:rsid w:val="00876F9A"/>
    <w:rsid w:val="00886D3A"/>
    <w:rsid w:val="008B0935"/>
    <w:rsid w:val="00910EEB"/>
    <w:rsid w:val="00975E3A"/>
    <w:rsid w:val="009913AE"/>
    <w:rsid w:val="009D2E55"/>
    <w:rsid w:val="00A21E82"/>
    <w:rsid w:val="00A77942"/>
    <w:rsid w:val="00AE552C"/>
    <w:rsid w:val="00B27D65"/>
    <w:rsid w:val="00B76C72"/>
    <w:rsid w:val="00B95B9F"/>
    <w:rsid w:val="00C06710"/>
    <w:rsid w:val="00C74C16"/>
    <w:rsid w:val="00D2093B"/>
    <w:rsid w:val="00D31FAE"/>
    <w:rsid w:val="00DB3742"/>
    <w:rsid w:val="00DE2614"/>
    <w:rsid w:val="00DF63CD"/>
    <w:rsid w:val="00E4678B"/>
    <w:rsid w:val="00E5103C"/>
    <w:rsid w:val="00E62145"/>
    <w:rsid w:val="00E845A9"/>
    <w:rsid w:val="00EA1F50"/>
    <w:rsid w:val="00F81F20"/>
    <w:rsid w:val="00F937C8"/>
    <w:rsid w:val="00FC31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1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B5C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5C31"/>
  </w:style>
  <w:style w:type="paragraph" w:styleId="Voettekst">
    <w:name w:val="footer"/>
    <w:basedOn w:val="Standaard"/>
    <w:link w:val="VoettekstChar"/>
    <w:uiPriority w:val="99"/>
    <w:unhideWhenUsed/>
    <w:rsid w:val="005B5C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5C31"/>
  </w:style>
  <w:style w:type="paragraph" w:styleId="Ballontekst">
    <w:name w:val="Balloon Text"/>
    <w:basedOn w:val="Standaard"/>
    <w:link w:val="BallontekstChar"/>
    <w:uiPriority w:val="99"/>
    <w:semiHidden/>
    <w:unhideWhenUsed/>
    <w:rsid w:val="005B5C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5C31"/>
    <w:rPr>
      <w:rFonts w:ascii="Tahoma" w:hAnsi="Tahoma" w:cs="Tahoma"/>
      <w:sz w:val="16"/>
      <w:szCs w:val="16"/>
    </w:rPr>
  </w:style>
  <w:style w:type="paragraph" w:styleId="Lijstalinea">
    <w:name w:val="List Paragraph"/>
    <w:basedOn w:val="Standaard"/>
    <w:uiPriority w:val="34"/>
    <w:qFormat/>
    <w:rsid w:val="005B5C31"/>
    <w:pPr>
      <w:ind w:left="720"/>
      <w:contextualSpacing/>
    </w:pPr>
  </w:style>
  <w:style w:type="paragraph" w:styleId="Voetnoottekst">
    <w:name w:val="footnote text"/>
    <w:basedOn w:val="Standaard"/>
    <w:link w:val="VoetnoottekstChar"/>
    <w:uiPriority w:val="99"/>
    <w:unhideWhenUsed/>
    <w:rsid w:val="008062B8"/>
    <w:pPr>
      <w:spacing w:after="0" w:line="240" w:lineRule="auto"/>
    </w:pPr>
    <w:rPr>
      <w:sz w:val="20"/>
      <w:szCs w:val="20"/>
    </w:rPr>
  </w:style>
  <w:style w:type="character" w:customStyle="1" w:styleId="VoetnoottekstChar">
    <w:name w:val="Voetnoottekst Char"/>
    <w:basedOn w:val="Standaardalinea-lettertype"/>
    <w:link w:val="Voetnoottekst"/>
    <w:uiPriority w:val="99"/>
    <w:rsid w:val="008062B8"/>
    <w:rPr>
      <w:sz w:val="20"/>
      <w:szCs w:val="20"/>
    </w:rPr>
  </w:style>
  <w:style w:type="character" w:styleId="Voetnootmarkering">
    <w:name w:val="footnote reference"/>
    <w:basedOn w:val="Standaardalinea-lettertype"/>
    <w:uiPriority w:val="99"/>
    <w:unhideWhenUsed/>
    <w:rsid w:val="008062B8"/>
    <w:rPr>
      <w:vertAlign w:val="superscript"/>
    </w:rPr>
  </w:style>
  <w:style w:type="character" w:styleId="Verwijzingopmerking">
    <w:name w:val="annotation reference"/>
    <w:basedOn w:val="Standaardalinea-lettertype"/>
    <w:uiPriority w:val="99"/>
    <w:semiHidden/>
    <w:unhideWhenUsed/>
    <w:rsid w:val="00304B39"/>
    <w:rPr>
      <w:sz w:val="16"/>
      <w:szCs w:val="16"/>
    </w:rPr>
  </w:style>
  <w:style w:type="paragraph" w:styleId="Tekstopmerking">
    <w:name w:val="annotation text"/>
    <w:basedOn w:val="Standaard"/>
    <w:link w:val="TekstopmerkingChar"/>
    <w:uiPriority w:val="99"/>
    <w:semiHidden/>
    <w:unhideWhenUsed/>
    <w:rsid w:val="00304B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04B39"/>
    <w:rPr>
      <w:sz w:val="20"/>
      <w:szCs w:val="20"/>
    </w:rPr>
  </w:style>
  <w:style w:type="paragraph" w:styleId="Onderwerpvanopmerking">
    <w:name w:val="annotation subject"/>
    <w:basedOn w:val="Tekstopmerking"/>
    <w:next w:val="Tekstopmerking"/>
    <w:link w:val="OnderwerpvanopmerkingChar"/>
    <w:uiPriority w:val="99"/>
    <w:semiHidden/>
    <w:unhideWhenUsed/>
    <w:rsid w:val="00304B39"/>
    <w:rPr>
      <w:b/>
      <w:bCs/>
    </w:rPr>
  </w:style>
  <w:style w:type="character" w:customStyle="1" w:styleId="OnderwerpvanopmerkingChar">
    <w:name w:val="Onderwerp van opmerking Char"/>
    <w:basedOn w:val="TekstopmerkingChar"/>
    <w:link w:val="Onderwerpvanopmerking"/>
    <w:uiPriority w:val="99"/>
    <w:semiHidden/>
    <w:rsid w:val="00304B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B5C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5C31"/>
  </w:style>
  <w:style w:type="paragraph" w:styleId="Voettekst">
    <w:name w:val="footer"/>
    <w:basedOn w:val="Standaard"/>
    <w:link w:val="VoettekstChar"/>
    <w:uiPriority w:val="99"/>
    <w:unhideWhenUsed/>
    <w:rsid w:val="005B5C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5C31"/>
  </w:style>
  <w:style w:type="paragraph" w:styleId="Ballontekst">
    <w:name w:val="Balloon Text"/>
    <w:basedOn w:val="Standaard"/>
    <w:link w:val="BallontekstChar"/>
    <w:uiPriority w:val="99"/>
    <w:semiHidden/>
    <w:unhideWhenUsed/>
    <w:rsid w:val="005B5C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5C31"/>
    <w:rPr>
      <w:rFonts w:ascii="Tahoma" w:hAnsi="Tahoma" w:cs="Tahoma"/>
      <w:sz w:val="16"/>
      <w:szCs w:val="16"/>
    </w:rPr>
  </w:style>
  <w:style w:type="paragraph" w:styleId="Lijstalinea">
    <w:name w:val="List Paragraph"/>
    <w:basedOn w:val="Standaard"/>
    <w:uiPriority w:val="34"/>
    <w:qFormat/>
    <w:rsid w:val="005B5C31"/>
    <w:pPr>
      <w:ind w:left="720"/>
      <w:contextualSpacing/>
    </w:pPr>
  </w:style>
  <w:style w:type="paragraph" w:styleId="Voetnoottekst">
    <w:name w:val="footnote text"/>
    <w:basedOn w:val="Standaard"/>
    <w:link w:val="VoetnoottekstChar"/>
    <w:uiPriority w:val="99"/>
    <w:unhideWhenUsed/>
    <w:rsid w:val="008062B8"/>
    <w:pPr>
      <w:spacing w:after="0" w:line="240" w:lineRule="auto"/>
    </w:pPr>
    <w:rPr>
      <w:sz w:val="20"/>
      <w:szCs w:val="20"/>
    </w:rPr>
  </w:style>
  <w:style w:type="character" w:customStyle="1" w:styleId="VoetnoottekstChar">
    <w:name w:val="Voetnoottekst Char"/>
    <w:basedOn w:val="Standaardalinea-lettertype"/>
    <w:link w:val="Voetnoottekst"/>
    <w:uiPriority w:val="99"/>
    <w:rsid w:val="008062B8"/>
    <w:rPr>
      <w:sz w:val="20"/>
      <w:szCs w:val="20"/>
    </w:rPr>
  </w:style>
  <w:style w:type="character" w:styleId="Voetnootmarkering">
    <w:name w:val="footnote reference"/>
    <w:basedOn w:val="Standaardalinea-lettertype"/>
    <w:uiPriority w:val="99"/>
    <w:unhideWhenUsed/>
    <w:rsid w:val="008062B8"/>
    <w:rPr>
      <w:vertAlign w:val="superscript"/>
    </w:rPr>
  </w:style>
  <w:style w:type="character" w:styleId="Verwijzingopmerking">
    <w:name w:val="annotation reference"/>
    <w:basedOn w:val="Standaardalinea-lettertype"/>
    <w:uiPriority w:val="99"/>
    <w:semiHidden/>
    <w:unhideWhenUsed/>
    <w:rsid w:val="00304B39"/>
    <w:rPr>
      <w:sz w:val="16"/>
      <w:szCs w:val="16"/>
    </w:rPr>
  </w:style>
  <w:style w:type="paragraph" w:styleId="Tekstopmerking">
    <w:name w:val="annotation text"/>
    <w:basedOn w:val="Standaard"/>
    <w:link w:val="TekstopmerkingChar"/>
    <w:uiPriority w:val="99"/>
    <w:semiHidden/>
    <w:unhideWhenUsed/>
    <w:rsid w:val="00304B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04B39"/>
    <w:rPr>
      <w:sz w:val="20"/>
      <w:szCs w:val="20"/>
    </w:rPr>
  </w:style>
  <w:style w:type="paragraph" w:styleId="Onderwerpvanopmerking">
    <w:name w:val="annotation subject"/>
    <w:basedOn w:val="Tekstopmerking"/>
    <w:next w:val="Tekstopmerking"/>
    <w:link w:val="OnderwerpvanopmerkingChar"/>
    <w:uiPriority w:val="99"/>
    <w:semiHidden/>
    <w:unhideWhenUsed/>
    <w:rsid w:val="00304B39"/>
    <w:rPr>
      <w:b/>
      <w:bCs/>
    </w:rPr>
  </w:style>
  <w:style w:type="character" w:customStyle="1" w:styleId="OnderwerpvanopmerkingChar">
    <w:name w:val="Onderwerp van opmerking Char"/>
    <w:basedOn w:val="TekstopmerkingChar"/>
    <w:link w:val="Onderwerpvanopmerking"/>
    <w:uiPriority w:val="99"/>
    <w:semiHidden/>
    <w:rsid w:val="00304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1332</ap:Words>
  <ap:Characters>7331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2017-01-16T15:29:00.0000000Z</dcterms:created>
  <dcterms:modified xsi:type="dcterms:W3CDTF">2017-01-16T15:29:00.0000000Z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