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C17DE" w:rsidR="00E32F6C" w:rsidP="00340EE0" w:rsidRDefault="00340EE0">
      <w:pPr>
        <w:jc w:val="center"/>
        <w:rPr>
          <w:b/>
          <w:sz w:val="24"/>
          <w:szCs w:val="24"/>
          <w:lang w:val="nl-NL"/>
        </w:rPr>
      </w:pPr>
      <w:r w:rsidRPr="008C17DE">
        <w:rPr>
          <w:b/>
          <w:sz w:val="24"/>
          <w:szCs w:val="24"/>
          <w:lang w:val="nl-NL"/>
        </w:rPr>
        <w:t>Hoorzitting Leven Lang Leren, Tweede Kamer, 23 januari 2017.</w:t>
      </w:r>
    </w:p>
    <w:p w:rsidRPr="008C17DE" w:rsidR="00340EE0" w:rsidP="00340EE0" w:rsidRDefault="00340EE0">
      <w:pPr>
        <w:jc w:val="center"/>
        <w:rPr>
          <w:b/>
          <w:i/>
          <w:sz w:val="24"/>
          <w:szCs w:val="24"/>
          <w:lang w:val="nl-NL"/>
        </w:rPr>
      </w:pPr>
      <w:proofErr w:type="spellStart"/>
      <w:r w:rsidRPr="008C17DE">
        <w:rPr>
          <w:b/>
          <w:i/>
          <w:sz w:val="24"/>
          <w:szCs w:val="24"/>
          <w:lang w:val="nl-NL"/>
        </w:rPr>
        <w:t>Positi</w:t>
      </w:r>
      <w:r w:rsidRPr="008C17DE" w:rsidR="008C17DE">
        <w:rPr>
          <w:b/>
          <w:i/>
          <w:sz w:val="24"/>
          <w:szCs w:val="24"/>
          <w:lang w:val="nl-NL"/>
        </w:rPr>
        <w:t>on</w:t>
      </w:r>
      <w:proofErr w:type="spellEnd"/>
      <w:r w:rsidRPr="008C17DE">
        <w:rPr>
          <w:b/>
          <w:i/>
          <w:sz w:val="24"/>
          <w:szCs w:val="24"/>
          <w:lang w:val="nl-NL"/>
        </w:rPr>
        <w:t xml:space="preserve"> </w:t>
      </w:r>
      <w:proofErr w:type="gramStart"/>
      <w:r w:rsidRPr="008C17DE">
        <w:rPr>
          <w:b/>
          <w:i/>
          <w:sz w:val="24"/>
          <w:szCs w:val="24"/>
          <w:lang w:val="nl-NL"/>
        </w:rPr>
        <w:t>Paper</w:t>
      </w:r>
      <w:proofErr w:type="gramEnd"/>
      <w:r w:rsidRPr="008C17DE">
        <w:rPr>
          <w:b/>
          <w:i/>
          <w:sz w:val="24"/>
          <w:szCs w:val="24"/>
          <w:lang w:val="nl-NL"/>
        </w:rPr>
        <w:t xml:space="preserve"> </w:t>
      </w:r>
      <w:proofErr w:type="spellStart"/>
      <w:r w:rsidRPr="008C17DE">
        <w:rPr>
          <w:b/>
          <w:i/>
          <w:sz w:val="24"/>
          <w:szCs w:val="24"/>
          <w:lang w:val="nl-NL"/>
        </w:rPr>
        <w:t>Prof.dr</w:t>
      </w:r>
      <w:proofErr w:type="spellEnd"/>
      <w:r w:rsidRPr="008C17DE">
        <w:rPr>
          <w:b/>
          <w:i/>
          <w:sz w:val="24"/>
          <w:szCs w:val="24"/>
          <w:lang w:val="nl-NL"/>
        </w:rPr>
        <w:t>. Andries de Grip, Directeur ROA, Universiteit Maastricht.</w:t>
      </w:r>
    </w:p>
    <w:p w:rsidRPr="008C17DE" w:rsidR="00340EE0" w:rsidP="00340EE0" w:rsidRDefault="00340EE0">
      <w:pPr>
        <w:jc w:val="center"/>
        <w:rPr>
          <w:b/>
          <w:i/>
          <w:lang w:val="nl-NL"/>
        </w:rPr>
      </w:pPr>
    </w:p>
    <w:p w:rsidR="00340EE0" w:rsidP="006B79FC" w:rsidRDefault="008C17DE">
      <w:pPr>
        <w:pStyle w:val="ListParagraph"/>
        <w:numPr>
          <w:ilvl w:val="0"/>
          <w:numId w:val="1"/>
        </w:numPr>
        <w:ind w:left="714" w:hanging="357"/>
        <w:contextualSpacing w:val="0"/>
        <w:rPr>
          <w:lang w:val="nl-NL"/>
        </w:rPr>
      </w:pPr>
      <w:r>
        <w:rPr>
          <w:lang w:val="nl-NL"/>
        </w:rPr>
        <w:t>De u</w:t>
      </w:r>
      <w:r w:rsidRPr="00340EE0" w:rsidR="00340EE0">
        <w:rPr>
          <w:lang w:val="nl-NL"/>
        </w:rPr>
        <w:t xml:space="preserve">rgentie voor </w:t>
      </w:r>
      <w:r>
        <w:rPr>
          <w:lang w:val="nl-NL"/>
        </w:rPr>
        <w:t xml:space="preserve">een </w:t>
      </w:r>
      <w:r w:rsidRPr="00340EE0" w:rsidR="00340EE0">
        <w:rPr>
          <w:lang w:val="nl-NL"/>
        </w:rPr>
        <w:t>betere infrastructuur</w:t>
      </w:r>
      <w:r w:rsidR="00340EE0">
        <w:rPr>
          <w:lang w:val="nl-NL"/>
        </w:rPr>
        <w:t xml:space="preserve"> voor post-initieel leren is groot vanwege</w:t>
      </w:r>
      <w:r w:rsidR="006B79FC">
        <w:rPr>
          <w:lang w:val="nl-NL"/>
        </w:rPr>
        <w:t>:</w:t>
      </w:r>
      <w:r w:rsidR="006B79FC">
        <w:rPr>
          <w:lang w:val="nl-NL"/>
        </w:rPr>
        <w:br/>
      </w:r>
      <w:r w:rsidR="00340EE0">
        <w:rPr>
          <w:lang w:val="nl-NL"/>
        </w:rPr>
        <w:t xml:space="preserve">(1) </w:t>
      </w:r>
      <w:r>
        <w:rPr>
          <w:lang w:val="nl-NL"/>
        </w:rPr>
        <w:t xml:space="preserve">de </w:t>
      </w:r>
      <w:r w:rsidR="00340EE0">
        <w:rPr>
          <w:lang w:val="nl-NL"/>
        </w:rPr>
        <w:t>grote dynamiek in sector-</w:t>
      </w:r>
      <w:r w:rsidR="006B79FC">
        <w:rPr>
          <w:lang w:val="nl-NL"/>
        </w:rPr>
        <w:t xml:space="preserve"> en</w:t>
      </w:r>
      <w:r w:rsidR="00340EE0">
        <w:rPr>
          <w:lang w:val="nl-NL"/>
        </w:rPr>
        <w:t xml:space="preserve">  beroepenstructuur van de werkgelegenheid en de binnen beroepen verschuivende vraag naar skills</w:t>
      </w:r>
      <w:proofErr w:type="gramStart"/>
      <w:r>
        <w:rPr>
          <w:lang w:val="nl-NL"/>
        </w:rPr>
        <w:t>;</w:t>
      </w:r>
      <w:r w:rsidR="006B79FC">
        <w:rPr>
          <w:lang w:val="nl-NL"/>
        </w:rPr>
        <w:br/>
      </w:r>
      <w:r w:rsidR="00340EE0">
        <w:rPr>
          <w:lang w:val="nl-NL"/>
        </w:rPr>
        <w:t>(</w:t>
      </w:r>
      <w:proofErr w:type="gramEnd"/>
      <w:r w:rsidR="00340EE0">
        <w:rPr>
          <w:lang w:val="nl-NL"/>
        </w:rPr>
        <w:t xml:space="preserve">2) de </w:t>
      </w:r>
      <w:r w:rsidR="00925413">
        <w:rPr>
          <w:lang w:val="nl-NL"/>
        </w:rPr>
        <w:t xml:space="preserve">snel gegroeide </w:t>
      </w:r>
      <w:r w:rsidR="00340EE0">
        <w:rPr>
          <w:lang w:val="nl-NL"/>
        </w:rPr>
        <w:t xml:space="preserve">noodzaak om op latere leeftijd met pensioen te gaan. </w:t>
      </w:r>
      <w:r w:rsidR="006B79FC">
        <w:rPr>
          <w:lang w:val="nl-NL"/>
        </w:rPr>
        <w:br/>
      </w:r>
      <w:r w:rsidR="00340EE0">
        <w:rPr>
          <w:lang w:val="nl-NL"/>
        </w:rPr>
        <w:t xml:space="preserve">Door dit laatste kampen 55+ers die hier onvoldoende op waren voorbereid met </w:t>
      </w:r>
      <w:r w:rsidR="0013628F">
        <w:rPr>
          <w:lang w:val="nl-NL"/>
        </w:rPr>
        <w:t xml:space="preserve">wat men zou kunnen aanduiden als </w:t>
      </w:r>
      <w:r>
        <w:rPr>
          <w:lang w:val="nl-NL"/>
        </w:rPr>
        <w:t>‘</w:t>
      </w:r>
      <w:r w:rsidR="00340EE0">
        <w:rPr>
          <w:lang w:val="nl-NL"/>
        </w:rPr>
        <w:t>achterstallig onderhoud</w:t>
      </w:r>
      <w:r>
        <w:rPr>
          <w:lang w:val="nl-NL"/>
        </w:rPr>
        <w:t>’</w:t>
      </w:r>
      <w:r w:rsidR="0013628F">
        <w:rPr>
          <w:lang w:val="nl-NL"/>
        </w:rPr>
        <w:t xml:space="preserve"> voor wat betreft hun inzetbaarheid. </w:t>
      </w:r>
      <w:r w:rsidR="000464FF">
        <w:rPr>
          <w:lang w:val="nl-NL"/>
        </w:rPr>
        <w:t>Juist de combinatie van beide ontwikkelingen maakt het zo belangrijk dat er in Nederland een goede infrastructuur komt die het leven lang leren faciliteert en stimuleert.</w:t>
      </w:r>
      <w:r w:rsidR="0013628F">
        <w:rPr>
          <w:lang w:val="nl-NL"/>
        </w:rPr>
        <w:br/>
      </w:r>
      <w:r w:rsidR="006B79FC">
        <w:rPr>
          <w:lang w:val="nl-NL"/>
        </w:rPr>
        <w:br/>
      </w:r>
      <w:r w:rsidR="000464FF">
        <w:rPr>
          <w:lang w:val="nl-NL"/>
        </w:rPr>
        <w:t>Dit</w:t>
      </w:r>
      <w:r w:rsidR="0013628F">
        <w:rPr>
          <w:lang w:val="nl-NL"/>
        </w:rPr>
        <w:t xml:space="preserve"> vereist </w:t>
      </w:r>
      <w:r w:rsidR="000464FF">
        <w:rPr>
          <w:lang w:val="nl-NL"/>
        </w:rPr>
        <w:t xml:space="preserve">beleid </w:t>
      </w:r>
      <w:r w:rsidR="0013628F">
        <w:rPr>
          <w:lang w:val="nl-NL"/>
        </w:rPr>
        <w:t>gericht op:</w:t>
      </w:r>
      <w:r w:rsidR="0013628F">
        <w:rPr>
          <w:lang w:val="nl-NL"/>
        </w:rPr>
        <w:br/>
        <w:t xml:space="preserve">- </w:t>
      </w:r>
      <w:r w:rsidR="000464FF">
        <w:rPr>
          <w:lang w:val="nl-NL"/>
        </w:rPr>
        <w:t xml:space="preserve">het </w:t>
      </w:r>
      <w:r w:rsidR="0013628F">
        <w:rPr>
          <w:lang w:val="nl-NL"/>
        </w:rPr>
        <w:t xml:space="preserve">ontwikkelen van </w:t>
      </w:r>
      <w:r w:rsidR="000464FF">
        <w:rPr>
          <w:lang w:val="nl-NL"/>
        </w:rPr>
        <w:t xml:space="preserve">een </w:t>
      </w:r>
      <w:r w:rsidR="0013628F">
        <w:rPr>
          <w:lang w:val="nl-NL"/>
        </w:rPr>
        <w:t>nieuwe infrastructuur voor post-initieel leren</w:t>
      </w:r>
      <w:r w:rsidR="00BC247E">
        <w:rPr>
          <w:lang w:val="nl-NL"/>
        </w:rPr>
        <w:t xml:space="preserve"> (preventief beleid)</w:t>
      </w:r>
      <w:r w:rsidR="000464FF">
        <w:rPr>
          <w:lang w:val="nl-NL"/>
        </w:rPr>
        <w:t>;</w:t>
      </w:r>
      <w:r w:rsidR="0013628F">
        <w:rPr>
          <w:lang w:val="nl-NL"/>
        </w:rPr>
        <w:br/>
        <w:t xml:space="preserve">- </w:t>
      </w:r>
      <w:r>
        <w:rPr>
          <w:lang w:val="nl-NL"/>
        </w:rPr>
        <w:t xml:space="preserve">tijdelijk </w:t>
      </w:r>
      <w:r w:rsidR="0013628F">
        <w:rPr>
          <w:lang w:val="nl-NL"/>
        </w:rPr>
        <w:t>beleid gericht op oudere arbeidskrachten</w:t>
      </w:r>
      <w:r>
        <w:rPr>
          <w:lang w:val="nl-NL"/>
        </w:rPr>
        <w:t xml:space="preserve"> die kampen met hun </w:t>
      </w:r>
      <w:proofErr w:type="gramStart"/>
      <w:r>
        <w:rPr>
          <w:lang w:val="nl-NL"/>
        </w:rPr>
        <w:t>inzetbaarheid</w:t>
      </w:r>
      <w:r>
        <w:rPr>
          <w:lang w:val="nl-NL"/>
        </w:rPr>
        <w:br/>
        <w:t xml:space="preserve"> </w:t>
      </w:r>
      <w:r w:rsidR="00BC247E">
        <w:rPr>
          <w:lang w:val="nl-NL"/>
        </w:rPr>
        <w:t xml:space="preserve"> </w:t>
      </w:r>
      <w:proofErr w:type="gramEnd"/>
      <w:r w:rsidR="00BC247E">
        <w:rPr>
          <w:lang w:val="nl-NL"/>
        </w:rPr>
        <w:t>(curatief beleid)</w:t>
      </w:r>
      <w:r w:rsidR="0013628F">
        <w:rPr>
          <w:lang w:val="nl-NL"/>
        </w:rPr>
        <w:t>.</w:t>
      </w:r>
    </w:p>
    <w:p w:rsidR="00C434C3" w:rsidP="006B79FC" w:rsidRDefault="00340EE0">
      <w:pPr>
        <w:pStyle w:val="ListParagraph"/>
        <w:numPr>
          <w:ilvl w:val="0"/>
          <w:numId w:val="1"/>
        </w:numPr>
        <w:ind w:left="714" w:hanging="357"/>
        <w:contextualSpacing w:val="0"/>
        <w:rPr>
          <w:lang w:val="nl-NL"/>
        </w:rPr>
      </w:pPr>
      <w:r>
        <w:rPr>
          <w:lang w:val="nl-NL"/>
        </w:rPr>
        <w:t>Leven</w:t>
      </w:r>
      <w:r w:rsidR="00842216">
        <w:rPr>
          <w:lang w:val="nl-NL"/>
        </w:rPr>
        <w:t xml:space="preserve"> </w:t>
      </w:r>
      <w:r>
        <w:rPr>
          <w:lang w:val="nl-NL"/>
        </w:rPr>
        <w:t xml:space="preserve">lang leren </w:t>
      </w:r>
      <w:r w:rsidR="0013628F">
        <w:rPr>
          <w:lang w:val="nl-NL"/>
        </w:rPr>
        <w:t xml:space="preserve">(LLL) </w:t>
      </w:r>
      <w:r>
        <w:rPr>
          <w:lang w:val="nl-NL"/>
        </w:rPr>
        <w:t xml:space="preserve">betekent geen </w:t>
      </w:r>
      <w:r w:rsidR="0013628F">
        <w:rPr>
          <w:lang w:val="nl-NL"/>
        </w:rPr>
        <w:t xml:space="preserve">verschuiving van </w:t>
      </w:r>
      <w:r>
        <w:rPr>
          <w:lang w:val="nl-NL"/>
        </w:rPr>
        <w:t>initieel</w:t>
      </w:r>
      <w:r w:rsidR="0013628F">
        <w:rPr>
          <w:lang w:val="nl-NL"/>
        </w:rPr>
        <w:t xml:space="preserve"> naar post-initieel leren. Wel moet het initieel onderwijs nog meer gericht zijn op het leggen van een goede basis voor het post-initiële leren.</w:t>
      </w:r>
      <w:r w:rsidR="00BC247E">
        <w:rPr>
          <w:lang w:val="nl-NL"/>
        </w:rPr>
        <w:t xml:space="preserve"> </w:t>
      </w:r>
    </w:p>
    <w:p w:rsidR="00A1256C" w:rsidP="00A1256C" w:rsidRDefault="00C434C3">
      <w:pPr>
        <w:pStyle w:val="ListParagraph"/>
        <w:numPr>
          <w:ilvl w:val="0"/>
          <w:numId w:val="1"/>
        </w:numPr>
        <w:contextualSpacing w:val="0"/>
        <w:rPr>
          <w:lang w:val="nl-NL"/>
        </w:rPr>
      </w:pPr>
      <w:r>
        <w:rPr>
          <w:lang w:val="nl-NL"/>
        </w:rPr>
        <w:t>Het</w:t>
      </w:r>
      <w:r w:rsidR="00BC247E">
        <w:rPr>
          <w:lang w:val="nl-NL"/>
        </w:rPr>
        <w:t xml:space="preserve"> post-initiële leren heeft voor </w:t>
      </w:r>
      <w:r>
        <w:rPr>
          <w:lang w:val="nl-NL"/>
        </w:rPr>
        <w:t>het over</w:t>
      </w:r>
      <w:r w:rsidR="00BC247E">
        <w:rPr>
          <w:lang w:val="nl-NL"/>
        </w:rPr>
        <w:t>grot</w:t>
      </w:r>
      <w:r>
        <w:rPr>
          <w:lang w:val="nl-NL"/>
        </w:rPr>
        <w:t>e</w:t>
      </w:r>
      <w:r w:rsidR="00BC247E">
        <w:rPr>
          <w:lang w:val="nl-NL"/>
        </w:rPr>
        <w:t xml:space="preserve"> deel betrekking op</w:t>
      </w:r>
      <w:r>
        <w:rPr>
          <w:lang w:val="nl-NL"/>
        </w:rPr>
        <w:t xml:space="preserve"> het informele leren op het werk (“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doing</w:t>
      </w:r>
      <w:proofErr w:type="spellEnd"/>
      <w:r>
        <w:rPr>
          <w:lang w:val="nl-NL"/>
        </w:rPr>
        <w:t>” en kennisoverdracht op de werkvloer)</w:t>
      </w:r>
      <w:r w:rsidR="008C17DE">
        <w:rPr>
          <w:rStyle w:val="FootnoteReference"/>
          <w:lang w:val="nl-NL"/>
        </w:rPr>
        <w:footnoteReference w:id="1"/>
      </w:r>
      <w:r>
        <w:rPr>
          <w:lang w:val="nl-NL"/>
        </w:rPr>
        <w:t xml:space="preserve">. Bij hoger en middelbaar opgeleiden is dit informele leren op het werk de laatste jaren sterk toegenomen. Dat is niet het geval bij lager opgeleiden. Het informele </w:t>
      </w:r>
      <w:r w:rsidR="008C17DE">
        <w:rPr>
          <w:lang w:val="nl-NL"/>
        </w:rPr>
        <w:t xml:space="preserve">leren </w:t>
      </w:r>
      <w:r>
        <w:rPr>
          <w:lang w:val="nl-NL"/>
        </w:rPr>
        <w:t xml:space="preserve">is echter </w:t>
      </w:r>
      <w:r w:rsidR="008C17DE">
        <w:rPr>
          <w:lang w:val="nl-NL"/>
        </w:rPr>
        <w:t xml:space="preserve">vooral </w:t>
      </w:r>
      <w:r>
        <w:rPr>
          <w:lang w:val="nl-NL"/>
        </w:rPr>
        <w:t xml:space="preserve">gericht op de competenties die iemand nodig heeft voor zijn of haar huidige functie. </w:t>
      </w:r>
      <w:r w:rsidR="00A1256C">
        <w:rPr>
          <w:lang w:val="nl-NL"/>
        </w:rPr>
        <w:t xml:space="preserve">Het belang van het informele leren op het werk zou voor medewerkers van alle opleidingsniveaus </w:t>
      </w:r>
      <w:r w:rsidR="008C17DE">
        <w:rPr>
          <w:lang w:val="nl-NL"/>
        </w:rPr>
        <w:t xml:space="preserve">nog </w:t>
      </w:r>
      <w:r w:rsidR="00A1256C">
        <w:rPr>
          <w:lang w:val="nl-NL"/>
        </w:rPr>
        <w:t>v</w:t>
      </w:r>
      <w:r w:rsidRPr="00A1256C" w:rsidR="00A1256C">
        <w:rPr>
          <w:lang w:val="nl-NL"/>
        </w:rPr>
        <w:t>er</w:t>
      </w:r>
      <w:r w:rsidR="00A1256C">
        <w:rPr>
          <w:lang w:val="nl-NL"/>
        </w:rPr>
        <w:t>groot kunnen worden door het verbeteren van de</w:t>
      </w:r>
      <w:r w:rsidRPr="00A1256C" w:rsidR="00A1256C">
        <w:rPr>
          <w:lang w:val="nl-NL"/>
        </w:rPr>
        <w:t xml:space="preserve"> leercultuur in bedrijven</w:t>
      </w:r>
      <w:r w:rsidR="0076785A">
        <w:rPr>
          <w:lang w:val="nl-NL"/>
        </w:rPr>
        <w:t xml:space="preserve"> en niet-commerciële organisaties door een goed HRD beleid</w:t>
      </w:r>
      <w:r w:rsidRPr="00A1256C" w:rsidR="00A1256C">
        <w:rPr>
          <w:lang w:val="nl-NL"/>
        </w:rPr>
        <w:t xml:space="preserve"> en</w:t>
      </w:r>
      <w:r w:rsidR="0076785A">
        <w:rPr>
          <w:lang w:val="nl-NL"/>
        </w:rPr>
        <w:t xml:space="preserve"> het vergroten van de </w:t>
      </w:r>
      <w:r w:rsidRPr="00A1256C" w:rsidR="00A1256C">
        <w:rPr>
          <w:lang w:val="nl-NL"/>
        </w:rPr>
        <w:t>taak- en</w:t>
      </w:r>
      <w:r w:rsidR="0076785A">
        <w:rPr>
          <w:lang w:val="nl-NL"/>
        </w:rPr>
        <w:t>/of</w:t>
      </w:r>
      <w:r w:rsidR="008C17DE">
        <w:rPr>
          <w:lang w:val="nl-NL"/>
        </w:rPr>
        <w:t xml:space="preserve"> </w:t>
      </w:r>
      <w:r w:rsidRPr="00A1256C" w:rsidR="00A1256C">
        <w:rPr>
          <w:lang w:val="nl-NL"/>
        </w:rPr>
        <w:t>functiemobiliteit</w:t>
      </w:r>
      <w:r w:rsidR="0076785A">
        <w:rPr>
          <w:lang w:val="nl-NL"/>
        </w:rPr>
        <w:t>.</w:t>
      </w:r>
    </w:p>
    <w:p w:rsidR="00340EE0" w:rsidP="00842216" w:rsidRDefault="00A1256C">
      <w:pPr>
        <w:pStyle w:val="ListParagraph"/>
        <w:numPr>
          <w:ilvl w:val="0"/>
          <w:numId w:val="1"/>
        </w:numPr>
        <w:contextualSpacing w:val="0"/>
        <w:rPr>
          <w:lang w:val="nl-NL"/>
        </w:rPr>
      </w:pPr>
      <w:r>
        <w:rPr>
          <w:lang w:val="nl-NL"/>
        </w:rPr>
        <w:t>Het grote belang van het informele leren</w:t>
      </w:r>
      <w:r w:rsidR="00C434C3">
        <w:rPr>
          <w:lang w:val="nl-NL"/>
        </w:rPr>
        <w:t xml:space="preserve"> betekent niet dat het volgen van cursussen en trainingen niet belangrijk is</w:t>
      </w:r>
      <w:r>
        <w:rPr>
          <w:lang w:val="nl-NL"/>
        </w:rPr>
        <w:t>.</w:t>
      </w:r>
      <w:r w:rsidR="00C434C3">
        <w:rPr>
          <w:lang w:val="nl-NL"/>
        </w:rPr>
        <w:t xml:space="preserve"> </w:t>
      </w:r>
      <w:r>
        <w:rPr>
          <w:lang w:val="nl-NL"/>
        </w:rPr>
        <w:t>E</w:t>
      </w:r>
      <w:r w:rsidR="00C434C3">
        <w:rPr>
          <w:lang w:val="nl-NL"/>
        </w:rPr>
        <w:t>nerzijds stimuleert het volgen van een training het</w:t>
      </w:r>
      <w:r>
        <w:rPr>
          <w:lang w:val="nl-NL"/>
        </w:rPr>
        <w:t xml:space="preserve"> informele leren op het werk. Anderzijds is het voor het veranderen van functie </w:t>
      </w:r>
      <w:r w:rsidR="00842216">
        <w:rPr>
          <w:lang w:val="nl-NL"/>
        </w:rPr>
        <w:t xml:space="preserve">meestal noodzakelijk dat iemand aanvullende cursussen en trainingen volgt </w:t>
      </w:r>
      <w:r w:rsidRPr="00842216" w:rsidR="00842216">
        <w:rPr>
          <w:lang w:val="nl-NL"/>
        </w:rPr>
        <w:t>(bijscholing en omscholing)</w:t>
      </w:r>
      <w:r>
        <w:rPr>
          <w:lang w:val="nl-NL"/>
        </w:rPr>
        <w:t>.</w:t>
      </w:r>
    </w:p>
    <w:p w:rsidR="006B79FC" w:rsidP="0073383A" w:rsidRDefault="003D2985">
      <w:pPr>
        <w:pStyle w:val="ListParagraph"/>
        <w:numPr>
          <w:ilvl w:val="0"/>
          <w:numId w:val="1"/>
        </w:numPr>
        <w:contextualSpacing w:val="0"/>
        <w:rPr>
          <w:lang w:val="nl-NL"/>
        </w:rPr>
      </w:pPr>
      <w:r>
        <w:rPr>
          <w:lang w:val="nl-NL"/>
        </w:rPr>
        <w:t xml:space="preserve">De overheid zou een </w:t>
      </w:r>
      <w:r w:rsidR="006B79FC">
        <w:rPr>
          <w:lang w:val="nl-NL"/>
        </w:rPr>
        <w:t xml:space="preserve">meer </w:t>
      </w:r>
      <w:r>
        <w:rPr>
          <w:lang w:val="nl-NL"/>
        </w:rPr>
        <w:t>actieve rol moeten gaan vervullen m</w:t>
      </w:r>
      <w:r w:rsidR="00842216">
        <w:rPr>
          <w:lang w:val="nl-NL"/>
        </w:rPr>
        <w:t>et betrekking tot</w:t>
      </w:r>
      <w:r>
        <w:rPr>
          <w:lang w:val="nl-NL"/>
        </w:rPr>
        <w:t xml:space="preserve"> het post-initiële leren </w:t>
      </w:r>
      <w:r w:rsidR="0073383A">
        <w:rPr>
          <w:lang w:val="nl-NL"/>
        </w:rPr>
        <w:t>door</w:t>
      </w:r>
      <w:r>
        <w:rPr>
          <w:lang w:val="nl-NL"/>
        </w:rPr>
        <w:t xml:space="preserve"> in co-creatie met de sociale partners een </w:t>
      </w:r>
      <w:r w:rsidRPr="000464FF">
        <w:rPr>
          <w:i/>
          <w:lang w:val="nl-NL"/>
        </w:rPr>
        <w:t xml:space="preserve">nieuwe institutionele structuur voor het post-initieel leren </w:t>
      </w:r>
      <w:r>
        <w:rPr>
          <w:lang w:val="nl-NL"/>
        </w:rPr>
        <w:t>op</w:t>
      </w:r>
      <w:r w:rsidR="0073383A">
        <w:rPr>
          <w:lang w:val="nl-NL"/>
        </w:rPr>
        <w:t xml:space="preserve"> te </w:t>
      </w:r>
      <w:r>
        <w:rPr>
          <w:lang w:val="nl-NL"/>
        </w:rPr>
        <w:t xml:space="preserve">zetten. Belangrijke aspecten </w:t>
      </w:r>
      <w:r w:rsidR="0073383A">
        <w:rPr>
          <w:lang w:val="nl-NL"/>
        </w:rPr>
        <w:t xml:space="preserve">van </w:t>
      </w:r>
      <w:proofErr w:type="gramStart"/>
      <w:r w:rsidR="0073383A">
        <w:rPr>
          <w:lang w:val="nl-NL"/>
        </w:rPr>
        <w:t>zo’n</w:t>
      </w:r>
      <w:proofErr w:type="gramEnd"/>
      <w:r w:rsidR="0073383A">
        <w:rPr>
          <w:lang w:val="nl-NL"/>
        </w:rPr>
        <w:t xml:space="preserve"> </w:t>
      </w:r>
      <w:r w:rsidRPr="0073383A" w:rsidR="0073383A">
        <w:rPr>
          <w:lang w:val="nl-NL"/>
        </w:rPr>
        <w:t xml:space="preserve">institutionele structuur </w:t>
      </w:r>
      <w:r>
        <w:rPr>
          <w:lang w:val="nl-NL"/>
        </w:rPr>
        <w:t>zijn:</w:t>
      </w:r>
    </w:p>
    <w:p w:rsidR="006B79FC" w:rsidP="006B79FC" w:rsidRDefault="006B79FC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lastRenderedPageBreak/>
        <w:t>F</w:t>
      </w:r>
      <w:r w:rsidR="003D2985">
        <w:rPr>
          <w:lang w:val="nl-NL"/>
        </w:rPr>
        <w:t xml:space="preserve">unctiegericht leren is de verantwoordelijkheid van de werkgevers in samenspraak met </w:t>
      </w:r>
      <w:r>
        <w:rPr>
          <w:lang w:val="nl-NL"/>
        </w:rPr>
        <w:t>hun</w:t>
      </w:r>
      <w:r w:rsidR="003D2985">
        <w:rPr>
          <w:lang w:val="nl-NL"/>
        </w:rPr>
        <w:t xml:space="preserve"> werknemers</w:t>
      </w:r>
      <w:r>
        <w:rPr>
          <w:lang w:val="nl-NL"/>
        </w:rPr>
        <w:t>.</w:t>
      </w:r>
    </w:p>
    <w:p w:rsidR="006B79FC" w:rsidP="006B79FC" w:rsidRDefault="006B79FC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t>O</w:t>
      </w:r>
      <w:r w:rsidR="003D2985">
        <w:rPr>
          <w:lang w:val="nl-NL"/>
        </w:rPr>
        <w:t xml:space="preserve">mdat het informele leren daarbij een grote rol speelt moet er een goed systeem van EVC komen dat recht geeft op vrijstellingen bij </w:t>
      </w:r>
      <w:r w:rsidR="0073383A">
        <w:rPr>
          <w:lang w:val="nl-NL"/>
        </w:rPr>
        <w:t xml:space="preserve">zowel </w:t>
      </w:r>
      <w:proofErr w:type="spellStart"/>
      <w:r w:rsidR="003D2985">
        <w:rPr>
          <w:lang w:val="nl-NL"/>
        </w:rPr>
        <w:t>opschol</w:t>
      </w:r>
      <w:r>
        <w:rPr>
          <w:lang w:val="nl-NL"/>
        </w:rPr>
        <w:t>ing</w:t>
      </w:r>
      <w:proofErr w:type="spellEnd"/>
      <w:r>
        <w:rPr>
          <w:lang w:val="nl-NL"/>
        </w:rPr>
        <w:t xml:space="preserve"> </w:t>
      </w:r>
      <w:r w:rsidR="003D2985">
        <w:rPr>
          <w:lang w:val="nl-NL"/>
        </w:rPr>
        <w:t>naar een hoger MBO of HBO diploma</w:t>
      </w:r>
      <w:r>
        <w:rPr>
          <w:lang w:val="nl-NL"/>
        </w:rPr>
        <w:t xml:space="preserve"> </w:t>
      </w:r>
      <w:r w:rsidR="0073383A">
        <w:rPr>
          <w:lang w:val="nl-NL"/>
        </w:rPr>
        <w:t>als</w:t>
      </w:r>
      <w:r>
        <w:rPr>
          <w:lang w:val="nl-NL"/>
        </w:rPr>
        <w:t xml:space="preserve"> omscholing</w:t>
      </w:r>
      <w:r w:rsidR="0073383A">
        <w:rPr>
          <w:lang w:val="nl-NL"/>
        </w:rPr>
        <w:t xml:space="preserve"> naar een nieuw vakgebied</w:t>
      </w:r>
      <w:r>
        <w:rPr>
          <w:lang w:val="nl-NL"/>
        </w:rPr>
        <w:t>.</w:t>
      </w:r>
    </w:p>
    <w:p w:rsidR="006B79FC" w:rsidP="006B79FC" w:rsidRDefault="006B79FC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t xml:space="preserve">De </w:t>
      </w:r>
      <w:r w:rsidR="000A5D3F">
        <w:rPr>
          <w:lang w:val="nl-NL"/>
        </w:rPr>
        <w:t xml:space="preserve">overheid zou </w:t>
      </w:r>
      <w:r w:rsidRPr="000A5D3F" w:rsidR="000A5D3F">
        <w:rPr>
          <w:lang w:val="nl-NL"/>
        </w:rPr>
        <w:t xml:space="preserve">voor volwassenen </w:t>
      </w:r>
      <w:r w:rsidR="000A5D3F">
        <w:rPr>
          <w:lang w:val="nl-NL"/>
        </w:rPr>
        <w:t xml:space="preserve">mbo en hbo opleidingen onder dezelfde condities toegankelijk moeten stellen als voor jongeren. </w:t>
      </w:r>
      <w:proofErr w:type="gramStart"/>
      <w:r w:rsidR="000A5D3F">
        <w:rPr>
          <w:lang w:val="nl-NL"/>
        </w:rPr>
        <w:t>Met name</w:t>
      </w:r>
      <w:proofErr w:type="gramEnd"/>
      <w:r w:rsidR="000A5D3F">
        <w:rPr>
          <w:lang w:val="nl-NL"/>
        </w:rPr>
        <w:t xml:space="preserve"> de BBL leent zich erg goed voor het </w:t>
      </w:r>
      <w:proofErr w:type="spellStart"/>
      <w:r w:rsidR="000A5D3F">
        <w:rPr>
          <w:lang w:val="nl-NL"/>
        </w:rPr>
        <w:t>opscholen</w:t>
      </w:r>
      <w:proofErr w:type="spellEnd"/>
      <w:r w:rsidR="0073383A">
        <w:rPr>
          <w:lang w:val="nl-NL"/>
        </w:rPr>
        <w:t xml:space="preserve"> en eventueel ook omscholen</w:t>
      </w:r>
      <w:r w:rsidR="000A5D3F">
        <w:rPr>
          <w:lang w:val="nl-NL"/>
        </w:rPr>
        <w:t xml:space="preserve"> van mensen die al aan het werk zijn.</w:t>
      </w:r>
      <w:r>
        <w:rPr>
          <w:lang w:val="nl-NL"/>
        </w:rPr>
        <w:t xml:space="preserve"> </w:t>
      </w:r>
      <w:r w:rsidR="0073383A">
        <w:rPr>
          <w:lang w:val="nl-NL"/>
        </w:rPr>
        <w:t>Om deze toegankelijkheid te borgen</w:t>
      </w:r>
      <w:r>
        <w:rPr>
          <w:lang w:val="nl-NL"/>
        </w:rPr>
        <w:t xml:space="preserve"> zouden schoolverlaters die geen opleiding in het hoger onderwijs hebben gevolgd trekkingsrechten moeten krijgen </w:t>
      </w:r>
      <w:r w:rsidR="0073383A">
        <w:rPr>
          <w:lang w:val="nl-NL"/>
        </w:rPr>
        <w:t xml:space="preserve">waarmee ze </w:t>
      </w:r>
      <w:r>
        <w:rPr>
          <w:lang w:val="nl-NL"/>
        </w:rPr>
        <w:t xml:space="preserve">later </w:t>
      </w:r>
      <w:r w:rsidR="0073383A">
        <w:rPr>
          <w:lang w:val="nl-NL"/>
        </w:rPr>
        <w:t xml:space="preserve">in hun leven </w:t>
      </w:r>
      <w:r>
        <w:rPr>
          <w:lang w:val="nl-NL"/>
        </w:rPr>
        <w:t>onderwijs</w:t>
      </w:r>
      <w:r w:rsidR="0073383A">
        <w:rPr>
          <w:lang w:val="nl-NL"/>
        </w:rPr>
        <w:t xml:space="preserve"> kunnen volgen</w:t>
      </w:r>
      <w:r>
        <w:rPr>
          <w:lang w:val="nl-NL"/>
        </w:rPr>
        <w:t>.</w:t>
      </w:r>
    </w:p>
    <w:p w:rsidR="006B79FC" w:rsidP="006B79FC" w:rsidRDefault="006B79FC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t>O</w:t>
      </w:r>
      <w:r w:rsidR="003D2985">
        <w:rPr>
          <w:lang w:val="nl-NL"/>
        </w:rPr>
        <w:t xml:space="preserve">pzetten van een systeem van </w:t>
      </w:r>
      <w:r w:rsidRPr="000464FF" w:rsidR="003D2985">
        <w:rPr>
          <w:i/>
          <w:lang w:val="nl-NL"/>
        </w:rPr>
        <w:t>Individuele Leerrekeningen (IL</w:t>
      </w:r>
      <w:r w:rsidRPr="000464FF" w:rsidR="003D2985">
        <w:rPr>
          <w:lang w:val="nl-NL"/>
        </w:rPr>
        <w:t>R),</w:t>
      </w:r>
      <w:r w:rsidR="003D2985">
        <w:rPr>
          <w:lang w:val="nl-NL"/>
        </w:rPr>
        <w:t xml:space="preserve"> waarover mensen zelf kunnen beschikken. ILR middelen kunnen </w:t>
      </w:r>
      <w:r w:rsidR="00A1256C">
        <w:rPr>
          <w:lang w:val="nl-NL"/>
        </w:rPr>
        <w:t xml:space="preserve">alleen </w:t>
      </w:r>
      <w:r w:rsidR="003D2985">
        <w:rPr>
          <w:lang w:val="nl-NL"/>
        </w:rPr>
        <w:t>besteed worden aan loopbaanoriëntatie en loopbaangerichte op- en omscholing.</w:t>
      </w:r>
      <w:r>
        <w:rPr>
          <w:lang w:val="nl-NL"/>
        </w:rPr>
        <w:t xml:space="preserve"> </w:t>
      </w:r>
      <w:proofErr w:type="gramStart"/>
      <w:r>
        <w:rPr>
          <w:lang w:val="nl-NL"/>
        </w:rPr>
        <w:t>S</w:t>
      </w:r>
      <w:r w:rsidR="00A1256C">
        <w:rPr>
          <w:lang w:val="nl-NL"/>
        </w:rPr>
        <w:t>eparate</w:t>
      </w:r>
      <w:proofErr w:type="gramEnd"/>
      <w:r w:rsidR="00A1256C">
        <w:rPr>
          <w:lang w:val="nl-NL"/>
        </w:rPr>
        <w:t xml:space="preserve"> s</w:t>
      </w:r>
      <w:r>
        <w:rPr>
          <w:lang w:val="nl-NL"/>
        </w:rPr>
        <w:t xml:space="preserve">cholingsvouchers zouden hiervoor een alternatief kunnen zijn, maar </w:t>
      </w:r>
      <w:r w:rsidR="0073383A">
        <w:rPr>
          <w:lang w:val="nl-NL"/>
        </w:rPr>
        <w:t>éé</w:t>
      </w:r>
      <w:r>
        <w:rPr>
          <w:lang w:val="nl-NL"/>
        </w:rPr>
        <w:t>n ILR waarop verschillende partijen geld storten is overzichtelijker.</w:t>
      </w:r>
    </w:p>
    <w:p w:rsidR="00BC247E" w:rsidP="006B79FC" w:rsidRDefault="000A5D3F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t xml:space="preserve">Stortingen </w:t>
      </w:r>
      <w:r w:rsidR="006B79FC">
        <w:rPr>
          <w:lang w:val="nl-NL"/>
        </w:rPr>
        <w:t xml:space="preserve">van werkgevers en de werkenden zelf </w:t>
      </w:r>
      <w:r>
        <w:rPr>
          <w:lang w:val="nl-NL"/>
        </w:rPr>
        <w:t xml:space="preserve">op ILR zouden fiscaal aftrekbaar moeten zijn. Daarnaast kan </w:t>
      </w:r>
      <w:r w:rsidR="006B79FC">
        <w:rPr>
          <w:lang w:val="nl-NL"/>
        </w:rPr>
        <w:t xml:space="preserve">de </w:t>
      </w:r>
      <w:r>
        <w:rPr>
          <w:lang w:val="nl-NL"/>
        </w:rPr>
        <w:t xml:space="preserve">overheid middelen storten op ILR van groepen die weinig scholing volgen, </w:t>
      </w:r>
      <w:r w:rsidR="000464FF">
        <w:rPr>
          <w:lang w:val="nl-NL"/>
        </w:rPr>
        <w:t>zoals</w:t>
      </w:r>
      <w:r>
        <w:rPr>
          <w:lang w:val="nl-NL"/>
        </w:rPr>
        <w:t xml:space="preserve"> lager opgeleiden, medewerkers in krimpsectoren.</w:t>
      </w:r>
    </w:p>
    <w:p w:rsidR="00BC247E" w:rsidP="006B79FC" w:rsidRDefault="000A5D3F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t xml:space="preserve">In cao’s zouden afspraken gemaakt moeten worden om </w:t>
      </w:r>
      <w:r w:rsidR="000464FF">
        <w:rPr>
          <w:lang w:val="nl-NL"/>
        </w:rPr>
        <w:t>een percentage</w:t>
      </w:r>
      <w:r>
        <w:rPr>
          <w:lang w:val="nl-NL"/>
        </w:rPr>
        <w:t xml:space="preserve"> van de loonsom op de ILR van medewerkers te storten.</w:t>
      </w:r>
    </w:p>
    <w:p w:rsidR="0013628F" w:rsidP="006B79FC" w:rsidRDefault="00BC247E">
      <w:pPr>
        <w:pStyle w:val="ListParagraph"/>
        <w:numPr>
          <w:ilvl w:val="0"/>
          <w:numId w:val="2"/>
        </w:numPr>
        <w:ind w:left="981" w:hanging="357"/>
        <w:contextualSpacing w:val="0"/>
        <w:rPr>
          <w:lang w:val="nl-NL"/>
        </w:rPr>
      </w:pPr>
      <w:r>
        <w:rPr>
          <w:lang w:val="nl-NL"/>
        </w:rPr>
        <w:t xml:space="preserve">Mbo en hbo scholen alsook universiteiten moeten een </w:t>
      </w:r>
      <w:r w:rsidR="000464FF">
        <w:rPr>
          <w:lang w:val="nl-NL"/>
        </w:rPr>
        <w:t>veel beter</w:t>
      </w:r>
      <w:r>
        <w:rPr>
          <w:lang w:val="nl-NL"/>
        </w:rPr>
        <w:t xml:space="preserve"> alumnibeleid gaan voeren dat hen inzicht geeft in de leerbehoefte van hun afgestudeerden en </w:t>
      </w:r>
      <w:r w:rsidR="000464FF">
        <w:rPr>
          <w:lang w:val="nl-NL"/>
        </w:rPr>
        <w:t xml:space="preserve">bovendien </w:t>
      </w:r>
      <w:r>
        <w:rPr>
          <w:lang w:val="nl-NL"/>
        </w:rPr>
        <w:t>waardevolle feedback oplevert voor het curriculum van de initiële opleidingen.</w:t>
      </w:r>
    </w:p>
    <w:p w:rsidR="000A5D3F" w:rsidP="006B79FC" w:rsidRDefault="000A5D3F">
      <w:pPr>
        <w:pStyle w:val="ListParagraph"/>
        <w:numPr>
          <w:ilvl w:val="0"/>
          <w:numId w:val="1"/>
        </w:numPr>
        <w:ind w:left="714" w:hanging="357"/>
        <w:contextualSpacing w:val="0"/>
        <w:rPr>
          <w:lang w:val="nl-NL"/>
        </w:rPr>
      </w:pPr>
      <w:r>
        <w:rPr>
          <w:lang w:val="nl-NL"/>
        </w:rPr>
        <w:t xml:space="preserve">Er moet voor alle werkenden op 40-45 jarige leeftijd een </w:t>
      </w:r>
      <w:r w:rsidRPr="000464FF">
        <w:rPr>
          <w:i/>
          <w:lang w:val="nl-NL"/>
        </w:rPr>
        <w:t>loopbaancheck</w:t>
      </w:r>
      <w:r>
        <w:rPr>
          <w:lang w:val="nl-NL"/>
        </w:rPr>
        <w:t xml:space="preserve"> plaatsvinden, gericht op de vraag of iemand zijn of haar huidige functie</w:t>
      </w:r>
      <w:r w:rsidR="000464FF">
        <w:rPr>
          <w:lang w:val="nl-NL"/>
        </w:rPr>
        <w:t xml:space="preserve"> of </w:t>
      </w:r>
      <w:r>
        <w:rPr>
          <w:lang w:val="nl-NL"/>
        </w:rPr>
        <w:t>soort werk waarschijnlijk tot de pensioneringsleeftijd kan uitoefenen. Zo ja, onder welke condities</w:t>
      </w:r>
      <w:r w:rsidR="00BC247E">
        <w:rPr>
          <w:lang w:val="nl-NL"/>
        </w:rPr>
        <w:t xml:space="preserve"> qua werkinhoud</w:t>
      </w:r>
      <w:r w:rsidR="00925413">
        <w:rPr>
          <w:lang w:val="nl-NL"/>
        </w:rPr>
        <w:t>?</w:t>
      </w:r>
      <w:r>
        <w:rPr>
          <w:lang w:val="nl-NL"/>
        </w:rPr>
        <w:t xml:space="preserve"> Zo niet, welke omscholing zou iemand dan moeten volgen</w:t>
      </w:r>
      <w:r w:rsidR="000464FF">
        <w:rPr>
          <w:lang w:val="nl-NL"/>
        </w:rPr>
        <w:t xml:space="preserve"> om dit te kunnen realiseren</w:t>
      </w:r>
      <w:r w:rsidR="00BC247E">
        <w:rPr>
          <w:lang w:val="nl-NL"/>
        </w:rPr>
        <w:t>?</w:t>
      </w:r>
    </w:p>
    <w:p w:rsidR="00B319C5" w:rsidP="006B79FC" w:rsidRDefault="00B319C5">
      <w:pPr>
        <w:pStyle w:val="ListParagraph"/>
        <w:numPr>
          <w:ilvl w:val="0"/>
          <w:numId w:val="1"/>
        </w:numPr>
        <w:ind w:left="714" w:hanging="357"/>
        <w:contextualSpacing w:val="0"/>
        <w:rPr>
          <w:lang w:val="nl-NL"/>
        </w:rPr>
      </w:pPr>
      <w:r>
        <w:rPr>
          <w:lang w:val="nl-NL"/>
        </w:rPr>
        <w:t xml:space="preserve">Voor oudere arbeidskrachten, die (vanwege de arbeidsbelasting en/of doordat men niet meer voldoende competent is) </w:t>
      </w:r>
      <w:r w:rsidR="00BC247E">
        <w:rPr>
          <w:lang w:val="nl-NL"/>
        </w:rPr>
        <w:t xml:space="preserve">onvoldoende </w:t>
      </w:r>
      <w:r>
        <w:rPr>
          <w:lang w:val="nl-NL"/>
        </w:rPr>
        <w:t xml:space="preserve">in staat zijn om hun werk goed uit te oefenen, moet </w:t>
      </w:r>
      <w:r w:rsidR="000464FF">
        <w:rPr>
          <w:lang w:val="nl-NL"/>
        </w:rPr>
        <w:t xml:space="preserve">er </w:t>
      </w:r>
      <w:r>
        <w:rPr>
          <w:lang w:val="nl-NL"/>
        </w:rPr>
        <w:t xml:space="preserve">voor een overgangsperiode </w:t>
      </w:r>
      <w:r w:rsidR="00BC247E">
        <w:rPr>
          <w:lang w:val="nl-NL"/>
        </w:rPr>
        <w:t xml:space="preserve">van bv. 5 jaar </w:t>
      </w:r>
      <w:r>
        <w:rPr>
          <w:lang w:val="nl-NL"/>
        </w:rPr>
        <w:t xml:space="preserve">een door de overheid </w:t>
      </w:r>
      <w:r w:rsidR="00BC247E">
        <w:rPr>
          <w:lang w:val="nl-NL"/>
        </w:rPr>
        <w:t xml:space="preserve">fiscaal </w:t>
      </w:r>
      <w:r>
        <w:rPr>
          <w:lang w:val="nl-NL"/>
        </w:rPr>
        <w:t>gefaciliteerd transitiebeleid gevoerd worden (generatiepact, vervroegde uittreding, e.d.).</w:t>
      </w:r>
      <w:r w:rsidR="00925413">
        <w:rPr>
          <w:lang w:val="nl-NL"/>
        </w:rPr>
        <w:t xml:space="preserve"> De noodzaak voor dit curatieve beleid zal afnemen als er een betere infrastructuur komt voor het leven lang leren die bijdraagt aan de duurzame inzetbaarheid gedurende de gehele arbeidsloopbaan.</w:t>
      </w:r>
    </w:p>
    <w:p w:rsidR="00842216" w:rsidP="00842216" w:rsidRDefault="00842216">
      <w:pPr>
        <w:pStyle w:val="ListParagraph"/>
        <w:numPr>
          <w:ilvl w:val="0"/>
          <w:numId w:val="1"/>
        </w:numPr>
        <w:contextualSpacing w:val="0"/>
        <w:rPr>
          <w:lang w:val="nl-NL"/>
        </w:rPr>
      </w:pPr>
      <w:r>
        <w:rPr>
          <w:lang w:val="nl-NL"/>
        </w:rPr>
        <w:t>Om een adequaat l</w:t>
      </w:r>
      <w:r w:rsidRPr="00842216">
        <w:rPr>
          <w:lang w:val="nl-NL"/>
        </w:rPr>
        <w:t>even lang leren</w:t>
      </w:r>
      <w:r>
        <w:rPr>
          <w:lang w:val="nl-NL"/>
        </w:rPr>
        <w:t xml:space="preserve"> beleid te kunnen voeren is het belangrijk dat de data-infrastructuur met betrekking tot verschuivingen in </w:t>
      </w: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gevraagde kennis- en vaardigheden</w:t>
      </w:r>
      <w:r w:rsidR="00925413">
        <w:rPr>
          <w:lang w:val="nl-NL"/>
        </w:rPr>
        <w:t xml:space="preserve"> (‘skills’)</w:t>
      </w:r>
      <w:r>
        <w:rPr>
          <w:lang w:val="nl-NL"/>
        </w:rPr>
        <w:t xml:space="preserve"> op de arbeidsmarkt, de scholingsdeelname en het informele leren </w:t>
      </w:r>
      <w:r w:rsidR="00925413">
        <w:rPr>
          <w:lang w:val="nl-NL"/>
        </w:rPr>
        <w:t xml:space="preserve">structureel </w:t>
      </w:r>
      <w:r>
        <w:rPr>
          <w:lang w:val="nl-NL"/>
        </w:rPr>
        <w:t>wordt verbeterd. Dit betekent dat het bestaande sch</w:t>
      </w:r>
      <w:r w:rsidR="0073383A">
        <w:rPr>
          <w:lang w:val="nl-NL"/>
        </w:rPr>
        <w:t>o</w:t>
      </w:r>
      <w:r>
        <w:rPr>
          <w:lang w:val="nl-NL"/>
        </w:rPr>
        <w:t xml:space="preserve">olverlatersonderzoek, waarin de aansluiting </w:t>
      </w:r>
      <w:r>
        <w:rPr>
          <w:lang w:val="nl-NL"/>
        </w:rPr>
        <w:lastRenderedPageBreak/>
        <w:t>tussen onderwijs en arbeidsmarkt wordt gemonitord</w:t>
      </w:r>
      <w:r w:rsidR="00925413">
        <w:rPr>
          <w:rStyle w:val="FootnoteReference"/>
          <w:lang w:val="nl-NL"/>
        </w:rPr>
        <w:footnoteReference w:id="2"/>
      </w:r>
      <w:r>
        <w:rPr>
          <w:lang w:val="nl-NL"/>
        </w:rPr>
        <w:t xml:space="preserve">, wordt aangevuld met een periodieke </w:t>
      </w:r>
      <w:r w:rsidRPr="00842216">
        <w:rPr>
          <w:i/>
          <w:lang w:val="nl-NL"/>
        </w:rPr>
        <w:t xml:space="preserve">Skills survey </w:t>
      </w:r>
      <w:r>
        <w:rPr>
          <w:lang w:val="nl-NL"/>
        </w:rPr>
        <w:t xml:space="preserve">en </w:t>
      </w:r>
      <w:r w:rsidRPr="00842216">
        <w:rPr>
          <w:i/>
          <w:lang w:val="nl-NL"/>
        </w:rPr>
        <w:t>Leven lang leren enquête</w:t>
      </w:r>
      <w:r w:rsidR="00925413">
        <w:rPr>
          <w:i/>
          <w:lang w:val="nl-NL"/>
        </w:rPr>
        <w:t>,</w:t>
      </w:r>
      <w:r>
        <w:rPr>
          <w:lang w:val="nl-NL"/>
        </w:rPr>
        <w:t xml:space="preserve"> waarmee de longitudinale ontwikkelingen</w:t>
      </w:r>
      <w:r w:rsidR="0073383A">
        <w:rPr>
          <w:lang w:val="nl-NL"/>
        </w:rPr>
        <w:t xml:space="preserve"> op basis van paneldata</w:t>
      </w:r>
      <w:r>
        <w:rPr>
          <w:lang w:val="nl-NL"/>
        </w:rPr>
        <w:t xml:space="preserve"> in kaart worden gebracht</w:t>
      </w:r>
      <w:r w:rsidR="0073383A">
        <w:rPr>
          <w:rStyle w:val="FootnoteReference"/>
          <w:lang w:val="nl-NL"/>
        </w:rPr>
        <w:footnoteReference w:id="3"/>
      </w:r>
      <w:r w:rsidR="0073383A">
        <w:rPr>
          <w:lang w:val="nl-NL"/>
        </w:rPr>
        <w:t>.</w:t>
      </w:r>
    </w:p>
    <w:p w:rsidRPr="00925413" w:rsidR="00925413" w:rsidP="00925413" w:rsidRDefault="00925413">
      <w:pPr>
        <w:rPr>
          <w:lang w:val="nl-NL"/>
        </w:rPr>
      </w:pPr>
    </w:p>
    <w:p w:rsidR="00BC247E" w:rsidP="00BC247E" w:rsidRDefault="00BC247E">
      <w:pPr>
        <w:spacing w:after="240"/>
        <w:rPr>
          <w:rFonts w:ascii="Verdana" w:hAnsi="Verdana" w:eastAsia="Calibri" w:cs="Times New Roman"/>
          <w:b/>
          <w:bCs/>
          <w:noProof/>
          <w:color w:val="F37220"/>
          <w:sz w:val="16"/>
          <w:szCs w:val="16"/>
          <w:lang w:eastAsia="en-GB"/>
        </w:rPr>
      </w:pPr>
      <w:r>
        <w:rPr>
          <w:rFonts w:eastAsiaTheme="minorEastAsia"/>
          <w:noProof/>
          <w:lang w:eastAsia="en-GB"/>
        </w:rPr>
        <w:drawing>
          <wp:inline distT="0" distB="0" distL="0" distR="0">
            <wp:extent cx="2933065" cy="612775"/>
            <wp:effectExtent l="0" t="0" r="635" b="0"/>
            <wp:docPr id="1" name="Picture 1" descr="Lustrum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rumlogo 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7E" w:rsidP="00BC247E" w:rsidRDefault="00BC247E">
      <w:pPr>
        <w:spacing w:after="240"/>
        <w:rPr>
          <w:rFonts w:ascii="Calibri" w:hAnsi="Calibri" w:eastAsia="Calibri" w:cs="Times New Roman"/>
          <w:noProof/>
          <w:lang w:eastAsia="en-GB"/>
        </w:rPr>
      </w:pPr>
      <w:r>
        <w:rPr>
          <w:rFonts w:ascii="Verdana" w:hAnsi="Verdana" w:eastAsia="Calibri" w:cs="Times New Roman"/>
          <w:b/>
          <w:bCs/>
          <w:noProof/>
          <w:color w:val="F37220"/>
          <w:sz w:val="16"/>
          <w:szCs w:val="16"/>
          <w:lang w:eastAsia="en-GB"/>
        </w:rPr>
        <w:t xml:space="preserve">Prof.dr. Andries de Grip </w:t>
      </w:r>
    </w:p>
    <w:p w:rsidR="00BC247E" w:rsidP="0076785A" w:rsidRDefault="00BC247E">
      <w:pPr>
        <w:spacing w:after="120"/>
        <w:rPr>
          <w:rFonts w:ascii="Calibri" w:hAnsi="Calibri" w:eastAsia="Calibri" w:cs="Times New Roman"/>
          <w:noProof/>
          <w:color w:val="404040" w:themeColor="text1" w:themeTint="BF"/>
          <w:lang w:eastAsia="en-GB"/>
        </w:rPr>
      </w:pPr>
      <w:r>
        <w:rPr>
          <w:rFonts w:ascii="Verdana" w:hAnsi="Verdana" w:eastAsia="Calibri" w:cs="Times New Roman"/>
          <w:i/>
          <w:iCs/>
          <w:noProof/>
          <w:color w:val="404040" w:themeColor="text1" w:themeTint="BF"/>
          <w:sz w:val="16"/>
          <w:szCs w:val="16"/>
          <w:lang w:eastAsia="en-GB"/>
        </w:rPr>
        <w:t>Director</w:t>
      </w:r>
      <w:r>
        <w:rPr>
          <w:rFonts w:ascii="Verdana" w:hAnsi="Verdana" w:eastAsia="Calibri" w:cs="Times New Roman"/>
          <w:b/>
          <w:i/>
          <w:iCs/>
          <w:noProof/>
          <w:color w:val="404040" w:themeColor="text1" w:themeTint="BF"/>
          <w:sz w:val="16"/>
          <w:szCs w:val="16"/>
          <w:lang w:eastAsia="en-GB"/>
        </w:rPr>
        <w:br/>
      </w:r>
      <w:r>
        <w:rPr>
          <w:rFonts w:ascii="Verdana" w:hAnsi="Verdana" w:eastAsia="Calibri" w:cs="Times New Roman"/>
          <w:b/>
          <w:bCs/>
          <w:i/>
          <w:iCs/>
          <w:noProof/>
          <w:color w:val="404040" w:themeColor="text1" w:themeTint="BF"/>
          <w:sz w:val="16"/>
          <w:szCs w:val="16"/>
          <w:lang w:eastAsia="en-GB"/>
        </w:rPr>
        <w:t>ROA</w:t>
      </w:r>
      <w:r>
        <w:rPr>
          <w:rFonts w:ascii="Verdana" w:hAnsi="Verdana" w:eastAsia="Calibri" w:cs="Times New Roman"/>
          <w:i/>
          <w:iCs/>
          <w:noProof/>
          <w:color w:val="404040" w:themeColor="text1" w:themeTint="BF"/>
          <w:sz w:val="16"/>
          <w:szCs w:val="16"/>
          <w:lang w:eastAsia="en-GB"/>
        </w:rPr>
        <w:t xml:space="preserve"> – Research Centre for education and the Labor Market</w:t>
      </w:r>
    </w:p>
    <w:p w:rsidR="00BC247E" w:rsidP="0076785A" w:rsidRDefault="00BC247E">
      <w:pPr>
        <w:spacing w:after="120"/>
        <w:rPr>
          <w:rFonts w:ascii="Verdana" w:hAnsi="Verdana" w:eastAsia="Calibri" w:cs="Times New Roman"/>
          <w:b/>
          <w:noProof/>
          <w:color w:val="404040" w:themeColor="text1" w:themeTint="BF"/>
          <w:sz w:val="16"/>
          <w:szCs w:val="16"/>
          <w:lang w:eastAsia="en-GB"/>
        </w:rPr>
      </w:pPr>
      <w:r>
        <w:rPr>
          <w:rFonts w:ascii="Verdana" w:hAnsi="Verdana" w:eastAsia="Calibri" w:cs="Times New Roman"/>
          <w:b/>
          <w:noProof/>
          <w:color w:val="404040" w:themeColor="text1" w:themeTint="BF"/>
          <w:sz w:val="16"/>
          <w:szCs w:val="16"/>
          <w:lang w:eastAsia="en-GB"/>
        </w:rPr>
        <w:t>School of Business and Economics</w:t>
      </w:r>
    </w:p>
    <w:p w:rsidR="00BC247E" w:rsidP="0076785A" w:rsidRDefault="00BC247E">
      <w:pPr>
        <w:spacing w:after="120"/>
        <w:rPr>
          <w:rFonts w:ascii="Calibri" w:hAnsi="Calibri" w:eastAsia="Calibri" w:cs="Times New Roman"/>
          <w:b/>
          <w:noProof/>
          <w:color w:val="404040" w:themeColor="text1" w:themeTint="BF"/>
          <w:sz w:val="16"/>
          <w:szCs w:val="16"/>
          <w:lang w:eastAsia="en-GB"/>
        </w:rPr>
      </w:pPr>
      <w:r>
        <w:rPr>
          <w:rFonts w:ascii="Verdana" w:hAnsi="Verdana" w:eastAsia="Calibri" w:cs="Times New Roman"/>
          <w:b/>
          <w:noProof/>
          <w:color w:val="404040" w:themeColor="text1" w:themeTint="BF"/>
          <w:sz w:val="16"/>
          <w:szCs w:val="16"/>
          <w:lang w:eastAsia="en-GB"/>
        </w:rPr>
        <w:t>Maastricht University</w:t>
      </w:r>
    </w:p>
    <w:p w:rsidRPr="0076785A" w:rsidR="00BC247E" w:rsidP="00BC247E" w:rsidRDefault="00BC247E">
      <w:pPr>
        <w:spacing w:after="0" w:line="260" w:lineRule="atLeast"/>
        <w:ind w:left="482"/>
        <w:rPr>
          <w:rFonts w:ascii="Verdana" w:hAnsi="Verdana" w:eastAsia="Calibri" w:cs="Times New Roman"/>
          <w:noProof/>
          <w:sz w:val="16"/>
          <w:szCs w:val="16"/>
          <w:lang w:eastAsia="en-GB"/>
        </w:rPr>
      </w:pPr>
      <w:r w:rsidRPr="0076785A">
        <w:rPr>
          <w:rFonts w:ascii="Verdana" w:hAnsi="Verdana" w:eastAsia="Calibri" w:cs="Times New Roman"/>
          <w:noProof/>
          <w:color w:val="404040" w:themeColor="text1" w:themeTint="BF"/>
          <w:sz w:val="16"/>
          <w:szCs w:val="16"/>
          <w:lang w:eastAsia="en-GB"/>
        </w:rPr>
        <w:t xml:space="preserve">P.O. Box 616, 6200 MD Maastricht, The Netherlands </w:t>
      </w:r>
      <w:r w:rsidRPr="0076785A">
        <w:rPr>
          <w:rFonts w:ascii="Verdana" w:hAnsi="Verdana" w:eastAsia="Calibri" w:cs="Times New Roman"/>
          <w:noProof/>
          <w:color w:val="404040" w:themeColor="text1" w:themeTint="BF"/>
          <w:sz w:val="16"/>
          <w:szCs w:val="16"/>
          <w:lang w:eastAsia="en-GB"/>
        </w:rPr>
        <w:br/>
        <w:t>T +31 433 88 3647    F +31 43 3884914</w:t>
      </w:r>
      <w:r w:rsidRPr="0076785A">
        <w:rPr>
          <w:rFonts w:ascii="Verdana" w:hAnsi="Verdana" w:eastAsia="Calibri" w:cs="Times New Roman"/>
          <w:noProof/>
          <w:color w:val="404040" w:themeColor="text1" w:themeTint="BF"/>
          <w:sz w:val="16"/>
          <w:szCs w:val="16"/>
          <w:lang w:eastAsia="en-GB"/>
        </w:rPr>
        <w:br/>
      </w:r>
      <w:hyperlink w:history="1" r:id="rId10">
        <w:r w:rsidRPr="0076785A">
          <w:rPr>
            <w:rStyle w:val="Hyperlink"/>
            <w:rFonts w:ascii="Verdana" w:hAnsi="Verdana" w:eastAsia="Calibri" w:cs="Times New Roman"/>
            <w:noProof/>
            <w:sz w:val="16"/>
            <w:szCs w:val="16"/>
            <w:lang w:eastAsia="en-GB"/>
          </w:rPr>
          <w:t>http://www.roa-maastricht.nl/</w:t>
        </w:r>
      </w:hyperlink>
    </w:p>
    <w:p w:rsidR="00BC247E" w:rsidP="00BC247E" w:rsidRDefault="00255BDA">
      <w:pPr>
        <w:spacing w:after="0" w:line="260" w:lineRule="atLeast"/>
        <w:ind w:left="482"/>
        <w:rPr>
          <w:rFonts w:ascii="Verdana" w:hAnsi="Verdana" w:eastAsia="Calibri" w:cs="Times New Roman"/>
          <w:noProof/>
          <w:sz w:val="16"/>
          <w:szCs w:val="16"/>
          <w:lang w:val="nl-NL" w:eastAsia="en-GB"/>
        </w:rPr>
      </w:pPr>
      <w:hyperlink w:history="1" r:id="rId11">
        <w:r w:rsidR="00BC247E">
          <w:rPr>
            <w:rStyle w:val="Hyperlink"/>
            <w:rFonts w:ascii="Verdana" w:hAnsi="Verdana" w:eastAsia="Calibri" w:cs="Times New Roman"/>
            <w:noProof/>
            <w:sz w:val="16"/>
            <w:szCs w:val="16"/>
            <w:lang w:val="nl-NL" w:eastAsia="en-GB"/>
          </w:rPr>
          <w:t>http://roa.sbe.maastrichtuniversity.nl/roanew/?page_id=664</w:t>
        </w:r>
      </w:hyperlink>
    </w:p>
    <w:p w:rsidRPr="00BC247E" w:rsidR="00BC247E" w:rsidP="0076785A" w:rsidRDefault="00BC247E">
      <w:pPr>
        <w:spacing w:after="0" w:line="260" w:lineRule="atLeast"/>
        <w:ind w:left="482"/>
      </w:pPr>
      <w:r>
        <w:rPr>
          <w:rFonts w:ascii="Verdana" w:hAnsi="Verdana" w:eastAsia="Calibri" w:cs="Times New Roman"/>
          <w:noProof/>
          <w:sz w:val="16"/>
          <w:szCs w:val="16"/>
          <w:lang w:eastAsia="en-GB"/>
        </w:rPr>
        <w:t>E-mail:</w:t>
      </w:r>
      <w:r>
        <w:rPr>
          <w:rFonts w:ascii="Calibri" w:hAnsi="Calibri" w:eastAsia="Calibri" w:cs="Times New Roman"/>
          <w:noProof/>
          <w:lang w:eastAsia="en-GB"/>
        </w:rPr>
        <w:t xml:space="preserve"> </w:t>
      </w:r>
      <w:hyperlink w:history="1" r:id="rId12">
        <w:r>
          <w:rPr>
            <w:rStyle w:val="Hyperlink"/>
            <w:rFonts w:ascii="Verdana" w:hAnsi="Verdana" w:eastAsia="Calibri" w:cs="Times New Roman"/>
            <w:noProof/>
            <w:sz w:val="16"/>
            <w:szCs w:val="16"/>
            <w:lang w:eastAsia="en-GB"/>
          </w:rPr>
          <w:t>a.degrip@maastrichtuniversity.nl</w:t>
        </w:r>
      </w:hyperlink>
    </w:p>
    <w:sectPr w:rsidRPr="00BC247E" w:rsidR="00BC247E" w:rsidSect="001F103C">
      <w:foot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7E" w:rsidRDefault="00BC247E" w:rsidP="00BC247E">
      <w:pPr>
        <w:spacing w:after="0" w:line="240" w:lineRule="auto"/>
      </w:pPr>
      <w:r>
        <w:separator/>
      </w:r>
    </w:p>
  </w:endnote>
  <w:endnote w:type="continuationSeparator" w:id="0">
    <w:p w:rsidR="00BC247E" w:rsidRDefault="00BC247E" w:rsidP="00B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0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247E" w:rsidRDefault="00BC24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B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247E" w:rsidRDefault="00BC2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7E" w:rsidRDefault="00BC247E" w:rsidP="00BC247E">
      <w:pPr>
        <w:spacing w:after="0" w:line="240" w:lineRule="auto"/>
      </w:pPr>
      <w:r>
        <w:separator/>
      </w:r>
    </w:p>
  </w:footnote>
  <w:footnote w:type="continuationSeparator" w:id="0">
    <w:p w:rsidR="00BC247E" w:rsidRDefault="00BC247E" w:rsidP="00BC247E">
      <w:pPr>
        <w:spacing w:after="0" w:line="240" w:lineRule="auto"/>
      </w:pPr>
      <w:r>
        <w:continuationSeparator/>
      </w:r>
    </w:p>
  </w:footnote>
  <w:footnote w:id="1">
    <w:p w:rsidR="008C17DE" w:rsidRPr="008C17DE" w:rsidRDefault="008C17DE" w:rsidP="008C17D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8C17DE">
        <w:rPr>
          <w:lang w:val="nl-NL"/>
        </w:rPr>
        <w:t xml:space="preserve"> Lex Borghans, Didier Fouarge, Andries de Grip, Jesper van Thor</w:t>
      </w:r>
      <w:r>
        <w:rPr>
          <w:lang w:val="nl-NL"/>
        </w:rPr>
        <w:t xml:space="preserve">. </w:t>
      </w:r>
      <w:r w:rsidRPr="008C17DE">
        <w:rPr>
          <w:i/>
          <w:lang w:val="nl-NL"/>
        </w:rPr>
        <w:t>Werken en leren in Nederland</w:t>
      </w:r>
      <w:r>
        <w:rPr>
          <w:lang w:val="nl-NL"/>
        </w:rPr>
        <w:t xml:space="preserve">, </w:t>
      </w:r>
      <w:r w:rsidRPr="008C17DE">
        <w:rPr>
          <w:lang w:val="nl-NL"/>
        </w:rPr>
        <w:t xml:space="preserve"> ROA-R-2014/3</w:t>
      </w:r>
      <w:r>
        <w:rPr>
          <w:lang w:val="nl-NL"/>
        </w:rPr>
        <w:t>, Maastricht, 2014</w:t>
      </w:r>
      <w:r w:rsidR="00255BDA">
        <w:rPr>
          <w:lang w:val="nl-NL"/>
        </w:rPr>
        <w:t>.</w:t>
      </w:r>
      <w:bookmarkStart w:id="0" w:name="_GoBack"/>
      <w:bookmarkEnd w:id="0"/>
    </w:p>
    <w:p w:rsidR="008C17DE" w:rsidRPr="008C17DE" w:rsidRDefault="008C17DE" w:rsidP="008C17DE">
      <w:pPr>
        <w:pStyle w:val="FootnoteText"/>
        <w:rPr>
          <w:lang w:val="nl-NL"/>
        </w:rPr>
      </w:pPr>
    </w:p>
  </w:footnote>
  <w:footnote w:id="2">
    <w:p w:rsidR="00925413" w:rsidRPr="00925413" w:rsidRDefault="0092541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25413">
        <w:rPr>
          <w:lang w:val="nl-NL"/>
        </w:rPr>
        <w:t xml:space="preserve"> </w:t>
      </w:r>
      <w:r>
        <w:rPr>
          <w:lang w:val="nl-NL"/>
        </w:rPr>
        <w:t xml:space="preserve">Zie, ROA, </w:t>
      </w:r>
      <w:r w:rsidRPr="00925413">
        <w:rPr>
          <w:i/>
          <w:lang w:val="nl-NL"/>
        </w:rPr>
        <w:t xml:space="preserve">Schoolverlaters tussen onderwijs en arbeidsmarkt </w:t>
      </w:r>
      <w:proofErr w:type="gramStart"/>
      <w:r w:rsidRPr="00925413">
        <w:rPr>
          <w:i/>
          <w:lang w:val="nl-NL"/>
        </w:rPr>
        <w:t>2015</w:t>
      </w:r>
      <w:r>
        <w:rPr>
          <w:lang w:val="nl-NL"/>
        </w:rPr>
        <w:t xml:space="preserve">, </w:t>
      </w:r>
      <w:r w:rsidRPr="00925413">
        <w:rPr>
          <w:lang w:val="nl-NL"/>
        </w:rPr>
        <w:t xml:space="preserve"> </w:t>
      </w:r>
      <w:proofErr w:type="gramEnd"/>
      <w:r w:rsidRPr="00925413">
        <w:rPr>
          <w:lang w:val="nl-NL"/>
        </w:rPr>
        <w:t>ROA-R-2016/2</w:t>
      </w:r>
      <w:r>
        <w:rPr>
          <w:lang w:val="nl-NL"/>
        </w:rPr>
        <w:t>, Maastricht 2016.</w:t>
      </w:r>
    </w:p>
  </w:footnote>
  <w:footnote w:id="3">
    <w:p w:rsidR="0073383A" w:rsidRPr="0073383A" w:rsidRDefault="0073383A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73383A">
        <w:rPr>
          <w:lang w:val="nl-NL"/>
        </w:rPr>
        <w:t xml:space="preserve"> </w:t>
      </w:r>
      <w:r>
        <w:rPr>
          <w:lang w:val="nl-NL"/>
        </w:rPr>
        <w:t>Zie</w:t>
      </w:r>
      <w:r w:rsidRPr="0073383A">
        <w:rPr>
          <w:lang w:val="nl-NL"/>
        </w:rPr>
        <w:t xml:space="preserve"> </w:t>
      </w:r>
      <w:r>
        <w:rPr>
          <w:lang w:val="nl-NL"/>
        </w:rPr>
        <w:t xml:space="preserve">Bas ter </w:t>
      </w:r>
      <w:r w:rsidRPr="0073383A">
        <w:rPr>
          <w:lang w:val="nl-NL"/>
        </w:rPr>
        <w:t>Weel</w:t>
      </w:r>
      <w:r>
        <w:rPr>
          <w:lang w:val="nl-NL"/>
        </w:rPr>
        <w:t xml:space="preserve"> en</w:t>
      </w:r>
      <w:r w:rsidRPr="0073383A">
        <w:rPr>
          <w:lang w:val="nl-NL"/>
        </w:rPr>
        <w:t xml:space="preserve"> </w:t>
      </w:r>
      <w:r>
        <w:rPr>
          <w:lang w:val="nl-NL"/>
        </w:rPr>
        <w:t xml:space="preserve">Suzanne </w:t>
      </w:r>
      <w:r w:rsidRPr="0073383A">
        <w:rPr>
          <w:lang w:val="nl-NL"/>
        </w:rPr>
        <w:t xml:space="preserve">Kok. </w:t>
      </w:r>
      <w:r w:rsidRPr="0073383A">
        <w:rPr>
          <w:i/>
          <w:lang w:val="nl-NL"/>
        </w:rPr>
        <w:t xml:space="preserve">De Nederlandse arbeidsmarkt in taken. Eerste bevindingen uit de Nederlandse Skills </w:t>
      </w:r>
      <w:proofErr w:type="gramStart"/>
      <w:r w:rsidRPr="0073383A">
        <w:rPr>
          <w:i/>
          <w:lang w:val="nl-NL"/>
        </w:rPr>
        <w:t>Survey</w:t>
      </w:r>
      <w:r>
        <w:rPr>
          <w:i/>
          <w:lang w:val="nl-NL"/>
        </w:rPr>
        <w:t xml:space="preserve">, </w:t>
      </w:r>
      <w:r w:rsidRPr="0073383A">
        <w:rPr>
          <w:lang w:val="nl-NL"/>
        </w:rPr>
        <w:t xml:space="preserve"> </w:t>
      </w:r>
      <w:proofErr w:type="gramEnd"/>
      <w:r w:rsidRPr="0073383A">
        <w:rPr>
          <w:lang w:val="nl-NL"/>
        </w:rPr>
        <w:t>CPB</w:t>
      </w:r>
      <w:r>
        <w:rPr>
          <w:lang w:val="nl-NL"/>
        </w:rPr>
        <w:t>,</w:t>
      </w:r>
      <w:r w:rsidRPr="0073383A">
        <w:rPr>
          <w:lang w:val="nl-NL"/>
        </w:rPr>
        <w:t xml:space="preserve"> Den Haag</w:t>
      </w:r>
      <w:r>
        <w:rPr>
          <w:lang w:val="nl-NL"/>
        </w:rPr>
        <w:t>, 2013 e</w:t>
      </w:r>
      <w:r w:rsidRPr="0073383A">
        <w:rPr>
          <w:lang w:val="nl-NL"/>
        </w:rPr>
        <w:t>n Borghans c.s.(2014) voor de Leven lang leren enquête</w:t>
      </w:r>
      <w:r w:rsidR="00925413">
        <w:rPr>
          <w:lang w:val="nl-NL"/>
        </w:rPr>
        <w:t xml:space="preserve"> (zie voetnoot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16013"/>
    <w:multiLevelType w:val="hybridMultilevel"/>
    <w:tmpl w:val="11707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D6639"/>
    <w:multiLevelType w:val="hybridMultilevel"/>
    <w:tmpl w:val="AFA2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E0"/>
    <w:rsid w:val="000464FF"/>
    <w:rsid w:val="000A5D3F"/>
    <w:rsid w:val="0013628F"/>
    <w:rsid w:val="001F103C"/>
    <w:rsid w:val="00255BDA"/>
    <w:rsid w:val="00340EE0"/>
    <w:rsid w:val="003D2985"/>
    <w:rsid w:val="006B79FC"/>
    <w:rsid w:val="0073383A"/>
    <w:rsid w:val="0076785A"/>
    <w:rsid w:val="00842216"/>
    <w:rsid w:val="008C17DE"/>
    <w:rsid w:val="00925413"/>
    <w:rsid w:val="00A1256C"/>
    <w:rsid w:val="00B319C5"/>
    <w:rsid w:val="00BC247E"/>
    <w:rsid w:val="00C434C3"/>
    <w:rsid w:val="00E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7E"/>
  </w:style>
  <w:style w:type="paragraph" w:styleId="Footer">
    <w:name w:val="footer"/>
    <w:basedOn w:val="Normal"/>
    <w:link w:val="FooterChar"/>
    <w:uiPriority w:val="99"/>
    <w:unhideWhenUsed/>
    <w:rsid w:val="00BC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7E"/>
  </w:style>
  <w:style w:type="character" w:styleId="Hyperlink">
    <w:name w:val="Hyperlink"/>
    <w:basedOn w:val="DefaultParagraphFont"/>
    <w:uiPriority w:val="99"/>
    <w:semiHidden/>
    <w:unhideWhenUsed/>
    <w:rsid w:val="00BC2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7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7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7E"/>
  </w:style>
  <w:style w:type="paragraph" w:styleId="Footer">
    <w:name w:val="footer"/>
    <w:basedOn w:val="Normal"/>
    <w:link w:val="FooterChar"/>
    <w:uiPriority w:val="99"/>
    <w:unhideWhenUsed/>
    <w:rsid w:val="00BC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7E"/>
  </w:style>
  <w:style w:type="character" w:styleId="Hyperlink">
    <w:name w:val="Hyperlink"/>
    <w:basedOn w:val="DefaultParagraphFont"/>
    <w:uiPriority w:val="99"/>
    <w:semiHidden/>
    <w:unhideWhenUsed/>
    <w:rsid w:val="00BC2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7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yperlink" Target="mailto:a.degrip@maastrichtuniversity.nl" TargetMode="Externa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yperlink" Target="http://roa.sbe.maastrichtuniversity.nl/roanew/?page_id=664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://www.roa-maastricht.nl/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942</ap:Words>
  <ap:Characters>5374</ap:Characters>
  <ap:DocSecurity>0</ap:DocSecurity>
  <ap:Lines>44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2017-01-13T15:56:00.0000000Z</lastPrinted>
  <dcterms:created xsi:type="dcterms:W3CDTF">2017-01-13T16:00:00.0000000Z</dcterms:created>
  <dcterms:modified xsi:type="dcterms:W3CDTF">2017-01-13T16:00:00.0000000Z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0x0101009AE55AF86F828340950699EDAC236515</vt:lpwstr>
  </property>
</Properties>
</file>