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Pr="00A923E5" w:rsidR="00F93E06">
        <w:rPr>
          <w:rFonts w:ascii="Verdana" w:hAnsi="Verdana"/>
          <w:sz w:val="20"/>
          <w:szCs w:val="22"/>
        </w:rPr>
        <w:t>7-12</w:t>
      </w:r>
      <w:r w:rsidRPr="00A923E5" w:rsidR="00D87FD4">
        <w:rPr>
          <w:rFonts w:ascii="Verdana" w:hAnsi="Verdana"/>
          <w:sz w:val="20"/>
          <w:szCs w:val="22"/>
        </w:rPr>
        <w:t>-2016</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Pr="00A923E5" w:rsidR="00F93E06">
        <w:rPr>
          <w:rFonts w:ascii="Verdana" w:hAnsi="Verdana"/>
          <w:b/>
          <w:sz w:val="20"/>
          <w:szCs w:val="22"/>
          <w:u w:val="single"/>
        </w:rPr>
        <w:t xml:space="preserve">24 november </w:t>
      </w:r>
      <w:r w:rsidRPr="00A923E5" w:rsidR="00593529">
        <w:rPr>
          <w:rFonts w:ascii="Verdana" w:hAnsi="Verdana"/>
          <w:b/>
          <w:sz w:val="20"/>
          <w:szCs w:val="22"/>
          <w:u w:val="single"/>
        </w:rPr>
        <w:t xml:space="preserve"> – </w:t>
      </w:r>
      <w:r w:rsidRPr="00A923E5" w:rsidR="00F93E06">
        <w:rPr>
          <w:rFonts w:ascii="Verdana" w:hAnsi="Verdana"/>
          <w:b/>
          <w:sz w:val="20"/>
          <w:szCs w:val="22"/>
          <w:u w:val="single"/>
        </w:rPr>
        <w:t xml:space="preserve">7 december </w:t>
      </w:r>
      <w:r w:rsidRPr="00A923E5" w:rsidR="00A3717E">
        <w:rPr>
          <w:rFonts w:ascii="Verdana" w:hAnsi="Verdana"/>
          <w:b/>
          <w:sz w:val="20"/>
          <w:szCs w:val="22"/>
          <w:u w:val="single"/>
        </w:rPr>
        <w:t>2016</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B866B6" w:rsidRDefault="008A08DC">
      <w:pPr>
        <w:rPr>
          <w:rFonts w:ascii="Verdana" w:hAnsi="Verdana"/>
          <w:sz w:val="18"/>
          <w:szCs w:val="18"/>
        </w:rPr>
      </w:pPr>
    </w:p>
    <w:p w:rsidRPr="00A923E5" w:rsidR="008A08DC" w:rsidP="00B866B6" w:rsidRDefault="00000A9E">
      <w:pPr>
        <w:rPr>
          <w:rFonts w:ascii="Verdana" w:hAnsi="Verdana"/>
          <w:sz w:val="18"/>
          <w:szCs w:val="18"/>
        </w:rPr>
      </w:pPr>
      <w:r w:rsidRPr="00A923E5">
        <w:rPr>
          <w:rFonts w:ascii="Verdana" w:hAnsi="Verdana"/>
          <w:sz w:val="18"/>
          <w:szCs w:val="18"/>
        </w:rPr>
        <w:t>Onderaan deze lijst treft u een overzicht aan van vaak voorkomende EU-instrumenten en een (niet uitputtend) overzicht van momenten waarop u als commissie of als fractie invloed kunt uitoefenen op de vorming van EU beleid: hetzij via het kabinet; hetzij zelf in Brussel.</w:t>
      </w:r>
    </w:p>
    <w:p w:rsidRPr="00A923E5" w:rsidR="00905E58" w:rsidP="00B866B6" w:rsidRDefault="00905E58">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A923E5" w:rsidR="006247A5" w:rsidTr="005F1931">
        <w:trPr>
          <w:trHeight w:val="992"/>
        </w:trPr>
        <w:tc>
          <w:tcPr>
            <w:tcW w:w="440" w:type="dxa"/>
            <w:textDirection w:val="btLr"/>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Nummer</w:t>
            </w:r>
          </w:p>
        </w:tc>
        <w:tc>
          <w:tcPr>
            <w:tcW w:w="1134" w:type="dxa"/>
            <w:shd w:val="clear" w:color="auto" w:fill="auto"/>
            <w:textDirection w:val="btLr"/>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Publicatie-</w:t>
            </w:r>
          </w:p>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datum</w:t>
            </w:r>
          </w:p>
        </w:tc>
        <w:tc>
          <w:tcPr>
            <w:tcW w:w="708" w:type="dxa"/>
            <w:shd w:val="clear" w:color="auto" w:fill="auto"/>
            <w:textDirection w:val="btLr"/>
            <w:vAlign w:val="bottom"/>
            <w:hideMark/>
          </w:tcPr>
          <w:p w:rsidRPr="00A923E5" w:rsidR="006247A5" w:rsidP="00E512BF" w:rsidRDefault="006247A5">
            <w:pPr>
              <w:jc w:val="center"/>
              <w:rPr>
                <w:rFonts w:ascii="Verdana" w:hAnsi="Verdana"/>
                <w:b/>
                <w:bCs/>
                <w:color w:val="000000"/>
                <w:sz w:val="18"/>
                <w:szCs w:val="22"/>
              </w:rPr>
            </w:pPr>
            <w:r w:rsidRPr="00A923E5">
              <w:rPr>
                <w:rFonts w:ascii="Verdana" w:hAnsi="Verdana"/>
                <w:b/>
                <w:bCs/>
                <w:color w:val="000000"/>
                <w:sz w:val="18"/>
                <w:szCs w:val="22"/>
              </w:rPr>
              <w:t>Voortouw</w:t>
            </w:r>
          </w:p>
        </w:tc>
        <w:tc>
          <w:tcPr>
            <w:tcW w:w="1764" w:type="dxa"/>
            <w:shd w:val="clear" w:color="auto" w:fill="auto"/>
            <w:textDirection w:val="btLr"/>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Soort</w:t>
            </w:r>
          </w:p>
        </w:tc>
        <w:tc>
          <w:tcPr>
            <w:tcW w:w="4204" w:type="dxa"/>
            <w:shd w:val="clear" w:color="auto" w:fill="auto"/>
            <w:textDirection w:val="btLr"/>
            <w:vAlign w:val="bottom"/>
            <w:hideMark/>
          </w:tcPr>
          <w:p w:rsidRPr="00A923E5" w:rsidR="006247A5" w:rsidP="00651515" w:rsidRDefault="006247A5">
            <w:pPr>
              <w:jc w:val="center"/>
              <w:rPr>
                <w:rFonts w:ascii="Verdana" w:hAnsi="Verdana"/>
                <w:b/>
                <w:bCs/>
                <w:color w:val="000000"/>
                <w:sz w:val="18"/>
                <w:szCs w:val="22"/>
              </w:rPr>
            </w:pPr>
            <w:bookmarkStart w:name="_GoBack" w:id="0"/>
            <w:bookmarkEnd w:id="0"/>
            <w:r w:rsidRPr="00A923E5">
              <w:rPr>
                <w:rFonts w:ascii="Verdana" w:hAnsi="Verdana"/>
                <w:b/>
                <w:bCs/>
                <w:color w:val="000000"/>
                <w:sz w:val="18"/>
                <w:szCs w:val="22"/>
              </w:rPr>
              <w:t>Titel</w:t>
            </w:r>
          </w:p>
        </w:tc>
        <w:tc>
          <w:tcPr>
            <w:tcW w:w="554" w:type="dxa"/>
            <w:shd w:val="clear" w:color="auto" w:fill="auto"/>
            <w:textDirection w:val="btLr"/>
            <w:vAlign w:val="bottom"/>
            <w:hideMark/>
          </w:tcPr>
          <w:p w:rsidRPr="00A923E5" w:rsidR="006247A5" w:rsidP="00827F25" w:rsidRDefault="006247A5">
            <w:pPr>
              <w:jc w:val="center"/>
              <w:rPr>
                <w:rFonts w:ascii="Verdana" w:hAnsi="Verdana"/>
                <w:b/>
                <w:bCs/>
                <w:color w:val="000000"/>
                <w:sz w:val="18"/>
                <w:szCs w:val="22"/>
              </w:rPr>
            </w:pPr>
            <w:r w:rsidRPr="00A923E5">
              <w:rPr>
                <w:rFonts w:ascii="Verdana" w:hAnsi="Verdana"/>
                <w:b/>
                <w:bCs/>
                <w:color w:val="000000"/>
                <w:sz w:val="18"/>
                <w:szCs w:val="22"/>
              </w:rPr>
              <w:t>COM-nummer</w:t>
            </w:r>
          </w:p>
        </w:tc>
        <w:tc>
          <w:tcPr>
            <w:tcW w:w="1202" w:type="dxa"/>
            <w:textDirection w:val="btLr"/>
          </w:tcPr>
          <w:p w:rsidRPr="00A923E5" w:rsidR="006247A5" w:rsidP="00651515" w:rsidRDefault="006247A5">
            <w:pPr>
              <w:jc w:val="center"/>
              <w:rPr>
                <w:rFonts w:ascii="Verdana" w:hAnsi="Verdana"/>
                <w:b/>
                <w:bCs/>
                <w:color w:val="000000"/>
                <w:sz w:val="18"/>
                <w:szCs w:val="22"/>
              </w:rPr>
            </w:pPr>
          </w:p>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Deadline</w:t>
            </w:r>
          </w:p>
          <w:p w:rsidRPr="00A923E5" w:rsidR="006247A5" w:rsidP="00454C0B" w:rsidRDefault="006247A5">
            <w:pPr>
              <w:jc w:val="center"/>
              <w:rPr>
                <w:rFonts w:ascii="Verdana" w:hAnsi="Verdana"/>
                <w:b/>
                <w:bCs/>
                <w:color w:val="000000"/>
                <w:sz w:val="18"/>
                <w:szCs w:val="22"/>
              </w:rPr>
            </w:pPr>
            <w:proofErr w:type="spellStart"/>
            <w:r w:rsidRPr="00A923E5">
              <w:rPr>
                <w:rFonts w:ascii="Verdana" w:hAnsi="Verdana"/>
                <w:b/>
                <w:bCs/>
                <w:color w:val="000000"/>
                <w:sz w:val="18"/>
                <w:szCs w:val="22"/>
              </w:rPr>
              <w:t>Sub.toets</w:t>
            </w:r>
            <w:proofErr w:type="spellEnd"/>
          </w:p>
        </w:tc>
        <w:tc>
          <w:tcPr>
            <w:tcW w:w="4649" w:type="dxa"/>
            <w:shd w:val="clear" w:color="auto" w:fill="auto"/>
            <w:textDirection w:val="btLr"/>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Opmerking</w:t>
            </w:r>
          </w:p>
        </w:tc>
      </w:tr>
      <w:tr w:rsidRPr="00A923E5" w:rsidR="006247A5" w:rsidTr="00646961">
        <w:trPr>
          <w:trHeight w:val="300"/>
        </w:trPr>
        <w:tc>
          <w:tcPr>
            <w:tcW w:w="440" w:type="dxa"/>
            <w:tcBorders>
              <w:bottom w:val="single" w:color="auto" w:sz="4" w:space="0"/>
            </w:tcBorders>
            <w:shd w:val="clear" w:color="000000" w:fill="538DD5"/>
          </w:tcPr>
          <w:p w:rsidRPr="00A923E5" w:rsidR="006247A5" w:rsidP="00651515" w:rsidRDefault="006247A5">
            <w:pPr>
              <w:jc w:val="center"/>
              <w:rPr>
                <w:rFonts w:ascii="Verdana" w:hAnsi="Verdana"/>
                <w:b/>
                <w:bCs/>
                <w:color w:val="000000"/>
                <w:sz w:val="18"/>
                <w:szCs w:val="22"/>
              </w:rPr>
            </w:pPr>
          </w:p>
        </w:tc>
        <w:tc>
          <w:tcPr>
            <w:tcW w:w="1134" w:type="dxa"/>
            <w:tcBorders>
              <w:bottom w:val="single" w:color="auto" w:sz="4" w:space="0"/>
            </w:tcBorders>
            <w:shd w:val="clear" w:color="000000" w:fill="538DD5"/>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 </w:t>
            </w:r>
          </w:p>
        </w:tc>
        <w:tc>
          <w:tcPr>
            <w:tcW w:w="708" w:type="dxa"/>
            <w:tcBorders>
              <w:bottom w:val="single" w:color="auto" w:sz="4" w:space="0"/>
            </w:tcBorders>
            <w:shd w:val="clear" w:color="000000" w:fill="538DD5"/>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 </w:t>
            </w:r>
          </w:p>
        </w:tc>
        <w:tc>
          <w:tcPr>
            <w:tcW w:w="1764" w:type="dxa"/>
            <w:tcBorders>
              <w:bottom w:val="single" w:color="auto" w:sz="4" w:space="0"/>
            </w:tcBorders>
            <w:shd w:val="clear" w:color="000000" w:fill="538DD5"/>
            <w:vAlign w:val="bottom"/>
            <w:hideMark/>
          </w:tcPr>
          <w:p w:rsidRPr="00A923E5" w:rsidR="006247A5" w:rsidP="00651515" w:rsidRDefault="006247A5">
            <w:pPr>
              <w:rPr>
                <w:rFonts w:ascii="Verdana" w:hAnsi="Verdana"/>
                <w:b/>
                <w:bCs/>
                <w:color w:val="000000"/>
                <w:sz w:val="18"/>
                <w:szCs w:val="22"/>
              </w:rPr>
            </w:pPr>
            <w:r w:rsidRPr="00A923E5">
              <w:rPr>
                <w:rFonts w:ascii="Verdana" w:hAnsi="Verdana"/>
                <w:b/>
                <w:bCs/>
                <w:color w:val="000000"/>
                <w:sz w:val="18"/>
                <w:szCs w:val="22"/>
              </w:rPr>
              <w:t> </w:t>
            </w:r>
          </w:p>
        </w:tc>
        <w:tc>
          <w:tcPr>
            <w:tcW w:w="4204" w:type="dxa"/>
            <w:tcBorders>
              <w:bottom w:val="single" w:color="auto" w:sz="4" w:space="0"/>
            </w:tcBorders>
            <w:shd w:val="clear" w:color="000000" w:fill="538DD5"/>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 </w:t>
            </w:r>
          </w:p>
        </w:tc>
        <w:tc>
          <w:tcPr>
            <w:tcW w:w="554" w:type="dxa"/>
            <w:tcBorders>
              <w:bottom w:val="single" w:color="auto" w:sz="4" w:space="0"/>
            </w:tcBorders>
            <w:shd w:val="clear" w:color="000000" w:fill="538DD5"/>
            <w:vAlign w:val="bottom"/>
            <w:hideMark/>
          </w:tcPr>
          <w:p w:rsidRPr="00A923E5" w:rsidR="006247A5" w:rsidP="00651515" w:rsidRDefault="006247A5">
            <w:pPr>
              <w:jc w:val="center"/>
              <w:rPr>
                <w:rFonts w:ascii="Verdana" w:hAnsi="Verdana"/>
                <w:b/>
                <w:bCs/>
                <w:color w:val="000000"/>
                <w:sz w:val="18"/>
                <w:szCs w:val="22"/>
              </w:rPr>
            </w:pPr>
            <w:r w:rsidRPr="00A923E5">
              <w:rPr>
                <w:rFonts w:ascii="Verdana" w:hAnsi="Verdana"/>
                <w:b/>
                <w:bCs/>
                <w:color w:val="000000"/>
                <w:sz w:val="18"/>
                <w:szCs w:val="22"/>
              </w:rPr>
              <w:t> </w:t>
            </w:r>
          </w:p>
        </w:tc>
        <w:tc>
          <w:tcPr>
            <w:tcW w:w="1202" w:type="dxa"/>
            <w:tcBorders>
              <w:bottom w:val="single" w:color="auto" w:sz="4" w:space="0"/>
            </w:tcBorders>
            <w:shd w:val="clear" w:color="000000" w:fill="538DD5"/>
          </w:tcPr>
          <w:p w:rsidRPr="00A923E5" w:rsidR="006247A5" w:rsidP="00651515" w:rsidRDefault="006247A5">
            <w:pPr>
              <w:rPr>
                <w:rFonts w:ascii="Verdana" w:hAnsi="Verdana"/>
                <w:b/>
                <w:bCs/>
                <w:color w:val="000000"/>
                <w:sz w:val="18"/>
                <w:szCs w:val="22"/>
              </w:rPr>
            </w:pPr>
          </w:p>
        </w:tc>
        <w:tc>
          <w:tcPr>
            <w:tcW w:w="4649" w:type="dxa"/>
            <w:tcBorders>
              <w:bottom w:val="single" w:color="auto" w:sz="4" w:space="0"/>
            </w:tcBorders>
            <w:shd w:val="clear" w:color="000000" w:fill="538DD5"/>
            <w:hideMark/>
          </w:tcPr>
          <w:p w:rsidRPr="00A923E5" w:rsidR="006247A5" w:rsidP="00651515" w:rsidRDefault="006247A5">
            <w:pPr>
              <w:rPr>
                <w:rFonts w:ascii="Verdana" w:hAnsi="Verdana"/>
                <w:b/>
                <w:bCs/>
                <w:color w:val="000000"/>
                <w:sz w:val="18"/>
                <w:szCs w:val="22"/>
              </w:rPr>
            </w:pPr>
            <w:r w:rsidRPr="00A923E5">
              <w:rPr>
                <w:rFonts w:ascii="Verdana" w:hAnsi="Verdana"/>
                <w:b/>
                <w:bCs/>
                <w:color w:val="000000"/>
                <w:sz w:val="18"/>
                <w:szCs w:val="22"/>
              </w:rPr>
              <w:t> </w:t>
            </w:r>
          </w:p>
        </w:tc>
      </w:tr>
      <w:tr w:rsidRPr="00A923E5" w:rsidR="001B6916" w:rsidTr="000078F1">
        <w:trPr>
          <w:trHeight w:val="467"/>
        </w:trPr>
        <w:tc>
          <w:tcPr>
            <w:tcW w:w="14655" w:type="dxa"/>
            <w:gridSpan w:val="8"/>
            <w:shd w:val="clear" w:color="auto" w:fill="C2D69B" w:themeFill="accent3" w:themeFillTint="99"/>
          </w:tcPr>
          <w:p w:rsidRPr="00A923E5" w:rsidR="001B6916" w:rsidP="00CB51CB" w:rsidRDefault="003751C4">
            <w:pPr>
              <w:rPr>
                <w:rFonts w:ascii="Verdana" w:hAnsi="Verdana"/>
                <w:b/>
                <w:i/>
                <w:color w:val="000000"/>
                <w:sz w:val="18"/>
                <w:szCs w:val="22"/>
              </w:rPr>
            </w:pPr>
            <w:r w:rsidRPr="00A923E5">
              <w:rPr>
                <w:rFonts w:ascii="Verdana" w:hAnsi="Verdana"/>
                <w:b/>
                <w:i/>
                <w:color w:val="000000"/>
                <w:sz w:val="18"/>
                <w:szCs w:val="22"/>
              </w:rPr>
              <w:t xml:space="preserve">Onderwerpen op het terrein van </w:t>
            </w:r>
            <w:r w:rsidRPr="00A923E5" w:rsidR="00CB51CB">
              <w:rPr>
                <w:rFonts w:ascii="Verdana" w:hAnsi="Verdana"/>
                <w:b/>
                <w:i/>
                <w:color w:val="000000"/>
                <w:sz w:val="18"/>
                <w:szCs w:val="22"/>
              </w:rPr>
              <w:t xml:space="preserve">Veiligheid en </w:t>
            </w:r>
            <w:r w:rsidRPr="00A923E5" w:rsidR="001B6916">
              <w:rPr>
                <w:rFonts w:ascii="Verdana" w:hAnsi="Verdana"/>
                <w:b/>
                <w:i/>
                <w:color w:val="000000"/>
                <w:sz w:val="18"/>
                <w:szCs w:val="22"/>
              </w:rPr>
              <w:t>Justitie</w:t>
            </w:r>
          </w:p>
        </w:tc>
      </w:tr>
      <w:tr w:rsidRPr="00A923E5" w:rsidR="0040544B" w:rsidTr="000078F1">
        <w:trPr>
          <w:trHeight w:val="884"/>
        </w:trPr>
        <w:tc>
          <w:tcPr>
            <w:tcW w:w="440" w:type="dxa"/>
          </w:tcPr>
          <w:p w:rsidRPr="00A923E5" w:rsidR="0040544B" w:rsidP="000078F1" w:rsidRDefault="00D87FD4">
            <w:pPr>
              <w:jc w:val="center"/>
              <w:rPr>
                <w:rFonts w:ascii="Verdana" w:hAnsi="Verdana"/>
                <w:color w:val="000000"/>
                <w:sz w:val="18"/>
                <w:szCs w:val="22"/>
              </w:rPr>
            </w:pPr>
            <w:r w:rsidRPr="00A923E5">
              <w:rPr>
                <w:rFonts w:ascii="Verdana" w:hAnsi="Verdana"/>
                <w:color w:val="000000"/>
                <w:sz w:val="18"/>
                <w:szCs w:val="22"/>
              </w:rPr>
              <w:t>1.</w:t>
            </w:r>
          </w:p>
        </w:tc>
        <w:tc>
          <w:tcPr>
            <w:tcW w:w="1134" w:type="dxa"/>
            <w:shd w:val="clear" w:color="auto" w:fill="auto"/>
            <w:noWrap/>
          </w:tcPr>
          <w:p w:rsidRPr="00A923E5" w:rsidR="007F6B59" w:rsidP="007F6B59" w:rsidRDefault="007F6B59">
            <w:pPr>
              <w:jc w:val="center"/>
              <w:rPr>
                <w:rFonts w:ascii="Verdana" w:hAnsi="Verdana"/>
                <w:color w:val="000000"/>
                <w:sz w:val="18"/>
                <w:szCs w:val="22"/>
              </w:rPr>
            </w:pPr>
            <w:r w:rsidRPr="00A923E5">
              <w:rPr>
                <w:rFonts w:ascii="Verdana" w:hAnsi="Verdana"/>
                <w:color w:val="000000"/>
                <w:sz w:val="18"/>
                <w:szCs w:val="22"/>
              </w:rPr>
              <w:t>24-nov-16</w:t>
            </w:r>
          </w:p>
          <w:p w:rsidRPr="00A923E5" w:rsidR="0040544B" w:rsidP="006E7438" w:rsidRDefault="0040544B">
            <w:pPr>
              <w:jc w:val="center"/>
              <w:rPr>
                <w:rFonts w:ascii="Verdana" w:hAnsi="Verdana"/>
                <w:color w:val="000000"/>
                <w:sz w:val="18"/>
                <w:szCs w:val="22"/>
              </w:rPr>
            </w:pPr>
          </w:p>
        </w:tc>
        <w:tc>
          <w:tcPr>
            <w:tcW w:w="708" w:type="dxa"/>
            <w:shd w:val="clear" w:color="auto" w:fill="auto"/>
            <w:noWrap/>
          </w:tcPr>
          <w:p w:rsidRPr="00A923E5" w:rsidR="0040544B" w:rsidP="000078F1" w:rsidRDefault="007F6B59">
            <w:pPr>
              <w:jc w:val="center"/>
              <w:rPr>
                <w:rFonts w:ascii="Verdana" w:hAnsi="Verdana"/>
                <w:color w:val="000000"/>
                <w:sz w:val="18"/>
                <w:szCs w:val="22"/>
              </w:rPr>
            </w:pPr>
            <w:r w:rsidRPr="00A923E5">
              <w:rPr>
                <w:rFonts w:ascii="Verdana" w:hAnsi="Verdana"/>
                <w:color w:val="000000"/>
                <w:sz w:val="18"/>
                <w:szCs w:val="22"/>
              </w:rPr>
              <w:t>V&amp;J</w:t>
            </w:r>
          </w:p>
        </w:tc>
        <w:tc>
          <w:tcPr>
            <w:tcW w:w="1764" w:type="dxa"/>
            <w:shd w:val="clear" w:color="auto" w:fill="auto"/>
            <w:noWrap/>
          </w:tcPr>
          <w:p w:rsidRPr="00A923E5" w:rsidR="0040544B" w:rsidP="00C72E42" w:rsidRDefault="007F6B59">
            <w:pPr>
              <w:rPr>
                <w:rFonts w:ascii="Verdana" w:hAnsi="Verdana"/>
                <w:color w:val="000000"/>
                <w:sz w:val="18"/>
                <w:szCs w:val="22"/>
              </w:rPr>
            </w:pPr>
            <w:r w:rsidRPr="00A923E5">
              <w:rPr>
                <w:rFonts w:ascii="Verdana" w:hAnsi="Verdana"/>
                <w:color w:val="000000"/>
                <w:sz w:val="18"/>
                <w:szCs w:val="22"/>
              </w:rPr>
              <w:t>Raadpleging</w:t>
            </w:r>
          </w:p>
        </w:tc>
        <w:tc>
          <w:tcPr>
            <w:tcW w:w="4204" w:type="dxa"/>
            <w:shd w:val="clear" w:color="auto" w:fill="auto"/>
          </w:tcPr>
          <w:p w:rsidRPr="00A923E5" w:rsidR="0040544B" w:rsidP="007C11B8" w:rsidRDefault="007F6B59">
            <w:pPr>
              <w:rPr>
                <w:rFonts w:ascii="Verdana" w:hAnsi="Verdana"/>
                <w:color w:val="000000"/>
                <w:sz w:val="18"/>
                <w:szCs w:val="22"/>
              </w:rPr>
            </w:pPr>
            <w:r w:rsidRPr="00A923E5">
              <w:rPr>
                <w:rFonts w:ascii="Verdana" w:hAnsi="Verdana"/>
                <w:color w:val="000000"/>
                <w:sz w:val="18"/>
                <w:szCs w:val="22"/>
              </w:rPr>
              <w:t xml:space="preserve">Openbare raadpleging over de tussentijdse evaluatie van het EU-mechanisme voor civiele bescherming </w:t>
            </w:r>
          </w:p>
        </w:tc>
        <w:tc>
          <w:tcPr>
            <w:tcW w:w="554" w:type="dxa"/>
            <w:shd w:val="clear" w:color="auto" w:fill="auto"/>
            <w:noWrap/>
          </w:tcPr>
          <w:p w:rsidRPr="00A923E5" w:rsidR="007F6B59" w:rsidP="007F6B59" w:rsidRDefault="00A923E5">
            <w:pPr>
              <w:jc w:val="center"/>
              <w:rPr>
                <w:rFonts w:ascii="Verdana" w:hAnsi="Verdana"/>
                <w:color w:val="0000FF"/>
                <w:sz w:val="18"/>
                <w:szCs w:val="22"/>
                <w:u w:val="single"/>
              </w:rPr>
            </w:pPr>
            <w:hyperlink w:history="1" r:id="rId9">
              <w:r w:rsidRPr="00A923E5" w:rsidR="007F6B59">
                <w:rPr>
                  <w:rStyle w:val="Hyperlink"/>
                  <w:rFonts w:ascii="Verdana" w:hAnsi="Verdana"/>
                  <w:sz w:val="18"/>
                  <w:szCs w:val="22"/>
                </w:rPr>
                <w:t>OR</w:t>
              </w:r>
            </w:hyperlink>
          </w:p>
          <w:p w:rsidRPr="00A923E5" w:rsidR="0040544B" w:rsidP="006E7438" w:rsidRDefault="0040544B">
            <w:pPr>
              <w:jc w:val="center"/>
              <w:rPr>
                <w:rFonts w:ascii="Verdana" w:hAnsi="Verdana"/>
                <w:sz w:val="18"/>
              </w:rPr>
            </w:pPr>
          </w:p>
        </w:tc>
        <w:tc>
          <w:tcPr>
            <w:tcW w:w="1202" w:type="dxa"/>
            <w:shd w:val="clear" w:color="auto" w:fill="auto"/>
          </w:tcPr>
          <w:p w:rsidRPr="00A923E5" w:rsidR="00C17EB1" w:rsidP="000078F1" w:rsidRDefault="000074BB">
            <w:pPr>
              <w:rPr>
                <w:rFonts w:ascii="Verdana" w:hAnsi="Verdana"/>
                <w:color w:val="000000"/>
                <w:sz w:val="18"/>
                <w:szCs w:val="22"/>
              </w:rPr>
            </w:pPr>
            <w:r w:rsidRPr="00A923E5">
              <w:rPr>
                <w:rFonts w:ascii="Verdana" w:hAnsi="Verdana"/>
                <w:color w:val="000000"/>
                <w:sz w:val="18"/>
                <w:szCs w:val="22"/>
              </w:rPr>
              <w:t>n.v.t.</w:t>
            </w:r>
          </w:p>
        </w:tc>
        <w:tc>
          <w:tcPr>
            <w:tcW w:w="4649" w:type="dxa"/>
            <w:shd w:val="clear" w:color="auto" w:fill="auto"/>
          </w:tcPr>
          <w:p w:rsidRPr="00A923E5" w:rsidR="00F408D1" w:rsidP="00F408D1" w:rsidRDefault="007F6B59">
            <w:pPr>
              <w:rPr>
                <w:rFonts w:ascii="Verdana" w:hAnsi="Verdana"/>
                <w:color w:val="000000"/>
                <w:sz w:val="18"/>
                <w:szCs w:val="22"/>
                <w:u w:val="single"/>
              </w:rPr>
            </w:pPr>
            <w:r w:rsidRPr="00A923E5">
              <w:rPr>
                <w:rFonts w:ascii="Verdana" w:hAnsi="Verdana"/>
                <w:color w:val="000000"/>
                <w:sz w:val="18"/>
                <w:szCs w:val="22"/>
                <w:u w:val="single"/>
              </w:rPr>
              <w:t xml:space="preserve">Voorstel: </w:t>
            </w:r>
            <w:r w:rsidRPr="00A923E5" w:rsidR="000074BB">
              <w:rPr>
                <w:rFonts w:ascii="Verdana" w:hAnsi="Verdana"/>
                <w:color w:val="000000"/>
                <w:sz w:val="18"/>
                <w:szCs w:val="22"/>
                <w:u w:val="single"/>
              </w:rPr>
              <w:t xml:space="preserve"> Voor kennisgeving aannemen</w:t>
            </w:r>
          </w:p>
          <w:p w:rsidRPr="00A923E5" w:rsidR="007F6B59" w:rsidP="007F6B59" w:rsidRDefault="007F6B59">
            <w:pPr>
              <w:rPr>
                <w:rFonts w:ascii="Verdana" w:hAnsi="Verdana"/>
                <w:i/>
                <w:color w:val="000000"/>
                <w:sz w:val="18"/>
                <w:szCs w:val="22"/>
              </w:rPr>
            </w:pPr>
          </w:p>
          <w:p w:rsidRPr="00A923E5" w:rsidR="000074BB" w:rsidP="007F6B59" w:rsidRDefault="000074BB">
            <w:pPr>
              <w:rPr>
                <w:rFonts w:ascii="Verdana" w:hAnsi="Verdana"/>
                <w:i/>
                <w:color w:val="000000"/>
                <w:sz w:val="18"/>
                <w:szCs w:val="22"/>
              </w:rPr>
            </w:pPr>
            <w:r w:rsidRPr="00A923E5">
              <w:rPr>
                <w:rFonts w:ascii="Verdana" w:hAnsi="Verdana"/>
                <w:i/>
                <w:color w:val="000000"/>
                <w:sz w:val="18"/>
                <w:szCs w:val="22"/>
              </w:rPr>
              <w:t>Deze consultatie beoogt vast te stellen of het mechanisme voor civiele bescherming de EU-samenwerking op het terrein van rampenbestrijding heeft versterkt.</w:t>
            </w:r>
          </w:p>
          <w:p w:rsidRPr="00A923E5" w:rsidR="000074BB" w:rsidP="007F6B59" w:rsidRDefault="000074BB">
            <w:pPr>
              <w:rPr>
                <w:rFonts w:ascii="Verdana" w:hAnsi="Verdana"/>
                <w:i/>
                <w:color w:val="000000"/>
                <w:sz w:val="18"/>
                <w:szCs w:val="22"/>
              </w:rPr>
            </w:pPr>
          </w:p>
          <w:p w:rsidRPr="00A923E5" w:rsidR="007F6B59" w:rsidP="00F408D1" w:rsidRDefault="007F6B59">
            <w:pPr>
              <w:rPr>
                <w:rFonts w:ascii="Verdana" w:hAnsi="Verdana"/>
                <w:color w:val="000000"/>
                <w:sz w:val="18"/>
                <w:szCs w:val="22"/>
              </w:rPr>
            </w:pPr>
            <w:r w:rsidRPr="00A923E5">
              <w:rPr>
                <w:rFonts w:ascii="Verdana" w:hAnsi="Verdana"/>
                <w:i/>
                <w:color w:val="000000"/>
                <w:sz w:val="18"/>
                <w:szCs w:val="22"/>
              </w:rPr>
              <w:t xml:space="preserve">Deadline </w:t>
            </w:r>
            <w:r w:rsidRPr="00A923E5">
              <w:rPr>
                <w:rFonts w:ascii="Verdana" w:hAnsi="Verdana"/>
                <w:color w:val="000000"/>
                <w:sz w:val="18"/>
                <w:szCs w:val="22"/>
              </w:rPr>
              <w:t>23 februari 2017.</w:t>
            </w:r>
          </w:p>
        </w:tc>
      </w:tr>
      <w:tr w:rsidRPr="00A923E5" w:rsidR="00413B18" w:rsidTr="000078F1">
        <w:trPr>
          <w:trHeight w:val="884"/>
        </w:trPr>
        <w:tc>
          <w:tcPr>
            <w:tcW w:w="440" w:type="dxa"/>
          </w:tcPr>
          <w:p w:rsidRPr="00A923E5" w:rsidR="00413B18" w:rsidP="00DF1BE0" w:rsidRDefault="00413B18">
            <w:pPr>
              <w:jc w:val="center"/>
              <w:rPr>
                <w:rFonts w:ascii="Verdana" w:hAnsi="Verdana"/>
                <w:color w:val="000000"/>
                <w:sz w:val="18"/>
                <w:szCs w:val="22"/>
              </w:rPr>
            </w:pPr>
            <w:r w:rsidRPr="00A923E5">
              <w:rPr>
                <w:rFonts w:ascii="Verdana" w:hAnsi="Verdana"/>
                <w:color w:val="000000"/>
                <w:sz w:val="18"/>
                <w:szCs w:val="22"/>
              </w:rPr>
              <w:t>2.</w:t>
            </w:r>
          </w:p>
        </w:tc>
        <w:tc>
          <w:tcPr>
            <w:tcW w:w="1134" w:type="dxa"/>
            <w:shd w:val="clear" w:color="auto" w:fill="auto"/>
            <w:noWrap/>
          </w:tcPr>
          <w:p w:rsidRPr="00A923E5" w:rsidR="007F6B59" w:rsidP="007F6B59" w:rsidRDefault="007F6B59">
            <w:pPr>
              <w:jc w:val="center"/>
              <w:rPr>
                <w:rFonts w:ascii="Verdana" w:hAnsi="Verdana"/>
                <w:color w:val="000000"/>
                <w:sz w:val="18"/>
                <w:szCs w:val="22"/>
              </w:rPr>
            </w:pPr>
            <w:r w:rsidRPr="00A923E5">
              <w:rPr>
                <w:rFonts w:ascii="Verdana" w:hAnsi="Verdana"/>
                <w:color w:val="000000"/>
                <w:sz w:val="18"/>
                <w:szCs w:val="22"/>
              </w:rPr>
              <w:t>30-nov-16</w:t>
            </w:r>
          </w:p>
          <w:p w:rsidRPr="00A923E5" w:rsidR="00413B18" w:rsidP="00DF1BE0" w:rsidRDefault="00413B18">
            <w:pPr>
              <w:jc w:val="center"/>
              <w:rPr>
                <w:rFonts w:ascii="Verdana" w:hAnsi="Verdana"/>
                <w:color w:val="000000"/>
                <w:sz w:val="18"/>
                <w:szCs w:val="22"/>
              </w:rPr>
            </w:pPr>
          </w:p>
        </w:tc>
        <w:tc>
          <w:tcPr>
            <w:tcW w:w="708" w:type="dxa"/>
            <w:shd w:val="clear" w:color="auto" w:fill="auto"/>
            <w:noWrap/>
          </w:tcPr>
          <w:p w:rsidRPr="00A923E5" w:rsidR="00413B18" w:rsidP="00DF1BE0" w:rsidRDefault="007F6B59">
            <w:pPr>
              <w:jc w:val="center"/>
              <w:rPr>
                <w:rFonts w:ascii="Verdana" w:hAnsi="Verdana"/>
                <w:color w:val="000000"/>
                <w:sz w:val="18"/>
                <w:szCs w:val="22"/>
              </w:rPr>
            </w:pPr>
            <w:r w:rsidRPr="00A923E5">
              <w:rPr>
                <w:rFonts w:ascii="Verdana" w:hAnsi="Verdana"/>
                <w:color w:val="000000"/>
                <w:sz w:val="18"/>
                <w:szCs w:val="22"/>
              </w:rPr>
              <w:t>V&amp;J</w:t>
            </w:r>
          </w:p>
        </w:tc>
        <w:tc>
          <w:tcPr>
            <w:tcW w:w="1764" w:type="dxa"/>
            <w:shd w:val="clear" w:color="auto" w:fill="auto"/>
            <w:noWrap/>
          </w:tcPr>
          <w:p w:rsidRPr="00A923E5" w:rsidR="007F6B59" w:rsidP="007F6B59" w:rsidRDefault="007F6B59">
            <w:pPr>
              <w:rPr>
                <w:rFonts w:ascii="Verdana" w:hAnsi="Verdana"/>
                <w:color w:val="000000"/>
                <w:sz w:val="18"/>
                <w:szCs w:val="22"/>
              </w:rPr>
            </w:pPr>
            <w:r w:rsidRPr="00A923E5">
              <w:rPr>
                <w:rFonts w:ascii="Verdana" w:hAnsi="Verdana"/>
                <w:color w:val="000000"/>
                <w:sz w:val="18"/>
                <w:szCs w:val="22"/>
              </w:rPr>
              <w:t>Verordening</w:t>
            </w:r>
          </w:p>
          <w:p w:rsidRPr="00A923E5" w:rsidR="00413B18" w:rsidP="00DF1BE0" w:rsidRDefault="00413B18">
            <w:pPr>
              <w:rPr>
                <w:rFonts w:ascii="Verdana" w:hAnsi="Verdana"/>
                <w:color w:val="000000"/>
                <w:sz w:val="18"/>
                <w:szCs w:val="22"/>
              </w:rPr>
            </w:pPr>
          </w:p>
        </w:tc>
        <w:tc>
          <w:tcPr>
            <w:tcW w:w="4204" w:type="dxa"/>
            <w:shd w:val="clear" w:color="auto" w:fill="auto"/>
          </w:tcPr>
          <w:p w:rsidRPr="00A923E5" w:rsidR="00413B18" w:rsidP="007F6B59" w:rsidRDefault="007F6B59">
            <w:pPr>
              <w:rPr>
                <w:rFonts w:ascii="Verdana" w:hAnsi="Verdana"/>
                <w:color w:val="000000"/>
                <w:sz w:val="18"/>
                <w:szCs w:val="22"/>
                <w:lang w:val="en-GB"/>
              </w:rPr>
            </w:pPr>
            <w:r w:rsidRPr="00A923E5">
              <w:rPr>
                <w:rFonts w:ascii="Verdana" w:hAnsi="Verdana"/>
                <w:color w:val="000000"/>
                <w:sz w:val="18"/>
                <w:szCs w:val="22"/>
                <w:lang w:val="en-GB"/>
              </w:rPr>
              <w:t xml:space="preserve">Proposal for a REGULATION (…) as regards specific measures to provide additional assistance to Member States affected by natural disasters </w:t>
            </w:r>
          </w:p>
        </w:tc>
        <w:tc>
          <w:tcPr>
            <w:tcW w:w="554" w:type="dxa"/>
            <w:shd w:val="clear" w:color="auto" w:fill="auto"/>
            <w:noWrap/>
          </w:tcPr>
          <w:p w:rsidRPr="00A923E5" w:rsidR="007F6B59" w:rsidP="007F6B59" w:rsidRDefault="00A923E5">
            <w:pPr>
              <w:jc w:val="center"/>
              <w:rPr>
                <w:rFonts w:ascii="Verdana" w:hAnsi="Verdana"/>
                <w:color w:val="0000FF"/>
                <w:sz w:val="18"/>
                <w:szCs w:val="22"/>
                <w:u w:val="single"/>
              </w:rPr>
            </w:pPr>
            <w:hyperlink w:history="1" r:id="rId10">
              <w:r w:rsidRPr="00A923E5" w:rsidR="007F6B59">
                <w:rPr>
                  <w:rStyle w:val="Hyperlink"/>
                  <w:rFonts w:ascii="Verdana" w:hAnsi="Verdana"/>
                  <w:sz w:val="18"/>
                  <w:szCs w:val="22"/>
                </w:rPr>
                <w:t>778</w:t>
              </w:r>
            </w:hyperlink>
          </w:p>
          <w:p w:rsidRPr="00A923E5" w:rsidR="00413B18" w:rsidP="00DF1BE0" w:rsidRDefault="00413B18">
            <w:pPr>
              <w:jc w:val="center"/>
              <w:rPr>
                <w:rFonts w:ascii="Verdana" w:hAnsi="Verdana"/>
                <w:color w:val="0000FF"/>
                <w:sz w:val="18"/>
                <w:szCs w:val="22"/>
                <w:u w:val="single"/>
              </w:rPr>
            </w:pPr>
          </w:p>
        </w:tc>
        <w:tc>
          <w:tcPr>
            <w:tcW w:w="1202" w:type="dxa"/>
            <w:shd w:val="clear" w:color="auto" w:fill="auto"/>
          </w:tcPr>
          <w:p w:rsidRPr="00A923E5" w:rsidR="00413B18" w:rsidP="00DF1BE0" w:rsidRDefault="000074BB">
            <w:pPr>
              <w:rPr>
                <w:rFonts w:ascii="Verdana" w:hAnsi="Verdana"/>
                <w:color w:val="000000"/>
                <w:sz w:val="18"/>
                <w:szCs w:val="22"/>
              </w:rPr>
            </w:pPr>
            <w:r w:rsidRPr="00A923E5">
              <w:rPr>
                <w:rFonts w:ascii="Verdana" w:hAnsi="Verdana"/>
                <w:color w:val="000000"/>
                <w:sz w:val="18"/>
                <w:szCs w:val="22"/>
              </w:rPr>
              <w:t xml:space="preserve">n.v.t. </w:t>
            </w:r>
          </w:p>
        </w:tc>
        <w:tc>
          <w:tcPr>
            <w:tcW w:w="4649" w:type="dxa"/>
            <w:shd w:val="clear" w:color="auto" w:fill="auto"/>
          </w:tcPr>
          <w:p w:rsidRPr="00A923E5" w:rsidR="00F408D1" w:rsidP="00F408D1" w:rsidRDefault="007F6B59">
            <w:pPr>
              <w:rPr>
                <w:rFonts w:ascii="Verdana" w:hAnsi="Verdana"/>
                <w:color w:val="000000"/>
                <w:sz w:val="18"/>
                <w:szCs w:val="22"/>
                <w:u w:val="single"/>
              </w:rPr>
            </w:pPr>
            <w:r w:rsidRPr="00A923E5">
              <w:rPr>
                <w:rFonts w:ascii="Verdana" w:hAnsi="Verdana"/>
                <w:color w:val="000000"/>
                <w:sz w:val="18"/>
                <w:szCs w:val="22"/>
                <w:u w:val="single"/>
              </w:rPr>
              <w:t>Voorstel:</w:t>
            </w:r>
            <w:r w:rsidRPr="00A923E5" w:rsidR="000074BB">
              <w:rPr>
                <w:rFonts w:ascii="Verdana" w:hAnsi="Verdana"/>
                <w:color w:val="000000"/>
                <w:sz w:val="18"/>
                <w:szCs w:val="22"/>
                <w:u w:val="single"/>
              </w:rPr>
              <w:t xml:space="preserve">  Voor kennisgeving aannemen</w:t>
            </w:r>
          </w:p>
          <w:p w:rsidRPr="00A923E5" w:rsidR="000074BB" w:rsidP="00F408D1" w:rsidRDefault="000074BB">
            <w:pPr>
              <w:rPr>
                <w:rFonts w:ascii="Verdana" w:hAnsi="Verdana"/>
                <w:color w:val="000000"/>
                <w:sz w:val="18"/>
                <w:szCs w:val="22"/>
                <w:u w:val="single"/>
              </w:rPr>
            </w:pPr>
          </w:p>
          <w:p w:rsidRPr="00A923E5" w:rsidR="000074BB" w:rsidP="000074BB" w:rsidRDefault="000074BB">
            <w:pPr>
              <w:rPr>
                <w:rFonts w:ascii="Verdana" w:hAnsi="Verdana"/>
                <w:i/>
                <w:color w:val="000000"/>
                <w:sz w:val="18"/>
                <w:szCs w:val="22"/>
              </w:rPr>
            </w:pPr>
            <w:r w:rsidRPr="00A923E5">
              <w:rPr>
                <w:rFonts w:ascii="Verdana" w:hAnsi="Verdana"/>
                <w:i/>
                <w:color w:val="000000"/>
                <w:sz w:val="18"/>
                <w:szCs w:val="22"/>
              </w:rPr>
              <w:t>Met dit wetgevend voorstel kunnen lidstaten die getroffen zijn door natuurrampen snel extra Europese financiële steun krijgen voor wederopbouw.</w:t>
            </w:r>
          </w:p>
        </w:tc>
      </w:tr>
      <w:tr w:rsidRPr="00A923E5" w:rsidR="007F6B59" w:rsidTr="000078F1">
        <w:trPr>
          <w:trHeight w:val="884"/>
        </w:trPr>
        <w:tc>
          <w:tcPr>
            <w:tcW w:w="440" w:type="dxa"/>
          </w:tcPr>
          <w:p w:rsidRPr="00A923E5" w:rsidR="007F6B59" w:rsidP="00DF1BE0" w:rsidRDefault="007F6B59">
            <w:pPr>
              <w:jc w:val="center"/>
              <w:rPr>
                <w:rFonts w:ascii="Verdana" w:hAnsi="Verdana"/>
                <w:color w:val="000000"/>
                <w:sz w:val="18"/>
                <w:szCs w:val="22"/>
              </w:rPr>
            </w:pPr>
            <w:r w:rsidRPr="00A923E5">
              <w:rPr>
                <w:rFonts w:ascii="Verdana" w:hAnsi="Verdana"/>
                <w:color w:val="000000"/>
                <w:sz w:val="18"/>
                <w:szCs w:val="22"/>
              </w:rPr>
              <w:t>3.</w:t>
            </w:r>
          </w:p>
        </w:tc>
        <w:tc>
          <w:tcPr>
            <w:tcW w:w="1134" w:type="dxa"/>
            <w:shd w:val="clear" w:color="auto" w:fill="auto"/>
            <w:noWrap/>
          </w:tcPr>
          <w:p w:rsidRPr="00A923E5" w:rsidR="007F6B59" w:rsidP="007F6B59" w:rsidRDefault="007F6B59">
            <w:pPr>
              <w:jc w:val="center"/>
              <w:rPr>
                <w:rFonts w:ascii="Verdana" w:hAnsi="Verdana"/>
                <w:color w:val="000000"/>
                <w:sz w:val="18"/>
                <w:szCs w:val="22"/>
              </w:rPr>
            </w:pPr>
            <w:r w:rsidRPr="00A923E5">
              <w:rPr>
                <w:rFonts w:ascii="Verdana" w:hAnsi="Verdana"/>
                <w:color w:val="000000"/>
                <w:sz w:val="18"/>
                <w:szCs w:val="22"/>
              </w:rPr>
              <w:t>2-dec-16</w:t>
            </w:r>
          </w:p>
          <w:p w:rsidRPr="00A923E5" w:rsidR="007F6B59" w:rsidP="007F6B59" w:rsidRDefault="007F6B59">
            <w:pPr>
              <w:jc w:val="center"/>
              <w:rPr>
                <w:rFonts w:ascii="Verdana" w:hAnsi="Verdana"/>
                <w:color w:val="000000"/>
                <w:sz w:val="18"/>
                <w:szCs w:val="22"/>
              </w:rPr>
            </w:pPr>
          </w:p>
        </w:tc>
        <w:tc>
          <w:tcPr>
            <w:tcW w:w="708" w:type="dxa"/>
            <w:shd w:val="clear" w:color="auto" w:fill="auto"/>
            <w:noWrap/>
          </w:tcPr>
          <w:p w:rsidRPr="00A923E5" w:rsidR="007F6B59" w:rsidP="00DF1BE0" w:rsidRDefault="007F6B59">
            <w:pPr>
              <w:jc w:val="center"/>
              <w:rPr>
                <w:rFonts w:ascii="Verdana" w:hAnsi="Verdana"/>
                <w:color w:val="000000"/>
                <w:sz w:val="18"/>
                <w:szCs w:val="22"/>
              </w:rPr>
            </w:pPr>
            <w:r w:rsidRPr="00A923E5">
              <w:rPr>
                <w:rFonts w:ascii="Verdana" w:hAnsi="Verdana"/>
                <w:color w:val="000000"/>
                <w:sz w:val="18"/>
                <w:szCs w:val="22"/>
              </w:rPr>
              <w:t>V&amp;J</w:t>
            </w:r>
          </w:p>
        </w:tc>
        <w:tc>
          <w:tcPr>
            <w:tcW w:w="1764" w:type="dxa"/>
            <w:shd w:val="clear" w:color="auto" w:fill="auto"/>
            <w:noWrap/>
          </w:tcPr>
          <w:p w:rsidRPr="00A923E5" w:rsidR="007F6B59" w:rsidP="007F6B59" w:rsidRDefault="007F6B59">
            <w:pPr>
              <w:rPr>
                <w:rFonts w:ascii="Verdana" w:hAnsi="Verdana"/>
                <w:color w:val="000000"/>
                <w:sz w:val="18"/>
                <w:szCs w:val="22"/>
              </w:rPr>
            </w:pPr>
            <w:r w:rsidRPr="00A923E5">
              <w:rPr>
                <w:rFonts w:ascii="Verdana" w:hAnsi="Verdana"/>
                <w:color w:val="000000"/>
                <w:sz w:val="18"/>
                <w:szCs w:val="22"/>
              </w:rPr>
              <w:t>Verslag</w:t>
            </w:r>
          </w:p>
          <w:p w:rsidRPr="00A923E5" w:rsidR="007F6B59" w:rsidP="007F6B59" w:rsidRDefault="007F6B59">
            <w:pPr>
              <w:rPr>
                <w:rFonts w:ascii="Verdana" w:hAnsi="Verdana"/>
                <w:color w:val="000000"/>
                <w:sz w:val="18"/>
                <w:szCs w:val="22"/>
              </w:rPr>
            </w:pPr>
          </w:p>
        </w:tc>
        <w:tc>
          <w:tcPr>
            <w:tcW w:w="4204" w:type="dxa"/>
            <w:shd w:val="clear" w:color="auto" w:fill="auto"/>
          </w:tcPr>
          <w:p w:rsidRPr="00A923E5" w:rsidR="007F6B59" w:rsidP="007F6B59" w:rsidRDefault="007F6B59">
            <w:pPr>
              <w:rPr>
                <w:rFonts w:ascii="Verdana" w:hAnsi="Verdana"/>
                <w:color w:val="000000"/>
                <w:sz w:val="18"/>
                <w:szCs w:val="22"/>
              </w:rPr>
            </w:pPr>
            <w:r w:rsidRPr="00A923E5">
              <w:rPr>
                <w:rFonts w:ascii="Verdana" w:hAnsi="Verdana"/>
                <w:color w:val="000000"/>
                <w:sz w:val="18"/>
                <w:szCs w:val="22"/>
              </w:rPr>
              <w:t xml:space="preserve">VERSLAG VAN DE COMMISSIE AAN HET EUROPEES PARLEMENT EN DE RAAD ter beoordeling van de mate waarin de lidstaten de nodige maatregelen hebben genomen </w:t>
            </w:r>
            <w:r w:rsidRPr="00A923E5">
              <w:rPr>
                <w:rFonts w:ascii="Verdana" w:hAnsi="Verdana"/>
                <w:color w:val="000000"/>
                <w:sz w:val="18"/>
                <w:szCs w:val="22"/>
              </w:rPr>
              <w:lastRenderedPageBreak/>
              <w:t xml:space="preserve">om te voldoen aan Richtlijn 2011/36/EU inzake de voorkoming en bestrijding van mensenhandel en de bescherming van slachtoffers daarvan, in overeenstemming met artikel 23, lid 1, van de richtlijn </w:t>
            </w:r>
          </w:p>
        </w:tc>
        <w:tc>
          <w:tcPr>
            <w:tcW w:w="554" w:type="dxa"/>
            <w:shd w:val="clear" w:color="auto" w:fill="auto"/>
            <w:noWrap/>
          </w:tcPr>
          <w:p w:rsidRPr="00A923E5" w:rsidR="007F6B59" w:rsidP="007F6B59" w:rsidRDefault="00A923E5">
            <w:pPr>
              <w:jc w:val="center"/>
              <w:rPr>
                <w:rFonts w:ascii="Verdana" w:hAnsi="Verdana"/>
                <w:color w:val="0000FF"/>
                <w:sz w:val="18"/>
                <w:szCs w:val="22"/>
                <w:u w:val="single"/>
              </w:rPr>
            </w:pPr>
            <w:hyperlink w:history="1" r:id="rId11">
              <w:r w:rsidRPr="00A923E5" w:rsidR="007F6B59">
                <w:rPr>
                  <w:rStyle w:val="Hyperlink"/>
                  <w:rFonts w:ascii="Verdana" w:hAnsi="Verdana"/>
                  <w:sz w:val="18"/>
                  <w:szCs w:val="22"/>
                </w:rPr>
                <w:t>722</w:t>
              </w:r>
            </w:hyperlink>
          </w:p>
          <w:p w:rsidRPr="00A923E5" w:rsidR="007F6B59" w:rsidP="007F6B59" w:rsidRDefault="007F6B59">
            <w:pPr>
              <w:jc w:val="center"/>
              <w:rPr>
                <w:rFonts w:ascii="Verdana" w:hAnsi="Verdana"/>
                <w:color w:val="0000FF"/>
                <w:sz w:val="18"/>
                <w:szCs w:val="22"/>
                <w:u w:val="single"/>
              </w:rPr>
            </w:pPr>
          </w:p>
        </w:tc>
        <w:tc>
          <w:tcPr>
            <w:tcW w:w="1202" w:type="dxa"/>
            <w:shd w:val="clear" w:color="auto" w:fill="auto"/>
          </w:tcPr>
          <w:p w:rsidRPr="00A923E5" w:rsidR="007F6B59" w:rsidP="00DF1BE0" w:rsidRDefault="007F6B59">
            <w:pPr>
              <w:rPr>
                <w:rFonts w:ascii="Verdana" w:hAnsi="Verdana"/>
                <w:color w:val="000000"/>
                <w:sz w:val="18"/>
                <w:szCs w:val="22"/>
              </w:rPr>
            </w:pPr>
          </w:p>
        </w:tc>
        <w:tc>
          <w:tcPr>
            <w:tcW w:w="4649" w:type="dxa"/>
            <w:shd w:val="clear" w:color="auto" w:fill="auto"/>
          </w:tcPr>
          <w:p w:rsidRPr="00A923E5" w:rsidR="007F6B59" w:rsidP="000074BB" w:rsidRDefault="007F6B59">
            <w:pPr>
              <w:rPr>
                <w:rFonts w:ascii="Verdana" w:hAnsi="Verdana"/>
                <w:color w:val="000000"/>
                <w:sz w:val="18"/>
                <w:szCs w:val="22"/>
                <w:u w:val="single"/>
              </w:rPr>
            </w:pPr>
            <w:r w:rsidRPr="00A923E5">
              <w:rPr>
                <w:rFonts w:ascii="Verdana" w:hAnsi="Verdana"/>
                <w:color w:val="000000"/>
                <w:sz w:val="18"/>
                <w:szCs w:val="22"/>
                <w:u w:val="single"/>
              </w:rPr>
              <w:t>Voorstel:</w:t>
            </w:r>
            <w:r w:rsidRPr="00A923E5" w:rsidR="000074BB">
              <w:rPr>
                <w:rFonts w:ascii="Verdana" w:hAnsi="Verdana"/>
                <w:color w:val="000000"/>
                <w:sz w:val="18"/>
                <w:szCs w:val="22"/>
                <w:u w:val="single"/>
              </w:rPr>
              <w:t xml:space="preserve"> betrekken bij </w:t>
            </w:r>
            <w:r w:rsidR="00A923E5">
              <w:rPr>
                <w:rFonts w:ascii="Verdana" w:hAnsi="Verdana"/>
                <w:color w:val="000000"/>
                <w:sz w:val="18"/>
                <w:szCs w:val="22"/>
                <w:u w:val="single"/>
              </w:rPr>
              <w:t>een te plannen algemeen overleg over mensenhandel</w:t>
            </w:r>
          </w:p>
          <w:p w:rsidRPr="00A923E5" w:rsidR="000074BB" w:rsidP="000074BB" w:rsidRDefault="000074BB">
            <w:pPr>
              <w:rPr>
                <w:rFonts w:ascii="Verdana" w:hAnsi="Verdana"/>
                <w:color w:val="000000"/>
                <w:sz w:val="18"/>
                <w:szCs w:val="22"/>
                <w:u w:val="single"/>
              </w:rPr>
            </w:pPr>
          </w:p>
          <w:p w:rsidRPr="00A923E5" w:rsidR="000074BB" w:rsidP="003200A3" w:rsidRDefault="000074BB">
            <w:pPr>
              <w:rPr>
                <w:rFonts w:ascii="Verdana" w:hAnsi="Verdana"/>
                <w:i/>
                <w:color w:val="000000"/>
                <w:sz w:val="18"/>
                <w:szCs w:val="22"/>
              </w:rPr>
            </w:pPr>
            <w:r w:rsidRPr="00A923E5">
              <w:rPr>
                <w:rFonts w:ascii="Verdana" w:hAnsi="Verdana"/>
                <w:i/>
                <w:color w:val="000000"/>
                <w:sz w:val="18"/>
                <w:szCs w:val="22"/>
              </w:rPr>
              <w:t xml:space="preserve">Dit </w:t>
            </w:r>
            <w:r w:rsidRPr="00A923E5" w:rsidR="003200A3">
              <w:rPr>
                <w:rFonts w:ascii="Verdana" w:hAnsi="Verdana"/>
                <w:i/>
                <w:color w:val="000000"/>
                <w:sz w:val="18"/>
                <w:szCs w:val="22"/>
              </w:rPr>
              <w:t>rapport</w:t>
            </w:r>
            <w:r w:rsidRPr="00A923E5">
              <w:rPr>
                <w:rFonts w:ascii="Verdana" w:hAnsi="Verdana"/>
                <w:i/>
                <w:color w:val="000000"/>
                <w:sz w:val="18"/>
                <w:szCs w:val="22"/>
              </w:rPr>
              <w:t xml:space="preserve"> bespreekt de uitvoering van de </w:t>
            </w:r>
            <w:r w:rsidRPr="00A923E5" w:rsidR="003200A3">
              <w:rPr>
                <w:rFonts w:ascii="Verdana" w:hAnsi="Verdana"/>
                <w:i/>
                <w:color w:val="000000"/>
                <w:sz w:val="18"/>
                <w:szCs w:val="22"/>
              </w:rPr>
              <w:lastRenderedPageBreak/>
              <w:t xml:space="preserve">richtlijn </w:t>
            </w:r>
            <w:r w:rsidRPr="00A923E5">
              <w:rPr>
                <w:rFonts w:ascii="Verdana" w:hAnsi="Verdana"/>
                <w:i/>
                <w:color w:val="000000"/>
                <w:sz w:val="18"/>
                <w:szCs w:val="22"/>
              </w:rPr>
              <w:t>mensenhandel</w:t>
            </w:r>
            <w:r w:rsidRPr="00A923E5" w:rsidR="003200A3">
              <w:rPr>
                <w:rFonts w:ascii="Verdana" w:hAnsi="Verdana"/>
                <w:i/>
                <w:color w:val="000000"/>
                <w:sz w:val="18"/>
                <w:szCs w:val="22"/>
              </w:rPr>
              <w:t xml:space="preserve"> door de lidstaten. De hoofdconclusie is dat de meeste lidstaten de richtlijn goed hebben geïmplementeerd. Echter, veel lidstaten blijven achter in de bescherming van minderjarigen. Er is geen bijzondere kritiek op Nederland.</w:t>
            </w:r>
          </w:p>
          <w:p w:rsidRPr="00A923E5" w:rsidR="003200A3" w:rsidP="003200A3" w:rsidRDefault="003200A3">
            <w:pPr>
              <w:rPr>
                <w:rFonts w:ascii="Verdana" w:hAnsi="Verdana"/>
                <w:i/>
                <w:color w:val="000000"/>
                <w:sz w:val="18"/>
                <w:szCs w:val="22"/>
                <w:u w:val="single"/>
              </w:rPr>
            </w:pPr>
          </w:p>
          <w:p w:rsidRPr="00A923E5" w:rsidR="003200A3" w:rsidP="003200A3" w:rsidRDefault="003200A3">
            <w:pPr>
              <w:rPr>
                <w:rFonts w:ascii="Verdana" w:hAnsi="Verdana"/>
                <w:i/>
                <w:color w:val="000000"/>
                <w:sz w:val="18"/>
                <w:szCs w:val="22"/>
                <w:u w:val="single"/>
              </w:rPr>
            </w:pPr>
          </w:p>
        </w:tc>
      </w:tr>
      <w:tr w:rsidRPr="00A923E5" w:rsidR="007F6B59" w:rsidTr="000078F1">
        <w:trPr>
          <w:trHeight w:val="884"/>
        </w:trPr>
        <w:tc>
          <w:tcPr>
            <w:tcW w:w="440" w:type="dxa"/>
          </w:tcPr>
          <w:p w:rsidRPr="00A923E5" w:rsidR="007F6B59" w:rsidP="00DF1BE0" w:rsidRDefault="007F6B59">
            <w:pPr>
              <w:jc w:val="center"/>
              <w:rPr>
                <w:rFonts w:ascii="Verdana" w:hAnsi="Verdana"/>
                <w:color w:val="000000"/>
                <w:sz w:val="18"/>
                <w:szCs w:val="22"/>
              </w:rPr>
            </w:pPr>
            <w:r w:rsidRPr="00A923E5">
              <w:rPr>
                <w:rFonts w:ascii="Verdana" w:hAnsi="Verdana"/>
                <w:color w:val="000000"/>
                <w:sz w:val="18"/>
                <w:szCs w:val="22"/>
              </w:rPr>
              <w:lastRenderedPageBreak/>
              <w:t>4.</w:t>
            </w:r>
          </w:p>
        </w:tc>
        <w:tc>
          <w:tcPr>
            <w:tcW w:w="1134" w:type="dxa"/>
            <w:shd w:val="clear" w:color="auto" w:fill="auto"/>
            <w:noWrap/>
          </w:tcPr>
          <w:p w:rsidRPr="00A923E5" w:rsidR="007F6B59" w:rsidP="007F6B59" w:rsidRDefault="007F6B59">
            <w:pPr>
              <w:jc w:val="center"/>
              <w:rPr>
                <w:rFonts w:ascii="Verdana" w:hAnsi="Verdana"/>
                <w:color w:val="000000"/>
                <w:sz w:val="18"/>
                <w:szCs w:val="22"/>
              </w:rPr>
            </w:pPr>
            <w:r w:rsidRPr="00A923E5">
              <w:rPr>
                <w:rFonts w:ascii="Verdana" w:hAnsi="Verdana"/>
                <w:color w:val="000000"/>
                <w:sz w:val="18"/>
                <w:szCs w:val="22"/>
              </w:rPr>
              <w:t>2-dec-16</w:t>
            </w:r>
          </w:p>
          <w:p w:rsidRPr="00A923E5" w:rsidR="007F6B59" w:rsidP="007F6B59" w:rsidRDefault="007F6B59">
            <w:pPr>
              <w:jc w:val="center"/>
              <w:rPr>
                <w:rFonts w:ascii="Verdana" w:hAnsi="Verdana"/>
                <w:color w:val="000000"/>
                <w:sz w:val="18"/>
                <w:szCs w:val="22"/>
              </w:rPr>
            </w:pPr>
          </w:p>
        </w:tc>
        <w:tc>
          <w:tcPr>
            <w:tcW w:w="708" w:type="dxa"/>
            <w:shd w:val="clear" w:color="auto" w:fill="auto"/>
            <w:noWrap/>
          </w:tcPr>
          <w:p w:rsidRPr="00A923E5" w:rsidR="007F6B59" w:rsidP="00DF1BE0" w:rsidRDefault="007F6B59">
            <w:pPr>
              <w:jc w:val="center"/>
              <w:rPr>
                <w:rFonts w:ascii="Verdana" w:hAnsi="Verdana"/>
                <w:color w:val="000000"/>
                <w:sz w:val="18"/>
                <w:szCs w:val="22"/>
              </w:rPr>
            </w:pPr>
            <w:r w:rsidRPr="00A923E5">
              <w:rPr>
                <w:rFonts w:ascii="Verdana" w:hAnsi="Verdana"/>
                <w:color w:val="000000"/>
                <w:sz w:val="18"/>
                <w:szCs w:val="22"/>
              </w:rPr>
              <w:t>V&amp;J</w:t>
            </w:r>
          </w:p>
        </w:tc>
        <w:tc>
          <w:tcPr>
            <w:tcW w:w="1764" w:type="dxa"/>
            <w:shd w:val="clear" w:color="auto" w:fill="auto"/>
            <w:noWrap/>
          </w:tcPr>
          <w:p w:rsidRPr="00A923E5" w:rsidR="007F6B59" w:rsidP="007F6B59" w:rsidRDefault="007F6B59">
            <w:pPr>
              <w:rPr>
                <w:rFonts w:ascii="Verdana" w:hAnsi="Verdana"/>
                <w:color w:val="000000"/>
                <w:sz w:val="18"/>
                <w:szCs w:val="22"/>
              </w:rPr>
            </w:pPr>
            <w:r w:rsidRPr="00A923E5">
              <w:rPr>
                <w:rFonts w:ascii="Verdana" w:hAnsi="Verdana"/>
                <w:color w:val="000000"/>
                <w:sz w:val="18"/>
                <w:szCs w:val="22"/>
              </w:rPr>
              <w:t>Verslag</w:t>
            </w:r>
          </w:p>
          <w:p w:rsidRPr="00A923E5" w:rsidR="007F6B59" w:rsidP="007F6B59" w:rsidRDefault="007F6B59">
            <w:pPr>
              <w:rPr>
                <w:rFonts w:ascii="Verdana" w:hAnsi="Verdana"/>
                <w:color w:val="000000"/>
                <w:sz w:val="18"/>
                <w:szCs w:val="22"/>
              </w:rPr>
            </w:pPr>
          </w:p>
        </w:tc>
        <w:tc>
          <w:tcPr>
            <w:tcW w:w="4204" w:type="dxa"/>
            <w:shd w:val="clear" w:color="auto" w:fill="auto"/>
          </w:tcPr>
          <w:p w:rsidRPr="00A923E5" w:rsidR="007F6B59" w:rsidP="007F6B59" w:rsidRDefault="007F6B59">
            <w:pPr>
              <w:rPr>
                <w:rFonts w:ascii="Verdana" w:hAnsi="Verdana"/>
                <w:color w:val="000000"/>
                <w:sz w:val="18"/>
                <w:szCs w:val="22"/>
              </w:rPr>
            </w:pPr>
            <w:r w:rsidRPr="00A923E5">
              <w:rPr>
                <w:rFonts w:ascii="Verdana" w:hAnsi="Verdana"/>
                <w:color w:val="000000"/>
                <w:sz w:val="18"/>
                <w:szCs w:val="22"/>
              </w:rPr>
              <w:t xml:space="preserve">VERSLAG VAN DE COMMISSIE (…) ter beoordeling van de mate waarin bestaande nationale wetgeving, houdende strafbaarstelling van het gebruik van diensten die het voorwerp zijn van mensenhandel, een impact heeft op het voorkomen van mensenhandel, in overeenstemming met artikel 23, lid 2, van Richtlijn 2011/36/EU </w:t>
            </w:r>
          </w:p>
        </w:tc>
        <w:tc>
          <w:tcPr>
            <w:tcW w:w="554" w:type="dxa"/>
            <w:shd w:val="clear" w:color="auto" w:fill="auto"/>
            <w:noWrap/>
          </w:tcPr>
          <w:p w:rsidRPr="00A923E5" w:rsidR="007F6B59" w:rsidP="007F6B59" w:rsidRDefault="00A923E5">
            <w:pPr>
              <w:jc w:val="center"/>
              <w:rPr>
                <w:rFonts w:ascii="Verdana" w:hAnsi="Verdana"/>
                <w:color w:val="0000FF"/>
                <w:sz w:val="18"/>
                <w:szCs w:val="22"/>
                <w:u w:val="single"/>
              </w:rPr>
            </w:pPr>
            <w:hyperlink w:history="1" r:id="rId12">
              <w:r w:rsidRPr="00A923E5" w:rsidR="007F6B59">
                <w:rPr>
                  <w:rStyle w:val="Hyperlink"/>
                  <w:rFonts w:ascii="Verdana" w:hAnsi="Verdana"/>
                  <w:sz w:val="18"/>
                  <w:szCs w:val="22"/>
                </w:rPr>
                <w:t>719</w:t>
              </w:r>
            </w:hyperlink>
          </w:p>
          <w:p w:rsidRPr="00A923E5" w:rsidR="007F6B59" w:rsidP="007F6B59" w:rsidRDefault="007F6B59">
            <w:pPr>
              <w:jc w:val="center"/>
              <w:rPr>
                <w:rFonts w:ascii="Verdana" w:hAnsi="Verdana"/>
                <w:color w:val="0000FF"/>
                <w:sz w:val="18"/>
                <w:szCs w:val="22"/>
                <w:u w:val="single"/>
              </w:rPr>
            </w:pPr>
          </w:p>
        </w:tc>
        <w:tc>
          <w:tcPr>
            <w:tcW w:w="1202" w:type="dxa"/>
            <w:shd w:val="clear" w:color="auto" w:fill="auto"/>
          </w:tcPr>
          <w:p w:rsidRPr="00A923E5" w:rsidR="007F6B59" w:rsidP="00DF1BE0" w:rsidRDefault="007F6B59">
            <w:pPr>
              <w:rPr>
                <w:rFonts w:ascii="Verdana" w:hAnsi="Verdana"/>
                <w:color w:val="000000"/>
                <w:sz w:val="18"/>
                <w:szCs w:val="22"/>
              </w:rPr>
            </w:pPr>
          </w:p>
        </w:tc>
        <w:tc>
          <w:tcPr>
            <w:tcW w:w="4649" w:type="dxa"/>
            <w:shd w:val="clear" w:color="auto" w:fill="auto"/>
          </w:tcPr>
          <w:p w:rsidRPr="00A923E5" w:rsidR="007F6B59" w:rsidP="00F408D1" w:rsidRDefault="000074BB">
            <w:pPr>
              <w:rPr>
                <w:rFonts w:ascii="Verdana" w:hAnsi="Verdana"/>
                <w:color w:val="000000"/>
                <w:sz w:val="18"/>
                <w:szCs w:val="22"/>
                <w:u w:val="single"/>
              </w:rPr>
            </w:pPr>
            <w:r w:rsidRPr="00A923E5">
              <w:rPr>
                <w:rFonts w:ascii="Verdana" w:hAnsi="Verdana"/>
                <w:color w:val="000000"/>
                <w:sz w:val="18"/>
                <w:szCs w:val="22"/>
                <w:u w:val="single"/>
              </w:rPr>
              <w:t xml:space="preserve">Voorstel: betrekken bij </w:t>
            </w:r>
            <w:r w:rsidR="00A923E5">
              <w:rPr>
                <w:rFonts w:ascii="Verdana" w:hAnsi="Verdana"/>
                <w:color w:val="000000"/>
                <w:sz w:val="18"/>
                <w:szCs w:val="22"/>
                <w:u w:val="single"/>
              </w:rPr>
              <w:t>een</w:t>
            </w:r>
            <w:r w:rsidR="00A923E5">
              <w:rPr>
                <w:rFonts w:ascii="Verdana" w:hAnsi="Verdana"/>
                <w:color w:val="000000"/>
                <w:sz w:val="18"/>
                <w:szCs w:val="22"/>
                <w:u w:val="single"/>
              </w:rPr>
              <w:t xml:space="preserve"> te plannen algemeen overleg over mensenhandel</w:t>
            </w:r>
          </w:p>
          <w:p w:rsidRPr="00A923E5" w:rsidR="003200A3" w:rsidP="00F408D1" w:rsidRDefault="003200A3">
            <w:pPr>
              <w:rPr>
                <w:rFonts w:ascii="Verdana" w:hAnsi="Verdana"/>
                <w:color w:val="000000"/>
                <w:sz w:val="18"/>
                <w:szCs w:val="22"/>
                <w:u w:val="single"/>
              </w:rPr>
            </w:pPr>
          </w:p>
          <w:p w:rsidRPr="00A923E5" w:rsidR="003200A3" w:rsidP="00055769" w:rsidRDefault="003200A3">
            <w:pPr>
              <w:rPr>
                <w:rFonts w:ascii="Verdana" w:hAnsi="Verdana"/>
                <w:i/>
                <w:color w:val="000000"/>
                <w:sz w:val="18"/>
                <w:szCs w:val="22"/>
              </w:rPr>
            </w:pPr>
            <w:r w:rsidRPr="00A923E5">
              <w:rPr>
                <w:rFonts w:ascii="Verdana" w:hAnsi="Verdana"/>
                <w:i/>
                <w:color w:val="000000"/>
                <w:sz w:val="18"/>
                <w:szCs w:val="22"/>
              </w:rPr>
              <w:t>Dit rapport, dat in samenhang bezien moet worden met het voorgaande rapport, gaat in op de strafbaarstelling van personen die bijvoorbeeld seksueel uitgebuite prostituees bezoeken. Europees recht verplicht lidstaten niet om dit strafbaar te stellen, maar geeft het wel in overweging. Nederland heeft dit wel strafbaar gesteld voor arbeidsuitbuiting</w:t>
            </w:r>
            <w:r w:rsidRPr="00A923E5" w:rsidR="00055769">
              <w:rPr>
                <w:rFonts w:ascii="Verdana" w:hAnsi="Verdana"/>
                <w:i/>
                <w:color w:val="000000"/>
                <w:sz w:val="18"/>
                <w:szCs w:val="22"/>
              </w:rPr>
              <w:t xml:space="preserve"> en misbruik van minderjarigen. Voor seksuele uitbuiting van volwassen kan volgens NL in sommige gevallen worden teruggegrepen op zedenwetgeving in algemene zin. </w:t>
            </w:r>
          </w:p>
          <w:p w:rsidRPr="00A923E5" w:rsidR="00055769" w:rsidP="00055769" w:rsidRDefault="00055769">
            <w:pPr>
              <w:rPr>
                <w:rFonts w:ascii="Verdana" w:hAnsi="Verdana"/>
                <w:i/>
                <w:color w:val="000000"/>
                <w:sz w:val="18"/>
                <w:szCs w:val="22"/>
              </w:rPr>
            </w:pPr>
          </w:p>
        </w:tc>
      </w:tr>
      <w:tr w:rsidRPr="00A923E5" w:rsidR="00413B18" w:rsidTr="008E7F34">
        <w:trPr>
          <w:trHeight w:val="449"/>
        </w:trPr>
        <w:tc>
          <w:tcPr>
            <w:tcW w:w="14655" w:type="dxa"/>
            <w:gridSpan w:val="8"/>
            <w:shd w:val="clear" w:color="auto" w:fill="C2D69B" w:themeFill="accent3" w:themeFillTint="99"/>
          </w:tcPr>
          <w:p w:rsidRPr="00A923E5" w:rsidR="00413B18" w:rsidP="003751C4" w:rsidRDefault="00413B18">
            <w:pPr>
              <w:rPr>
                <w:rFonts w:ascii="Verdana" w:hAnsi="Verdana"/>
                <w:b/>
                <w:i/>
                <w:color w:val="C2D69B" w:themeColor="accent3" w:themeTint="99"/>
                <w:sz w:val="22"/>
                <w:szCs w:val="22"/>
              </w:rPr>
            </w:pPr>
            <w:r w:rsidRPr="00A923E5">
              <w:rPr>
                <w:rFonts w:ascii="Verdana" w:hAnsi="Verdana"/>
                <w:b/>
                <w:i/>
                <w:color w:val="000000"/>
                <w:sz w:val="18"/>
                <w:szCs w:val="22"/>
              </w:rPr>
              <w:t>Onderwerpen op het terrein van Migratie- en asielbeleid</w:t>
            </w:r>
          </w:p>
        </w:tc>
      </w:tr>
      <w:tr w:rsidRPr="00A923E5" w:rsidR="00A923E5" w:rsidTr="00A923E5">
        <w:trPr>
          <w:trHeight w:val="1188"/>
        </w:trPr>
        <w:tc>
          <w:tcPr>
            <w:tcW w:w="14655" w:type="dxa"/>
            <w:gridSpan w:val="8"/>
            <w:shd w:val="clear" w:color="auto" w:fill="auto"/>
          </w:tcPr>
          <w:p w:rsidRPr="00A923E5" w:rsidR="00A923E5" w:rsidP="006E7438" w:rsidRDefault="00A923E5">
            <w:pPr>
              <w:rPr>
                <w:rFonts w:ascii="Verdana" w:hAnsi="Verdana"/>
                <w:color w:val="000000"/>
                <w:sz w:val="22"/>
                <w:szCs w:val="22"/>
              </w:rPr>
            </w:pPr>
            <w:r>
              <w:rPr>
                <w:rFonts w:ascii="Verdana" w:hAnsi="Verdana"/>
                <w:color w:val="000000"/>
                <w:sz w:val="18"/>
                <w:szCs w:val="22"/>
              </w:rPr>
              <w:br/>
            </w:r>
            <w:r w:rsidRPr="00A923E5">
              <w:rPr>
                <w:rFonts w:ascii="Verdana" w:hAnsi="Verdana"/>
                <w:color w:val="000000"/>
                <w:sz w:val="18"/>
                <w:szCs w:val="22"/>
              </w:rPr>
              <w:t>Geen nieuwe voorstellen.</w:t>
            </w:r>
          </w:p>
        </w:tc>
      </w:tr>
    </w:tbl>
    <w:p w:rsidRPr="00A923E5" w:rsidR="007C11B8" w:rsidP="008A08DC" w:rsidRDefault="007C11B8">
      <w:pPr>
        <w:pStyle w:val="Voetnoottekst"/>
        <w:rPr>
          <w:rFonts w:ascii="Verdana" w:hAnsi="Verdana"/>
          <w:b/>
        </w:rPr>
      </w:pPr>
    </w:p>
    <w:p w:rsidRPr="00A923E5" w:rsidR="007C11B8" w:rsidRDefault="007C11B8">
      <w:pPr>
        <w:rPr>
          <w:rFonts w:ascii="Verdana" w:hAnsi="Verdana"/>
          <w:b/>
          <w:sz w:val="20"/>
          <w:szCs w:val="20"/>
        </w:rPr>
      </w:pPr>
      <w:r w:rsidRPr="00A923E5">
        <w:rPr>
          <w:rFonts w:ascii="Verdana" w:hAnsi="Verdana"/>
          <w:b/>
        </w:rPr>
        <w:br w:type="page"/>
      </w:r>
    </w:p>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455450">
        <w:tc>
          <w:tcPr>
            <w:tcW w:w="209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p>
          <w:p w:rsidRPr="00A923E5" w:rsidR="00F93E06" w:rsidP="00455450"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t>
            </w:r>
            <w:r w:rsidRPr="00A923E5">
              <w:rPr>
                <w:rFonts w:ascii="Verdana" w:hAnsi="Verdana"/>
                <w:sz w:val="18"/>
                <w:szCs w:val="18"/>
              </w:rPr>
              <w:lastRenderedPageBreak/>
              <w:t xml:space="preserve">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455450" w:rsidRDefault="00F93E06">
            <w:pPr>
              <w:pStyle w:val="Voetnoottekst"/>
              <w:ind w:left="360"/>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3">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455450"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w:t>
            </w:r>
            <w:r w:rsidRPr="00A923E5">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455450"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455450"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w:t>
            </w:r>
            <w:r w:rsidRPr="00A923E5">
              <w:rPr>
                <w:rFonts w:ascii="Verdana" w:hAnsi="Verdana"/>
                <w:sz w:val="18"/>
                <w:szCs w:val="18"/>
              </w:rPr>
              <w:lastRenderedPageBreak/>
              <w:t>een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455450"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455450"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455450"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w:t>
            </w:r>
            <w:r w:rsidRPr="00A923E5">
              <w:rPr>
                <w:rFonts w:ascii="Verdana" w:hAnsi="Verdana"/>
                <w:sz w:val="18"/>
                <w:szCs w:val="18"/>
              </w:rPr>
              <w:lastRenderedPageBreak/>
              <w:t xml:space="preserve">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F93E06" w:rsidP="00455450"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BF35EE">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BC" w:rsidRDefault="00CA34BC">
      <w:r>
        <w:separator/>
      </w:r>
    </w:p>
  </w:endnote>
  <w:endnote w:type="continuationSeparator" w:id="0">
    <w:p w:rsidR="00CA34BC" w:rsidRDefault="00CA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A923E5">
          <w:rPr>
            <w:rFonts w:asciiTheme="minorHAnsi" w:hAnsiTheme="minorHAnsi"/>
            <w:noProof/>
            <w:sz w:val="22"/>
            <w:szCs w:val="22"/>
          </w:rPr>
          <w:t>4</w:t>
        </w:r>
        <w:r w:rsidRPr="00BF35EE">
          <w:rPr>
            <w:rFonts w:asciiTheme="minorHAnsi" w:hAnsiTheme="minorHAnsi"/>
            <w:sz w:val="22"/>
            <w:szCs w:val="22"/>
          </w:rPr>
          <w:fldChar w:fldCharType="end"/>
        </w:r>
      </w:p>
    </w:sdtContent>
  </w:sdt>
  <w:p w:rsidR="00BF35EE" w:rsidRDefault="00A923E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BC" w:rsidRDefault="00CA34BC">
      <w:r>
        <w:separator/>
      </w:r>
    </w:p>
  </w:footnote>
  <w:footnote w:type="continuationSeparator" w:id="0">
    <w:p w:rsidR="00CA34BC" w:rsidRDefault="00CA34BC">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074BB"/>
    <w:rsid w:val="00010912"/>
    <w:rsid w:val="000125DF"/>
    <w:rsid w:val="00013143"/>
    <w:rsid w:val="000267C8"/>
    <w:rsid w:val="00027885"/>
    <w:rsid w:val="00031022"/>
    <w:rsid w:val="000310BC"/>
    <w:rsid w:val="000336F8"/>
    <w:rsid w:val="00040525"/>
    <w:rsid w:val="00045A71"/>
    <w:rsid w:val="00055769"/>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412CA"/>
    <w:rsid w:val="00143A59"/>
    <w:rsid w:val="0014513C"/>
    <w:rsid w:val="00146E06"/>
    <w:rsid w:val="001508A3"/>
    <w:rsid w:val="00151AFF"/>
    <w:rsid w:val="00151BEC"/>
    <w:rsid w:val="00151C20"/>
    <w:rsid w:val="00151C61"/>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726"/>
    <w:rsid w:val="00214F82"/>
    <w:rsid w:val="00220CB6"/>
    <w:rsid w:val="002237B8"/>
    <w:rsid w:val="002239AA"/>
    <w:rsid w:val="0022650B"/>
    <w:rsid w:val="00227AEF"/>
    <w:rsid w:val="00234B62"/>
    <w:rsid w:val="00237CCE"/>
    <w:rsid w:val="0025196B"/>
    <w:rsid w:val="00261553"/>
    <w:rsid w:val="00270661"/>
    <w:rsid w:val="00272A2E"/>
    <w:rsid w:val="00272EA2"/>
    <w:rsid w:val="00273BD3"/>
    <w:rsid w:val="002741CA"/>
    <w:rsid w:val="00284430"/>
    <w:rsid w:val="002856AB"/>
    <w:rsid w:val="00291471"/>
    <w:rsid w:val="00291AF0"/>
    <w:rsid w:val="002A1234"/>
    <w:rsid w:val="002C3757"/>
    <w:rsid w:val="002C4AAE"/>
    <w:rsid w:val="002C551F"/>
    <w:rsid w:val="002C7DA8"/>
    <w:rsid w:val="002D2505"/>
    <w:rsid w:val="002D776B"/>
    <w:rsid w:val="002E1447"/>
    <w:rsid w:val="002E50E7"/>
    <w:rsid w:val="002E594C"/>
    <w:rsid w:val="002F61B8"/>
    <w:rsid w:val="002F74EE"/>
    <w:rsid w:val="002F759F"/>
    <w:rsid w:val="003110DC"/>
    <w:rsid w:val="003200A3"/>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3B18"/>
    <w:rsid w:val="004149FC"/>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66FB"/>
    <w:rsid w:val="004C7A6A"/>
    <w:rsid w:val="004E7DFB"/>
    <w:rsid w:val="004F231F"/>
    <w:rsid w:val="004F4196"/>
    <w:rsid w:val="004F6997"/>
    <w:rsid w:val="00514B7E"/>
    <w:rsid w:val="00515857"/>
    <w:rsid w:val="00516474"/>
    <w:rsid w:val="00517B90"/>
    <w:rsid w:val="00520157"/>
    <w:rsid w:val="005245D4"/>
    <w:rsid w:val="00534004"/>
    <w:rsid w:val="00537140"/>
    <w:rsid w:val="0054232E"/>
    <w:rsid w:val="0055022E"/>
    <w:rsid w:val="00553D57"/>
    <w:rsid w:val="00572CB7"/>
    <w:rsid w:val="00573B74"/>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4E2F"/>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246C"/>
    <w:rsid w:val="00922E6A"/>
    <w:rsid w:val="00927087"/>
    <w:rsid w:val="00932D5A"/>
    <w:rsid w:val="00937CB1"/>
    <w:rsid w:val="0094620E"/>
    <w:rsid w:val="00952D95"/>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C7876"/>
    <w:rsid w:val="009D3D79"/>
    <w:rsid w:val="009E4EE2"/>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874E5"/>
    <w:rsid w:val="00A91CAE"/>
    <w:rsid w:val="00A923E5"/>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2098B"/>
    <w:rsid w:val="00B2185A"/>
    <w:rsid w:val="00B226EE"/>
    <w:rsid w:val="00B24174"/>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78B2"/>
    <w:rsid w:val="00BB69C8"/>
    <w:rsid w:val="00BB77C1"/>
    <w:rsid w:val="00BC2AEB"/>
    <w:rsid w:val="00BC3830"/>
    <w:rsid w:val="00BC40E5"/>
    <w:rsid w:val="00BD4B9C"/>
    <w:rsid w:val="00BD6B9A"/>
    <w:rsid w:val="00BD7BD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FBB"/>
    <w:rsid w:val="00C939E9"/>
    <w:rsid w:val="00C94390"/>
    <w:rsid w:val="00C945EA"/>
    <w:rsid w:val="00C9509A"/>
    <w:rsid w:val="00CA03D2"/>
    <w:rsid w:val="00CA2A4A"/>
    <w:rsid w:val="00CA34BC"/>
    <w:rsid w:val="00CA4EE1"/>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537C2"/>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36E25"/>
    <w:rsid w:val="00E4026A"/>
    <w:rsid w:val="00E442AF"/>
    <w:rsid w:val="00E5110C"/>
    <w:rsid w:val="00E512BF"/>
    <w:rsid w:val="00E515AD"/>
    <w:rsid w:val="00E54E20"/>
    <w:rsid w:val="00E551BC"/>
    <w:rsid w:val="00E66275"/>
    <w:rsid w:val="00E74BC0"/>
    <w:rsid w:val="00E805CD"/>
    <w:rsid w:val="00E91431"/>
    <w:rsid w:val="00E9164C"/>
    <w:rsid w:val="00EA2272"/>
    <w:rsid w:val="00EA3F31"/>
    <w:rsid w:val="00EB362A"/>
    <w:rsid w:val="00ED2AB6"/>
    <w:rsid w:val="00ED2D4C"/>
    <w:rsid w:val="00EF694A"/>
    <w:rsid w:val="00F06A3A"/>
    <w:rsid w:val="00F076BF"/>
    <w:rsid w:val="00F153A4"/>
    <w:rsid w:val="00F16A5B"/>
    <w:rsid w:val="00F20BB7"/>
    <w:rsid w:val="00F21075"/>
    <w:rsid w:val="00F2138D"/>
    <w:rsid w:val="00F2292E"/>
    <w:rsid w:val="00F267A1"/>
    <w:rsid w:val="00F27B16"/>
    <w:rsid w:val="00F324EC"/>
    <w:rsid w:val="00F408D1"/>
    <w:rsid w:val="00F47DCD"/>
    <w:rsid w:val="00F50A0B"/>
    <w:rsid w:val="00F51470"/>
    <w:rsid w:val="00F52965"/>
    <w:rsid w:val="00F55786"/>
    <w:rsid w:val="00F609C5"/>
    <w:rsid w:val="00F6529D"/>
    <w:rsid w:val="00F669A0"/>
    <w:rsid w:val="00F70F14"/>
    <w:rsid w:val="00F718E5"/>
    <w:rsid w:val="00F81DE9"/>
    <w:rsid w:val="00F92187"/>
    <w:rsid w:val="00F93E06"/>
    <w:rsid w:val="00F9458A"/>
    <w:rsid w:val="00FB1274"/>
    <w:rsid w:val="00FB7CA6"/>
    <w:rsid w:val="00FC3488"/>
    <w:rsid w:val="00FC462B"/>
    <w:rsid w:val="00FC46DA"/>
    <w:rsid w:val="00FC6070"/>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719.do"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www.ipex.eu/IPEXL-WEB/dossier/document/COM20160722.do"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ipex.eu/IPEXL-WEB/dossier/document/COM20160778.do" TargetMode="External" Id="rId10" /><Relationship Type="http://schemas.microsoft.com/office/2007/relationships/stylesWithEffects" Target="stylesWithEffects.xml" Id="rId4" /><Relationship Type="http://schemas.openxmlformats.org/officeDocument/2006/relationships/hyperlink" Target="http://ec.europa.eu/echo/open-public-consultation-interim-evaluation-union-civil-protection-mechanism_en"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2494</ap:Words>
  <ap:Characters>16548</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2016-12-08T09:56:00.0000000Z</dcterms:created>
  <dcterms:modified xsi:type="dcterms:W3CDTF">2016-12-08T10:05:00.0000000Z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