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1C" w:rsidP="00BD2B7F" w:rsidRDefault="003B101C">
      <w:pPr>
        <w:rPr>
          <w:rFonts w:ascii="Verdana" w:hAnsi="Verdana"/>
          <w:b/>
          <w:sz w:val="18"/>
          <w:szCs w:val="18"/>
          <w:lang w:val="nl-NL"/>
        </w:rPr>
      </w:pPr>
      <w:bookmarkStart w:name="_GoBack" w:id="0"/>
      <w:bookmarkEnd w:id="0"/>
      <w:r>
        <w:rPr>
          <w:rFonts w:ascii="Verdana" w:hAnsi="Verdana"/>
          <w:b/>
          <w:sz w:val="18"/>
          <w:szCs w:val="18"/>
          <w:lang w:val="nl-NL"/>
        </w:rPr>
        <w:t>N</w:t>
      </w:r>
      <w:r w:rsidRPr="00B37CC5">
        <w:rPr>
          <w:rFonts w:ascii="Verdana" w:hAnsi="Verdana"/>
          <w:b/>
          <w:sz w:val="18"/>
          <w:szCs w:val="18"/>
          <w:lang w:val="nl-NL"/>
        </w:rPr>
        <w:t>ota Ruimtevaart</w:t>
      </w:r>
      <w:r w:rsidR="003D7823">
        <w:rPr>
          <w:rFonts w:ascii="Verdana" w:hAnsi="Verdana"/>
          <w:b/>
          <w:sz w:val="18"/>
          <w:szCs w:val="18"/>
          <w:lang w:val="nl-NL"/>
        </w:rPr>
        <w:t>beleid</w:t>
      </w:r>
      <w:r w:rsidRPr="00B37CC5">
        <w:rPr>
          <w:rFonts w:ascii="Verdana" w:hAnsi="Verdana"/>
          <w:b/>
          <w:sz w:val="18"/>
          <w:szCs w:val="18"/>
          <w:lang w:val="nl-NL"/>
        </w:rPr>
        <w:t xml:space="preserve"> 2016</w:t>
      </w:r>
    </w:p>
    <w:p w:rsidR="003B101C" w:rsidP="00BD2B7F" w:rsidRDefault="003B101C">
      <w:pPr>
        <w:rPr>
          <w:rFonts w:ascii="Verdana" w:hAnsi="Verdana"/>
          <w:b/>
          <w:sz w:val="18"/>
          <w:szCs w:val="18"/>
          <w:lang w:val="nl-NL"/>
        </w:rPr>
      </w:pPr>
    </w:p>
    <w:p w:rsidRPr="000047FB" w:rsidR="005A56B8" w:rsidP="008816DE" w:rsidRDefault="005A56B8">
      <w:pPr>
        <w:rPr>
          <w:rFonts w:ascii="Verdana" w:hAnsi="Verdana"/>
          <w:b/>
          <w:sz w:val="18"/>
          <w:szCs w:val="18"/>
          <w:lang w:val="nl-NL"/>
        </w:rPr>
      </w:pPr>
    </w:p>
    <w:p w:rsidRPr="000047FB" w:rsidR="003B101C" w:rsidRDefault="00F61646">
      <w:pPr>
        <w:pStyle w:val="Lijstalinea"/>
        <w:numPr>
          <w:ilvl w:val="0"/>
          <w:numId w:val="1"/>
        </w:numPr>
        <w:ind w:left="426" w:hanging="426"/>
        <w:rPr>
          <w:rFonts w:ascii="Verdana" w:hAnsi="Verdana"/>
          <w:sz w:val="18"/>
          <w:szCs w:val="18"/>
          <w:u w:val="single"/>
          <w:lang w:val="nl-NL"/>
        </w:rPr>
      </w:pPr>
      <w:r>
        <w:rPr>
          <w:rFonts w:ascii="Verdana" w:hAnsi="Verdana"/>
          <w:sz w:val="18"/>
          <w:szCs w:val="18"/>
          <w:u w:val="single"/>
          <w:lang w:val="nl-NL"/>
        </w:rPr>
        <w:t>Samenvatting</w:t>
      </w:r>
    </w:p>
    <w:p w:rsidRPr="000047FB" w:rsidR="003B101C" w:rsidRDefault="003B101C">
      <w:pPr>
        <w:ind w:left="426" w:hanging="426"/>
        <w:rPr>
          <w:rFonts w:ascii="Verdana" w:hAnsi="Verdana"/>
          <w:sz w:val="18"/>
          <w:szCs w:val="18"/>
          <w:lang w:val="nl-NL"/>
        </w:rPr>
      </w:pPr>
    </w:p>
    <w:p w:rsidRPr="000047FB" w:rsidR="00787F01" w:rsidP="00460324" w:rsidRDefault="00787F01">
      <w:pPr>
        <w:rPr>
          <w:rFonts w:ascii="Verdana" w:hAnsi="Verdana"/>
          <w:sz w:val="18"/>
          <w:szCs w:val="18"/>
          <w:lang w:val="nl-NL"/>
        </w:rPr>
      </w:pPr>
      <w:r w:rsidRPr="000047FB">
        <w:rPr>
          <w:rFonts w:ascii="Verdana" w:hAnsi="Verdana"/>
          <w:sz w:val="18"/>
          <w:szCs w:val="18"/>
          <w:lang w:val="nl-NL"/>
        </w:rPr>
        <w:t>Ruimtevaart zit in de haarvate</w:t>
      </w:r>
      <w:r w:rsidRPr="000047FB" w:rsidR="007425B1">
        <w:rPr>
          <w:rFonts w:ascii="Verdana" w:hAnsi="Verdana"/>
          <w:sz w:val="18"/>
          <w:szCs w:val="18"/>
          <w:lang w:val="nl-NL"/>
        </w:rPr>
        <w:t>n van onze samenleving:</w:t>
      </w:r>
      <w:r w:rsidRPr="000047FB" w:rsidR="00550D36">
        <w:rPr>
          <w:rFonts w:ascii="Verdana" w:hAnsi="Verdana"/>
          <w:sz w:val="18"/>
          <w:szCs w:val="18"/>
          <w:lang w:val="nl-NL"/>
        </w:rPr>
        <w:t xml:space="preserve"> </w:t>
      </w:r>
      <w:r w:rsidRPr="000047FB">
        <w:rPr>
          <w:rFonts w:ascii="Verdana" w:hAnsi="Verdana"/>
          <w:sz w:val="18"/>
          <w:szCs w:val="18"/>
          <w:lang w:val="nl-NL"/>
        </w:rPr>
        <w:t>mobiel</w:t>
      </w:r>
      <w:r w:rsidRPr="000047FB" w:rsidR="00550D36">
        <w:rPr>
          <w:rFonts w:ascii="Verdana" w:hAnsi="Verdana"/>
          <w:sz w:val="18"/>
          <w:szCs w:val="18"/>
          <w:lang w:val="nl-NL"/>
        </w:rPr>
        <w:t xml:space="preserve"> telefoneren</w:t>
      </w:r>
      <w:r w:rsidRPr="000047FB">
        <w:rPr>
          <w:rFonts w:ascii="Verdana" w:hAnsi="Verdana"/>
          <w:sz w:val="18"/>
          <w:szCs w:val="18"/>
          <w:lang w:val="nl-NL"/>
        </w:rPr>
        <w:t>, navigeren in de auto,</w:t>
      </w:r>
      <w:r w:rsidRPr="000047FB" w:rsidR="00BC34E6">
        <w:rPr>
          <w:rFonts w:ascii="Verdana" w:hAnsi="Verdana"/>
          <w:sz w:val="18"/>
          <w:szCs w:val="18"/>
          <w:lang w:val="nl-NL"/>
        </w:rPr>
        <w:t xml:space="preserve"> </w:t>
      </w:r>
      <w:r w:rsidR="00282D2F">
        <w:rPr>
          <w:rFonts w:ascii="Verdana" w:hAnsi="Verdana"/>
          <w:sz w:val="18"/>
          <w:szCs w:val="18"/>
          <w:lang w:val="nl-NL"/>
        </w:rPr>
        <w:t>geld opnemen,</w:t>
      </w:r>
      <w:r w:rsidRPr="000047FB" w:rsidR="00BC34E6">
        <w:rPr>
          <w:rFonts w:ascii="Verdana" w:hAnsi="Verdana"/>
          <w:sz w:val="18"/>
          <w:szCs w:val="18"/>
          <w:lang w:val="nl-NL"/>
        </w:rPr>
        <w:t xml:space="preserve"> internetapplicaties</w:t>
      </w:r>
      <w:r w:rsidR="00460324">
        <w:rPr>
          <w:rFonts w:ascii="Verdana" w:hAnsi="Verdana"/>
          <w:sz w:val="18"/>
          <w:szCs w:val="18"/>
          <w:lang w:val="nl-NL"/>
        </w:rPr>
        <w:t xml:space="preserve"> downloaden</w:t>
      </w:r>
      <w:r w:rsidRPr="000047FB" w:rsidR="00BC34E6">
        <w:rPr>
          <w:rFonts w:ascii="Verdana" w:hAnsi="Verdana"/>
          <w:sz w:val="18"/>
          <w:szCs w:val="18"/>
          <w:lang w:val="nl-NL"/>
        </w:rPr>
        <w:t>,</w:t>
      </w:r>
      <w:r w:rsidRPr="000047FB">
        <w:rPr>
          <w:rFonts w:ascii="Verdana" w:hAnsi="Verdana"/>
          <w:sz w:val="18"/>
          <w:szCs w:val="18"/>
          <w:lang w:val="nl-NL"/>
        </w:rPr>
        <w:t xml:space="preserve"> televisie kijken, de weersverwach</w:t>
      </w:r>
      <w:r w:rsidRPr="000047FB" w:rsidR="002175A2">
        <w:rPr>
          <w:rFonts w:ascii="Verdana" w:hAnsi="Verdana"/>
          <w:sz w:val="18"/>
          <w:szCs w:val="18"/>
          <w:lang w:val="nl-NL"/>
        </w:rPr>
        <w:t>ting volgen,</w:t>
      </w:r>
      <w:r w:rsidRPr="000047FB" w:rsidR="00D908C3">
        <w:rPr>
          <w:rFonts w:ascii="Verdana" w:hAnsi="Verdana"/>
          <w:sz w:val="18"/>
          <w:szCs w:val="18"/>
          <w:lang w:val="nl-NL"/>
        </w:rPr>
        <w:t xml:space="preserve"> </w:t>
      </w:r>
      <w:r w:rsidRPr="000047FB" w:rsidR="00820937">
        <w:rPr>
          <w:rFonts w:ascii="Verdana" w:hAnsi="Verdana"/>
          <w:sz w:val="18"/>
          <w:szCs w:val="18"/>
          <w:lang w:val="nl-NL"/>
        </w:rPr>
        <w:t xml:space="preserve">milieu-indicatoren monitoren, </w:t>
      </w:r>
      <w:r w:rsidRPr="000047FB" w:rsidR="002175A2">
        <w:rPr>
          <w:rFonts w:ascii="Verdana" w:hAnsi="Verdana"/>
          <w:sz w:val="18"/>
          <w:szCs w:val="18"/>
          <w:lang w:val="nl-NL"/>
        </w:rPr>
        <w:t xml:space="preserve">contacten </w:t>
      </w:r>
      <w:r w:rsidRPr="000047FB" w:rsidR="00820937">
        <w:rPr>
          <w:rFonts w:ascii="Verdana" w:hAnsi="Verdana"/>
          <w:sz w:val="18"/>
          <w:szCs w:val="18"/>
          <w:lang w:val="nl-NL"/>
        </w:rPr>
        <w:t xml:space="preserve">onderhouden </w:t>
      </w:r>
      <w:r w:rsidRPr="000047FB" w:rsidR="002175A2">
        <w:rPr>
          <w:rFonts w:ascii="Verdana" w:hAnsi="Verdana"/>
          <w:sz w:val="18"/>
          <w:szCs w:val="18"/>
          <w:lang w:val="nl-NL"/>
        </w:rPr>
        <w:t>met veiligheid</w:t>
      </w:r>
      <w:r w:rsidRPr="000047FB" w:rsidR="00705B10">
        <w:rPr>
          <w:rFonts w:ascii="Verdana" w:hAnsi="Verdana"/>
          <w:sz w:val="18"/>
          <w:szCs w:val="18"/>
          <w:lang w:val="nl-NL"/>
        </w:rPr>
        <w:t xml:space="preserve">smissies elders op de wereld, </w:t>
      </w:r>
      <w:r w:rsidRPr="000047FB" w:rsidR="002175A2">
        <w:rPr>
          <w:rFonts w:ascii="Verdana" w:hAnsi="Verdana"/>
          <w:sz w:val="18"/>
          <w:szCs w:val="18"/>
          <w:lang w:val="nl-NL"/>
        </w:rPr>
        <w:t>terroristische activiteiten</w:t>
      </w:r>
      <w:r w:rsidRPr="000047FB" w:rsidR="00550D36">
        <w:rPr>
          <w:rFonts w:ascii="Verdana" w:hAnsi="Verdana"/>
          <w:sz w:val="18"/>
          <w:szCs w:val="18"/>
          <w:lang w:val="nl-NL"/>
        </w:rPr>
        <w:t xml:space="preserve"> voorkomen/tegengaan</w:t>
      </w:r>
      <w:r w:rsidRPr="000047FB" w:rsidR="00705B10">
        <w:rPr>
          <w:rFonts w:ascii="Verdana" w:hAnsi="Verdana"/>
          <w:sz w:val="18"/>
          <w:szCs w:val="18"/>
          <w:lang w:val="nl-NL"/>
        </w:rPr>
        <w:t xml:space="preserve">, </w:t>
      </w:r>
      <w:r w:rsidRPr="000047FB" w:rsidR="003D5A77">
        <w:rPr>
          <w:rFonts w:ascii="Verdana" w:hAnsi="Verdana"/>
          <w:sz w:val="18"/>
          <w:szCs w:val="18"/>
          <w:lang w:val="nl-NL"/>
        </w:rPr>
        <w:t>of</w:t>
      </w:r>
      <w:r w:rsidRPr="000047FB" w:rsidR="008E4DD6">
        <w:rPr>
          <w:rFonts w:ascii="Verdana" w:hAnsi="Verdana"/>
          <w:sz w:val="18"/>
          <w:szCs w:val="18"/>
          <w:lang w:val="nl-NL"/>
        </w:rPr>
        <w:t xml:space="preserve"> ontwikkelingsl</w:t>
      </w:r>
      <w:r w:rsidRPr="000047FB" w:rsidR="007425B1">
        <w:rPr>
          <w:rFonts w:ascii="Verdana" w:hAnsi="Verdana"/>
          <w:sz w:val="18"/>
          <w:szCs w:val="18"/>
          <w:lang w:val="nl-NL"/>
        </w:rPr>
        <w:t>anden helpen met hun landbouw en</w:t>
      </w:r>
      <w:r w:rsidRPr="000047FB" w:rsidR="008E4DD6">
        <w:rPr>
          <w:rFonts w:ascii="Verdana" w:hAnsi="Verdana"/>
          <w:sz w:val="18"/>
          <w:szCs w:val="18"/>
          <w:lang w:val="nl-NL"/>
        </w:rPr>
        <w:t xml:space="preserve"> wate</w:t>
      </w:r>
      <w:r w:rsidRPr="000047FB" w:rsidR="007425B1">
        <w:rPr>
          <w:rFonts w:ascii="Verdana" w:hAnsi="Verdana"/>
          <w:sz w:val="18"/>
          <w:szCs w:val="18"/>
          <w:lang w:val="nl-NL"/>
        </w:rPr>
        <w:t>rhuishouding. D</w:t>
      </w:r>
      <w:r w:rsidRPr="000047FB" w:rsidR="00820937">
        <w:rPr>
          <w:rFonts w:ascii="Verdana" w:hAnsi="Verdana"/>
          <w:sz w:val="18"/>
          <w:szCs w:val="18"/>
          <w:lang w:val="nl-NL"/>
        </w:rPr>
        <w:t xml:space="preserve">at </w:t>
      </w:r>
      <w:r w:rsidRPr="000047FB" w:rsidR="00705B10">
        <w:rPr>
          <w:rFonts w:ascii="Verdana" w:hAnsi="Verdana"/>
          <w:sz w:val="18"/>
          <w:szCs w:val="18"/>
          <w:lang w:val="nl-NL"/>
        </w:rPr>
        <w:t xml:space="preserve">alles </w:t>
      </w:r>
      <w:r w:rsidRPr="000047FB" w:rsidR="00FF4461">
        <w:rPr>
          <w:rFonts w:ascii="Verdana" w:hAnsi="Verdana"/>
          <w:sz w:val="18"/>
          <w:szCs w:val="18"/>
          <w:lang w:val="nl-NL"/>
        </w:rPr>
        <w:t xml:space="preserve">en </w:t>
      </w:r>
      <w:r w:rsidRPr="000047FB" w:rsidR="00BC34E6">
        <w:rPr>
          <w:rFonts w:ascii="Verdana" w:hAnsi="Verdana"/>
          <w:sz w:val="18"/>
          <w:szCs w:val="18"/>
          <w:lang w:val="nl-NL"/>
        </w:rPr>
        <w:t xml:space="preserve">veel meer </w:t>
      </w:r>
      <w:r w:rsidRPr="000047FB" w:rsidR="00820937">
        <w:rPr>
          <w:rFonts w:ascii="Verdana" w:hAnsi="Verdana"/>
          <w:sz w:val="18"/>
          <w:szCs w:val="18"/>
          <w:lang w:val="nl-NL"/>
        </w:rPr>
        <w:t>is mogelijk dankzij</w:t>
      </w:r>
      <w:r w:rsidRPr="000047FB" w:rsidR="00BC34E6">
        <w:rPr>
          <w:rFonts w:ascii="Verdana" w:hAnsi="Verdana"/>
          <w:sz w:val="18"/>
          <w:szCs w:val="18"/>
          <w:lang w:val="nl-NL"/>
        </w:rPr>
        <w:t xml:space="preserve"> de</w:t>
      </w:r>
      <w:r w:rsidRPr="000047FB" w:rsidR="00820937">
        <w:rPr>
          <w:rFonts w:ascii="Verdana" w:hAnsi="Verdana"/>
          <w:sz w:val="18"/>
          <w:szCs w:val="18"/>
          <w:lang w:val="nl-NL"/>
        </w:rPr>
        <w:t xml:space="preserve"> </w:t>
      </w:r>
      <w:r w:rsidRPr="000047FB" w:rsidR="00705B10">
        <w:rPr>
          <w:rFonts w:ascii="Verdana" w:hAnsi="Verdana"/>
          <w:sz w:val="18"/>
          <w:szCs w:val="18"/>
          <w:lang w:val="nl-NL"/>
        </w:rPr>
        <w:t>ruimtevaart</w:t>
      </w:r>
      <w:r w:rsidRPr="000047FB">
        <w:rPr>
          <w:rFonts w:ascii="Verdana" w:hAnsi="Verdana"/>
          <w:sz w:val="18"/>
          <w:szCs w:val="18"/>
          <w:lang w:val="nl-NL"/>
        </w:rPr>
        <w:t>.</w:t>
      </w:r>
    </w:p>
    <w:p w:rsidR="00AA04EA" w:rsidP="008816DE" w:rsidRDefault="00AA04EA">
      <w:pPr>
        <w:ind w:left="426"/>
        <w:rPr>
          <w:rFonts w:ascii="Verdana" w:hAnsi="Verdana"/>
          <w:sz w:val="18"/>
          <w:szCs w:val="18"/>
          <w:lang w:val="nl-NL"/>
        </w:rPr>
      </w:pPr>
    </w:p>
    <w:p w:rsidR="00F07F5B" w:rsidP="00460324" w:rsidRDefault="00AA04EA">
      <w:pPr>
        <w:rPr>
          <w:rFonts w:ascii="Verdana" w:hAnsi="Verdana"/>
          <w:sz w:val="18"/>
          <w:szCs w:val="18"/>
          <w:lang w:val="nl-NL"/>
        </w:rPr>
      </w:pPr>
      <w:r w:rsidRPr="000047FB">
        <w:rPr>
          <w:rFonts w:ascii="Verdana" w:hAnsi="Verdana"/>
          <w:sz w:val="18"/>
          <w:szCs w:val="18"/>
          <w:lang w:val="nl-NL"/>
        </w:rPr>
        <w:t xml:space="preserve">De komende jaren zal het </w:t>
      </w:r>
      <w:r w:rsidR="00282D2F">
        <w:rPr>
          <w:rFonts w:ascii="Verdana" w:hAnsi="Verdana"/>
          <w:sz w:val="18"/>
          <w:szCs w:val="18"/>
          <w:lang w:val="nl-NL"/>
        </w:rPr>
        <w:t xml:space="preserve">belang van ruimtevaart nog </w:t>
      </w:r>
      <w:r w:rsidRPr="000047FB">
        <w:rPr>
          <w:rFonts w:ascii="Verdana" w:hAnsi="Verdana"/>
          <w:sz w:val="18"/>
          <w:szCs w:val="18"/>
          <w:lang w:val="nl-NL"/>
        </w:rPr>
        <w:t>verder toenemen. De Europese Unie (EU) en het Europese Ruimtevaart Agentschap (ESA) hebben het afgelopen decennium veel gemeenschapsgelden geïnvesteerd in de opbouw van een ruimte-infrastructuur. Het Europese navigatieprogramma Galileo wordt vanaf 2017 geleidelijk operationeel. Het aardobservatie</w:t>
      </w:r>
      <w:r w:rsidR="00282D2F">
        <w:rPr>
          <w:rFonts w:ascii="Verdana" w:hAnsi="Verdana"/>
          <w:sz w:val="18"/>
          <w:szCs w:val="18"/>
          <w:lang w:val="nl-NL"/>
        </w:rPr>
        <w:t>-</w:t>
      </w:r>
      <w:r w:rsidRPr="000047FB">
        <w:rPr>
          <w:rFonts w:ascii="Verdana" w:hAnsi="Verdana"/>
          <w:sz w:val="18"/>
          <w:szCs w:val="18"/>
          <w:lang w:val="nl-NL"/>
        </w:rPr>
        <w:t xml:space="preserve">programma Copernicus resulteert nu al in een continue stroom van satellietdata en –beelden. </w:t>
      </w:r>
    </w:p>
    <w:p w:rsidRPr="000047FB" w:rsidR="00AA04EA" w:rsidP="00460324" w:rsidRDefault="00AA04EA">
      <w:pPr>
        <w:rPr>
          <w:rFonts w:ascii="Verdana" w:hAnsi="Verdana"/>
          <w:sz w:val="18"/>
          <w:szCs w:val="18"/>
          <w:lang w:val="nl-NL"/>
        </w:rPr>
      </w:pPr>
      <w:r w:rsidRPr="000047FB">
        <w:rPr>
          <w:rFonts w:ascii="Verdana" w:hAnsi="Verdana"/>
          <w:sz w:val="18"/>
          <w:szCs w:val="18"/>
          <w:lang w:val="nl-NL"/>
        </w:rPr>
        <w:t>EU</w:t>
      </w:r>
      <w:r w:rsidR="00F07F5B">
        <w:rPr>
          <w:rFonts w:ascii="Verdana" w:hAnsi="Verdana"/>
          <w:sz w:val="18"/>
          <w:szCs w:val="18"/>
          <w:lang w:val="nl-NL"/>
        </w:rPr>
        <w:t>- en ESA-missies genereren</w:t>
      </w:r>
      <w:r w:rsidRPr="000047FB">
        <w:rPr>
          <w:rFonts w:ascii="Verdana" w:hAnsi="Verdana"/>
          <w:sz w:val="18"/>
          <w:szCs w:val="18"/>
          <w:lang w:val="nl-NL"/>
        </w:rPr>
        <w:t xml:space="preserve"> elke dag 10 Terabytes aan nieuwe data! Dat is per dag evenveel als er </w:t>
      </w:r>
      <w:r w:rsidR="00282D2F">
        <w:rPr>
          <w:rFonts w:ascii="Verdana" w:hAnsi="Verdana"/>
          <w:sz w:val="18"/>
          <w:szCs w:val="18"/>
          <w:lang w:val="nl-NL"/>
        </w:rPr>
        <w:t xml:space="preserve">in totaal </w:t>
      </w:r>
      <w:r w:rsidRPr="000047FB">
        <w:rPr>
          <w:rFonts w:ascii="Verdana" w:hAnsi="Verdana"/>
          <w:sz w:val="18"/>
          <w:szCs w:val="18"/>
          <w:lang w:val="nl-NL"/>
        </w:rPr>
        <w:t xml:space="preserve">aan informatie voorhanden is in de bibliotheek van het VS-Congres, de grootste ter wereld. Deze data bieden tal van nieuwe kansen voor de </w:t>
      </w:r>
      <w:r>
        <w:rPr>
          <w:rFonts w:ascii="Verdana" w:hAnsi="Verdana"/>
          <w:sz w:val="18"/>
          <w:szCs w:val="18"/>
          <w:lang w:val="nl-NL"/>
        </w:rPr>
        <w:t>overheden, kennisinstellingen en bedrijfsleven</w:t>
      </w:r>
      <w:r w:rsidRPr="000047FB">
        <w:rPr>
          <w:rFonts w:ascii="Verdana" w:hAnsi="Verdana"/>
          <w:sz w:val="18"/>
          <w:szCs w:val="18"/>
          <w:lang w:val="nl-NL"/>
        </w:rPr>
        <w:t xml:space="preserve">. </w:t>
      </w:r>
    </w:p>
    <w:p w:rsidRPr="000047FB" w:rsidR="002175A2" w:rsidP="008816DE" w:rsidRDefault="002175A2">
      <w:pPr>
        <w:ind w:left="426"/>
        <w:rPr>
          <w:rFonts w:ascii="Verdana" w:hAnsi="Verdana"/>
          <w:sz w:val="18"/>
          <w:szCs w:val="18"/>
          <w:lang w:val="nl-NL"/>
        </w:rPr>
      </w:pPr>
    </w:p>
    <w:p w:rsidR="00F61646" w:rsidP="00460324" w:rsidRDefault="00F61646">
      <w:pPr>
        <w:rPr>
          <w:rFonts w:ascii="Verdana" w:hAnsi="Verdana"/>
          <w:sz w:val="18"/>
          <w:szCs w:val="18"/>
          <w:lang w:val="nl-NL"/>
        </w:rPr>
      </w:pPr>
      <w:r>
        <w:rPr>
          <w:rFonts w:ascii="Verdana" w:hAnsi="Verdana"/>
          <w:sz w:val="18"/>
          <w:szCs w:val="18"/>
          <w:lang w:val="nl-NL"/>
        </w:rPr>
        <w:t>Het ruimtevaartbeleid voor de jaren 2014-2020 is aan uw Kame</w:t>
      </w:r>
      <w:r w:rsidR="005343A5">
        <w:rPr>
          <w:rFonts w:ascii="Verdana" w:hAnsi="Verdana"/>
          <w:sz w:val="18"/>
          <w:szCs w:val="18"/>
          <w:lang w:val="nl-NL"/>
        </w:rPr>
        <w:t>r voorgelegd in de nota (TK 2013-2014</w:t>
      </w:r>
      <w:r>
        <w:rPr>
          <w:rFonts w:ascii="Verdana" w:hAnsi="Verdana"/>
          <w:sz w:val="18"/>
          <w:szCs w:val="18"/>
          <w:lang w:val="nl-NL"/>
        </w:rPr>
        <w:t xml:space="preserve">, 24446, nr. 55) die u op 11 september 2014 is aangeboden. De nu voorliggende nota is een actualisatie van de nota uit 2014. In het navolgende wordt onder andere gerapporteerd over het Nederlandse EU-voorzitterschap, over een recent afgeronde </w:t>
      </w:r>
      <w:r w:rsidR="008C1D4A">
        <w:rPr>
          <w:rFonts w:ascii="Verdana" w:hAnsi="Verdana"/>
          <w:sz w:val="18"/>
          <w:szCs w:val="18"/>
          <w:lang w:val="nl-NL"/>
        </w:rPr>
        <w:t>“</w:t>
      </w:r>
      <w:r>
        <w:rPr>
          <w:rFonts w:ascii="Verdana" w:hAnsi="Verdana"/>
          <w:sz w:val="18"/>
          <w:szCs w:val="18"/>
          <w:lang w:val="nl-NL"/>
        </w:rPr>
        <w:t>Verkenning naar de kosten en baten van ruimtevaart en het ruimtevaartbeleid</w:t>
      </w:r>
      <w:r w:rsidR="008C1D4A">
        <w:rPr>
          <w:rFonts w:ascii="Verdana" w:hAnsi="Verdana"/>
          <w:sz w:val="18"/>
          <w:szCs w:val="18"/>
          <w:lang w:val="nl-NL"/>
        </w:rPr>
        <w:t>”</w:t>
      </w:r>
      <w:r>
        <w:rPr>
          <w:rFonts w:ascii="Verdana" w:hAnsi="Verdana"/>
          <w:sz w:val="18"/>
          <w:szCs w:val="18"/>
          <w:lang w:val="nl-NL"/>
        </w:rPr>
        <w:t>, alsmede over ontwikkelingen sinds 2014.</w:t>
      </w:r>
    </w:p>
    <w:p w:rsidR="00F61646" w:rsidP="00460324" w:rsidRDefault="00F61646">
      <w:pPr>
        <w:rPr>
          <w:rFonts w:ascii="Verdana" w:hAnsi="Verdana"/>
          <w:sz w:val="18"/>
          <w:szCs w:val="18"/>
          <w:lang w:val="nl-NL"/>
        </w:rPr>
      </w:pPr>
      <w:r>
        <w:rPr>
          <w:rFonts w:ascii="Verdana" w:hAnsi="Verdana"/>
          <w:sz w:val="18"/>
          <w:szCs w:val="18"/>
          <w:lang w:val="nl-NL"/>
        </w:rPr>
        <w:t>De</w:t>
      </w:r>
      <w:r w:rsidR="000F4E5F">
        <w:rPr>
          <w:rFonts w:ascii="Verdana" w:hAnsi="Verdana"/>
          <w:sz w:val="18"/>
          <w:szCs w:val="18"/>
          <w:lang w:val="nl-NL"/>
        </w:rPr>
        <w:t xml:space="preserve"> huidige</w:t>
      </w:r>
      <w:r>
        <w:rPr>
          <w:rFonts w:ascii="Verdana" w:hAnsi="Verdana"/>
          <w:sz w:val="18"/>
          <w:szCs w:val="18"/>
          <w:lang w:val="nl-NL"/>
        </w:rPr>
        <w:t xml:space="preserve"> nota bevat tevens </w:t>
      </w:r>
      <w:r w:rsidR="00F47557">
        <w:rPr>
          <w:rFonts w:ascii="Verdana" w:hAnsi="Verdana"/>
          <w:sz w:val="18"/>
          <w:szCs w:val="18"/>
          <w:lang w:val="nl-NL"/>
        </w:rPr>
        <w:t xml:space="preserve">informatie over de voortgang op </w:t>
      </w:r>
      <w:r>
        <w:rPr>
          <w:rFonts w:ascii="Verdana" w:hAnsi="Verdana"/>
          <w:sz w:val="18"/>
          <w:szCs w:val="18"/>
          <w:lang w:val="nl-NL"/>
        </w:rPr>
        <w:t>een aantal beleidsvoornemens en de inzet</w:t>
      </w:r>
      <w:r w:rsidR="00EC1C34">
        <w:rPr>
          <w:rFonts w:ascii="Verdana" w:hAnsi="Verdana"/>
          <w:sz w:val="18"/>
          <w:szCs w:val="18"/>
          <w:lang w:val="nl-NL"/>
        </w:rPr>
        <w:t xml:space="preserve"> voor de Nederlandse delegatie tijdens</w:t>
      </w:r>
      <w:r>
        <w:rPr>
          <w:rFonts w:ascii="Verdana" w:hAnsi="Verdana"/>
          <w:sz w:val="18"/>
          <w:szCs w:val="18"/>
          <w:lang w:val="nl-NL"/>
        </w:rPr>
        <w:t xml:space="preserve"> de ESA-Ministersconferentie van 1 en 2 december 2016 te Luzern (Zwitserland).</w:t>
      </w:r>
    </w:p>
    <w:p w:rsidR="000F4E5F" w:rsidP="00460324" w:rsidRDefault="00282D2F">
      <w:pPr>
        <w:rPr>
          <w:rFonts w:ascii="Verdana" w:hAnsi="Verdana"/>
          <w:sz w:val="18"/>
          <w:szCs w:val="18"/>
          <w:lang w:val="nl-NL"/>
        </w:rPr>
      </w:pPr>
      <w:r>
        <w:rPr>
          <w:rFonts w:ascii="Verdana" w:hAnsi="Verdana"/>
          <w:sz w:val="18"/>
          <w:szCs w:val="18"/>
          <w:lang w:val="nl-NL"/>
        </w:rPr>
        <w:t xml:space="preserve">De beleidsvoornemens betreffen </w:t>
      </w:r>
      <w:r w:rsidR="000F4E5F">
        <w:rPr>
          <w:rFonts w:ascii="Verdana" w:hAnsi="Verdana"/>
          <w:sz w:val="18"/>
          <w:szCs w:val="18"/>
          <w:lang w:val="nl-NL"/>
        </w:rPr>
        <w:t xml:space="preserve">onder andere de </w:t>
      </w:r>
      <w:r w:rsidR="00F47557">
        <w:rPr>
          <w:rFonts w:ascii="Verdana" w:hAnsi="Verdana"/>
          <w:sz w:val="18"/>
          <w:szCs w:val="18"/>
          <w:lang w:val="nl-NL"/>
        </w:rPr>
        <w:t xml:space="preserve">verdere </w:t>
      </w:r>
      <w:r w:rsidR="000F4E5F">
        <w:rPr>
          <w:rFonts w:ascii="Verdana" w:hAnsi="Verdana"/>
          <w:sz w:val="18"/>
          <w:szCs w:val="18"/>
          <w:lang w:val="nl-NL"/>
        </w:rPr>
        <w:t xml:space="preserve">inzet om overheden </w:t>
      </w:r>
      <w:r>
        <w:rPr>
          <w:rFonts w:ascii="Verdana" w:hAnsi="Verdana"/>
          <w:sz w:val="18"/>
          <w:szCs w:val="18"/>
          <w:lang w:val="nl-NL"/>
        </w:rPr>
        <w:t xml:space="preserve">beter </w:t>
      </w:r>
      <w:r w:rsidR="000F4E5F">
        <w:rPr>
          <w:rFonts w:ascii="Verdana" w:hAnsi="Verdana"/>
          <w:sz w:val="18"/>
          <w:szCs w:val="18"/>
          <w:lang w:val="nl-NL"/>
        </w:rPr>
        <w:t>bekend te maken met de kansen die satellietdata bieden om hun bedrijfsprocessen doelmatiger en goe</w:t>
      </w:r>
      <w:r w:rsidR="00F47557">
        <w:rPr>
          <w:rFonts w:ascii="Verdana" w:hAnsi="Verdana"/>
          <w:sz w:val="18"/>
          <w:szCs w:val="18"/>
          <w:lang w:val="nl-NL"/>
        </w:rPr>
        <w:t>dkoper te organiseren. De t</w:t>
      </w:r>
      <w:r w:rsidR="000F4E5F">
        <w:rPr>
          <w:rFonts w:ascii="Verdana" w:hAnsi="Verdana"/>
          <w:sz w:val="18"/>
          <w:szCs w:val="18"/>
          <w:lang w:val="nl-NL"/>
        </w:rPr>
        <w:t>weede hoofdlijn is om de kansen voor het bedrijfsleven verder te versterken door een verbeterde koppeling tot stand te brengen t</w:t>
      </w:r>
      <w:r>
        <w:rPr>
          <w:rFonts w:ascii="Verdana" w:hAnsi="Verdana"/>
          <w:sz w:val="18"/>
          <w:szCs w:val="18"/>
          <w:lang w:val="nl-NL"/>
        </w:rPr>
        <w:t>ussen de vraag naar ruimtevaart</w:t>
      </w:r>
      <w:r w:rsidR="000F4E5F">
        <w:rPr>
          <w:rFonts w:ascii="Verdana" w:hAnsi="Verdana"/>
          <w:sz w:val="18"/>
          <w:szCs w:val="18"/>
          <w:lang w:val="nl-NL"/>
        </w:rPr>
        <w:t>diensten en de kennis en kunde van het Nederlandse bedrijfsleven en de kennisinstellingen.</w:t>
      </w:r>
    </w:p>
    <w:p w:rsidR="000F4E5F" w:rsidP="008816DE" w:rsidRDefault="000F4E5F">
      <w:pPr>
        <w:ind w:left="426"/>
        <w:rPr>
          <w:rFonts w:ascii="Verdana" w:hAnsi="Verdana"/>
          <w:sz w:val="18"/>
          <w:szCs w:val="18"/>
          <w:lang w:val="nl-NL"/>
        </w:rPr>
      </w:pPr>
    </w:p>
    <w:p w:rsidRPr="000047FB" w:rsidR="00AA04EA" w:rsidP="00460324" w:rsidRDefault="00282D2F">
      <w:pPr>
        <w:rPr>
          <w:rFonts w:ascii="Verdana" w:hAnsi="Verdana"/>
          <w:sz w:val="18"/>
          <w:szCs w:val="18"/>
          <w:lang w:val="nl-NL"/>
        </w:rPr>
      </w:pPr>
      <w:r>
        <w:rPr>
          <w:rFonts w:ascii="Verdana" w:hAnsi="Verdana"/>
          <w:sz w:val="18"/>
          <w:szCs w:val="18"/>
          <w:lang w:val="nl-NL"/>
        </w:rPr>
        <w:t>Op 26</w:t>
      </w:r>
      <w:r w:rsidR="00AA04EA">
        <w:rPr>
          <w:rFonts w:ascii="Verdana" w:hAnsi="Verdana"/>
          <w:sz w:val="18"/>
          <w:szCs w:val="18"/>
          <w:lang w:val="nl-NL"/>
        </w:rPr>
        <w:t xml:space="preserve"> oktober 2016</w:t>
      </w:r>
      <w:r>
        <w:rPr>
          <w:rFonts w:ascii="Verdana" w:hAnsi="Verdana"/>
          <w:sz w:val="18"/>
          <w:szCs w:val="18"/>
          <w:lang w:val="nl-NL"/>
        </w:rPr>
        <w:t xml:space="preserve"> is</w:t>
      </w:r>
      <w:r w:rsidRPr="000047FB" w:rsidR="00AA04EA">
        <w:rPr>
          <w:rFonts w:ascii="Verdana" w:hAnsi="Verdana"/>
          <w:sz w:val="18"/>
          <w:szCs w:val="18"/>
          <w:lang w:val="nl-NL"/>
        </w:rPr>
        <w:t xml:space="preserve"> de Europese Commissie met een nieuwe </w:t>
      </w:r>
      <w:r w:rsidR="004B2598">
        <w:rPr>
          <w:rFonts w:ascii="Verdana" w:hAnsi="Verdana"/>
          <w:sz w:val="18"/>
          <w:szCs w:val="18"/>
          <w:lang w:val="nl-NL"/>
        </w:rPr>
        <w:t>ruimtevaartstrategie voor de EU</w:t>
      </w:r>
      <w:r>
        <w:rPr>
          <w:rFonts w:ascii="Verdana" w:hAnsi="Verdana"/>
          <w:sz w:val="18"/>
          <w:szCs w:val="18"/>
          <w:lang w:val="nl-NL"/>
        </w:rPr>
        <w:t xml:space="preserve"> gekomen</w:t>
      </w:r>
      <w:r w:rsidR="004B2598">
        <w:rPr>
          <w:rFonts w:ascii="Verdana" w:hAnsi="Verdana"/>
          <w:sz w:val="18"/>
          <w:szCs w:val="18"/>
          <w:lang w:val="nl-NL"/>
        </w:rPr>
        <w:t>. D</w:t>
      </w:r>
      <w:r w:rsidRPr="000047FB" w:rsidR="00AA04EA">
        <w:rPr>
          <w:rFonts w:ascii="Verdana" w:hAnsi="Verdana"/>
          <w:sz w:val="18"/>
          <w:szCs w:val="18"/>
          <w:lang w:val="nl-NL"/>
        </w:rPr>
        <w:t>eze zal tijdens de Raad van Concurrentievermogen op 29 november 2016 door de EU-lidstaten besproken worden. Tijdens het Nederlandse EU-voorzitterschap in het voorjaar van 2016 is uitvoerig aandacht geschonken</w:t>
      </w:r>
      <w:r w:rsidR="00AA04EA">
        <w:rPr>
          <w:rFonts w:ascii="Verdana" w:hAnsi="Verdana"/>
          <w:sz w:val="18"/>
          <w:szCs w:val="18"/>
          <w:lang w:val="nl-NL"/>
        </w:rPr>
        <w:t xml:space="preserve"> aan de voorbereiding </w:t>
      </w:r>
      <w:r w:rsidRPr="000047FB" w:rsidR="00AA04EA">
        <w:rPr>
          <w:rFonts w:ascii="Verdana" w:hAnsi="Verdana"/>
          <w:sz w:val="18"/>
          <w:szCs w:val="18"/>
          <w:lang w:val="nl-NL"/>
        </w:rPr>
        <w:t>van</w:t>
      </w:r>
      <w:r w:rsidR="00AA04EA">
        <w:rPr>
          <w:rFonts w:ascii="Verdana" w:hAnsi="Verdana"/>
          <w:sz w:val="18"/>
          <w:szCs w:val="18"/>
          <w:lang w:val="nl-NL"/>
        </w:rPr>
        <w:t xml:space="preserve"> deze strategie</w:t>
      </w:r>
      <w:r w:rsidRPr="000047FB" w:rsidR="00AA04EA">
        <w:rPr>
          <w:rFonts w:ascii="Verdana" w:hAnsi="Verdana"/>
          <w:sz w:val="18"/>
          <w:szCs w:val="18"/>
          <w:lang w:val="nl-NL"/>
        </w:rPr>
        <w:t>.</w:t>
      </w:r>
    </w:p>
    <w:p w:rsidR="00F61646" w:rsidP="008816DE" w:rsidRDefault="00F61646">
      <w:pPr>
        <w:ind w:left="426"/>
        <w:rPr>
          <w:rFonts w:ascii="Verdana" w:hAnsi="Verdana"/>
          <w:sz w:val="18"/>
          <w:szCs w:val="18"/>
          <w:lang w:val="nl-NL"/>
        </w:rPr>
      </w:pPr>
    </w:p>
    <w:p w:rsidR="005A56B8" w:rsidP="00BD2B7F" w:rsidRDefault="005A56B8">
      <w:pPr>
        <w:ind w:left="426"/>
        <w:rPr>
          <w:rFonts w:ascii="Verdana" w:hAnsi="Verdana"/>
          <w:sz w:val="18"/>
          <w:szCs w:val="18"/>
          <w:lang w:val="nl-NL"/>
        </w:rPr>
      </w:pPr>
    </w:p>
    <w:p w:rsidRPr="000047FB" w:rsidR="008A6C27" w:rsidP="008816DE" w:rsidRDefault="008A6C27">
      <w:pPr>
        <w:pStyle w:val="Lijstalinea"/>
        <w:numPr>
          <w:ilvl w:val="0"/>
          <w:numId w:val="1"/>
        </w:numPr>
        <w:ind w:left="426" w:hanging="426"/>
        <w:rPr>
          <w:rFonts w:ascii="Verdana" w:hAnsi="Verdana"/>
          <w:sz w:val="18"/>
          <w:szCs w:val="18"/>
          <w:u w:val="single"/>
          <w:lang w:val="nl-NL"/>
        </w:rPr>
      </w:pPr>
      <w:r w:rsidRPr="000047FB">
        <w:rPr>
          <w:rFonts w:ascii="Verdana" w:hAnsi="Verdana"/>
          <w:sz w:val="18"/>
          <w:szCs w:val="18"/>
          <w:u w:val="single"/>
          <w:lang w:val="nl-NL"/>
        </w:rPr>
        <w:t>Het ruimtevaartbeleid</w:t>
      </w:r>
    </w:p>
    <w:p w:rsidRPr="000047FB" w:rsidR="008A6C27" w:rsidRDefault="008A6C27">
      <w:pPr>
        <w:rPr>
          <w:rFonts w:ascii="Verdana" w:hAnsi="Verdana"/>
          <w:sz w:val="18"/>
          <w:szCs w:val="18"/>
          <w:u w:val="single"/>
          <w:lang w:val="nl-NL"/>
        </w:rPr>
      </w:pPr>
    </w:p>
    <w:p w:rsidRPr="000047FB" w:rsidR="008A6C27" w:rsidP="00460324" w:rsidRDefault="00F07F5B">
      <w:pPr>
        <w:rPr>
          <w:rFonts w:ascii="Verdana" w:hAnsi="Verdana"/>
          <w:sz w:val="18"/>
          <w:szCs w:val="18"/>
          <w:lang w:val="nl-NL"/>
        </w:rPr>
      </w:pPr>
      <w:r>
        <w:rPr>
          <w:rFonts w:ascii="Verdana" w:hAnsi="Verdana"/>
          <w:sz w:val="18"/>
          <w:szCs w:val="18"/>
          <w:lang w:val="nl-NL"/>
        </w:rPr>
        <w:t>Uw K</w:t>
      </w:r>
      <w:r w:rsidRPr="000047FB" w:rsidR="008A6C27">
        <w:rPr>
          <w:rFonts w:ascii="Verdana" w:hAnsi="Verdana"/>
          <w:sz w:val="18"/>
          <w:szCs w:val="18"/>
          <w:lang w:val="nl-NL"/>
        </w:rPr>
        <w:t>amer heeft op 11 september 2014 een nota ontvangen over het ruimtevaartbeleid voor de jaren 2014-2020</w:t>
      </w:r>
      <w:r w:rsidRPr="000047FB" w:rsidR="00114D77">
        <w:rPr>
          <w:rFonts w:ascii="Verdana" w:hAnsi="Verdana"/>
          <w:sz w:val="18"/>
          <w:szCs w:val="18"/>
          <w:lang w:val="nl-NL"/>
        </w:rPr>
        <w:t xml:space="preserve"> (</w:t>
      </w:r>
      <w:r w:rsidR="005343A5">
        <w:rPr>
          <w:rFonts w:ascii="Verdana" w:hAnsi="Verdana"/>
          <w:sz w:val="18"/>
          <w:szCs w:val="18"/>
          <w:lang w:val="nl-NL"/>
        </w:rPr>
        <w:t>TK 2013-2014</w:t>
      </w:r>
      <w:r w:rsidR="00D26EC5">
        <w:rPr>
          <w:rFonts w:ascii="Verdana" w:hAnsi="Verdana"/>
          <w:sz w:val="18"/>
          <w:szCs w:val="18"/>
          <w:lang w:val="nl-NL"/>
        </w:rPr>
        <w:t xml:space="preserve">, 24446. Nr. </w:t>
      </w:r>
      <w:r w:rsidRPr="000047FB" w:rsidR="00114D77">
        <w:rPr>
          <w:rFonts w:ascii="Verdana" w:hAnsi="Verdana"/>
          <w:sz w:val="18"/>
          <w:szCs w:val="18"/>
          <w:lang w:val="nl-NL"/>
        </w:rPr>
        <w:t>55)</w:t>
      </w:r>
      <w:r w:rsidRPr="000047FB" w:rsidR="008A6C27">
        <w:rPr>
          <w:rFonts w:ascii="Verdana" w:hAnsi="Verdana"/>
          <w:sz w:val="18"/>
          <w:szCs w:val="18"/>
          <w:lang w:val="nl-NL"/>
        </w:rPr>
        <w:t>. Dit beleid staat onveranderd overeind.</w:t>
      </w:r>
      <w:r w:rsidR="00EC1C34">
        <w:rPr>
          <w:rFonts w:ascii="Verdana" w:hAnsi="Verdana"/>
          <w:sz w:val="18"/>
          <w:szCs w:val="18"/>
          <w:lang w:val="nl-NL"/>
        </w:rPr>
        <w:t xml:space="preserve"> De doelstellingen van het beleid zijn de afgelopen twee jaren verder gebracht.</w:t>
      </w:r>
    </w:p>
    <w:p w:rsidR="008A6C27" w:rsidP="008816DE" w:rsidRDefault="008A6C27">
      <w:pPr>
        <w:rPr>
          <w:rFonts w:ascii="Verdana" w:hAnsi="Verdana"/>
          <w:sz w:val="18"/>
          <w:szCs w:val="18"/>
          <w:lang w:val="nl-NL"/>
        </w:rPr>
      </w:pPr>
    </w:p>
    <w:p w:rsidRPr="000047FB" w:rsidR="008A6C27" w:rsidP="00460324" w:rsidRDefault="008A6C27">
      <w:pPr>
        <w:rPr>
          <w:rFonts w:ascii="Verdana" w:hAnsi="Verdana"/>
          <w:sz w:val="18"/>
          <w:szCs w:val="18"/>
          <w:lang w:val="nl-NL"/>
        </w:rPr>
      </w:pPr>
      <w:r w:rsidRPr="000047FB">
        <w:rPr>
          <w:rFonts w:ascii="Verdana" w:hAnsi="Verdana"/>
          <w:sz w:val="18"/>
          <w:szCs w:val="18"/>
          <w:lang w:val="nl-NL"/>
        </w:rPr>
        <w:t>Doelstellingen van het beleid zijn:</w:t>
      </w:r>
    </w:p>
    <w:p w:rsidRPr="000047FB" w:rsidR="008A6C27" w:rsidP="008816DE" w:rsidRDefault="008A6C27">
      <w:pPr>
        <w:pStyle w:val="Lijstalinea"/>
        <w:numPr>
          <w:ilvl w:val="0"/>
          <w:numId w:val="14"/>
        </w:numPr>
        <w:rPr>
          <w:rFonts w:ascii="Verdana" w:hAnsi="Verdana"/>
          <w:sz w:val="18"/>
          <w:szCs w:val="18"/>
          <w:lang w:val="nl-NL"/>
        </w:rPr>
      </w:pPr>
      <w:r w:rsidRPr="000047FB">
        <w:rPr>
          <w:rFonts w:ascii="Verdana" w:hAnsi="Verdana"/>
          <w:sz w:val="18"/>
          <w:szCs w:val="18"/>
          <w:lang w:val="nl-NL"/>
        </w:rPr>
        <w:t>Het ondersteunen van hoogwaardige wetenschappelijke onderzoek op het gebied van sterrenkunde, aardgericht ruimteonderzoek en planeetonderzoek.</w:t>
      </w:r>
    </w:p>
    <w:p w:rsidRPr="000047FB" w:rsidR="008A6C27" w:rsidRDefault="008A6C27">
      <w:pPr>
        <w:pStyle w:val="Lijstalinea"/>
        <w:numPr>
          <w:ilvl w:val="0"/>
          <w:numId w:val="14"/>
        </w:numPr>
        <w:rPr>
          <w:rFonts w:ascii="Verdana" w:hAnsi="Verdana"/>
          <w:sz w:val="18"/>
          <w:szCs w:val="18"/>
          <w:lang w:val="nl-NL"/>
        </w:rPr>
      </w:pPr>
      <w:r w:rsidRPr="000047FB">
        <w:rPr>
          <w:rFonts w:ascii="Verdana" w:hAnsi="Verdana"/>
          <w:sz w:val="18"/>
          <w:szCs w:val="18"/>
          <w:lang w:val="nl-NL"/>
        </w:rPr>
        <w:t xml:space="preserve">Het bijdragen aan de ontwikkeling van een gezonde ruimtevaartsector, inclusief verkoopbare producten en diensten die aan ruimtevaart zijn gerelateerd. </w:t>
      </w:r>
    </w:p>
    <w:p w:rsidR="008A6C27" w:rsidRDefault="008A6C27">
      <w:pPr>
        <w:pStyle w:val="Lijstalinea"/>
        <w:numPr>
          <w:ilvl w:val="0"/>
          <w:numId w:val="14"/>
        </w:numPr>
        <w:rPr>
          <w:rFonts w:ascii="Verdana" w:hAnsi="Verdana"/>
          <w:sz w:val="18"/>
          <w:szCs w:val="18"/>
          <w:lang w:val="nl-NL"/>
        </w:rPr>
      </w:pPr>
      <w:r w:rsidRPr="000047FB">
        <w:rPr>
          <w:rFonts w:ascii="Verdana" w:hAnsi="Verdana"/>
          <w:sz w:val="18"/>
          <w:szCs w:val="18"/>
          <w:lang w:val="nl-NL"/>
        </w:rPr>
        <w:t xml:space="preserve">Het </w:t>
      </w:r>
      <w:r w:rsidR="007A0BE9">
        <w:rPr>
          <w:rFonts w:ascii="Verdana" w:hAnsi="Verdana"/>
          <w:sz w:val="18"/>
          <w:szCs w:val="18"/>
          <w:lang w:val="nl-NL"/>
        </w:rPr>
        <w:t xml:space="preserve">inzetten van satellietdata voor </w:t>
      </w:r>
      <w:r w:rsidRPr="000047FB">
        <w:rPr>
          <w:rFonts w:ascii="Verdana" w:hAnsi="Verdana"/>
          <w:sz w:val="18"/>
          <w:szCs w:val="18"/>
          <w:lang w:val="nl-NL"/>
        </w:rPr>
        <w:t xml:space="preserve">nieuwe toepassingen </w:t>
      </w:r>
      <w:r w:rsidR="007A0BE9">
        <w:rPr>
          <w:rFonts w:ascii="Verdana" w:hAnsi="Verdana"/>
          <w:sz w:val="18"/>
          <w:szCs w:val="18"/>
          <w:lang w:val="nl-NL"/>
        </w:rPr>
        <w:t>en diensten die nuttig zijn in</w:t>
      </w:r>
      <w:r w:rsidRPr="000047FB">
        <w:rPr>
          <w:rFonts w:ascii="Verdana" w:hAnsi="Verdana"/>
          <w:sz w:val="18"/>
          <w:szCs w:val="18"/>
          <w:lang w:val="nl-NL"/>
        </w:rPr>
        <w:t xml:space="preserve"> onze samenleving, alsmede voor bijdragen aan ontwikkelingen elders, in het bijzonder in ontwikkelingslanden en opkomende markten.</w:t>
      </w:r>
    </w:p>
    <w:p w:rsidR="00282D2F" w:rsidRDefault="008A6C27">
      <w:pPr>
        <w:pStyle w:val="Lijstalinea"/>
        <w:numPr>
          <w:ilvl w:val="0"/>
          <w:numId w:val="14"/>
        </w:numPr>
        <w:rPr>
          <w:rFonts w:ascii="Verdana" w:hAnsi="Verdana"/>
          <w:sz w:val="18"/>
          <w:szCs w:val="18"/>
          <w:lang w:val="nl-NL"/>
        </w:rPr>
      </w:pPr>
      <w:r w:rsidRPr="00282D2F">
        <w:rPr>
          <w:rFonts w:ascii="Verdana" w:hAnsi="Verdana"/>
          <w:sz w:val="18"/>
          <w:szCs w:val="18"/>
          <w:lang w:val="nl-NL"/>
        </w:rPr>
        <w:lastRenderedPageBreak/>
        <w:t>Het behouden en versterken van de ESA-vestiging te Noordwijk (ESTEC), alsmede het verder</w:t>
      </w:r>
      <w:r w:rsidRPr="00282D2F" w:rsidR="005E3062">
        <w:rPr>
          <w:rFonts w:ascii="Verdana" w:hAnsi="Verdana"/>
          <w:sz w:val="18"/>
          <w:szCs w:val="18"/>
          <w:lang w:val="nl-NL"/>
        </w:rPr>
        <w:t xml:space="preserve"> </w:t>
      </w:r>
      <w:r w:rsidRPr="00282D2F">
        <w:rPr>
          <w:rFonts w:ascii="Verdana" w:hAnsi="Verdana"/>
          <w:sz w:val="18"/>
          <w:szCs w:val="18"/>
          <w:lang w:val="nl-NL"/>
        </w:rPr>
        <w:t xml:space="preserve">intensiveren van de samenwerking tussen ESTEC, de Nederlandse kennisinstellingen en het Nederlandse bedrijfsleven. </w:t>
      </w:r>
    </w:p>
    <w:p w:rsidR="005A56B8" w:rsidP="00460324" w:rsidRDefault="005A56B8">
      <w:pPr>
        <w:rPr>
          <w:rFonts w:ascii="Verdana" w:hAnsi="Verdana"/>
          <w:sz w:val="18"/>
          <w:szCs w:val="18"/>
          <w:lang w:val="nl-NL"/>
        </w:rPr>
      </w:pPr>
    </w:p>
    <w:p w:rsidRPr="00282D2F" w:rsidR="008E4579" w:rsidP="00460324" w:rsidRDefault="00F15462">
      <w:pPr>
        <w:rPr>
          <w:rFonts w:ascii="Verdana" w:hAnsi="Verdana"/>
          <w:sz w:val="18"/>
          <w:szCs w:val="18"/>
          <w:lang w:val="nl-NL"/>
        </w:rPr>
      </w:pPr>
      <w:r w:rsidRPr="00282D2F">
        <w:rPr>
          <w:rFonts w:ascii="Verdana" w:hAnsi="Verdana"/>
          <w:sz w:val="18"/>
          <w:szCs w:val="18"/>
          <w:lang w:val="nl-NL"/>
        </w:rPr>
        <w:t>Op doelstelling 1 wordt met name in paragraaf 8 ingegaan. Doelstelling 2 wordt uitgewerkt in d</w:t>
      </w:r>
      <w:r w:rsidR="000F6D2A">
        <w:rPr>
          <w:rFonts w:ascii="Verdana" w:hAnsi="Verdana"/>
          <w:sz w:val="18"/>
          <w:szCs w:val="18"/>
          <w:lang w:val="nl-NL"/>
        </w:rPr>
        <w:t>e paragrafen 6 en 7. Paragraaf 5 gaat in op</w:t>
      </w:r>
      <w:r w:rsidRPr="00282D2F">
        <w:rPr>
          <w:rFonts w:ascii="Verdana" w:hAnsi="Verdana"/>
          <w:sz w:val="18"/>
          <w:szCs w:val="18"/>
          <w:lang w:val="nl-NL"/>
        </w:rPr>
        <w:t xml:space="preserve"> beleid</w:t>
      </w:r>
      <w:r w:rsidR="000F6D2A">
        <w:rPr>
          <w:rFonts w:ascii="Verdana" w:hAnsi="Verdana"/>
          <w:sz w:val="18"/>
          <w:szCs w:val="18"/>
          <w:lang w:val="nl-NL"/>
        </w:rPr>
        <w:t>sdoel 3</w:t>
      </w:r>
      <w:r w:rsidRPr="00282D2F">
        <w:rPr>
          <w:rFonts w:ascii="Verdana" w:hAnsi="Verdana"/>
          <w:sz w:val="18"/>
          <w:szCs w:val="18"/>
          <w:lang w:val="nl-NL"/>
        </w:rPr>
        <w:t xml:space="preserve"> ten aanzien van aardobservatie e</w:t>
      </w:r>
      <w:r w:rsidR="00510100">
        <w:rPr>
          <w:rFonts w:ascii="Verdana" w:hAnsi="Verdana"/>
          <w:sz w:val="18"/>
          <w:szCs w:val="18"/>
          <w:lang w:val="nl-NL"/>
        </w:rPr>
        <w:t>n satellietdata. In paragraaf 11</w:t>
      </w:r>
      <w:r w:rsidRPr="00282D2F">
        <w:rPr>
          <w:rFonts w:ascii="Verdana" w:hAnsi="Verdana"/>
          <w:sz w:val="18"/>
          <w:szCs w:val="18"/>
          <w:lang w:val="nl-NL"/>
        </w:rPr>
        <w:t xml:space="preserve"> wordt nader ingegaan op de vierde doelstelling</w:t>
      </w:r>
      <w:r w:rsidR="00F47557">
        <w:rPr>
          <w:rFonts w:ascii="Verdana" w:hAnsi="Verdana"/>
          <w:sz w:val="18"/>
          <w:szCs w:val="18"/>
          <w:lang w:val="nl-NL"/>
        </w:rPr>
        <w:t xml:space="preserve"> betreffende ESTEC</w:t>
      </w:r>
      <w:r w:rsidRPr="00282D2F">
        <w:rPr>
          <w:rFonts w:ascii="Verdana" w:hAnsi="Verdana"/>
          <w:sz w:val="18"/>
          <w:szCs w:val="18"/>
          <w:lang w:val="nl-NL"/>
        </w:rPr>
        <w:t>.</w:t>
      </w:r>
    </w:p>
    <w:p w:rsidR="004B2598" w:rsidP="008816DE" w:rsidRDefault="004B2598">
      <w:pPr>
        <w:ind w:left="426"/>
        <w:rPr>
          <w:rFonts w:ascii="Verdana" w:hAnsi="Verdana"/>
          <w:sz w:val="18"/>
          <w:szCs w:val="18"/>
          <w:lang w:val="nl-NL"/>
        </w:rPr>
      </w:pPr>
    </w:p>
    <w:p w:rsidRPr="000047FB" w:rsidR="008E4579" w:rsidP="00460324" w:rsidRDefault="004B2598">
      <w:pPr>
        <w:rPr>
          <w:rFonts w:ascii="Verdana" w:hAnsi="Verdana"/>
          <w:sz w:val="18"/>
          <w:szCs w:val="18"/>
          <w:lang w:val="nl-NL"/>
        </w:rPr>
      </w:pPr>
      <w:r>
        <w:rPr>
          <w:rFonts w:ascii="Verdana" w:hAnsi="Verdana"/>
          <w:sz w:val="18"/>
          <w:szCs w:val="18"/>
          <w:lang w:val="nl-NL"/>
        </w:rPr>
        <w:t>Enkele beleidsontwikkelingen sinds de brief</w:t>
      </w:r>
      <w:r w:rsidR="009C356F">
        <w:rPr>
          <w:rFonts w:ascii="Verdana" w:hAnsi="Verdana"/>
          <w:sz w:val="18"/>
          <w:szCs w:val="18"/>
          <w:lang w:val="nl-NL"/>
        </w:rPr>
        <w:t xml:space="preserve"> van 11 september 2014</w:t>
      </w:r>
      <w:r>
        <w:rPr>
          <w:rFonts w:ascii="Verdana" w:hAnsi="Verdana"/>
          <w:sz w:val="18"/>
          <w:szCs w:val="18"/>
          <w:lang w:val="nl-NL"/>
        </w:rPr>
        <w:t>:</w:t>
      </w:r>
    </w:p>
    <w:p w:rsidRPr="000047FB" w:rsidR="008E4579" w:rsidP="008816DE" w:rsidRDefault="004B2598">
      <w:pPr>
        <w:pStyle w:val="Lijstalinea"/>
        <w:numPr>
          <w:ilvl w:val="0"/>
          <w:numId w:val="6"/>
        </w:numPr>
        <w:rPr>
          <w:rFonts w:ascii="Verdana" w:hAnsi="Verdana"/>
          <w:sz w:val="18"/>
          <w:szCs w:val="18"/>
          <w:lang w:val="nl-NL"/>
        </w:rPr>
      </w:pPr>
      <w:r>
        <w:rPr>
          <w:rFonts w:ascii="Verdana" w:hAnsi="Verdana"/>
          <w:sz w:val="18"/>
          <w:szCs w:val="18"/>
          <w:lang w:val="nl-NL"/>
        </w:rPr>
        <w:t>Nederland is</w:t>
      </w:r>
      <w:r w:rsidRPr="000047FB" w:rsidR="008E4579">
        <w:rPr>
          <w:rFonts w:ascii="Verdana" w:hAnsi="Verdana"/>
          <w:sz w:val="18"/>
          <w:szCs w:val="18"/>
          <w:lang w:val="nl-NL"/>
        </w:rPr>
        <w:t xml:space="preserve"> via de EU, ESA en EUMETSAT </w:t>
      </w:r>
      <w:r>
        <w:rPr>
          <w:rFonts w:ascii="Verdana" w:hAnsi="Verdana"/>
          <w:sz w:val="18"/>
          <w:szCs w:val="18"/>
          <w:lang w:val="nl-NL"/>
        </w:rPr>
        <w:t xml:space="preserve">blijven </w:t>
      </w:r>
      <w:r w:rsidRPr="000047FB" w:rsidR="008E4579">
        <w:rPr>
          <w:rFonts w:ascii="Verdana" w:hAnsi="Verdana"/>
          <w:sz w:val="18"/>
          <w:szCs w:val="18"/>
          <w:lang w:val="nl-NL"/>
        </w:rPr>
        <w:t>investeren in Europese ruimtevaartprogramma’s</w:t>
      </w:r>
      <w:r>
        <w:rPr>
          <w:rFonts w:ascii="Verdana" w:hAnsi="Verdana"/>
          <w:sz w:val="18"/>
          <w:szCs w:val="18"/>
          <w:lang w:val="nl-NL"/>
        </w:rPr>
        <w:t xml:space="preserve"> (zie ook paragraaf 12</w:t>
      </w:r>
      <w:r w:rsidRPr="000047FB" w:rsidR="008E4579">
        <w:rPr>
          <w:rFonts w:ascii="Verdana" w:hAnsi="Verdana"/>
          <w:sz w:val="18"/>
          <w:szCs w:val="18"/>
          <w:lang w:val="nl-NL"/>
        </w:rPr>
        <w:t xml:space="preserve">). Immers deze overheidsinvesteringen genereren tal van kansen voor bedrijven, kennisinstellingen en overheden om nieuwe </w:t>
      </w:r>
      <w:r w:rsidR="00D442ED">
        <w:rPr>
          <w:rFonts w:ascii="Verdana" w:hAnsi="Verdana"/>
          <w:sz w:val="18"/>
          <w:szCs w:val="18"/>
          <w:lang w:val="nl-NL"/>
        </w:rPr>
        <w:t xml:space="preserve">producten en </w:t>
      </w:r>
      <w:r w:rsidRPr="000047FB" w:rsidR="008E4579">
        <w:rPr>
          <w:rFonts w:ascii="Verdana" w:hAnsi="Verdana"/>
          <w:sz w:val="18"/>
          <w:szCs w:val="18"/>
          <w:lang w:val="nl-NL"/>
        </w:rPr>
        <w:t>diensten te ontwikkelen en te leveren.</w:t>
      </w:r>
    </w:p>
    <w:p w:rsidRPr="000047FB" w:rsidR="008E4579" w:rsidRDefault="008E4579">
      <w:pPr>
        <w:pStyle w:val="Lijstalinea"/>
        <w:numPr>
          <w:ilvl w:val="0"/>
          <w:numId w:val="6"/>
        </w:numPr>
        <w:rPr>
          <w:rFonts w:ascii="Verdana" w:hAnsi="Verdana"/>
          <w:sz w:val="18"/>
          <w:szCs w:val="18"/>
          <w:lang w:val="nl-NL"/>
        </w:rPr>
      </w:pPr>
      <w:r w:rsidRPr="000047FB">
        <w:rPr>
          <w:rFonts w:ascii="Verdana" w:hAnsi="Verdana"/>
          <w:sz w:val="18"/>
          <w:szCs w:val="18"/>
          <w:lang w:val="nl-NL"/>
        </w:rPr>
        <w:t>Mede op verzoek van de T</w:t>
      </w:r>
      <w:r w:rsidR="00EC1C34">
        <w:rPr>
          <w:rFonts w:ascii="Verdana" w:hAnsi="Verdana"/>
          <w:sz w:val="18"/>
          <w:szCs w:val="18"/>
          <w:lang w:val="nl-NL"/>
        </w:rPr>
        <w:t xml:space="preserve">weede Kamer is op 1 juli 2015 een SBIR gericht op </w:t>
      </w:r>
      <w:r w:rsidRPr="000047FB">
        <w:rPr>
          <w:rFonts w:ascii="Verdana" w:hAnsi="Verdana"/>
          <w:sz w:val="18"/>
          <w:szCs w:val="18"/>
          <w:lang w:val="nl-NL"/>
        </w:rPr>
        <w:t>ruimtevaart gestart. Dat blijkt nu al een succes te zijn. Sinds genoemde datum zijn door het NSO tenders uitgeschreven voor 6 SBIR’s, waarop meerdere bedrijven hebben ingeschreven. De betrokken bedrijven, en in het bijzonder de winnaars van de afzonderlijke tenders, zijn zeer positief over dit nieuwe instrument.</w:t>
      </w:r>
    </w:p>
    <w:p w:rsidRPr="000047FB" w:rsidR="008E4579" w:rsidRDefault="008E4579">
      <w:pPr>
        <w:pStyle w:val="Lijstalinea"/>
        <w:numPr>
          <w:ilvl w:val="0"/>
          <w:numId w:val="6"/>
        </w:numPr>
        <w:rPr>
          <w:rFonts w:ascii="Verdana" w:hAnsi="Verdana"/>
          <w:sz w:val="18"/>
          <w:szCs w:val="18"/>
          <w:lang w:val="nl-NL"/>
        </w:rPr>
      </w:pPr>
      <w:r w:rsidRPr="000047FB">
        <w:rPr>
          <w:rFonts w:ascii="Verdana" w:hAnsi="Verdana"/>
          <w:sz w:val="18"/>
          <w:szCs w:val="18"/>
          <w:lang w:val="nl-NL"/>
        </w:rPr>
        <w:t>Zoals aangekondigd heeft het NSO het werken met roadmaps voortgezet. Dit om maatschappelijke behoeften te kunnen matchen met de kennis en kunde in Nederland op het gebied van ruimtevaart</w:t>
      </w:r>
      <w:r w:rsidR="00F07F5B">
        <w:rPr>
          <w:rFonts w:ascii="Verdana" w:hAnsi="Verdana"/>
          <w:sz w:val="18"/>
          <w:szCs w:val="18"/>
          <w:lang w:val="nl-NL"/>
        </w:rPr>
        <w:t xml:space="preserve"> en het lange termijn perspectief van ontwikkelingen goed in kaart te brengen</w:t>
      </w:r>
      <w:r w:rsidRPr="000047FB">
        <w:rPr>
          <w:rFonts w:ascii="Verdana" w:hAnsi="Verdana"/>
          <w:sz w:val="18"/>
          <w:szCs w:val="18"/>
          <w:lang w:val="nl-NL"/>
        </w:rPr>
        <w:t>.</w:t>
      </w:r>
    </w:p>
    <w:p w:rsidRPr="000047FB" w:rsidR="008E4579" w:rsidRDefault="008E4579">
      <w:pPr>
        <w:pStyle w:val="Lijstalinea"/>
        <w:numPr>
          <w:ilvl w:val="0"/>
          <w:numId w:val="6"/>
        </w:numPr>
        <w:rPr>
          <w:rFonts w:ascii="Verdana" w:hAnsi="Verdana"/>
          <w:sz w:val="18"/>
          <w:szCs w:val="18"/>
          <w:lang w:val="nl-NL"/>
        </w:rPr>
      </w:pPr>
      <w:r w:rsidRPr="000047FB">
        <w:rPr>
          <w:rFonts w:ascii="Verdana" w:hAnsi="Verdana"/>
          <w:sz w:val="18"/>
          <w:szCs w:val="18"/>
          <w:lang w:val="nl-NL"/>
        </w:rPr>
        <w:t>Wat betreft de aangekondigde oprichting van een instrumentencluster kan gemeld worden dat deze daadwerkelijk in 2014 is opgericht. De belangrijkste Nederlandse partijen op het gebied van (wetenschappelijke) satellietinstrumenten zijn daarin vertegenwoordigd. Gezamenlijk worden plannen ontwikkeld voor terreinen waar door samenwerking gecombineerd met vraagontwikkeling duidelijke synergie kan worden verkregen met betrekking tot productontwikkeling.</w:t>
      </w:r>
    </w:p>
    <w:p w:rsidR="008E4579" w:rsidRDefault="008E4579">
      <w:pPr>
        <w:pStyle w:val="Lijstalinea"/>
        <w:numPr>
          <w:ilvl w:val="0"/>
          <w:numId w:val="6"/>
        </w:numPr>
        <w:rPr>
          <w:rFonts w:ascii="Verdana" w:hAnsi="Verdana"/>
          <w:sz w:val="18"/>
          <w:szCs w:val="18"/>
          <w:lang w:val="nl-NL"/>
        </w:rPr>
      </w:pPr>
      <w:r w:rsidRPr="000047FB">
        <w:rPr>
          <w:rFonts w:ascii="Verdana" w:hAnsi="Verdana"/>
          <w:sz w:val="18"/>
          <w:szCs w:val="18"/>
          <w:lang w:val="nl-NL"/>
        </w:rPr>
        <w:t>In d</w:t>
      </w:r>
      <w:r w:rsidR="0039461C">
        <w:rPr>
          <w:rFonts w:ascii="Verdana" w:hAnsi="Verdana"/>
          <w:sz w:val="18"/>
          <w:szCs w:val="18"/>
          <w:lang w:val="nl-NL"/>
        </w:rPr>
        <w:t>it instrumentencluster wordt onder andere</w:t>
      </w:r>
      <w:r w:rsidRPr="000047FB">
        <w:rPr>
          <w:rFonts w:ascii="Verdana" w:hAnsi="Verdana"/>
          <w:sz w:val="18"/>
          <w:szCs w:val="18"/>
          <w:lang w:val="nl-NL"/>
        </w:rPr>
        <w:t xml:space="preserve"> een advies voorbereid over de toekomstige rol van Nederland bij het monitoren van luchtkwaliteit. Het meest recente satelliet-instrument daartoe, het Nederlandse instrument TROPOMI, zal </w:t>
      </w:r>
      <w:r w:rsidR="004258FF">
        <w:rPr>
          <w:rFonts w:ascii="Verdana" w:hAnsi="Verdana"/>
          <w:sz w:val="18"/>
          <w:szCs w:val="18"/>
          <w:lang w:val="nl-NL"/>
        </w:rPr>
        <w:t xml:space="preserve">naar verwachting in de vroege zomer van </w:t>
      </w:r>
      <w:r w:rsidRPr="000047FB">
        <w:rPr>
          <w:rFonts w:ascii="Verdana" w:hAnsi="Verdana"/>
          <w:sz w:val="18"/>
          <w:szCs w:val="18"/>
          <w:lang w:val="nl-NL"/>
        </w:rPr>
        <w:t xml:space="preserve">2017 </w:t>
      </w:r>
      <w:r w:rsidRPr="000047FB" w:rsidR="003918B6">
        <w:rPr>
          <w:rFonts w:ascii="Verdana" w:hAnsi="Verdana"/>
          <w:sz w:val="18"/>
          <w:szCs w:val="18"/>
          <w:lang w:val="nl-NL"/>
        </w:rPr>
        <w:t xml:space="preserve">in een baan om de aarde gebracht worden </w:t>
      </w:r>
      <w:r w:rsidRPr="000047FB">
        <w:rPr>
          <w:rFonts w:ascii="Verdana" w:hAnsi="Verdana"/>
          <w:sz w:val="18"/>
          <w:szCs w:val="18"/>
          <w:lang w:val="nl-NL"/>
        </w:rPr>
        <w:t>in het kader van het Europese Copernicus</w:t>
      </w:r>
      <w:r w:rsidR="00EE4E1F">
        <w:rPr>
          <w:rFonts w:ascii="Verdana" w:hAnsi="Verdana"/>
          <w:sz w:val="18"/>
          <w:szCs w:val="18"/>
          <w:lang w:val="nl-NL"/>
        </w:rPr>
        <w:t>-</w:t>
      </w:r>
      <w:r w:rsidR="00F07F5B">
        <w:rPr>
          <w:rFonts w:ascii="Verdana" w:hAnsi="Verdana"/>
          <w:sz w:val="18"/>
          <w:szCs w:val="18"/>
          <w:lang w:val="nl-NL"/>
        </w:rPr>
        <w:t xml:space="preserve">programma. Het denken over bijvoorbeeld </w:t>
      </w:r>
      <w:r w:rsidRPr="000047FB">
        <w:rPr>
          <w:rFonts w:ascii="Verdana" w:hAnsi="Verdana"/>
          <w:sz w:val="18"/>
          <w:szCs w:val="18"/>
          <w:lang w:val="nl-NL"/>
        </w:rPr>
        <w:t>een volgende generatie van satelliet-instrumenten</w:t>
      </w:r>
      <w:r w:rsidR="00F07F5B">
        <w:rPr>
          <w:rFonts w:ascii="Verdana" w:hAnsi="Verdana"/>
          <w:sz w:val="18"/>
          <w:szCs w:val="18"/>
          <w:lang w:val="nl-NL"/>
        </w:rPr>
        <w:t>,</w:t>
      </w:r>
      <w:r w:rsidRPr="000047FB">
        <w:rPr>
          <w:rFonts w:ascii="Verdana" w:hAnsi="Verdana"/>
          <w:sz w:val="18"/>
          <w:szCs w:val="18"/>
          <w:lang w:val="nl-NL"/>
        </w:rPr>
        <w:t xml:space="preserve"> die de luchtkwaliteit nog scherper/exacter kunnen monitoren, is in gang gezet.</w:t>
      </w:r>
    </w:p>
    <w:p w:rsidR="00EE4E1F" w:rsidRDefault="00F47557">
      <w:pPr>
        <w:pStyle w:val="Lijstalinea"/>
        <w:numPr>
          <w:ilvl w:val="0"/>
          <w:numId w:val="6"/>
        </w:numPr>
        <w:rPr>
          <w:rFonts w:ascii="Verdana" w:hAnsi="Verdana"/>
          <w:sz w:val="18"/>
          <w:szCs w:val="18"/>
          <w:lang w:val="nl-NL"/>
        </w:rPr>
      </w:pPr>
      <w:r>
        <w:rPr>
          <w:rFonts w:ascii="Verdana" w:hAnsi="Verdana"/>
          <w:sz w:val="18"/>
          <w:szCs w:val="18"/>
          <w:lang w:val="nl-NL"/>
        </w:rPr>
        <w:t>Het m</w:t>
      </w:r>
      <w:r w:rsidR="00EE4E1F">
        <w:rPr>
          <w:rFonts w:ascii="Verdana" w:hAnsi="Verdana"/>
          <w:sz w:val="18"/>
          <w:szCs w:val="18"/>
          <w:lang w:val="nl-NL"/>
        </w:rPr>
        <w:t>inisterie van Buitenlandse Zaken heeft een programma geïnitieerd voor verbetering van de voedselvoorziening in ontwikkelingslanden via satellietdata toepassingen.</w:t>
      </w:r>
    </w:p>
    <w:p w:rsidR="00EE4E1F" w:rsidRDefault="00EE4E1F">
      <w:pPr>
        <w:pStyle w:val="Lijstalinea"/>
        <w:numPr>
          <w:ilvl w:val="0"/>
          <w:numId w:val="6"/>
        </w:numPr>
        <w:rPr>
          <w:rFonts w:ascii="Verdana" w:hAnsi="Verdana"/>
          <w:sz w:val="18"/>
          <w:szCs w:val="18"/>
          <w:lang w:val="nl-NL"/>
        </w:rPr>
      </w:pPr>
      <w:r>
        <w:rPr>
          <w:rFonts w:ascii="Verdana" w:hAnsi="Verdana"/>
          <w:sz w:val="18"/>
          <w:szCs w:val="18"/>
          <w:lang w:val="nl-NL"/>
        </w:rPr>
        <w:t xml:space="preserve">Het ministerie van Defensie heeft </w:t>
      </w:r>
      <w:r w:rsidR="003918B6">
        <w:rPr>
          <w:rFonts w:ascii="Verdana" w:hAnsi="Verdana"/>
          <w:sz w:val="18"/>
          <w:szCs w:val="18"/>
          <w:lang w:val="nl-NL"/>
        </w:rPr>
        <w:t xml:space="preserve">onder andere </w:t>
      </w:r>
      <w:r>
        <w:rPr>
          <w:rFonts w:ascii="Verdana" w:hAnsi="Verdana"/>
          <w:sz w:val="18"/>
          <w:szCs w:val="18"/>
          <w:lang w:val="nl-NL"/>
        </w:rPr>
        <w:t>een “Space Security Center” opgezet.</w:t>
      </w:r>
    </w:p>
    <w:p w:rsidR="00510100" w:rsidRDefault="00510100">
      <w:pPr>
        <w:pStyle w:val="Lijstalinea"/>
        <w:numPr>
          <w:ilvl w:val="0"/>
          <w:numId w:val="6"/>
        </w:numPr>
        <w:rPr>
          <w:rFonts w:ascii="Verdana" w:hAnsi="Verdana"/>
          <w:sz w:val="18"/>
          <w:szCs w:val="18"/>
          <w:lang w:val="nl-NL"/>
        </w:rPr>
      </w:pPr>
      <w:r>
        <w:rPr>
          <w:rFonts w:ascii="Verdana" w:hAnsi="Verdana"/>
          <w:sz w:val="18"/>
          <w:szCs w:val="18"/>
          <w:lang w:val="nl-NL"/>
        </w:rPr>
        <w:t>Het ministerie van Economische zaken benut satellietdata steeds meer voor de uitvoering van het beleid, in het bijzonder voor landbouw en natuur.</w:t>
      </w:r>
    </w:p>
    <w:p w:rsidR="00510100" w:rsidRDefault="00510100">
      <w:pPr>
        <w:pStyle w:val="Lijstalinea"/>
        <w:numPr>
          <w:ilvl w:val="0"/>
          <w:numId w:val="6"/>
        </w:numPr>
        <w:rPr>
          <w:rFonts w:ascii="Verdana" w:hAnsi="Verdana"/>
          <w:sz w:val="18"/>
          <w:szCs w:val="18"/>
          <w:lang w:val="nl-NL"/>
        </w:rPr>
      </w:pPr>
      <w:r>
        <w:rPr>
          <w:rFonts w:ascii="Verdana" w:hAnsi="Verdana"/>
          <w:sz w:val="18"/>
          <w:szCs w:val="18"/>
          <w:lang w:val="nl-NL"/>
        </w:rPr>
        <w:t>Het ministerie van Infrastructuur en Milieu werkt vanuit de interne behoeftestelling aan de integratie van satellietdata in beleid en uitvoering. Tevens is een verdrag getekend voor de vestiging van het Galileo Reference Centrum in Noordwijk.</w:t>
      </w:r>
    </w:p>
    <w:p w:rsidR="00D442ED" w:rsidRDefault="00EE4E1F">
      <w:pPr>
        <w:pStyle w:val="Lijstalinea"/>
        <w:numPr>
          <w:ilvl w:val="0"/>
          <w:numId w:val="6"/>
        </w:numPr>
        <w:rPr>
          <w:rFonts w:ascii="Verdana" w:hAnsi="Verdana"/>
          <w:sz w:val="18"/>
          <w:szCs w:val="18"/>
          <w:lang w:val="nl-NL"/>
        </w:rPr>
      </w:pPr>
      <w:r>
        <w:rPr>
          <w:rFonts w:ascii="Verdana" w:hAnsi="Verdana"/>
          <w:sz w:val="18"/>
          <w:szCs w:val="18"/>
          <w:lang w:val="nl-NL"/>
        </w:rPr>
        <w:t>Het ministerie van Justitie heeft een Innovatieprogramma opgezet</w:t>
      </w:r>
      <w:r w:rsidR="00510100">
        <w:rPr>
          <w:rFonts w:ascii="Verdana" w:hAnsi="Verdana"/>
          <w:sz w:val="18"/>
          <w:szCs w:val="18"/>
          <w:lang w:val="nl-NL"/>
        </w:rPr>
        <w:t xml:space="preserve"> onder meer voor het benutten van satellietdata voor de uitvoering van taken op het terrein van dit ministerie</w:t>
      </w:r>
      <w:r>
        <w:rPr>
          <w:rFonts w:ascii="Verdana" w:hAnsi="Verdana"/>
          <w:sz w:val="18"/>
          <w:szCs w:val="18"/>
          <w:lang w:val="nl-NL"/>
        </w:rPr>
        <w:t>.</w:t>
      </w:r>
    </w:p>
    <w:p w:rsidR="007D6C94" w:rsidP="007D6C94" w:rsidRDefault="007D6C94">
      <w:pPr>
        <w:pStyle w:val="Lijstalinea"/>
        <w:numPr>
          <w:ilvl w:val="0"/>
          <w:numId w:val="6"/>
        </w:numPr>
        <w:rPr>
          <w:rFonts w:ascii="Verdana" w:hAnsi="Verdana"/>
          <w:sz w:val="18"/>
          <w:szCs w:val="18"/>
          <w:lang w:val="nl-NL"/>
        </w:rPr>
      </w:pPr>
      <w:r>
        <w:rPr>
          <w:rFonts w:ascii="Verdana" w:hAnsi="Verdana"/>
          <w:sz w:val="18"/>
          <w:szCs w:val="18"/>
          <w:lang w:val="nl-NL"/>
        </w:rPr>
        <w:t>De bijdrage van Nederland aan het Wetenschapsprogramma van de ESA, en het nationale programma Gebruiksondersteuning Wetenschap (GOW), beiden gefinancierd uit de begroting van het Ministerie van OCW, hebben onderzoekers uit verschillende wetenschapsgebieden in staat gesteld baanbrekend onderzoek te verrichten met gebruikmaking van ruimtevaartkennis en -technologie.</w:t>
      </w:r>
    </w:p>
    <w:p w:rsidR="008E4579" w:rsidRDefault="00D442ED">
      <w:pPr>
        <w:pStyle w:val="Lijstalinea"/>
        <w:numPr>
          <w:ilvl w:val="0"/>
          <w:numId w:val="6"/>
        </w:numPr>
        <w:rPr>
          <w:rFonts w:ascii="Verdana" w:hAnsi="Verdana"/>
          <w:sz w:val="18"/>
          <w:szCs w:val="18"/>
          <w:lang w:val="nl-NL"/>
        </w:rPr>
      </w:pPr>
      <w:r w:rsidRPr="00510100">
        <w:rPr>
          <w:rFonts w:ascii="Verdana" w:hAnsi="Verdana"/>
          <w:sz w:val="18"/>
          <w:szCs w:val="18"/>
          <w:lang w:val="nl-NL"/>
        </w:rPr>
        <w:t xml:space="preserve">De relatie met ESA-ESTEC is verder geïntensiveerd. </w:t>
      </w:r>
    </w:p>
    <w:p w:rsidRPr="00510100" w:rsidR="00510100" w:rsidRDefault="00510100">
      <w:pPr>
        <w:ind w:left="786"/>
        <w:rPr>
          <w:rFonts w:ascii="Verdana" w:hAnsi="Verdana"/>
          <w:sz w:val="18"/>
          <w:szCs w:val="18"/>
          <w:lang w:val="nl-NL"/>
        </w:rPr>
      </w:pPr>
    </w:p>
    <w:p w:rsidRPr="000047FB" w:rsidR="008E4579" w:rsidP="00460324" w:rsidRDefault="008E4579">
      <w:pPr>
        <w:rPr>
          <w:rFonts w:ascii="Verdana" w:hAnsi="Verdana"/>
          <w:sz w:val="18"/>
          <w:szCs w:val="18"/>
          <w:lang w:val="nl-NL"/>
        </w:rPr>
      </w:pPr>
      <w:r w:rsidRPr="000047FB">
        <w:rPr>
          <w:rFonts w:ascii="Verdana" w:hAnsi="Verdana"/>
          <w:sz w:val="18"/>
          <w:szCs w:val="18"/>
          <w:lang w:val="nl-NL"/>
        </w:rPr>
        <w:t>Met de ru</w:t>
      </w:r>
      <w:r w:rsidR="004258FF">
        <w:rPr>
          <w:rFonts w:ascii="Verdana" w:hAnsi="Verdana"/>
          <w:sz w:val="18"/>
          <w:szCs w:val="18"/>
          <w:lang w:val="nl-NL"/>
        </w:rPr>
        <w:t xml:space="preserve">imtevaartprogramma’s van de ESA, EU </w:t>
      </w:r>
      <w:r w:rsidRPr="000047FB">
        <w:rPr>
          <w:rFonts w:ascii="Verdana" w:hAnsi="Verdana"/>
          <w:sz w:val="18"/>
          <w:szCs w:val="18"/>
          <w:lang w:val="nl-NL"/>
        </w:rPr>
        <w:t xml:space="preserve">en EUMETSAT is een infrastructuur aan satellieten in de ruimte geplaatst die de basis vormt voor uitgebreide dienstverlening aan overheden, onderzoeksinstellingen en bedrijven. Met behulp van de satellieten worden </w:t>
      </w:r>
      <w:r w:rsidR="00EC1C34">
        <w:rPr>
          <w:rFonts w:ascii="Verdana" w:hAnsi="Verdana"/>
          <w:sz w:val="18"/>
          <w:szCs w:val="18"/>
          <w:lang w:val="nl-NL"/>
        </w:rPr>
        <w:t xml:space="preserve">signalen, </w:t>
      </w:r>
      <w:r w:rsidRPr="000047FB">
        <w:rPr>
          <w:rFonts w:ascii="Verdana" w:hAnsi="Verdana"/>
          <w:sz w:val="18"/>
          <w:szCs w:val="18"/>
          <w:lang w:val="nl-NL"/>
        </w:rPr>
        <w:t xml:space="preserve">data en beelden naar </w:t>
      </w:r>
      <w:r w:rsidR="00EC1C34">
        <w:rPr>
          <w:rFonts w:ascii="Verdana" w:hAnsi="Verdana"/>
          <w:sz w:val="18"/>
          <w:szCs w:val="18"/>
          <w:lang w:val="nl-NL"/>
        </w:rPr>
        <w:t>de A</w:t>
      </w:r>
      <w:r w:rsidRPr="000047FB">
        <w:rPr>
          <w:rFonts w:ascii="Verdana" w:hAnsi="Verdana"/>
          <w:sz w:val="18"/>
          <w:szCs w:val="18"/>
          <w:lang w:val="nl-NL"/>
        </w:rPr>
        <w:t xml:space="preserve">arde gezonden, die worden omgezet in diensten ten behoeve van genoemde instellingen. Nu </w:t>
      </w:r>
      <w:r w:rsidRPr="000047FB">
        <w:rPr>
          <w:rFonts w:ascii="Verdana" w:hAnsi="Verdana"/>
          <w:sz w:val="18"/>
          <w:szCs w:val="18"/>
          <w:lang w:val="nl-NL"/>
        </w:rPr>
        <w:lastRenderedPageBreak/>
        <w:t>de satellieten van de Copernicus- en Galileo-</w:t>
      </w:r>
      <w:r w:rsidR="0039461C">
        <w:rPr>
          <w:rFonts w:ascii="Verdana" w:hAnsi="Verdana"/>
          <w:sz w:val="18"/>
          <w:szCs w:val="18"/>
          <w:lang w:val="nl-NL"/>
        </w:rPr>
        <w:t>programma’s operationeel worden en veel data genereren</w:t>
      </w:r>
      <w:r w:rsidRPr="000047FB">
        <w:rPr>
          <w:rFonts w:ascii="Verdana" w:hAnsi="Verdana"/>
          <w:sz w:val="18"/>
          <w:szCs w:val="18"/>
          <w:lang w:val="nl-NL"/>
        </w:rPr>
        <w:t xml:space="preserve"> </w:t>
      </w:r>
      <w:r w:rsidR="00F47557">
        <w:rPr>
          <w:rFonts w:ascii="Verdana" w:hAnsi="Verdana"/>
          <w:sz w:val="18"/>
          <w:szCs w:val="18"/>
          <w:lang w:val="nl-NL"/>
        </w:rPr>
        <w:t>zijn er mogelijkheden voor</w:t>
      </w:r>
      <w:r w:rsidRPr="000047FB">
        <w:rPr>
          <w:rFonts w:ascii="Verdana" w:hAnsi="Verdana"/>
          <w:sz w:val="18"/>
          <w:szCs w:val="18"/>
          <w:lang w:val="nl-NL"/>
        </w:rPr>
        <w:t xml:space="preserve"> bedrijven om hier commerciële activiteiten op te baseren. Vele bedrijven storten zich al op de nieuwe markt met wisselend succes. Voor succes is een combinatie van technische en ICT-kennis nodig aan de ene kant en commerciële vaardigheden aan de andere kant. Bedrijven die d</w:t>
      </w:r>
      <w:r w:rsidR="0039461C">
        <w:rPr>
          <w:rFonts w:ascii="Verdana" w:hAnsi="Verdana"/>
          <w:sz w:val="18"/>
          <w:szCs w:val="18"/>
          <w:lang w:val="nl-NL"/>
        </w:rPr>
        <w:t>eze combinatie van</w:t>
      </w:r>
      <w:r w:rsidR="003918B6">
        <w:rPr>
          <w:rFonts w:ascii="Verdana" w:hAnsi="Verdana"/>
          <w:sz w:val="18"/>
          <w:szCs w:val="18"/>
          <w:lang w:val="nl-NL"/>
        </w:rPr>
        <w:t xml:space="preserve"> vaardigheden wete</w:t>
      </w:r>
      <w:r w:rsidRPr="000047FB">
        <w:rPr>
          <w:rFonts w:ascii="Verdana" w:hAnsi="Verdana"/>
          <w:sz w:val="18"/>
          <w:szCs w:val="18"/>
          <w:lang w:val="nl-NL"/>
        </w:rPr>
        <w:t>n</w:t>
      </w:r>
      <w:r w:rsidR="0039461C">
        <w:rPr>
          <w:rFonts w:ascii="Verdana" w:hAnsi="Verdana"/>
          <w:sz w:val="18"/>
          <w:szCs w:val="18"/>
          <w:lang w:val="nl-NL"/>
        </w:rPr>
        <w:t xml:space="preserve"> te hant</w:t>
      </w:r>
      <w:r w:rsidR="003918B6">
        <w:rPr>
          <w:rFonts w:ascii="Verdana" w:hAnsi="Verdana"/>
          <w:sz w:val="18"/>
          <w:szCs w:val="18"/>
          <w:lang w:val="nl-NL"/>
        </w:rPr>
        <w:t>eren</w:t>
      </w:r>
      <w:r w:rsidRPr="000047FB">
        <w:rPr>
          <w:rFonts w:ascii="Verdana" w:hAnsi="Verdana"/>
          <w:sz w:val="18"/>
          <w:szCs w:val="18"/>
          <w:lang w:val="nl-NL"/>
        </w:rPr>
        <w:t xml:space="preserve"> blijken in de praktijk succesvol. Met een combinatie van kennis van satellietdata, ICT, algoritmen en een gezonde commerciële inslag biedt de markt van satellietdata legio kansen om nieuwe bedrijven op te bouwen. Het Verenigd Koninkrijk is in Europa een voorloper op dit gebied. Nederlan</w:t>
      </w:r>
      <w:r w:rsidR="003918B6">
        <w:rPr>
          <w:rFonts w:ascii="Verdana" w:hAnsi="Verdana"/>
          <w:sz w:val="18"/>
          <w:szCs w:val="18"/>
          <w:lang w:val="nl-NL"/>
        </w:rPr>
        <w:t>d</w:t>
      </w:r>
      <w:r w:rsidR="00EC1C34">
        <w:rPr>
          <w:rFonts w:ascii="Verdana" w:hAnsi="Verdana"/>
          <w:sz w:val="18"/>
          <w:szCs w:val="18"/>
          <w:lang w:val="nl-NL"/>
        </w:rPr>
        <w:t xml:space="preserve"> bevindt zich eveneens in de Europese voorhoede</w:t>
      </w:r>
      <w:r w:rsidRPr="000047FB">
        <w:rPr>
          <w:rFonts w:ascii="Verdana" w:hAnsi="Verdana"/>
          <w:sz w:val="18"/>
          <w:szCs w:val="18"/>
          <w:lang w:val="nl-NL"/>
        </w:rPr>
        <w:t>.</w:t>
      </w:r>
    </w:p>
    <w:p w:rsidRPr="000047FB" w:rsidR="008E4579" w:rsidP="008816DE" w:rsidRDefault="008E4579">
      <w:pPr>
        <w:ind w:left="426"/>
        <w:rPr>
          <w:rFonts w:ascii="Verdana" w:hAnsi="Verdana"/>
          <w:sz w:val="18"/>
          <w:szCs w:val="18"/>
          <w:lang w:val="nl-NL"/>
        </w:rPr>
      </w:pPr>
    </w:p>
    <w:p w:rsidR="008E4579" w:rsidP="00460324" w:rsidRDefault="008E4579">
      <w:pPr>
        <w:rPr>
          <w:rFonts w:ascii="Verdana" w:hAnsi="Verdana"/>
          <w:sz w:val="18"/>
          <w:szCs w:val="18"/>
          <w:lang w:val="nl-NL"/>
        </w:rPr>
      </w:pPr>
      <w:r w:rsidRPr="000047FB">
        <w:rPr>
          <w:rFonts w:ascii="Verdana" w:hAnsi="Verdana"/>
          <w:sz w:val="18"/>
          <w:szCs w:val="18"/>
          <w:lang w:val="nl-NL"/>
        </w:rPr>
        <w:t>De Nederlandse overheid</w:t>
      </w:r>
      <w:r w:rsidRPr="000047FB" w:rsidR="004E39D0">
        <w:rPr>
          <w:rFonts w:ascii="Verdana" w:hAnsi="Verdana"/>
          <w:sz w:val="18"/>
          <w:szCs w:val="18"/>
          <w:lang w:val="nl-NL"/>
        </w:rPr>
        <w:t xml:space="preserve"> hec</w:t>
      </w:r>
      <w:r w:rsidRPr="000047FB" w:rsidR="003241DE">
        <w:rPr>
          <w:rFonts w:ascii="Verdana" w:hAnsi="Verdana"/>
          <w:sz w:val="18"/>
          <w:szCs w:val="18"/>
          <w:lang w:val="nl-NL"/>
        </w:rPr>
        <w:t xml:space="preserve">ht aan het borgen van </w:t>
      </w:r>
      <w:r w:rsidRPr="000047FB" w:rsidR="004E39D0">
        <w:rPr>
          <w:rFonts w:ascii="Verdana" w:hAnsi="Verdana"/>
          <w:sz w:val="18"/>
          <w:szCs w:val="18"/>
          <w:lang w:val="nl-NL"/>
        </w:rPr>
        <w:t xml:space="preserve">een adequate </w:t>
      </w:r>
      <w:r w:rsidR="00C33D3C">
        <w:rPr>
          <w:rFonts w:ascii="Verdana" w:hAnsi="Verdana"/>
          <w:sz w:val="18"/>
          <w:szCs w:val="18"/>
          <w:lang w:val="nl-NL"/>
        </w:rPr>
        <w:t xml:space="preserve">(Europese) </w:t>
      </w:r>
      <w:r w:rsidRPr="000047FB" w:rsidR="004E39D0">
        <w:rPr>
          <w:rFonts w:ascii="Verdana" w:hAnsi="Verdana"/>
          <w:sz w:val="18"/>
          <w:szCs w:val="18"/>
          <w:lang w:val="nl-NL"/>
        </w:rPr>
        <w:t>sa</w:t>
      </w:r>
      <w:r w:rsidRPr="000047FB" w:rsidR="003241DE">
        <w:rPr>
          <w:rFonts w:ascii="Verdana" w:hAnsi="Verdana"/>
          <w:sz w:val="18"/>
          <w:szCs w:val="18"/>
          <w:lang w:val="nl-NL"/>
        </w:rPr>
        <w:t>telliet</w:t>
      </w:r>
      <w:r w:rsidRPr="000047FB" w:rsidR="00B42823">
        <w:rPr>
          <w:rFonts w:ascii="Verdana" w:hAnsi="Verdana"/>
          <w:sz w:val="18"/>
          <w:szCs w:val="18"/>
          <w:lang w:val="nl-NL"/>
        </w:rPr>
        <w:t>-</w:t>
      </w:r>
      <w:r w:rsidRPr="000047FB" w:rsidR="003241DE">
        <w:rPr>
          <w:rFonts w:ascii="Verdana" w:hAnsi="Verdana"/>
          <w:sz w:val="18"/>
          <w:szCs w:val="18"/>
          <w:lang w:val="nl-NL"/>
        </w:rPr>
        <w:t>infrastuur in de ruimte, wa</w:t>
      </w:r>
      <w:r w:rsidRPr="000047FB" w:rsidR="00B42823">
        <w:rPr>
          <w:rFonts w:ascii="Verdana" w:hAnsi="Verdana"/>
          <w:sz w:val="18"/>
          <w:szCs w:val="18"/>
          <w:lang w:val="nl-NL"/>
        </w:rPr>
        <w:t>armee</w:t>
      </w:r>
      <w:r w:rsidRPr="000047FB" w:rsidR="003241DE">
        <w:rPr>
          <w:rFonts w:ascii="Verdana" w:hAnsi="Verdana"/>
          <w:sz w:val="18"/>
          <w:szCs w:val="18"/>
          <w:lang w:val="nl-NL"/>
        </w:rPr>
        <w:t xml:space="preserve"> satelliet</w:t>
      </w:r>
      <w:r w:rsidRPr="000047FB" w:rsidR="00B42823">
        <w:rPr>
          <w:rFonts w:ascii="Verdana" w:hAnsi="Verdana"/>
          <w:sz w:val="18"/>
          <w:szCs w:val="18"/>
          <w:lang w:val="nl-NL"/>
        </w:rPr>
        <w:t xml:space="preserve">data en </w:t>
      </w:r>
      <w:r w:rsidR="00E039B3">
        <w:rPr>
          <w:rFonts w:ascii="Verdana" w:hAnsi="Verdana"/>
          <w:sz w:val="18"/>
          <w:szCs w:val="18"/>
          <w:lang w:val="nl-NL"/>
        </w:rPr>
        <w:t>-</w:t>
      </w:r>
      <w:r w:rsidRPr="000047FB" w:rsidR="00B42823">
        <w:rPr>
          <w:rFonts w:ascii="Verdana" w:hAnsi="Verdana"/>
          <w:sz w:val="18"/>
          <w:szCs w:val="18"/>
          <w:lang w:val="nl-NL"/>
        </w:rPr>
        <w:t xml:space="preserve">beelden </w:t>
      </w:r>
      <w:r w:rsidR="00F47557">
        <w:rPr>
          <w:rFonts w:ascii="Verdana" w:hAnsi="Verdana"/>
          <w:sz w:val="18"/>
          <w:szCs w:val="18"/>
          <w:lang w:val="nl-NL"/>
        </w:rPr>
        <w:t xml:space="preserve">continu </w:t>
      </w:r>
      <w:r w:rsidRPr="000047FB" w:rsidR="00B42823">
        <w:rPr>
          <w:rFonts w:ascii="Verdana" w:hAnsi="Verdana"/>
          <w:sz w:val="18"/>
          <w:szCs w:val="18"/>
          <w:lang w:val="nl-NL"/>
        </w:rPr>
        <w:t>worden</w:t>
      </w:r>
      <w:r w:rsidRPr="000047FB" w:rsidR="003241DE">
        <w:rPr>
          <w:rFonts w:ascii="Verdana" w:hAnsi="Verdana"/>
          <w:sz w:val="18"/>
          <w:szCs w:val="18"/>
          <w:lang w:val="nl-NL"/>
        </w:rPr>
        <w:t xml:space="preserve"> ge</w:t>
      </w:r>
      <w:r w:rsidRPr="000047FB" w:rsidR="00B42823">
        <w:rPr>
          <w:rFonts w:ascii="Verdana" w:hAnsi="Verdana"/>
          <w:sz w:val="18"/>
          <w:szCs w:val="18"/>
          <w:lang w:val="nl-NL"/>
        </w:rPr>
        <w:t>genereerd</w:t>
      </w:r>
      <w:r w:rsidRPr="000047FB" w:rsidR="003241DE">
        <w:rPr>
          <w:rFonts w:ascii="Verdana" w:hAnsi="Verdana"/>
          <w:sz w:val="18"/>
          <w:szCs w:val="18"/>
          <w:lang w:val="nl-NL"/>
        </w:rPr>
        <w:t>. Complementair daaraan</w:t>
      </w:r>
      <w:r w:rsidRPr="000047FB">
        <w:rPr>
          <w:rFonts w:ascii="Verdana" w:hAnsi="Verdana"/>
          <w:sz w:val="18"/>
          <w:szCs w:val="18"/>
          <w:lang w:val="nl-NL"/>
        </w:rPr>
        <w:t xml:space="preserve"> zet </w:t>
      </w:r>
      <w:r w:rsidRPr="000047FB" w:rsidR="003241DE">
        <w:rPr>
          <w:rFonts w:ascii="Verdana" w:hAnsi="Verdana"/>
          <w:sz w:val="18"/>
          <w:szCs w:val="18"/>
          <w:lang w:val="nl-NL"/>
        </w:rPr>
        <w:t xml:space="preserve">de overheid </w:t>
      </w:r>
      <w:r w:rsidRPr="000047FB">
        <w:rPr>
          <w:rFonts w:ascii="Verdana" w:hAnsi="Verdana"/>
          <w:sz w:val="18"/>
          <w:szCs w:val="18"/>
          <w:lang w:val="nl-NL"/>
        </w:rPr>
        <w:t>in op verder</w:t>
      </w:r>
      <w:r w:rsidRPr="000047FB" w:rsidR="003241DE">
        <w:rPr>
          <w:rFonts w:ascii="Verdana" w:hAnsi="Verdana"/>
          <w:sz w:val="18"/>
          <w:szCs w:val="18"/>
          <w:lang w:val="nl-NL"/>
        </w:rPr>
        <w:t>e</w:t>
      </w:r>
      <w:r w:rsidRPr="000047FB">
        <w:rPr>
          <w:rFonts w:ascii="Verdana" w:hAnsi="Verdana"/>
          <w:sz w:val="18"/>
          <w:szCs w:val="18"/>
          <w:lang w:val="nl-NL"/>
        </w:rPr>
        <w:t xml:space="preserve"> professional</w:t>
      </w:r>
      <w:r w:rsidRPr="000047FB" w:rsidR="003241DE">
        <w:rPr>
          <w:rFonts w:ascii="Verdana" w:hAnsi="Verdana"/>
          <w:sz w:val="18"/>
          <w:szCs w:val="18"/>
          <w:lang w:val="nl-NL"/>
        </w:rPr>
        <w:t xml:space="preserve">isering </w:t>
      </w:r>
      <w:r w:rsidRPr="000047FB">
        <w:rPr>
          <w:rFonts w:ascii="Verdana" w:hAnsi="Verdana"/>
          <w:sz w:val="18"/>
          <w:szCs w:val="18"/>
          <w:lang w:val="nl-NL"/>
        </w:rPr>
        <w:t>van downstream-bedrijven</w:t>
      </w:r>
      <w:r w:rsidRPr="000047FB" w:rsidR="00A763C8">
        <w:rPr>
          <w:rFonts w:ascii="Verdana" w:hAnsi="Verdana"/>
          <w:sz w:val="18"/>
          <w:szCs w:val="18"/>
          <w:lang w:val="nl-NL"/>
        </w:rPr>
        <w:t xml:space="preserve"> en op stimulering van het gebruik van geo-informatie, inclusief satellietdata</w:t>
      </w:r>
      <w:r w:rsidRPr="000047FB">
        <w:rPr>
          <w:rFonts w:ascii="Verdana" w:hAnsi="Verdana"/>
          <w:sz w:val="18"/>
          <w:szCs w:val="18"/>
          <w:lang w:val="nl-NL"/>
        </w:rPr>
        <w:t>. Via de programma’s van ES</w:t>
      </w:r>
      <w:r w:rsidR="00D442ED">
        <w:rPr>
          <w:rFonts w:ascii="Verdana" w:hAnsi="Verdana"/>
          <w:sz w:val="18"/>
          <w:szCs w:val="18"/>
          <w:lang w:val="nl-NL"/>
        </w:rPr>
        <w:t xml:space="preserve">A en de EU, alsmede via het nieuwe </w:t>
      </w:r>
      <w:r w:rsidRPr="000047FB">
        <w:rPr>
          <w:rFonts w:ascii="Verdana" w:hAnsi="Verdana"/>
          <w:sz w:val="18"/>
          <w:szCs w:val="18"/>
          <w:lang w:val="nl-NL"/>
        </w:rPr>
        <w:t>SBIR-</w:t>
      </w:r>
      <w:r w:rsidR="00F47557">
        <w:rPr>
          <w:rFonts w:ascii="Verdana" w:hAnsi="Verdana"/>
          <w:sz w:val="18"/>
          <w:szCs w:val="18"/>
          <w:lang w:val="nl-NL"/>
        </w:rPr>
        <w:t xml:space="preserve">traject voor </w:t>
      </w:r>
      <w:r w:rsidRPr="000047FB">
        <w:rPr>
          <w:rFonts w:ascii="Verdana" w:hAnsi="Verdana"/>
          <w:sz w:val="18"/>
          <w:szCs w:val="18"/>
          <w:lang w:val="nl-NL"/>
        </w:rPr>
        <w:t>ruimtevaart zal de overheid bijdragen aan dit professionaliseringsproces. Tevens heeft de overheid vanuit het nationale flankerende beleid het begin 2016 opgerichte samen</w:t>
      </w:r>
      <w:r w:rsidRPr="000047FB" w:rsidR="003241DE">
        <w:rPr>
          <w:rFonts w:ascii="Verdana" w:hAnsi="Verdana"/>
          <w:sz w:val="18"/>
          <w:szCs w:val="18"/>
          <w:lang w:val="nl-NL"/>
        </w:rPr>
        <w:t>werkingsverband van downstream-</w:t>
      </w:r>
      <w:r w:rsidRPr="000047FB">
        <w:rPr>
          <w:rFonts w:ascii="Verdana" w:hAnsi="Verdana"/>
          <w:sz w:val="18"/>
          <w:szCs w:val="18"/>
          <w:lang w:val="nl-NL"/>
        </w:rPr>
        <w:t>bedrijven, NEVASCO</w:t>
      </w:r>
      <w:r w:rsidR="00EC1C34">
        <w:rPr>
          <w:rStyle w:val="Voetnootmarkering"/>
          <w:rFonts w:ascii="Verdana" w:hAnsi="Verdana"/>
          <w:sz w:val="18"/>
          <w:szCs w:val="18"/>
          <w:lang w:val="nl-NL"/>
        </w:rPr>
        <w:footnoteReference w:id="1"/>
      </w:r>
      <w:r w:rsidRPr="000047FB">
        <w:rPr>
          <w:rFonts w:ascii="Verdana" w:hAnsi="Verdana"/>
          <w:sz w:val="18"/>
          <w:szCs w:val="18"/>
          <w:lang w:val="nl-NL"/>
        </w:rPr>
        <w:t xml:space="preserve">, geholpen met een startsubsidie. </w:t>
      </w:r>
      <w:r w:rsidR="00D442ED">
        <w:rPr>
          <w:rFonts w:ascii="Verdana" w:hAnsi="Verdana"/>
          <w:sz w:val="18"/>
          <w:szCs w:val="18"/>
          <w:lang w:val="nl-NL"/>
        </w:rPr>
        <w:t>Deze bijdrage aan NEVASCO is in de tijd begrensd</w:t>
      </w:r>
      <w:r w:rsidR="003927E8">
        <w:rPr>
          <w:rFonts w:ascii="Verdana" w:hAnsi="Verdana"/>
          <w:sz w:val="18"/>
          <w:szCs w:val="18"/>
          <w:lang w:val="nl-NL"/>
        </w:rPr>
        <w:t xml:space="preserve">. </w:t>
      </w:r>
      <w:r w:rsidRPr="000047FB">
        <w:rPr>
          <w:rFonts w:ascii="Verdana" w:hAnsi="Verdana"/>
          <w:sz w:val="18"/>
          <w:szCs w:val="18"/>
          <w:lang w:val="nl-NL"/>
        </w:rPr>
        <w:t>De overheid blijf</w:t>
      </w:r>
      <w:r w:rsidR="003927E8">
        <w:rPr>
          <w:rFonts w:ascii="Verdana" w:hAnsi="Verdana"/>
          <w:sz w:val="18"/>
          <w:szCs w:val="18"/>
          <w:lang w:val="nl-NL"/>
        </w:rPr>
        <w:t>t onverminderd investere</w:t>
      </w:r>
      <w:r w:rsidRPr="000047FB">
        <w:rPr>
          <w:rFonts w:ascii="Verdana" w:hAnsi="Verdana"/>
          <w:sz w:val="18"/>
          <w:szCs w:val="18"/>
          <w:lang w:val="nl-NL"/>
        </w:rPr>
        <w:t xml:space="preserve">n </w:t>
      </w:r>
      <w:r w:rsidR="003927E8">
        <w:rPr>
          <w:rFonts w:ascii="Verdana" w:hAnsi="Verdana"/>
          <w:sz w:val="18"/>
          <w:szCs w:val="18"/>
          <w:lang w:val="nl-NL"/>
        </w:rPr>
        <w:t xml:space="preserve">in </w:t>
      </w:r>
      <w:r w:rsidRPr="000047FB">
        <w:rPr>
          <w:rFonts w:ascii="Verdana" w:hAnsi="Verdana"/>
          <w:sz w:val="18"/>
          <w:szCs w:val="18"/>
          <w:lang w:val="nl-NL"/>
        </w:rPr>
        <w:t>de innovatieve ruimtevaartprogramma’s van ESA, die resulteren in opdrachten voor Nederlandse “upstream”- en “downstream”-bedrijven</w:t>
      </w:r>
      <w:r w:rsidR="00EE095B">
        <w:rPr>
          <w:rStyle w:val="Voetnootmarkering"/>
          <w:rFonts w:ascii="Verdana" w:hAnsi="Verdana"/>
          <w:sz w:val="18"/>
          <w:szCs w:val="18"/>
          <w:lang w:val="nl-NL"/>
        </w:rPr>
        <w:footnoteReference w:id="2"/>
      </w:r>
      <w:r w:rsidRPr="000047FB">
        <w:rPr>
          <w:rFonts w:ascii="Verdana" w:hAnsi="Verdana"/>
          <w:sz w:val="18"/>
          <w:szCs w:val="18"/>
          <w:lang w:val="nl-NL"/>
        </w:rPr>
        <w:t xml:space="preserve"> en kennisinstellingen.</w:t>
      </w:r>
    </w:p>
    <w:p w:rsidR="009C356F" w:rsidP="00460324" w:rsidRDefault="009C356F">
      <w:pPr>
        <w:rPr>
          <w:rFonts w:ascii="Verdana" w:hAnsi="Verdana"/>
          <w:sz w:val="18"/>
          <w:szCs w:val="18"/>
          <w:lang w:val="nl-NL"/>
        </w:rPr>
      </w:pPr>
      <w:r>
        <w:rPr>
          <w:rFonts w:ascii="Verdana" w:hAnsi="Verdana"/>
          <w:sz w:val="18"/>
          <w:szCs w:val="18"/>
          <w:lang w:val="nl-NL"/>
        </w:rPr>
        <w:t>Wereldwijd groeit de behoefte aan diensten en producten op basis van geo-informatie, waaronder satellietdata.</w:t>
      </w:r>
      <w:r w:rsidR="00EE095B">
        <w:rPr>
          <w:rFonts w:ascii="Verdana" w:hAnsi="Verdana"/>
          <w:sz w:val="18"/>
          <w:szCs w:val="18"/>
          <w:lang w:val="nl-NL"/>
        </w:rPr>
        <w:t xml:space="preserve"> </w:t>
      </w:r>
      <w:r>
        <w:rPr>
          <w:rFonts w:ascii="Verdana" w:hAnsi="Verdana"/>
          <w:sz w:val="18"/>
          <w:szCs w:val="18"/>
          <w:lang w:val="nl-NL"/>
        </w:rPr>
        <w:t xml:space="preserve">Commerciële partijen beginnen posities op te bouwen in de ruimte op het punt van draagraketten en satellieten. </w:t>
      </w:r>
    </w:p>
    <w:p w:rsidR="009C356F" w:rsidP="008816DE" w:rsidRDefault="009C356F">
      <w:pPr>
        <w:ind w:left="426"/>
        <w:rPr>
          <w:rFonts w:ascii="Verdana" w:hAnsi="Verdana"/>
          <w:sz w:val="18"/>
          <w:szCs w:val="18"/>
          <w:lang w:val="nl-NL"/>
        </w:rPr>
      </w:pPr>
    </w:p>
    <w:p w:rsidR="00EE095B" w:rsidP="00460324" w:rsidRDefault="00EE4E1F">
      <w:pPr>
        <w:rPr>
          <w:rFonts w:ascii="Verdana" w:hAnsi="Verdana"/>
          <w:sz w:val="18"/>
          <w:szCs w:val="18"/>
          <w:lang w:val="nl-NL"/>
        </w:rPr>
      </w:pPr>
      <w:r>
        <w:rPr>
          <w:rFonts w:ascii="Verdana" w:hAnsi="Verdana"/>
          <w:sz w:val="18"/>
          <w:szCs w:val="18"/>
          <w:lang w:val="nl-NL"/>
        </w:rPr>
        <w:t>Nederland heeft veel kennis en kunde in huis om profijt te kunnen trekken van de ontwikkelingen</w:t>
      </w:r>
      <w:r w:rsidR="009C356F">
        <w:rPr>
          <w:rFonts w:ascii="Verdana" w:hAnsi="Verdana"/>
          <w:sz w:val="18"/>
          <w:szCs w:val="18"/>
          <w:lang w:val="nl-NL"/>
        </w:rPr>
        <w:t xml:space="preserve"> in de ruimtevaart. </w:t>
      </w:r>
      <w:r>
        <w:rPr>
          <w:rFonts w:ascii="Verdana" w:hAnsi="Verdana"/>
          <w:sz w:val="18"/>
          <w:szCs w:val="18"/>
          <w:lang w:val="nl-NL"/>
        </w:rPr>
        <w:t>Daarbij is te denken aan ESA-ESTEC</w:t>
      </w:r>
      <w:r>
        <w:rPr>
          <w:rStyle w:val="Voetnootmarkering"/>
          <w:rFonts w:ascii="Verdana" w:hAnsi="Verdana"/>
          <w:sz w:val="18"/>
          <w:szCs w:val="18"/>
          <w:lang w:val="nl-NL"/>
        </w:rPr>
        <w:footnoteReference w:id="3"/>
      </w:r>
      <w:r>
        <w:rPr>
          <w:rFonts w:ascii="Verdana" w:hAnsi="Verdana"/>
          <w:sz w:val="18"/>
          <w:szCs w:val="18"/>
          <w:lang w:val="nl-NL"/>
        </w:rPr>
        <w:t xml:space="preserve"> te Noordwijk, </w:t>
      </w:r>
      <w:r w:rsidRPr="000047FB">
        <w:rPr>
          <w:rFonts w:ascii="Verdana" w:hAnsi="Verdana"/>
          <w:sz w:val="18"/>
          <w:szCs w:val="18"/>
          <w:lang w:val="nl-NL"/>
        </w:rPr>
        <w:t>het ruimteonderzoe</w:t>
      </w:r>
      <w:r w:rsidR="00EE095B">
        <w:rPr>
          <w:rFonts w:ascii="Verdana" w:hAnsi="Verdana"/>
          <w:sz w:val="18"/>
          <w:szCs w:val="18"/>
          <w:lang w:val="nl-NL"/>
        </w:rPr>
        <w:t>k van de universiteiten, het KNMI, SRON</w:t>
      </w:r>
      <w:r w:rsidR="00237A13">
        <w:rPr>
          <w:rFonts w:ascii="Verdana" w:hAnsi="Verdana"/>
          <w:sz w:val="18"/>
          <w:szCs w:val="18"/>
          <w:lang w:val="nl-NL"/>
        </w:rPr>
        <w:t>, aan</w:t>
      </w:r>
      <w:r w:rsidRPr="000047FB">
        <w:rPr>
          <w:rFonts w:ascii="Verdana" w:hAnsi="Verdana"/>
          <w:sz w:val="18"/>
          <w:szCs w:val="18"/>
          <w:lang w:val="nl-NL"/>
        </w:rPr>
        <w:t xml:space="preserve"> kennisin</w:t>
      </w:r>
      <w:r w:rsidR="00237A13">
        <w:rPr>
          <w:rFonts w:ascii="Verdana" w:hAnsi="Verdana"/>
          <w:sz w:val="18"/>
          <w:szCs w:val="18"/>
          <w:lang w:val="nl-NL"/>
        </w:rPr>
        <w:t>stellingen als TNO en NLR en aan</w:t>
      </w:r>
      <w:r w:rsidRPr="000047FB">
        <w:rPr>
          <w:rFonts w:ascii="Verdana" w:hAnsi="Verdana"/>
          <w:sz w:val="18"/>
          <w:szCs w:val="18"/>
          <w:lang w:val="nl-NL"/>
        </w:rPr>
        <w:t xml:space="preserve"> tal van </w:t>
      </w:r>
      <w:r w:rsidR="00237A13">
        <w:rPr>
          <w:rFonts w:ascii="Verdana" w:hAnsi="Verdana"/>
          <w:sz w:val="18"/>
          <w:szCs w:val="18"/>
          <w:lang w:val="nl-NL"/>
        </w:rPr>
        <w:t xml:space="preserve">innovatieve </w:t>
      </w:r>
      <w:r w:rsidRPr="000047FB">
        <w:rPr>
          <w:rFonts w:ascii="Verdana" w:hAnsi="Verdana"/>
          <w:sz w:val="18"/>
          <w:szCs w:val="18"/>
          <w:lang w:val="nl-NL"/>
        </w:rPr>
        <w:t>ruimtevaartbedrijven</w:t>
      </w:r>
      <w:r w:rsidR="00237A13">
        <w:rPr>
          <w:rFonts w:ascii="Verdana" w:hAnsi="Verdana"/>
          <w:sz w:val="18"/>
          <w:szCs w:val="18"/>
          <w:lang w:val="nl-NL"/>
        </w:rPr>
        <w:t>.</w:t>
      </w:r>
      <w:r w:rsidRPr="000047FB">
        <w:rPr>
          <w:rFonts w:ascii="Verdana" w:hAnsi="Verdana"/>
          <w:sz w:val="18"/>
          <w:szCs w:val="18"/>
          <w:lang w:val="nl-NL"/>
        </w:rPr>
        <w:t xml:space="preserve"> </w:t>
      </w:r>
    </w:p>
    <w:p w:rsidR="005B3F79" w:rsidP="008816DE" w:rsidRDefault="005B3F79">
      <w:pPr>
        <w:ind w:left="426"/>
        <w:rPr>
          <w:rFonts w:ascii="Verdana" w:hAnsi="Verdana"/>
          <w:sz w:val="18"/>
          <w:szCs w:val="18"/>
          <w:lang w:val="nl-NL"/>
        </w:rPr>
      </w:pPr>
    </w:p>
    <w:p w:rsidR="00237A13" w:rsidP="00460324" w:rsidRDefault="00185197">
      <w:pPr>
        <w:rPr>
          <w:rFonts w:ascii="Verdana" w:hAnsi="Verdana"/>
          <w:sz w:val="18"/>
          <w:szCs w:val="18"/>
          <w:lang w:val="nl-NL"/>
        </w:rPr>
      </w:pPr>
      <w:r>
        <w:rPr>
          <w:rFonts w:ascii="Verdana" w:hAnsi="Verdana"/>
          <w:sz w:val="18"/>
          <w:szCs w:val="18"/>
          <w:lang w:val="nl-NL"/>
        </w:rPr>
        <w:t xml:space="preserve">Een specifiek voorbeeld van het </w:t>
      </w:r>
      <w:r w:rsidR="00237A13">
        <w:rPr>
          <w:rFonts w:ascii="Verdana" w:hAnsi="Verdana"/>
          <w:sz w:val="18"/>
          <w:szCs w:val="18"/>
          <w:lang w:val="nl-NL"/>
        </w:rPr>
        <w:t>inspelen op een nieuwe ontwikkeling</w:t>
      </w:r>
      <w:r>
        <w:rPr>
          <w:rFonts w:ascii="Verdana" w:hAnsi="Verdana"/>
          <w:sz w:val="18"/>
          <w:szCs w:val="18"/>
          <w:lang w:val="nl-NL"/>
        </w:rPr>
        <w:t xml:space="preserve"> is het volgende. M</w:t>
      </w:r>
      <w:r w:rsidR="00237A13">
        <w:rPr>
          <w:rFonts w:ascii="Verdana" w:hAnsi="Verdana"/>
          <w:sz w:val="18"/>
          <w:szCs w:val="18"/>
          <w:lang w:val="nl-NL"/>
        </w:rPr>
        <w:t>et name in de VS maar ook in Europa zijn bedrijven in toenemende mate geïnteresseerd in het exploreren en</w:t>
      </w:r>
      <w:r w:rsidR="005B3F79">
        <w:rPr>
          <w:rFonts w:ascii="Verdana" w:hAnsi="Verdana"/>
          <w:sz w:val="18"/>
          <w:szCs w:val="18"/>
          <w:lang w:val="nl-NL"/>
        </w:rPr>
        <w:t xml:space="preserve"> exploiteren van grondstoffen uit</w:t>
      </w:r>
      <w:r w:rsidR="00237A13">
        <w:rPr>
          <w:rFonts w:ascii="Verdana" w:hAnsi="Verdana"/>
          <w:sz w:val="18"/>
          <w:szCs w:val="18"/>
          <w:lang w:val="nl-NL"/>
        </w:rPr>
        <w:t xml:space="preserve"> de ruimte afkomstig van planeten, manen en asteroïden. </w:t>
      </w:r>
      <w:r>
        <w:rPr>
          <w:rFonts w:ascii="Verdana" w:hAnsi="Verdana"/>
          <w:sz w:val="18"/>
          <w:szCs w:val="18"/>
          <w:lang w:val="nl-NL"/>
        </w:rPr>
        <w:t>Bedrijven</w:t>
      </w:r>
      <w:r w:rsidR="00237A13">
        <w:rPr>
          <w:rFonts w:ascii="Verdana" w:hAnsi="Verdana"/>
          <w:sz w:val="18"/>
          <w:szCs w:val="18"/>
          <w:lang w:val="nl-NL"/>
        </w:rPr>
        <w:t xml:space="preserve"> wil</w:t>
      </w:r>
      <w:r>
        <w:rPr>
          <w:rFonts w:ascii="Verdana" w:hAnsi="Verdana"/>
          <w:sz w:val="18"/>
          <w:szCs w:val="18"/>
          <w:lang w:val="nl-NL"/>
        </w:rPr>
        <w:t>len</w:t>
      </w:r>
      <w:r w:rsidR="00237A13">
        <w:rPr>
          <w:rFonts w:ascii="Verdana" w:hAnsi="Verdana"/>
          <w:sz w:val="18"/>
          <w:szCs w:val="18"/>
          <w:lang w:val="nl-NL"/>
        </w:rPr>
        <w:t xml:space="preserve"> deze grondstoffen benutten voor projecten in de ruimte en zo mogelijk </w:t>
      </w:r>
      <w:r>
        <w:rPr>
          <w:rFonts w:ascii="Verdana" w:hAnsi="Verdana"/>
          <w:sz w:val="18"/>
          <w:szCs w:val="18"/>
          <w:lang w:val="nl-NL"/>
        </w:rPr>
        <w:t xml:space="preserve">ook </w:t>
      </w:r>
      <w:r w:rsidR="005B3F79">
        <w:rPr>
          <w:rFonts w:ascii="Verdana" w:hAnsi="Verdana"/>
          <w:sz w:val="18"/>
          <w:szCs w:val="18"/>
          <w:lang w:val="nl-NL"/>
        </w:rPr>
        <w:t>op A</w:t>
      </w:r>
      <w:r w:rsidR="00237A13">
        <w:rPr>
          <w:rFonts w:ascii="Verdana" w:hAnsi="Verdana"/>
          <w:sz w:val="18"/>
          <w:szCs w:val="18"/>
          <w:lang w:val="nl-NL"/>
        </w:rPr>
        <w:t>arde. Maar van wie zijn deze gr</w:t>
      </w:r>
      <w:r>
        <w:rPr>
          <w:rFonts w:ascii="Verdana" w:hAnsi="Verdana"/>
          <w:sz w:val="18"/>
          <w:szCs w:val="18"/>
          <w:lang w:val="nl-NL"/>
        </w:rPr>
        <w:t>ondstoffen en kunnen deze wel</w:t>
      </w:r>
      <w:r w:rsidR="00237A13">
        <w:rPr>
          <w:rFonts w:ascii="Verdana" w:hAnsi="Verdana"/>
          <w:sz w:val="18"/>
          <w:szCs w:val="18"/>
          <w:lang w:val="nl-NL"/>
        </w:rPr>
        <w:t xml:space="preserve"> door commerciële bedrijven worden geëxplo</w:t>
      </w:r>
      <w:r>
        <w:rPr>
          <w:rFonts w:ascii="Verdana" w:hAnsi="Verdana"/>
          <w:sz w:val="18"/>
          <w:szCs w:val="18"/>
          <w:lang w:val="nl-NL"/>
        </w:rPr>
        <w:t>i</w:t>
      </w:r>
      <w:r w:rsidR="00237A13">
        <w:rPr>
          <w:rFonts w:ascii="Verdana" w:hAnsi="Verdana"/>
          <w:sz w:val="18"/>
          <w:szCs w:val="18"/>
          <w:lang w:val="nl-NL"/>
        </w:rPr>
        <w:t>teerd</w:t>
      </w:r>
      <w:r>
        <w:rPr>
          <w:rFonts w:ascii="Verdana" w:hAnsi="Verdana"/>
          <w:sz w:val="18"/>
          <w:szCs w:val="18"/>
          <w:lang w:val="nl-NL"/>
        </w:rPr>
        <w:t xml:space="preserve">? En zo ja onder welke voorwaarden? De betreffende ondernemingen hebben behoefte aan heldere </w:t>
      </w:r>
      <w:r w:rsidR="00593A45">
        <w:rPr>
          <w:rFonts w:ascii="Verdana" w:hAnsi="Verdana"/>
          <w:sz w:val="18"/>
          <w:szCs w:val="18"/>
          <w:lang w:val="nl-NL"/>
        </w:rPr>
        <w:t xml:space="preserve">internationale </w:t>
      </w:r>
      <w:r>
        <w:rPr>
          <w:rFonts w:ascii="Verdana" w:hAnsi="Verdana"/>
          <w:sz w:val="18"/>
          <w:szCs w:val="18"/>
          <w:lang w:val="nl-NL"/>
        </w:rPr>
        <w:t>spelregels.</w:t>
      </w:r>
    </w:p>
    <w:p w:rsidR="00185197" w:rsidP="00460324" w:rsidRDefault="00185197">
      <w:pPr>
        <w:rPr>
          <w:rFonts w:ascii="Verdana" w:hAnsi="Verdana"/>
          <w:sz w:val="18"/>
          <w:szCs w:val="18"/>
          <w:lang w:val="nl-NL"/>
        </w:rPr>
      </w:pPr>
      <w:r>
        <w:rPr>
          <w:rFonts w:ascii="Verdana" w:hAnsi="Verdana"/>
          <w:sz w:val="18"/>
          <w:szCs w:val="18"/>
          <w:lang w:val="nl-NL"/>
        </w:rPr>
        <w:t xml:space="preserve">In Nederland bestaat veel kennis over ruimterecht. Bij de Universiteit van Leiden is het initiatief genomen om een internationale “The Hague Space Resources Governance Working Group” op te richten om te komen tot een nieuw internationaal juridisch kader voor dit soort activiteiten in de ruimte. Juridische experts van alle continenten participeren in deze werkgroep. De Nederlandse overheid ondersteunt dit initiatief proactief. Mocht in de toekomst behoefte bestaan aan een internationaal juridische instelling om eventuele conflicten te beslechten dan zou </w:t>
      </w:r>
      <w:r w:rsidR="00C773D7">
        <w:rPr>
          <w:rFonts w:ascii="Verdana" w:hAnsi="Verdana"/>
          <w:sz w:val="18"/>
          <w:szCs w:val="18"/>
          <w:lang w:val="nl-NL"/>
        </w:rPr>
        <w:t xml:space="preserve">Den Haag een logische </w:t>
      </w:r>
      <w:r>
        <w:rPr>
          <w:rFonts w:ascii="Verdana" w:hAnsi="Verdana"/>
          <w:sz w:val="18"/>
          <w:szCs w:val="18"/>
          <w:lang w:val="nl-NL"/>
        </w:rPr>
        <w:t>stad</w:t>
      </w:r>
      <w:r w:rsidR="00C773D7">
        <w:rPr>
          <w:rFonts w:ascii="Verdana" w:hAnsi="Verdana"/>
          <w:sz w:val="18"/>
          <w:szCs w:val="18"/>
          <w:lang w:val="nl-NL"/>
        </w:rPr>
        <w:t xml:space="preserve"> van vestiging</w:t>
      </w:r>
      <w:r>
        <w:rPr>
          <w:rFonts w:ascii="Verdana" w:hAnsi="Verdana"/>
          <w:sz w:val="18"/>
          <w:szCs w:val="18"/>
          <w:lang w:val="nl-NL"/>
        </w:rPr>
        <w:t xml:space="preserve"> kunnen zijn.</w:t>
      </w:r>
    </w:p>
    <w:p w:rsidRPr="000047FB" w:rsidR="000B3118" w:rsidP="008816DE" w:rsidRDefault="000B3118">
      <w:pPr>
        <w:pStyle w:val="Lijstalinea"/>
        <w:numPr>
          <w:ilvl w:val="0"/>
          <w:numId w:val="1"/>
        </w:numPr>
        <w:ind w:left="426" w:hanging="426"/>
        <w:rPr>
          <w:rFonts w:ascii="Verdana" w:hAnsi="Verdana"/>
          <w:sz w:val="18"/>
          <w:szCs w:val="18"/>
          <w:u w:val="single"/>
          <w:lang w:val="nl-NL"/>
        </w:rPr>
      </w:pPr>
      <w:r w:rsidRPr="000047FB">
        <w:rPr>
          <w:rFonts w:ascii="Verdana" w:hAnsi="Verdana"/>
          <w:sz w:val="18"/>
          <w:szCs w:val="18"/>
          <w:u w:val="single"/>
          <w:lang w:val="nl-NL"/>
        </w:rPr>
        <w:lastRenderedPageBreak/>
        <w:t xml:space="preserve">Ruimtevaart tijdens </w:t>
      </w:r>
      <w:r w:rsidR="003A4BF8">
        <w:rPr>
          <w:rFonts w:ascii="Verdana" w:hAnsi="Verdana"/>
          <w:sz w:val="18"/>
          <w:szCs w:val="18"/>
          <w:u w:val="single"/>
          <w:lang w:val="nl-NL"/>
        </w:rPr>
        <w:t>Nederlandse voorzitterschap van de Raad van Ministers van de Europese Unie</w:t>
      </w:r>
      <w:r w:rsidRPr="000047FB">
        <w:rPr>
          <w:rFonts w:ascii="Verdana" w:hAnsi="Verdana"/>
          <w:sz w:val="18"/>
          <w:szCs w:val="18"/>
          <w:u w:val="single"/>
          <w:lang w:val="nl-NL"/>
        </w:rPr>
        <w:t xml:space="preserve"> (januari – juni 2016)</w:t>
      </w:r>
      <w:r w:rsidRPr="000047FB" w:rsidR="00B874F4">
        <w:rPr>
          <w:rFonts w:ascii="Verdana" w:hAnsi="Verdana"/>
          <w:sz w:val="18"/>
          <w:szCs w:val="18"/>
          <w:u w:val="single"/>
          <w:lang w:val="nl-NL"/>
        </w:rPr>
        <w:t xml:space="preserve"> en Europese Ruimtevaartstrategie</w:t>
      </w:r>
    </w:p>
    <w:p w:rsidRPr="000047FB" w:rsidR="00A5421E" w:rsidRDefault="00A5421E">
      <w:pPr>
        <w:ind w:left="426"/>
        <w:rPr>
          <w:rFonts w:ascii="Verdana" w:hAnsi="Verdana"/>
          <w:sz w:val="18"/>
          <w:szCs w:val="18"/>
          <w:lang w:val="nl-NL"/>
        </w:rPr>
      </w:pPr>
    </w:p>
    <w:p w:rsidRPr="000047FB" w:rsidR="00D908C3" w:rsidP="00460324" w:rsidRDefault="00D908C3">
      <w:pPr>
        <w:rPr>
          <w:rFonts w:ascii="Verdana" w:hAnsi="Verdana"/>
          <w:sz w:val="18"/>
          <w:szCs w:val="18"/>
          <w:lang w:val="nl-NL"/>
        </w:rPr>
      </w:pPr>
      <w:r w:rsidRPr="000047FB">
        <w:rPr>
          <w:rFonts w:ascii="Verdana" w:hAnsi="Verdana"/>
          <w:sz w:val="18"/>
          <w:szCs w:val="18"/>
          <w:lang w:val="nl-NL"/>
        </w:rPr>
        <w:t xml:space="preserve">Tijdens het Nederlandse EU-voorzitterschap </w:t>
      </w:r>
      <w:r w:rsidR="00AA04EA">
        <w:rPr>
          <w:rFonts w:ascii="Verdana" w:hAnsi="Verdana"/>
          <w:sz w:val="18"/>
          <w:szCs w:val="18"/>
          <w:lang w:val="nl-NL"/>
        </w:rPr>
        <w:t xml:space="preserve">in de eerste helft van 2016 </w:t>
      </w:r>
      <w:r w:rsidRPr="000047FB">
        <w:rPr>
          <w:rFonts w:ascii="Verdana" w:hAnsi="Verdana"/>
          <w:sz w:val="18"/>
          <w:szCs w:val="18"/>
          <w:lang w:val="nl-NL"/>
        </w:rPr>
        <w:t>stonden de be</w:t>
      </w:r>
      <w:r w:rsidR="003918B6">
        <w:rPr>
          <w:rFonts w:ascii="Verdana" w:hAnsi="Verdana"/>
          <w:sz w:val="18"/>
          <w:szCs w:val="18"/>
          <w:lang w:val="nl-NL"/>
        </w:rPr>
        <w:t>nutting van satellietdata en de</w:t>
      </w:r>
      <w:r w:rsidRPr="000047FB">
        <w:rPr>
          <w:rFonts w:ascii="Verdana" w:hAnsi="Verdana"/>
          <w:sz w:val="18"/>
          <w:szCs w:val="18"/>
          <w:lang w:val="nl-NL"/>
        </w:rPr>
        <w:t xml:space="preserve"> versterkte samenwerking tussen de EU/Europese Commissie en ESA centraal. </w:t>
      </w:r>
    </w:p>
    <w:p w:rsidRPr="000047FB" w:rsidR="00B043DB" w:rsidP="00460324" w:rsidRDefault="00D908C3">
      <w:pPr>
        <w:rPr>
          <w:rFonts w:ascii="Verdana" w:hAnsi="Verdana"/>
          <w:sz w:val="18"/>
          <w:szCs w:val="18"/>
          <w:lang w:val="nl-NL"/>
        </w:rPr>
      </w:pPr>
      <w:r w:rsidRPr="000047FB">
        <w:rPr>
          <w:rFonts w:ascii="Verdana" w:hAnsi="Verdana"/>
          <w:sz w:val="18"/>
          <w:szCs w:val="18"/>
          <w:lang w:val="nl-NL"/>
        </w:rPr>
        <w:t xml:space="preserve">De benutting van satellietdata is als onderwerp </w:t>
      </w:r>
      <w:r w:rsidR="00AA04EA">
        <w:rPr>
          <w:rFonts w:ascii="Verdana" w:hAnsi="Verdana"/>
          <w:sz w:val="18"/>
          <w:szCs w:val="18"/>
          <w:lang w:val="nl-NL"/>
        </w:rPr>
        <w:t xml:space="preserve">behandeld </w:t>
      </w:r>
      <w:r w:rsidRPr="000047FB">
        <w:rPr>
          <w:rFonts w:ascii="Verdana" w:hAnsi="Verdana"/>
          <w:sz w:val="18"/>
          <w:szCs w:val="18"/>
          <w:lang w:val="nl-NL"/>
        </w:rPr>
        <w:t>aan de hand van een aantal thema</w:t>
      </w:r>
      <w:r w:rsidRPr="000047FB" w:rsidR="00A5421E">
        <w:rPr>
          <w:rFonts w:ascii="Verdana" w:hAnsi="Verdana"/>
          <w:sz w:val="18"/>
          <w:szCs w:val="18"/>
          <w:lang w:val="nl-NL"/>
        </w:rPr>
        <w:t>’s</w:t>
      </w:r>
      <w:r w:rsidRPr="000047FB">
        <w:rPr>
          <w:rFonts w:ascii="Verdana" w:hAnsi="Verdana"/>
          <w:sz w:val="18"/>
          <w:szCs w:val="18"/>
          <w:lang w:val="nl-NL"/>
        </w:rPr>
        <w:t xml:space="preserve"> (monitoring landbouwsubsidies, luchtkwaliteit en g</w:t>
      </w:r>
      <w:r w:rsidR="00AA04EA">
        <w:rPr>
          <w:rFonts w:ascii="Verdana" w:hAnsi="Verdana"/>
          <w:sz w:val="18"/>
          <w:szCs w:val="18"/>
          <w:lang w:val="nl-NL"/>
        </w:rPr>
        <w:t xml:space="preserve">eautomatiseerd rijden) </w:t>
      </w:r>
      <w:r w:rsidRPr="000047FB">
        <w:rPr>
          <w:rFonts w:ascii="Verdana" w:hAnsi="Verdana"/>
          <w:sz w:val="18"/>
          <w:szCs w:val="18"/>
          <w:lang w:val="nl-NL"/>
        </w:rPr>
        <w:t>in het voortraject van de Raad voor Concurrentievermogen</w:t>
      </w:r>
      <w:r w:rsidRPr="000047FB" w:rsidR="00F15462">
        <w:rPr>
          <w:rFonts w:ascii="Verdana" w:hAnsi="Verdana"/>
          <w:sz w:val="18"/>
          <w:szCs w:val="18"/>
          <w:lang w:val="nl-NL"/>
        </w:rPr>
        <w:t xml:space="preserve"> van 26 mei 2016</w:t>
      </w:r>
      <w:r w:rsidRPr="000047FB">
        <w:rPr>
          <w:rFonts w:ascii="Verdana" w:hAnsi="Verdana"/>
          <w:sz w:val="18"/>
          <w:szCs w:val="18"/>
          <w:lang w:val="nl-NL"/>
        </w:rPr>
        <w:t xml:space="preserve">. De discussie in de Raad </w:t>
      </w:r>
      <w:r w:rsidR="00AA04EA">
        <w:rPr>
          <w:rFonts w:ascii="Verdana" w:hAnsi="Verdana"/>
          <w:sz w:val="18"/>
          <w:szCs w:val="18"/>
          <w:lang w:val="nl-NL"/>
        </w:rPr>
        <w:t xml:space="preserve">zelf </w:t>
      </w:r>
      <w:r w:rsidRPr="000047FB" w:rsidR="00A5421E">
        <w:rPr>
          <w:rFonts w:ascii="Verdana" w:hAnsi="Verdana"/>
          <w:sz w:val="18"/>
          <w:szCs w:val="18"/>
          <w:lang w:val="nl-NL"/>
        </w:rPr>
        <w:t xml:space="preserve">was </w:t>
      </w:r>
      <w:r w:rsidRPr="000047FB">
        <w:rPr>
          <w:rFonts w:ascii="Verdana" w:hAnsi="Verdana"/>
          <w:sz w:val="18"/>
          <w:szCs w:val="18"/>
          <w:lang w:val="nl-NL"/>
        </w:rPr>
        <w:t xml:space="preserve">met name </w:t>
      </w:r>
      <w:r w:rsidRPr="000047FB" w:rsidR="00A5421E">
        <w:rPr>
          <w:rFonts w:ascii="Verdana" w:hAnsi="Verdana"/>
          <w:sz w:val="18"/>
          <w:szCs w:val="18"/>
          <w:lang w:val="nl-NL"/>
        </w:rPr>
        <w:t xml:space="preserve">gericht </w:t>
      </w:r>
      <w:r w:rsidRPr="000047FB" w:rsidR="00F15462">
        <w:rPr>
          <w:rFonts w:ascii="Verdana" w:hAnsi="Verdana"/>
          <w:sz w:val="18"/>
          <w:szCs w:val="18"/>
          <w:lang w:val="nl-NL"/>
        </w:rPr>
        <w:t xml:space="preserve">op </w:t>
      </w:r>
      <w:r w:rsidR="00D442ED">
        <w:rPr>
          <w:rFonts w:ascii="Verdana" w:hAnsi="Verdana"/>
          <w:sz w:val="18"/>
          <w:szCs w:val="18"/>
          <w:lang w:val="nl-NL"/>
        </w:rPr>
        <w:t>de bijdrage van ruimtevaart aan</w:t>
      </w:r>
      <w:r w:rsidRPr="000047FB" w:rsidR="00F15462">
        <w:rPr>
          <w:rFonts w:ascii="Verdana" w:hAnsi="Verdana"/>
          <w:sz w:val="18"/>
          <w:szCs w:val="18"/>
          <w:lang w:val="nl-NL"/>
        </w:rPr>
        <w:t xml:space="preserve"> het oplossen van maatschappelijke en economische </w:t>
      </w:r>
      <w:r w:rsidRPr="000047FB">
        <w:rPr>
          <w:rFonts w:ascii="Verdana" w:hAnsi="Verdana"/>
          <w:sz w:val="18"/>
          <w:szCs w:val="18"/>
          <w:lang w:val="nl-NL"/>
        </w:rPr>
        <w:t>uitdagingen</w:t>
      </w:r>
      <w:r w:rsidRPr="000047FB" w:rsidR="00F15462">
        <w:rPr>
          <w:rFonts w:ascii="Verdana" w:hAnsi="Verdana"/>
          <w:sz w:val="18"/>
          <w:szCs w:val="18"/>
          <w:lang w:val="nl-NL"/>
        </w:rPr>
        <w:t>. D</w:t>
      </w:r>
      <w:r w:rsidRPr="000047FB" w:rsidR="00A5421E">
        <w:rPr>
          <w:rFonts w:ascii="Verdana" w:hAnsi="Verdana"/>
          <w:sz w:val="18"/>
          <w:szCs w:val="18"/>
          <w:lang w:val="nl-NL"/>
        </w:rPr>
        <w:t xml:space="preserve">aarbij </w:t>
      </w:r>
      <w:r w:rsidR="003A4BF8">
        <w:rPr>
          <w:rFonts w:ascii="Verdana" w:hAnsi="Verdana"/>
          <w:sz w:val="18"/>
          <w:szCs w:val="18"/>
          <w:lang w:val="nl-NL"/>
        </w:rPr>
        <w:t>werd</w:t>
      </w:r>
      <w:r w:rsidRPr="000047FB" w:rsidR="00423115">
        <w:rPr>
          <w:rFonts w:ascii="Verdana" w:hAnsi="Verdana"/>
          <w:sz w:val="18"/>
          <w:szCs w:val="18"/>
          <w:lang w:val="nl-NL"/>
        </w:rPr>
        <w:t xml:space="preserve"> </w:t>
      </w:r>
      <w:r w:rsidRPr="000047FB" w:rsidR="00A5421E">
        <w:rPr>
          <w:rFonts w:ascii="Verdana" w:hAnsi="Verdana"/>
          <w:sz w:val="18"/>
          <w:szCs w:val="18"/>
          <w:lang w:val="nl-NL"/>
        </w:rPr>
        <w:t>een expliciete ko</w:t>
      </w:r>
      <w:r w:rsidRPr="000047FB" w:rsidR="006B10F0">
        <w:rPr>
          <w:rFonts w:ascii="Verdana" w:hAnsi="Verdana"/>
          <w:sz w:val="18"/>
          <w:szCs w:val="18"/>
          <w:lang w:val="nl-NL"/>
        </w:rPr>
        <w:t>p</w:t>
      </w:r>
      <w:r w:rsidRPr="000047FB" w:rsidR="00A5421E">
        <w:rPr>
          <w:rFonts w:ascii="Verdana" w:hAnsi="Verdana"/>
          <w:sz w:val="18"/>
          <w:szCs w:val="18"/>
          <w:lang w:val="nl-NL"/>
        </w:rPr>
        <w:t>peling naar de nieuw</w:t>
      </w:r>
      <w:r w:rsidRPr="000047FB" w:rsidR="00B043DB">
        <w:rPr>
          <w:rFonts w:ascii="Verdana" w:hAnsi="Verdana"/>
          <w:sz w:val="18"/>
          <w:szCs w:val="18"/>
          <w:lang w:val="nl-NL"/>
        </w:rPr>
        <w:t xml:space="preserve">e </w:t>
      </w:r>
      <w:r w:rsidRPr="000047FB" w:rsidR="00423115">
        <w:rPr>
          <w:rFonts w:ascii="Verdana" w:hAnsi="Verdana"/>
          <w:sz w:val="18"/>
          <w:szCs w:val="18"/>
          <w:lang w:val="nl-NL"/>
        </w:rPr>
        <w:t>Europese ruimtevaartstrategie</w:t>
      </w:r>
      <w:r w:rsidRPr="000047FB" w:rsidR="00B043DB">
        <w:rPr>
          <w:rFonts w:ascii="Verdana" w:hAnsi="Verdana"/>
          <w:sz w:val="18"/>
          <w:szCs w:val="18"/>
          <w:lang w:val="nl-NL"/>
        </w:rPr>
        <w:t xml:space="preserve"> gelegd</w:t>
      </w:r>
      <w:r w:rsidR="007A0BE9">
        <w:rPr>
          <w:rFonts w:ascii="Verdana" w:hAnsi="Verdana"/>
          <w:sz w:val="18"/>
          <w:szCs w:val="18"/>
          <w:lang w:val="nl-NL"/>
        </w:rPr>
        <w:t>, die</w:t>
      </w:r>
      <w:r w:rsidR="00D442ED">
        <w:rPr>
          <w:rFonts w:ascii="Verdana" w:hAnsi="Verdana"/>
          <w:sz w:val="18"/>
          <w:szCs w:val="18"/>
          <w:lang w:val="nl-NL"/>
        </w:rPr>
        <w:t xml:space="preserve"> recent</w:t>
      </w:r>
      <w:r w:rsidR="007A0BE9">
        <w:rPr>
          <w:rFonts w:ascii="Verdana" w:hAnsi="Verdana"/>
          <w:sz w:val="18"/>
          <w:szCs w:val="18"/>
          <w:lang w:val="nl-NL"/>
        </w:rPr>
        <w:t xml:space="preserve"> </w:t>
      </w:r>
      <w:r w:rsidR="001C05AD">
        <w:rPr>
          <w:rFonts w:ascii="Verdana" w:hAnsi="Verdana"/>
          <w:sz w:val="18"/>
          <w:szCs w:val="18"/>
          <w:lang w:val="nl-NL"/>
        </w:rPr>
        <w:t>op 26</w:t>
      </w:r>
      <w:r w:rsidR="00AA04EA">
        <w:rPr>
          <w:rFonts w:ascii="Verdana" w:hAnsi="Verdana"/>
          <w:sz w:val="18"/>
          <w:szCs w:val="18"/>
          <w:lang w:val="nl-NL"/>
        </w:rPr>
        <w:t xml:space="preserve"> oktober 2016 door de Europese Co</w:t>
      </w:r>
      <w:r w:rsidR="001C05AD">
        <w:rPr>
          <w:rFonts w:ascii="Verdana" w:hAnsi="Verdana"/>
          <w:sz w:val="18"/>
          <w:szCs w:val="18"/>
          <w:lang w:val="nl-NL"/>
        </w:rPr>
        <w:t>mmissie is</w:t>
      </w:r>
      <w:r w:rsidR="00095D08">
        <w:rPr>
          <w:rFonts w:ascii="Verdana" w:hAnsi="Verdana"/>
          <w:sz w:val="18"/>
          <w:szCs w:val="18"/>
          <w:lang w:val="nl-NL"/>
        </w:rPr>
        <w:t xml:space="preserve"> gepubliceerd</w:t>
      </w:r>
      <w:r w:rsidRPr="000047FB" w:rsidR="00B043DB">
        <w:rPr>
          <w:rFonts w:ascii="Verdana" w:hAnsi="Verdana"/>
          <w:sz w:val="18"/>
          <w:szCs w:val="18"/>
          <w:lang w:val="nl-NL"/>
        </w:rPr>
        <w:t xml:space="preserve">. </w:t>
      </w:r>
      <w:r w:rsidRPr="000047FB" w:rsidR="00A5421E">
        <w:rPr>
          <w:rFonts w:ascii="Verdana" w:hAnsi="Verdana"/>
          <w:sz w:val="18"/>
          <w:szCs w:val="18"/>
          <w:lang w:val="nl-NL"/>
        </w:rPr>
        <w:t xml:space="preserve">Tevens is in Den Haag </w:t>
      </w:r>
      <w:r w:rsidR="00095D08">
        <w:rPr>
          <w:rFonts w:ascii="Verdana" w:hAnsi="Verdana"/>
          <w:sz w:val="18"/>
          <w:szCs w:val="18"/>
          <w:lang w:val="nl-NL"/>
        </w:rPr>
        <w:t xml:space="preserve">van 30 mei tot en met 3 juni 2016 </w:t>
      </w:r>
      <w:r w:rsidRPr="000047FB" w:rsidR="00B043DB">
        <w:rPr>
          <w:rFonts w:ascii="Verdana" w:hAnsi="Verdana"/>
          <w:sz w:val="18"/>
          <w:szCs w:val="18"/>
          <w:lang w:val="nl-NL"/>
        </w:rPr>
        <w:t xml:space="preserve">een grootschalige conferentie </w:t>
      </w:r>
      <w:r w:rsidRPr="000047FB" w:rsidR="00A5421E">
        <w:rPr>
          <w:rFonts w:ascii="Verdana" w:hAnsi="Verdana"/>
          <w:sz w:val="18"/>
          <w:szCs w:val="18"/>
          <w:lang w:val="nl-NL"/>
        </w:rPr>
        <w:t xml:space="preserve">georganiseerd </w:t>
      </w:r>
      <w:r w:rsidRPr="000047FB" w:rsidR="00B043DB">
        <w:rPr>
          <w:rFonts w:ascii="Verdana" w:hAnsi="Verdana"/>
          <w:sz w:val="18"/>
          <w:szCs w:val="18"/>
          <w:lang w:val="nl-NL"/>
        </w:rPr>
        <w:t xml:space="preserve">over oplossingen die de ruimtevaart kan bieden voor </w:t>
      </w:r>
      <w:r w:rsidRPr="000047FB" w:rsidR="00A5421E">
        <w:rPr>
          <w:rFonts w:ascii="Verdana" w:hAnsi="Verdana"/>
          <w:sz w:val="18"/>
          <w:szCs w:val="18"/>
          <w:lang w:val="nl-NL"/>
        </w:rPr>
        <w:t xml:space="preserve">diverse </w:t>
      </w:r>
      <w:r w:rsidRPr="000047FB" w:rsidR="00B043DB">
        <w:rPr>
          <w:rFonts w:ascii="Verdana" w:hAnsi="Verdana"/>
          <w:sz w:val="18"/>
          <w:szCs w:val="18"/>
          <w:lang w:val="nl-NL"/>
        </w:rPr>
        <w:t>maatschappelijk</w:t>
      </w:r>
      <w:r w:rsidRPr="000047FB" w:rsidR="00423115">
        <w:rPr>
          <w:rFonts w:ascii="Verdana" w:hAnsi="Verdana"/>
          <w:sz w:val="18"/>
          <w:szCs w:val="18"/>
          <w:lang w:val="nl-NL"/>
        </w:rPr>
        <w:t>e en economische</w:t>
      </w:r>
      <w:r w:rsidRPr="000047FB" w:rsidR="00B043DB">
        <w:rPr>
          <w:rFonts w:ascii="Verdana" w:hAnsi="Verdana"/>
          <w:sz w:val="18"/>
          <w:szCs w:val="18"/>
          <w:lang w:val="nl-NL"/>
        </w:rPr>
        <w:t xml:space="preserve"> uitdagingen. </w:t>
      </w:r>
      <w:r w:rsidR="001C05AD">
        <w:rPr>
          <w:rFonts w:ascii="Verdana" w:hAnsi="Verdana"/>
          <w:sz w:val="18"/>
          <w:szCs w:val="18"/>
          <w:lang w:val="nl-NL"/>
        </w:rPr>
        <w:t>Daaraan namen circa 1400 de</w:t>
      </w:r>
      <w:r w:rsidR="00593A45">
        <w:rPr>
          <w:rFonts w:ascii="Verdana" w:hAnsi="Verdana"/>
          <w:sz w:val="18"/>
          <w:szCs w:val="18"/>
          <w:lang w:val="nl-NL"/>
        </w:rPr>
        <w:t>skundigen deel uit Europa en</w:t>
      </w:r>
      <w:r w:rsidR="001C05AD">
        <w:rPr>
          <w:rFonts w:ascii="Verdana" w:hAnsi="Verdana"/>
          <w:sz w:val="18"/>
          <w:szCs w:val="18"/>
          <w:lang w:val="nl-NL"/>
        </w:rPr>
        <w:t xml:space="preserve"> landen daarbuiten.</w:t>
      </w:r>
    </w:p>
    <w:p w:rsidR="00095D08" w:rsidP="008816DE" w:rsidRDefault="00095D08">
      <w:pPr>
        <w:ind w:left="426"/>
        <w:rPr>
          <w:rFonts w:ascii="Verdana" w:hAnsi="Verdana"/>
          <w:sz w:val="18"/>
          <w:szCs w:val="18"/>
          <w:lang w:val="nl-NL"/>
        </w:rPr>
      </w:pPr>
    </w:p>
    <w:p w:rsidRPr="000047FB" w:rsidR="00B043DB" w:rsidP="00460324" w:rsidRDefault="00A5421E">
      <w:pPr>
        <w:rPr>
          <w:rFonts w:ascii="Verdana" w:hAnsi="Verdana"/>
          <w:sz w:val="18"/>
          <w:szCs w:val="18"/>
          <w:lang w:val="nl-NL"/>
        </w:rPr>
      </w:pPr>
      <w:r w:rsidRPr="000047FB">
        <w:rPr>
          <w:rFonts w:ascii="Verdana" w:hAnsi="Verdana"/>
          <w:sz w:val="18"/>
          <w:szCs w:val="18"/>
          <w:lang w:val="nl-NL"/>
        </w:rPr>
        <w:t>De</w:t>
      </w:r>
      <w:r w:rsidRPr="000047FB" w:rsidR="00B043DB">
        <w:rPr>
          <w:rFonts w:ascii="Verdana" w:hAnsi="Verdana"/>
          <w:sz w:val="18"/>
          <w:szCs w:val="18"/>
          <w:lang w:val="nl-NL"/>
        </w:rPr>
        <w:t xml:space="preserve"> wens tot versterkte samenwerking tussen de Commissie en E</w:t>
      </w:r>
      <w:r w:rsidRPr="000047FB">
        <w:rPr>
          <w:rFonts w:ascii="Verdana" w:hAnsi="Verdana"/>
          <w:sz w:val="18"/>
          <w:szCs w:val="18"/>
          <w:lang w:val="nl-NL"/>
        </w:rPr>
        <w:t>SA is een terugkerende wens van</w:t>
      </w:r>
      <w:r w:rsidRPr="000047FB" w:rsidR="00B043DB">
        <w:rPr>
          <w:rFonts w:ascii="Verdana" w:hAnsi="Verdana"/>
          <w:sz w:val="18"/>
          <w:szCs w:val="18"/>
          <w:lang w:val="nl-NL"/>
        </w:rPr>
        <w:t xml:space="preserve"> Nederland</w:t>
      </w:r>
      <w:r w:rsidRPr="000047FB" w:rsidR="00423115">
        <w:rPr>
          <w:rFonts w:ascii="Verdana" w:hAnsi="Verdana"/>
          <w:sz w:val="18"/>
          <w:szCs w:val="18"/>
          <w:lang w:val="nl-NL"/>
        </w:rPr>
        <w:t>. Het ministerie van Economische zaken</w:t>
      </w:r>
      <w:r w:rsidRPr="000047FB" w:rsidR="00B043DB">
        <w:rPr>
          <w:rFonts w:ascii="Verdana" w:hAnsi="Verdana"/>
          <w:sz w:val="18"/>
          <w:szCs w:val="18"/>
          <w:lang w:val="nl-NL"/>
        </w:rPr>
        <w:t xml:space="preserve"> heeft tijdens het EU-voorzitterschap </w:t>
      </w:r>
      <w:r w:rsidR="00095D08">
        <w:rPr>
          <w:rFonts w:ascii="Verdana" w:hAnsi="Verdana"/>
          <w:sz w:val="18"/>
          <w:szCs w:val="18"/>
          <w:lang w:val="nl-NL"/>
        </w:rPr>
        <w:t xml:space="preserve">op 30 mei 2016 </w:t>
      </w:r>
      <w:r w:rsidRPr="000047FB" w:rsidR="00B043DB">
        <w:rPr>
          <w:rFonts w:ascii="Verdana" w:hAnsi="Verdana"/>
          <w:sz w:val="18"/>
          <w:szCs w:val="18"/>
          <w:lang w:val="nl-NL"/>
        </w:rPr>
        <w:t>een informele ministeriële bijeenko</w:t>
      </w:r>
      <w:r w:rsidRPr="000047FB" w:rsidR="00423115">
        <w:rPr>
          <w:rFonts w:ascii="Verdana" w:hAnsi="Verdana"/>
          <w:sz w:val="18"/>
          <w:szCs w:val="18"/>
          <w:lang w:val="nl-NL"/>
        </w:rPr>
        <w:t>mst georganiseerd waarbij de EU- en de</w:t>
      </w:r>
      <w:r w:rsidRPr="000047FB" w:rsidR="00B043DB">
        <w:rPr>
          <w:rFonts w:ascii="Verdana" w:hAnsi="Verdana"/>
          <w:sz w:val="18"/>
          <w:szCs w:val="18"/>
          <w:lang w:val="nl-NL"/>
        </w:rPr>
        <w:t xml:space="preserve"> ESA-lidstaten waren uitgenodigd, evenals de Eurocommissaris </w:t>
      </w:r>
      <w:r w:rsidRPr="000047FB">
        <w:rPr>
          <w:rFonts w:ascii="Verdana" w:hAnsi="Verdana"/>
          <w:sz w:val="18"/>
          <w:szCs w:val="18"/>
          <w:lang w:val="nl-NL"/>
        </w:rPr>
        <w:t xml:space="preserve">verantwoordelijk voor </w:t>
      </w:r>
      <w:r w:rsidR="00095D08">
        <w:rPr>
          <w:rFonts w:ascii="Verdana" w:hAnsi="Verdana"/>
          <w:sz w:val="18"/>
          <w:szCs w:val="18"/>
          <w:lang w:val="nl-NL"/>
        </w:rPr>
        <w:t xml:space="preserve">het </w:t>
      </w:r>
      <w:r w:rsidRPr="000047FB">
        <w:rPr>
          <w:rFonts w:ascii="Verdana" w:hAnsi="Verdana"/>
          <w:sz w:val="18"/>
          <w:szCs w:val="18"/>
          <w:lang w:val="nl-NL"/>
        </w:rPr>
        <w:t xml:space="preserve">ruimtevaartbeleid </w:t>
      </w:r>
      <w:r w:rsidRPr="000047FB" w:rsidR="00B043DB">
        <w:rPr>
          <w:rFonts w:ascii="Verdana" w:hAnsi="Verdana"/>
          <w:sz w:val="18"/>
          <w:szCs w:val="18"/>
          <w:lang w:val="nl-NL"/>
        </w:rPr>
        <w:t xml:space="preserve">en </w:t>
      </w:r>
      <w:r w:rsidRPr="000047FB">
        <w:rPr>
          <w:rFonts w:ascii="Verdana" w:hAnsi="Verdana"/>
          <w:sz w:val="18"/>
          <w:szCs w:val="18"/>
          <w:lang w:val="nl-NL"/>
        </w:rPr>
        <w:t xml:space="preserve">de </w:t>
      </w:r>
      <w:r w:rsidR="007A0BE9">
        <w:rPr>
          <w:rFonts w:ascii="Verdana" w:hAnsi="Verdana"/>
          <w:sz w:val="18"/>
          <w:szCs w:val="18"/>
          <w:lang w:val="nl-NL"/>
        </w:rPr>
        <w:t>Directeur-G</w:t>
      </w:r>
      <w:r w:rsidR="00095D08">
        <w:rPr>
          <w:rFonts w:ascii="Verdana" w:hAnsi="Verdana"/>
          <w:sz w:val="18"/>
          <w:szCs w:val="18"/>
          <w:lang w:val="nl-NL"/>
        </w:rPr>
        <w:t>eneraal van</w:t>
      </w:r>
      <w:r w:rsidRPr="000047FB" w:rsidR="00B043DB">
        <w:rPr>
          <w:rFonts w:ascii="Verdana" w:hAnsi="Verdana"/>
          <w:sz w:val="18"/>
          <w:szCs w:val="18"/>
          <w:lang w:val="nl-NL"/>
        </w:rPr>
        <w:t xml:space="preserve"> ESA. Ook hierbij </w:t>
      </w:r>
      <w:r w:rsidRPr="000047FB" w:rsidR="00B23562">
        <w:rPr>
          <w:rFonts w:ascii="Verdana" w:hAnsi="Verdana"/>
          <w:sz w:val="18"/>
          <w:szCs w:val="18"/>
          <w:lang w:val="nl-NL"/>
        </w:rPr>
        <w:t>was</w:t>
      </w:r>
      <w:r w:rsidRPr="000047FB" w:rsidR="00423115">
        <w:rPr>
          <w:rFonts w:ascii="Verdana" w:hAnsi="Verdana"/>
          <w:sz w:val="18"/>
          <w:szCs w:val="18"/>
          <w:lang w:val="nl-NL"/>
        </w:rPr>
        <w:t xml:space="preserve"> de geplan</w:t>
      </w:r>
      <w:r w:rsidRPr="000047FB" w:rsidR="00B043DB">
        <w:rPr>
          <w:rFonts w:ascii="Verdana" w:hAnsi="Verdana"/>
          <w:sz w:val="18"/>
          <w:szCs w:val="18"/>
          <w:lang w:val="nl-NL"/>
        </w:rPr>
        <w:t xml:space="preserve">de Europese ruimtevaartstrategie </w:t>
      </w:r>
      <w:r w:rsidRPr="000047FB" w:rsidR="00B23562">
        <w:rPr>
          <w:rFonts w:ascii="Verdana" w:hAnsi="Verdana"/>
          <w:sz w:val="18"/>
          <w:szCs w:val="18"/>
          <w:lang w:val="nl-NL"/>
        </w:rPr>
        <w:t>onderwerp van discussie. Er is zowel vanuit de Europese Commissie als vanuit ESA toegezegd dat dit een gedeelde</w:t>
      </w:r>
      <w:r w:rsidRPr="000047FB">
        <w:rPr>
          <w:rFonts w:ascii="Verdana" w:hAnsi="Verdana"/>
          <w:sz w:val="18"/>
          <w:szCs w:val="18"/>
          <w:lang w:val="nl-NL"/>
        </w:rPr>
        <w:t xml:space="preserve"> EU-/ESA-</w:t>
      </w:r>
      <w:r w:rsidRPr="000047FB" w:rsidR="00B23562">
        <w:rPr>
          <w:rFonts w:ascii="Verdana" w:hAnsi="Verdana"/>
          <w:sz w:val="18"/>
          <w:szCs w:val="18"/>
          <w:lang w:val="nl-NL"/>
        </w:rPr>
        <w:t xml:space="preserve">strategie </w:t>
      </w:r>
      <w:r w:rsidR="00095D08">
        <w:rPr>
          <w:rFonts w:ascii="Verdana" w:hAnsi="Verdana"/>
          <w:sz w:val="18"/>
          <w:szCs w:val="18"/>
          <w:lang w:val="nl-NL"/>
        </w:rPr>
        <w:t>zal worden</w:t>
      </w:r>
      <w:r w:rsidRPr="000047FB">
        <w:rPr>
          <w:rFonts w:ascii="Verdana" w:hAnsi="Verdana"/>
          <w:sz w:val="18"/>
          <w:szCs w:val="18"/>
          <w:lang w:val="nl-NL"/>
        </w:rPr>
        <w:t>.</w:t>
      </w:r>
      <w:r w:rsidRPr="000047FB" w:rsidR="00B23562">
        <w:rPr>
          <w:rFonts w:ascii="Verdana" w:hAnsi="Verdana"/>
          <w:sz w:val="18"/>
          <w:szCs w:val="18"/>
          <w:lang w:val="nl-NL"/>
        </w:rPr>
        <w:t xml:space="preserve"> </w:t>
      </w:r>
      <w:r w:rsidRPr="000047FB">
        <w:rPr>
          <w:rFonts w:ascii="Verdana" w:hAnsi="Verdana"/>
          <w:sz w:val="18"/>
          <w:szCs w:val="18"/>
          <w:lang w:val="nl-NL"/>
        </w:rPr>
        <w:t>Daarmee is</w:t>
      </w:r>
      <w:r w:rsidRPr="000047FB" w:rsidR="00B23562">
        <w:rPr>
          <w:rFonts w:ascii="Verdana" w:hAnsi="Verdana"/>
          <w:sz w:val="18"/>
          <w:szCs w:val="18"/>
          <w:lang w:val="nl-NL"/>
        </w:rPr>
        <w:t xml:space="preserve"> tijdens het Nederlandse EU-voo</w:t>
      </w:r>
      <w:r w:rsidRPr="000047FB">
        <w:rPr>
          <w:rFonts w:ascii="Verdana" w:hAnsi="Verdana"/>
          <w:sz w:val="18"/>
          <w:szCs w:val="18"/>
          <w:lang w:val="nl-NL"/>
        </w:rPr>
        <w:t>rzitter</w:t>
      </w:r>
      <w:r w:rsidR="003A4BF8">
        <w:rPr>
          <w:rFonts w:ascii="Verdana" w:hAnsi="Verdana"/>
          <w:sz w:val="18"/>
          <w:szCs w:val="18"/>
          <w:lang w:val="nl-NL"/>
        </w:rPr>
        <w:t>schap een stevige stap gezet naa</w:t>
      </w:r>
      <w:r w:rsidR="007A0BE9">
        <w:rPr>
          <w:rFonts w:ascii="Verdana" w:hAnsi="Verdana"/>
          <w:sz w:val="18"/>
          <w:szCs w:val="18"/>
          <w:lang w:val="nl-NL"/>
        </w:rPr>
        <w:t>r het verwezenlijken</w:t>
      </w:r>
      <w:r w:rsidRPr="000047FB">
        <w:rPr>
          <w:rFonts w:ascii="Verdana" w:hAnsi="Verdana"/>
          <w:sz w:val="18"/>
          <w:szCs w:val="18"/>
          <w:lang w:val="nl-NL"/>
        </w:rPr>
        <w:t xml:space="preserve"> van de beoogde</w:t>
      </w:r>
      <w:r w:rsidRPr="000047FB" w:rsidR="00B23562">
        <w:rPr>
          <w:rFonts w:ascii="Verdana" w:hAnsi="Verdana"/>
          <w:sz w:val="18"/>
          <w:szCs w:val="18"/>
          <w:lang w:val="nl-NL"/>
        </w:rPr>
        <w:t xml:space="preserve"> versterkte samenwerkin</w:t>
      </w:r>
      <w:r w:rsidRPr="000047FB">
        <w:rPr>
          <w:rFonts w:ascii="Verdana" w:hAnsi="Verdana"/>
          <w:sz w:val="18"/>
          <w:szCs w:val="18"/>
          <w:lang w:val="nl-NL"/>
        </w:rPr>
        <w:t>g tussen beide Europese instellingen</w:t>
      </w:r>
      <w:r w:rsidRPr="000047FB" w:rsidR="00B23562">
        <w:rPr>
          <w:rFonts w:ascii="Verdana" w:hAnsi="Verdana"/>
          <w:sz w:val="18"/>
          <w:szCs w:val="18"/>
          <w:lang w:val="nl-NL"/>
        </w:rPr>
        <w:t xml:space="preserve">. </w:t>
      </w:r>
    </w:p>
    <w:p w:rsidR="00095D08" w:rsidP="00460324" w:rsidRDefault="00BD2B7F">
      <w:pPr>
        <w:rPr>
          <w:rFonts w:ascii="Verdana" w:hAnsi="Verdana"/>
          <w:sz w:val="18"/>
          <w:szCs w:val="18"/>
          <w:lang w:val="nl-NL"/>
        </w:rPr>
      </w:pPr>
      <w:r w:rsidRPr="000047FB">
        <w:rPr>
          <w:rFonts w:ascii="Verdana" w:hAnsi="Verdana"/>
          <w:sz w:val="18"/>
          <w:szCs w:val="18"/>
          <w:lang w:val="nl-NL"/>
        </w:rPr>
        <w:t xml:space="preserve">De conclusies die getrokken zijn door het Nederlandse EU-voorzitterschap tijdens de Raad van </w:t>
      </w:r>
      <w:r w:rsidRPr="000047FB" w:rsidR="00423115">
        <w:rPr>
          <w:rFonts w:ascii="Verdana" w:hAnsi="Verdana"/>
          <w:sz w:val="18"/>
          <w:szCs w:val="18"/>
          <w:lang w:val="nl-NL"/>
        </w:rPr>
        <w:t>Concurrentievermogen</w:t>
      </w:r>
      <w:r w:rsidRPr="000047FB">
        <w:rPr>
          <w:rFonts w:ascii="Verdana" w:hAnsi="Verdana"/>
          <w:sz w:val="18"/>
          <w:szCs w:val="18"/>
          <w:lang w:val="nl-NL"/>
        </w:rPr>
        <w:t>, de informele mini</w:t>
      </w:r>
      <w:r w:rsidRPr="000047FB" w:rsidR="00B661D4">
        <w:rPr>
          <w:rFonts w:ascii="Verdana" w:hAnsi="Verdana"/>
          <w:sz w:val="18"/>
          <w:szCs w:val="18"/>
          <w:lang w:val="nl-NL"/>
        </w:rPr>
        <w:t>stersbijeenkomst voor EU- en ESA</w:t>
      </w:r>
      <w:r w:rsidR="00095D08">
        <w:rPr>
          <w:rFonts w:ascii="Verdana" w:hAnsi="Verdana"/>
          <w:sz w:val="18"/>
          <w:szCs w:val="18"/>
          <w:lang w:val="nl-NL"/>
        </w:rPr>
        <w:t xml:space="preserve">-ruimtevaartministers </w:t>
      </w:r>
      <w:r w:rsidRPr="000047FB">
        <w:rPr>
          <w:rFonts w:ascii="Verdana" w:hAnsi="Verdana"/>
          <w:sz w:val="18"/>
          <w:szCs w:val="18"/>
          <w:lang w:val="nl-NL"/>
        </w:rPr>
        <w:t xml:space="preserve">en </w:t>
      </w:r>
      <w:r w:rsidRPr="000047FB" w:rsidR="006B10F0">
        <w:rPr>
          <w:rFonts w:ascii="Verdana" w:hAnsi="Verdana"/>
          <w:sz w:val="18"/>
          <w:szCs w:val="18"/>
          <w:lang w:val="nl-NL"/>
        </w:rPr>
        <w:t>de Europese conferentie over de benutting van satellietda</w:t>
      </w:r>
      <w:r w:rsidRPr="000047FB" w:rsidR="00423115">
        <w:rPr>
          <w:rFonts w:ascii="Verdana" w:hAnsi="Verdana"/>
          <w:sz w:val="18"/>
          <w:szCs w:val="18"/>
          <w:lang w:val="nl-NL"/>
        </w:rPr>
        <w:t>ta-toepass</w:t>
      </w:r>
      <w:r w:rsidR="00095D08">
        <w:rPr>
          <w:rFonts w:ascii="Verdana" w:hAnsi="Verdana"/>
          <w:sz w:val="18"/>
          <w:szCs w:val="18"/>
          <w:lang w:val="nl-NL"/>
        </w:rPr>
        <w:t>ingen</w:t>
      </w:r>
      <w:r w:rsidRPr="000047FB" w:rsidR="006B10F0">
        <w:rPr>
          <w:rFonts w:ascii="Verdana" w:hAnsi="Verdana"/>
          <w:sz w:val="18"/>
          <w:szCs w:val="18"/>
          <w:lang w:val="nl-NL"/>
        </w:rPr>
        <w:t xml:space="preserve"> zijn neergelegd in het “The Hague Manifesto” (zie bijlage 1).</w:t>
      </w:r>
      <w:r w:rsidRPr="000047FB" w:rsidR="00A763C8">
        <w:rPr>
          <w:rFonts w:ascii="Verdana" w:hAnsi="Verdana"/>
          <w:sz w:val="18"/>
          <w:szCs w:val="18"/>
          <w:lang w:val="nl-NL"/>
        </w:rPr>
        <w:t xml:space="preserve"> </w:t>
      </w:r>
    </w:p>
    <w:p w:rsidRPr="000047FB" w:rsidR="00BD2B7F" w:rsidP="00460324" w:rsidRDefault="00A763C8">
      <w:pPr>
        <w:rPr>
          <w:rFonts w:ascii="Verdana" w:hAnsi="Verdana"/>
          <w:sz w:val="18"/>
          <w:szCs w:val="18"/>
          <w:lang w:val="nl-NL"/>
        </w:rPr>
      </w:pPr>
      <w:r w:rsidRPr="000047FB">
        <w:rPr>
          <w:rFonts w:ascii="Verdana" w:hAnsi="Verdana"/>
          <w:sz w:val="18"/>
          <w:szCs w:val="18"/>
          <w:lang w:val="nl-NL"/>
        </w:rPr>
        <w:t>Tijdens de conferentie is door Nederland de overeenkomst getekend met de EU en de Europese GNSS Autoriteit voor de vestiging van het Galileo Refer</w:t>
      </w:r>
      <w:r w:rsidR="003A4BF8">
        <w:rPr>
          <w:rFonts w:ascii="Verdana" w:hAnsi="Verdana"/>
          <w:sz w:val="18"/>
          <w:szCs w:val="18"/>
          <w:lang w:val="nl-NL"/>
        </w:rPr>
        <w:t>e</w:t>
      </w:r>
      <w:r w:rsidRPr="000047FB">
        <w:rPr>
          <w:rFonts w:ascii="Verdana" w:hAnsi="Verdana"/>
          <w:sz w:val="18"/>
          <w:szCs w:val="18"/>
          <w:lang w:val="nl-NL"/>
        </w:rPr>
        <w:t>nce center te Noordwijk.</w:t>
      </w:r>
    </w:p>
    <w:p w:rsidRPr="000047FB" w:rsidR="00B23562" w:rsidP="008816DE" w:rsidRDefault="00B23562">
      <w:pPr>
        <w:ind w:left="426"/>
        <w:rPr>
          <w:rFonts w:ascii="Verdana" w:hAnsi="Verdana"/>
          <w:sz w:val="18"/>
          <w:szCs w:val="18"/>
          <w:lang w:val="nl-NL"/>
        </w:rPr>
      </w:pPr>
    </w:p>
    <w:p w:rsidR="00B043DB" w:rsidP="00460324" w:rsidRDefault="00B043DB">
      <w:pPr>
        <w:rPr>
          <w:rFonts w:ascii="Verdana" w:hAnsi="Verdana"/>
          <w:sz w:val="18"/>
          <w:szCs w:val="18"/>
          <w:lang w:val="nl-NL"/>
        </w:rPr>
      </w:pPr>
      <w:r w:rsidRPr="000047FB">
        <w:rPr>
          <w:rFonts w:ascii="Verdana" w:hAnsi="Verdana"/>
          <w:sz w:val="18"/>
          <w:szCs w:val="18"/>
          <w:lang w:val="nl-NL"/>
        </w:rPr>
        <w:t xml:space="preserve">De </w:t>
      </w:r>
      <w:r w:rsidR="00095D08">
        <w:rPr>
          <w:rFonts w:ascii="Verdana" w:hAnsi="Verdana"/>
          <w:sz w:val="18"/>
          <w:szCs w:val="18"/>
          <w:lang w:val="nl-NL"/>
        </w:rPr>
        <w:t xml:space="preserve">Europese </w:t>
      </w:r>
      <w:r w:rsidR="001C05AD">
        <w:rPr>
          <w:rFonts w:ascii="Verdana" w:hAnsi="Verdana"/>
          <w:sz w:val="18"/>
          <w:szCs w:val="18"/>
          <w:lang w:val="nl-NL"/>
        </w:rPr>
        <w:t xml:space="preserve">Commissie heeft op 26 oktober 2016 </w:t>
      </w:r>
      <w:r w:rsidRPr="000047FB">
        <w:rPr>
          <w:rFonts w:ascii="Verdana" w:hAnsi="Verdana"/>
          <w:sz w:val="18"/>
          <w:szCs w:val="18"/>
          <w:lang w:val="nl-NL"/>
        </w:rPr>
        <w:t xml:space="preserve">een </w:t>
      </w:r>
      <w:r w:rsidRPr="000047FB" w:rsidR="00A5421E">
        <w:rPr>
          <w:rFonts w:ascii="Verdana" w:hAnsi="Verdana"/>
          <w:sz w:val="18"/>
          <w:szCs w:val="18"/>
          <w:lang w:val="nl-NL"/>
        </w:rPr>
        <w:t xml:space="preserve">nieuwe </w:t>
      </w:r>
      <w:r w:rsidRPr="000047FB">
        <w:rPr>
          <w:rFonts w:ascii="Verdana" w:hAnsi="Verdana"/>
          <w:sz w:val="18"/>
          <w:szCs w:val="18"/>
          <w:lang w:val="nl-NL"/>
        </w:rPr>
        <w:t>Europese r</w:t>
      </w:r>
      <w:r w:rsidRPr="000047FB" w:rsidR="00A5421E">
        <w:rPr>
          <w:rFonts w:ascii="Verdana" w:hAnsi="Verdana"/>
          <w:sz w:val="18"/>
          <w:szCs w:val="18"/>
          <w:lang w:val="nl-NL"/>
        </w:rPr>
        <w:t xml:space="preserve">uimtevaartstrategie </w:t>
      </w:r>
      <w:r w:rsidR="001C05AD">
        <w:rPr>
          <w:rFonts w:ascii="Verdana" w:hAnsi="Verdana"/>
          <w:sz w:val="18"/>
          <w:szCs w:val="18"/>
          <w:lang w:val="nl-NL"/>
        </w:rPr>
        <w:t>uitgebracht</w:t>
      </w:r>
      <w:r w:rsidR="001672AC">
        <w:rPr>
          <w:rFonts w:ascii="Verdana" w:hAnsi="Verdana"/>
          <w:sz w:val="18"/>
          <w:szCs w:val="18"/>
          <w:lang w:val="nl-NL"/>
        </w:rPr>
        <w:t xml:space="preserve"> (zie bijlage 2). Daarin wordt </w:t>
      </w:r>
      <w:r w:rsidRPr="000047FB" w:rsidR="00A5421E">
        <w:rPr>
          <w:rFonts w:ascii="Verdana" w:hAnsi="Verdana"/>
          <w:sz w:val="18"/>
          <w:szCs w:val="18"/>
          <w:lang w:val="nl-NL"/>
        </w:rPr>
        <w:t xml:space="preserve">de nadruk </w:t>
      </w:r>
      <w:r w:rsidR="001672AC">
        <w:rPr>
          <w:rFonts w:ascii="Verdana" w:hAnsi="Verdana"/>
          <w:sz w:val="18"/>
          <w:szCs w:val="18"/>
          <w:lang w:val="nl-NL"/>
        </w:rPr>
        <w:t xml:space="preserve">expliciet gelegd </w:t>
      </w:r>
      <w:r w:rsidRPr="000047FB">
        <w:rPr>
          <w:rFonts w:ascii="Verdana" w:hAnsi="Verdana"/>
          <w:sz w:val="18"/>
          <w:szCs w:val="18"/>
          <w:lang w:val="nl-NL"/>
        </w:rPr>
        <w:t xml:space="preserve">op </w:t>
      </w:r>
      <w:r w:rsidRPr="000047FB" w:rsidR="00CE58AB">
        <w:rPr>
          <w:rFonts w:ascii="Verdana" w:hAnsi="Verdana"/>
          <w:sz w:val="18"/>
          <w:szCs w:val="18"/>
          <w:lang w:val="nl-NL"/>
        </w:rPr>
        <w:t xml:space="preserve">de </w:t>
      </w:r>
      <w:r w:rsidRPr="000047FB" w:rsidR="00A5421E">
        <w:rPr>
          <w:rFonts w:ascii="Verdana" w:hAnsi="Verdana"/>
          <w:sz w:val="18"/>
          <w:szCs w:val="18"/>
          <w:lang w:val="nl-NL"/>
        </w:rPr>
        <w:t xml:space="preserve">betere </w:t>
      </w:r>
      <w:r w:rsidRPr="000047FB" w:rsidR="00CE58AB">
        <w:rPr>
          <w:rFonts w:ascii="Verdana" w:hAnsi="Verdana"/>
          <w:sz w:val="18"/>
          <w:szCs w:val="18"/>
          <w:lang w:val="nl-NL"/>
        </w:rPr>
        <w:t>benutting van</w:t>
      </w:r>
      <w:r w:rsidR="001672AC">
        <w:rPr>
          <w:rFonts w:ascii="Verdana" w:hAnsi="Verdana"/>
          <w:sz w:val="18"/>
          <w:szCs w:val="18"/>
          <w:lang w:val="nl-NL"/>
        </w:rPr>
        <w:t xml:space="preserve"> de bestaande ruimte-infrastructuur en van</w:t>
      </w:r>
      <w:r w:rsidRPr="000047FB" w:rsidR="00CE58AB">
        <w:rPr>
          <w:rFonts w:ascii="Verdana" w:hAnsi="Verdana"/>
          <w:sz w:val="18"/>
          <w:szCs w:val="18"/>
          <w:lang w:val="nl-NL"/>
        </w:rPr>
        <w:t xml:space="preserve"> satellietdata, het </w:t>
      </w:r>
      <w:r w:rsidRPr="000047FB" w:rsidR="00423115">
        <w:rPr>
          <w:rFonts w:ascii="Verdana" w:hAnsi="Verdana"/>
          <w:sz w:val="18"/>
          <w:szCs w:val="18"/>
          <w:lang w:val="nl-NL"/>
        </w:rPr>
        <w:t>stimuleren van een concurrentie</w:t>
      </w:r>
      <w:r w:rsidRPr="000047FB" w:rsidR="00CE58AB">
        <w:rPr>
          <w:rFonts w:ascii="Verdana" w:hAnsi="Verdana"/>
          <w:sz w:val="18"/>
          <w:szCs w:val="18"/>
          <w:lang w:val="nl-NL"/>
        </w:rPr>
        <w:t>krachtige en innovatieve ruimtevaartsect</w:t>
      </w:r>
      <w:r w:rsidRPr="000047FB" w:rsidR="000C19E7">
        <w:rPr>
          <w:rFonts w:ascii="Verdana" w:hAnsi="Verdana"/>
          <w:sz w:val="18"/>
          <w:szCs w:val="18"/>
          <w:lang w:val="nl-NL"/>
        </w:rPr>
        <w:t>or,</w:t>
      </w:r>
      <w:r w:rsidRPr="000047FB" w:rsidR="00CE58AB">
        <w:rPr>
          <w:rFonts w:ascii="Verdana" w:hAnsi="Verdana"/>
          <w:sz w:val="18"/>
          <w:szCs w:val="18"/>
          <w:lang w:val="nl-NL"/>
        </w:rPr>
        <w:t xml:space="preserve"> een onafhankelijke </w:t>
      </w:r>
      <w:r w:rsidR="00095D08">
        <w:rPr>
          <w:rFonts w:ascii="Verdana" w:hAnsi="Verdana"/>
          <w:sz w:val="18"/>
          <w:szCs w:val="18"/>
          <w:lang w:val="nl-NL"/>
        </w:rPr>
        <w:t xml:space="preserve">Europese toegang tot de ruimte </w:t>
      </w:r>
      <w:r w:rsidRPr="000047FB" w:rsidR="000C19E7">
        <w:rPr>
          <w:rFonts w:ascii="Verdana" w:hAnsi="Verdana"/>
          <w:sz w:val="18"/>
          <w:szCs w:val="18"/>
          <w:lang w:val="nl-NL"/>
        </w:rPr>
        <w:t xml:space="preserve">en het versterken van de rol van Europa als mondiale speler in de ruimtevaart. </w:t>
      </w:r>
      <w:r w:rsidRPr="000047FB" w:rsidR="00A63850">
        <w:rPr>
          <w:rFonts w:ascii="Verdana" w:hAnsi="Verdana"/>
          <w:sz w:val="18"/>
          <w:szCs w:val="18"/>
          <w:lang w:val="nl-NL"/>
        </w:rPr>
        <w:t xml:space="preserve">Dit zijn </w:t>
      </w:r>
      <w:r w:rsidRPr="000047FB" w:rsidR="00A5421E">
        <w:rPr>
          <w:rFonts w:ascii="Verdana" w:hAnsi="Verdana"/>
          <w:sz w:val="18"/>
          <w:szCs w:val="18"/>
          <w:lang w:val="nl-NL"/>
        </w:rPr>
        <w:t>ambities waar Nederland zich goed in kan vinden.</w:t>
      </w:r>
      <w:r w:rsidRPr="000047FB" w:rsidR="00A63850">
        <w:rPr>
          <w:rFonts w:ascii="Verdana" w:hAnsi="Verdana"/>
          <w:sz w:val="18"/>
          <w:szCs w:val="18"/>
          <w:lang w:val="nl-NL"/>
        </w:rPr>
        <w:t xml:space="preserve"> </w:t>
      </w:r>
      <w:r w:rsidR="001672AC">
        <w:rPr>
          <w:rFonts w:ascii="Verdana" w:hAnsi="Verdana"/>
          <w:sz w:val="18"/>
          <w:szCs w:val="18"/>
          <w:lang w:val="nl-NL"/>
        </w:rPr>
        <w:t>Ook spreekt de Europese Commissie uit dat de relatie tussen de EU en ESA de “hoeksteen is voor succes” bij de rol van Europa in de mondiale ruimtevaa</w:t>
      </w:r>
      <w:r w:rsidR="003A4BF8">
        <w:rPr>
          <w:rFonts w:ascii="Verdana" w:hAnsi="Verdana"/>
          <w:sz w:val="18"/>
          <w:szCs w:val="18"/>
          <w:lang w:val="nl-NL"/>
        </w:rPr>
        <w:t xml:space="preserve">rt. Nederland verwelkomt </w:t>
      </w:r>
      <w:r w:rsidR="001672AC">
        <w:rPr>
          <w:rFonts w:ascii="Verdana" w:hAnsi="Verdana"/>
          <w:sz w:val="18"/>
          <w:szCs w:val="18"/>
          <w:lang w:val="nl-NL"/>
        </w:rPr>
        <w:t xml:space="preserve">deze Ruimtevaartstrategie van de Commissie. </w:t>
      </w:r>
      <w:r w:rsidRPr="000047FB" w:rsidR="00A63850">
        <w:rPr>
          <w:rFonts w:ascii="Verdana" w:hAnsi="Verdana"/>
          <w:sz w:val="18"/>
          <w:szCs w:val="18"/>
          <w:lang w:val="nl-NL"/>
        </w:rPr>
        <w:t>In juli 2016 heeft Nederland schriftelijk een aantal belangrijke punt</w:t>
      </w:r>
      <w:r w:rsidR="001672AC">
        <w:rPr>
          <w:rFonts w:ascii="Verdana" w:hAnsi="Verdana"/>
          <w:sz w:val="18"/>
          <w:szCs w:val="18"/>
          <w:lang w:val="nl-NL"/>
        </w:rPr>
        <w:t>en voor de strategie ter kennis gebracht van</w:t>
      </w:r>
      <w:r w:rsidRPr="000047FB" w:rsidR="00A63850">
        <w:rPr>
          <w:rFonts w:ascii="Verdana" w:hAnsi="Verdana"/>
          <w:sz w:val="18"/>
          <w:szCs w:val="18"/>
          <w:lang w:val="nl-NL"/>
        </w:rPr>
        <w:t xml:space="preserve"> de Europese Commissie</w:t>
      </w:r>
      <w:r w:rsidR="008C1D4A">
        <w:rPr>
          <w:rFonts w:ascii="Verdana" w:hAnsi="Verdana"/>
          <w:sz w:val="18"/>
          <w:szCs w:val="18"/>
          <w:lang w:val="nl-NL"/>
        </w:rPr>
        <w:t xml:space="preserve"> in het kader vaan een consultatie om input te verkrijgen ten bate van de strategie</w:t>
      </w:r>
      <w:r w:rsidRPr="000047FB" w:rsidR="00B661D4">
        <w:rPr>
          <w:rFonts w:ascii="Verdana" w:hAnsi="Verdana"/>
          <w:sz w:val="18"/>
          <w:szCs w:val="18"/>
          <w:lang w:val="nl-NL"/>
        </w:rPr>
        <w:t>.</w:t>
      </w:r>
      <w:r w:rsidRPr="000047FB" w:rsidR="00423115">
        <w:rPr>
          <w:rFonts w:ascii="Verdana" w:hAnsi="Verdana"/>
          <w:sz w:val="18"/>
          <w:szCs w:val="18"/>
          <w:lang w:val="nl-NL"/>
        </w:rPr>
        <w:t xml:space="preserve"> </w:t>
      </w:r>
      <w:r w:rsidR="001672AC">
        <w:rPr>
          <w:rFonts w:ascii="Verdana" w:hAnsi="Verdana"/>
          <w:sz w:val="18"/>
          <w:szCs w:val="18"/>
          <w:lang w:val="nl-NL"/>
        </w:rPr>
        <w:t>Daarvan zie ik veel punten terugkomen in de strategie.</w:t>
      </w:r>
      <w:r w:rsidR="003A4BF8">
        <w:rPr>
          <w:rFonts w:ascii="Verdana" w:hAnsi="Verdana"/>
          <w:sz w:val="18"/>
          <w:szCs w:val="18"/>
          <w:lang w:val="nl-NL"/>
        </w:rPr>
        <w:t xml:space="preserve"> </w:t>
      </w:r>
      <w:r w:rsidRPr="000047FB" w:rsidR="00423115">
        <w:rPr>
          <w:rFonts w:ascii="Verdana" w:hAnsi="Verdana"/>
          <w:sz w:val="18"/>
          <w:szCs w:val="18"/>
          <w:lang w:val="nl-NL"/>
        </w:rPr>
        <w:t>Ik heb</w:t>
      </w:r>
      <w:r w:rsidRPr="000047FB" w:rsidR="00A63850">
        <w:rPr>
          <w:rFonts w:ascii="Verdana" w:hAnsi="Verdana"/>
          <w:sz w:val="18"/>
          <w:szCs w:val="18"/>
          <w:lang w:val="nl-NL"/>
        </w:rPr>
        <w:t xml:space="preserve"> uw Kamer toegezegd deze inbreng met u te zullen delen</w:t>
      </w:r>
      <w:r w:rsidRPr="000047FB" w:rsidR="00423115">
        <w:rPr>
          <w:rFonts w:ascii="Verdana" w:hAnsi="Verdana"/>
          <w:sz w:val="18"/>
          <w:szCs w:val="18"/>
          <w:lang w:val="nl-NL"/>
        </w:rPr>
        <w:t xml:space="preserve">. Een afschrift van de </w:t>
      </w:r>
      <w:r w:rsidR="001672AC">
        <w:rPr>
          <w:rFonts w:ascii="Verdana" w:hAnsi="Verdana"/>
          <w:sz w:val="18"/>
          <w:szCs w:val="18"/>
          <w:lang w:val="nl-NL"/>
        </w:rPr>
        <w:t>inbreng treft u aan in bijlage 3</w:t>
      </w:r>
      <w:r w:rsidRPr="000047FB" w:rsidR="00A63850">
        <w:rPr>
          <w:rFonts w:ascii="Verdana" w:hAnsi="Verdana"/>
          <w:sz w:val="18"/>
          <w:szCs w:val="18"/>
          <w:lang w:val="nl-NL"/>
        </w:rPr>
        <w:t>.</w:t>
      </w:r>
    </w:p>
    <w:p w:rsidR="0031240F" w:rsidP="00460324" w:rsidRDefault="0031240F">
      <w:pPr>
        <w:rPr>
          <w:rFonts w:ascii="Verdana" w:hAnsi="Verdana"/>
          <w:sz w:val="18"/>
          <w:szCs w:val="18"/>
          <w:lang w:val="nl-NL" w:eastAsia="fr-BE"/>
        </w:rPr>
      </w:pPr>
      <w:r>
        <w:rPr>
          <w:rFonts w:ascii="Verdana" w:hAnsi="Verdana"/>
          <w:sz w:val="18"/>
          <w:szCs w:val="18"/>
          <w:lang w:val="nl-NL"/>
        </w:rPr>
        <w:t>Op aandrang van het Nederlandse EU-voorzitterschap hebben de Commissie</w:t>
      </w:r>
      <w:r w:rsidR="008C1D4A">
        <w:rPr>
          <w:rFonts w:ascii="Verdana" w:hAnsi="Verdana"/>
          <w:sz w:val="18"/>
          <w:szCs w:val="18"/>
          <w:lang w:val="nl-NL"/>
        </w:rPr>
        <w:t xml:space="preserve"> en ESA de afgelopen maanden eveneens</w:t>
      </w:r>
      <w:r>
        <w:rPr>
          <w:rFonts w:ascii="Verdana" w:hAnsi="Verdana"/>
          <w:sz w:val="18"/>
          <w:szCs w:val="18"/>
          <w:lang w:val="nl-NL"/>
        </w:rPr>
        <w:t xml:space="preserve"> gewerkt aan een gezamenlijk verklaring </w:t>
      </w:r>
      <w:r w:rsidRPr="0031240F">
        <w:rPr>
          <w:rFonts w:ascii="Verdana" w:hAnsi="Verdana"/>
          <w:sz w:val="18"/>
          <w:szCs w:val="18"/>
          <w:lang w:val="nl-NL"/>
        </w:rPr>
        <w:t>(“</w:t>
      </w:r>
      <w:r w:rsidRPr="0031240F">
        <w:rPr>
          <w:rFonts w:ascii="Verdana" w:hAnsi="Verdana"/>
          <w:sz w:val="18"/>
          <w:szCs w:val="18"/>
          <w:lang w:val="nl-NL" w:eastAsia="fr-BE"/>
        </w:rPr>
        <w:t>Joint Statement on Shared Vision and Goals for the Future of Europe in Space by the European Union and the European Space Agency”)</w:t>
      </w:r>
      <w:r>
        <w:rPr>
          <w:rFonts w:ascii="Verdana" w:hAnsi="Verdana"/>
          <w:sz w:val="18"/>
          <w:szCs w:val="18"/>
          <w:lang w:val="nl-NL" w:eastAsia="fr-BE"/>
        </w:rPr>
        <w:t>. Dit om te bewerkstelligen dat de nieuwe strategieën van de EU en ESA congruent met elkaar zullen zijn. Deze gezamenlijke verklaring is op 26 oktober 2016 getekend te Brussel door Europese Commissaris mw. E. Bie</w:t>
      </w:r>
      <w:r w:rsidR="00FA0B1C">
        <w:rPr>
          <w:rFonts w:ascii="Verdana" w:hAnsi="Verdana"/>
          <w:sz w:val="18"/>
          <w:szCs w:val="18"/>
          <w:lang w:val="nl-NL" w:eastAsia="fr-BE"/>
        </w:rPr>
        <w:t>ń</w:t>
      </w:r>
      <w:r>
        <w:rPr>
          <w:rFonts w:ascii="Verdana" w:hAnsi="Verdana"/>
          <w:sz w:val="18"/>
          <w:szCs w:val="18"/>
          <w:lang w:val="nl-NL" w:eastAsia="fr-BE"/>
        </w:rPr>
        <w:t>kowska en de ESA Directeur-generaal de heer J. Wörner (zie bijlage 4).</w:t>
      </w:r>
    </w:p>
    <w:p w:rsidR="003A4BF8" w:rsidP="00BD2B7F" w:rsidRDefault="003A4BF8">
      <w:pPr>
        <w:ind w:left="426"/>
        <w:rPr>
          <w:rFonts w:ascii="Verdana" w:hAnsi="Verdana"/>
          <w:sz w:val="18"/>
          <w:szCs w:val="18"/>
          <w:lang w:val="nl-NL" w:eastAsia="fr-BE"/>
        </w:rPr>
      </w:pPr>
    </w:p>
    <w:p w:rsidR="003A4BF8" w:rsidP="00BD2B7F" w:rsidRDefault="003A4BF8">
      <w:pPr>
        <w:ind w:left="426"/>
        <w:rPr>
          <w:rFonts w:ascii="Verdana" w:hAnsi="Verdana"/>
          <w:sz w:val="18"/>
          <w:szCs w:val="18"/>
          <w:lang w:val="nl-NL" w:eastAsia="fr-BE"/>
        </w:rPr>
      </w:pPr>
    </w:p>
    <w:p w:rsidR="0043482B" w:rsidRDefault="0043482B">
      <w:pPr>
        <w:rPr>
          <w:rFonts w:ascii="Verdana" w:hAnsi="Verdana"/>
          <w:sz w:val="18"/>
          <w:szCs w:val="18"/>
          <w:u w:val="single"/>
          <w:lang w:val="nl-NL"/>
        </w:rPr>
      </w:pPr>
      <w:r>
        <w:rPr>
          <w:rFonts w:ascii="Verdana" w:hAnsi="Verdana"/>
          <w:sz w:val="18"/>
          <w:szCs w:val="18"/>
          <w:u w:val="single"/>
          <w:lang w:val="nl-NL"/>
        </w:rPr>
        <w:br w:type="page"/>
      </w:r>
    </w:p>
    <w:p w:rsidRPr="000047FB" w:rsidR="003B101C" w:rsidP="003A7671" w:rsidRDefault="00AA04EA">
      <w:pPr>
        <w:pStyle w:val="Lijstalinea"/>
        <w:numPr>
          <w:ilvl w:val="0"/>
          <w:numId w:val="1"/>
        </w:numPr>
        <w:ind w:left="426" w:hanging="426"/>
        <w:rPr>
          <w:rFonts w:ascii="Verdana" w:hAnsi="Verdana"/>
          <w:sz w:val="18"/>
          <w:szCs w:val="18"/>
          <w:u w:val="single"/>
          <w:lang w:val="nl-NL"/>
        </w:rPr>
      </w:pPr>
      <w:r>
        <w:rPr>
          <w:rFonts w:ascii="Verdana" w:hAnsi="Verdana"/>
          <w:sz w:val="18"/>
          <w:szCs w:val="18"/>
          <w:u w:val="single"/>
          <w:lang w:val="nl-NL"/>
        </w:rPr>
        <w:lastRenderedPageBreak/>
        <w:t xml:space="preserve">Verkenning van de kosten en baten van </w:t>
      </w:r>
      <w:r w:rsidRPr="000047FB" w:rsidR="003B101C">
        <w:rPr>
          <w:rFonts w:ascii="Verdana" w:hAnsi="Verdana"/>
          <w:sz w:val="18"/>
          <w:szCs w:val="18"/>
          <w:u w:val="single"/>
          <w:lang w:val="nl-NL"/>
        </w:rPr>
        <w:t>ruimtevaart</w:t>
      </w:r>
      <w:r>
        <w:rPr>
          <w:rFonts w:ascii="Verdana" w:hAnsi="Verdana"/>
          <w:sz w:val="18"/>
          <w:szCs w:val="18"/>
          <w:u w:val="single"/>
          <w:lang w:val="nl-NL"/>
        </w:rPr>
        <w:t xml:space="preserve"> en het ruimtevaartbeleid</w:t>
      </w:r>
    </w:p>
    <w:p w:rsidRPr="000047FB" w:rsidR="00045090" w:rsidRDefault="00045090">
      <w:pPr>
        <w:pStyle w:val="Lijstalinea"/>
        <w:ind w:left="426"/>
        <w:rPr>
          <w:rFonts w:ascii="Verdana" w:hAnsi="Verdana"/>
          <w:sz w:val="18"/>
          <w:szCs w:val="18"/>
          <w:lang w:val="nl-NL"/>
        </w:rPr>
      </w:pPr>
    </w:p>
    <w:p w:rsidRPr="00460324" w:rsidR="006D521F" w:rsidP="00460324" w:rsidRDefault="000C4627">
      <w:pPr>
        <w:rPr>
          <w:rFonts w:ascii="Verdana" w:hAnsi="Verdana"/>
          <w:sz w:val="18"/>
          <w:szCs w:val="18"/>
          <w:lang w:val="nl-NL"/>
        </w:rPr>
      </w:pPr>
      <w:r w:rsidRPr="00460324">
        <w:rPr>
          <w:rFonts w:ascii="Verdana" w:hAnsi="Verdana"/>
          <w:sz w:val="18"/>
          <w:szCs w:val="18"/>
          <w:lang w:val="nl-NL"/>
        </w:rPr>
        <w:t xml:space="preserve">Op </w:t>
      </w:r>
      <w:r w:rsidRPr="00460324" w:rsidR="000F6D2A">
        <w:rPr>
          <w:rFonts w:ascii="Verdana" w:hAnsi="Verdana"/>
          <w:sz w:val="18"/>
          <w:szCs w:val="18"/>
          <w:lang w:val="nl-NL"/>
        </w:rPr>
        <w:t xml:space="preserve">mijn initiatief heeft het </w:t>
      </w:r>
      <w:r w:rsidRPr="00460324" w:rsidR="003A4BF8">
        <w:rPr>
          <w:rFonts w:ascii="Verdana" w:hAnsi="Verdana"/>
          <w:sz w:val="18"/>
          <w:szCs w:val="18"/>
          <w:lang w:val="nl-NL"/>
        </w:rPr>
        <w:t>m</w:t>
      </w:r>
      <w:r w:rsidRPr="00460324" w:rsidR="000F6D2A">
        <w:rPr>
          <w:rFonts w:ascii="Verdana" w:hAnsi="Verdana"/>
          <w:sz w:val="18"/>
          <w:szCs w:val="18"/>
          <w:lang w:val="nl-NL"/>
        </w:rPr>
        <w:t xml:space="preserve">inisterie van Economische Zaken </w:t>
      </w:r>
      <w:r w:rsidR="00DB6B55">
        <w:rPr>
          <w:rFonts w:ascii="Verdana" w:hAnsi="Verdana"/>
          <w:sz w:val="18"/>
          <w:szCs w:val="18"/>
          <w:lang w:val="nl-NL"/>
        </w:rPr>
        <w:t>in 2015/-16 een verkenning laten uitvoeren</w:t>
      </w:r>
      <w:r w:rsidRPr="00460324" w:rsidR="00AA04EA">
        <w:rPr>
          <w:rFonts w:ascii="Verdana" w:hAnsi="Verdana"/>
          <w:sz w:val="18"/>
          <w:szCs w:val="18"/>
          <w:lang w:val="nl-NL"/>
        </w:rPr>
        <w:t xml:space="preserve"> naar de</w:t>
      </w:r>
      <w:r w:rsidRPr="00460324">
        <w:rPr>
          <w:rFonts w:ascii="Verdana" w:hAnsi="Verdana"/>
          <w:sz w:val="18"/>
          <w:szCs w:val="18"/>
          <w:lang w:val="nl-NL"/>
        </w:rPr>
        <w:t xml:space="preserve"> kosten en baten van ruimtevaart en het ruimtevaartbeleid. </w:t>
      </w:r>
    </w:p>
    <w:p w:rsidRPr="00460324" w:rsidR="003B101C" w:rsidP="00460324" w:rsidRDefault="000C4627">
      <w:pPr>
        <w:rPr>
          <w:rFonts w:ascii="Verdana" w:hAnsi="Verdana"/>
          <w:sz w:val="18"/>
          <w:szCs w:val="18"/>
          <w:lang w:val="nl-NL"/>
        </w:rPr>
      </w:pPr>
      <w:r w:rsidRPr="00460324">
        <w:rPr>
          <w:rFonts w:ascii="Verdana" w:hAnsi="Verdana"/>
          <w:sz w:val="18"/>
          <w:szCs w:val="18"/>
          <w:lang w:val="nl-NL"/>
        </w:rPr>
        <w:t xml:space="preserve">De bureaus Dialogic en Decisio hebben deze verkenning </w:t>
      </w:r>
      <w:r w:rsidR="00DB6B55">
        <w:rPr>
          <w:rFonts w:ascii="Verdana" w:hAnsi="Verdana"/>
          <w:sz w:val="18"/>
          <w:szCs w:val="18"/>
          <w:lang w:val="nl-NL"/>
        </w:rPr>
        <w:t>verricht</w:t>
      </w:r>
      <w:r w:rsidRPr="00460324" w:rsidR="000F6D2A">
        <w:rPr>
          <w:rFonts w:ascii="Verdana" w:hAnsi="Verdana"/>
          <w:sz w:val="18"/>
          <w:szCs w:val="18"/>
          <w:lang w:val="nl-NL"/>
        </w:rPr>
        <w:t xml:space="preserve"> (rapport in bi</w:t>
      </w:r>
      <w:r w:rsidRPr="00460324" w:rsidR="0031240F">
        <w:rPr>
          <w:rFonts w:ascii="Verdana" w:hAnsi="Verdana"/>
          <w:sz w:val="18"/>
          <w:szCs w:val="18"/>
          <w:lang w:val="nl-NL"/>
        </w:rPr>
        <w:t>jlage 5</w:t>
      </w:r>
      <w:r w:rsidRPr="00460324">
        <w:rPr>
          <w:rFonts w:ascii="Verdana" w:hAnsi="Verdana"/>
          <w:sz w:val="18"/>
          <w:szCs w:val="18"/>
          <w:lang w:val="nl-NL"/>
        </w:rPr>
        <w:t>)</w:t>
      </w:r>
      <w:r w:rsidRPr="00460324" w:rsidR="00CC2A7E">
        <w:rPr>
          <w:rFonts w:ascii="Verdana" w:hAnsi="Verdana"/>
          <w:sz w:val="18"/>
          <w:szCs w:val="18"/>
          <w:lang w:val="nl-NL"/>
        </w:rPr>
        <w:t>.</w:t>
      </w:r>
    </w:p>
    <w:p w:rsidRPr="000047FB" w:rsidR="00CC2A7E" w:rsidP="003A7671" w:rsidRDefault="00CC2A7E">
      <w:pPr>
        <w:pStyle w:val="Lijstalinea"/>
        <w:ind w:left="426"/>
        <w:rPr>
          <w:rFonts w:ascii="Verdana" w:hAnsi="Verdana"/>
          <w:sz w:val="18"/>
          <w:szCs w:val="18"/>
          <w:lang w:val="nl-NL"/>
        </w:rPr>
      </w:pPr>
    </w:p>
    <w:p w:rsidRPr="00460324" w:rsidR="00CC2A7E" w:rsidP="00460324" w:rsidRDefault="00CC2A7E">
      <w:pPr>
        <w:rPr>
          <w:rFonts w:ascii="Verdana" w:hAnsi="Verdana"/>
          <w:sz w:val="18"/>
          <w:szCs w:val="18"/>
          <w:lang w:val="nl-NL"/>
        </w:rPr>
      </w:pPr>
      <w:r w:rsidRPr="00460324">
        <w:rPr>
          <w:rFonts w:ascii="Verdana" w:hAnsi="Verdana"/>
          <w:sz w:val="18"/>
          <w:szCs w:val="18"/>
          <w:lang w:val="nl-NL"/>
        </w:rPr>
        <w:t xml:space="preserve">Ruimtevaart in Nederland is een relatief kleine sector, maar met een grote maatschappelijke betekenis. Zonder ruimtevaart zouden vele bedrijven </w:t>
      </w:r>
      <w:r w:rsidRPr="00460324" w:rsidR="003B1814">
        <w:rPr>
          <w:rFonts w:ascii="Verdana" w:hAnsi="Verdana"/>
          <w:sz w:val="18"/>
          <w:szCs w:val="18"/>
          <w:lang w:val="nl-NL"/>
        </w:rPr>
        <w:t xml:space="preserve">(bijvoorbeeld TomTom) </w:t>
      </w:r>
      <w:r w:rsidRPr="00460324">
        <w:rPr>
          <w:rFonts w:ascii="Verdana" w:hAnsi="Verdana"/>
          <w:sz w:val="18"/>
          <w:szCs w:val="18"/>
          <w:lang w:val="nl-NL"/>
        </w:rPr>
        <w:t>niet bestaan of op heel an</w:t>
      </w:r>
      <w:r w:rsidRPr="00460324" w:rsidR="00A763C8">
        <w:rPr>
          <w:rFonts w:ascii="Verdana" w:hAnsi="Verdana"/>
          <w:sz w:val="18"/>
          <w:szCs w:val="18"/>
          <w:lang w:val="nl-NL"/>
        </w:rPr>
        <w:t xml:space="preserve">dere activiteiten gericht zijn. </w:t>
      </w:r>
      <w:r w:rsidRPr="00460324">
        <w:rPr>
          <w:rFonts w:ascii="Verdana" w:hAnsi="Verdana"/>
          <w:sz w:val="18"/>
          <w:szCs w:val="18"/>
          <w:lang w:val="nl-NL"/>
        </w:rPr>
        <w:t>Zonder ruimtevaart is t</w:t>
      </w:r>
      <w:r w:rsidRPr="00460324" w:rsidR="00423115">
        <w:rPr>
          <w:rFonts w:ascii="Verdana" w:hAnsi="Verdana"/>
          <w:sz w:val="18"/>
          <w:szCs w:val="18"/>
          <w:lang w:val="nl-NL"/>
        </w:rPr>
        <w:t xml:space="preserve">elecommunicatie, televisie, </w:t>
      </w:r>
      <w:r w:rsidRPr="00460324" w:rsidR="00A763C8">
        <w:rPr>
          <w:rFonts w:ascii="Verdana" w:hAnsi="Verdana"/>
          <w:sz w:val="18"/>
          <w:szCs w:val="18"/>
          <w:lang w:val="nl-NL"/>
        </w:rPr>
        <w:t xml:space="preserve">mondiaal internet, </w:t>
      </w:r>
      <w:r w:rsidRPr="00460324" w:rsidR="00423115">
        <w:rPr>
          <w:rFonts w:ascii="Verdana" w:hAnsi="Verdana"/>
          <w:sz w:val="18"/>
          <w:szCs w:val="18"/>
          <w:lang w:val="nl-NL"/>
        </w:rPr>
        <w:t xml:space="preserve">interbancair betalingsverkeer </w:t>
      </w:r>
      <w:r w:rsidRPr="00460324" w:rsidR="00A763C8">
        <w:rPr>
          <w:rFonts w:ascii="Verdana" w:hAnsi="Verdana"/>
          <w:sz w:val="18"/>
          <w:szCs w:val="18"/>
          <w:lang w:val="nl-NL"/>
        </w:rPr>
        <w:t xml:space="preserve">en een betrouwbare weersverwachting </w:t>
      </w:r>
      <w:r w:rsidRPr="00460324">
        <w:rPr>
          <w:rFonts w:ascii="Verdana" w:hAnsi="Verdana"/>
          <w:sz w:val="18"/>
          <w:szCs w:val="18"/>
          <w:lang w:val="nl-NL"/>
        </w:rPr>
        <w:t>nagenoeg onmogelijk. Door een toenemend aantal satellieten in de ruimte neemt het aantal applicaties op basis v</w:t>
      </w:r>
      <w:r w:rsidR="00DB6B55">
        <w:rPr>
          <w:rFonts w:ascii="Verdana" w:hAnsi="Verdana"/>
          <w:sz w:val="18"/>
          <w:szCs w:val="18"/>
          <w:lang w:val="nl-NL"/>
        </w:rPr>
        <w:t>an satellietgegevens in hoog</w:t>
      </w:r>
      <w:r w:rsidRPr="00460324" w:rsidR="00423115">
        <w:rPr>
          <w:rFonts w:ascii="Verdana" w:hAnsi="Verdana"/>
          <w:sz w:val="18"/>
          <w:szCs w:val="18"/>
          <w:lang w:val="nl-NL"/>
        </w:rPr>
        <w:t xml:space="preserve"> tempo</w:t>
      </w:r>
      <w:r w:rsidRPr="00460324">
        <w:rPr>
          <w:rFonts w:ascii="Verdana" w:hAnsi="Verdana"/>
          <w:sz w:val="18"/>
          <w:szCs w:val="18"/>
          <w:lang w:val="nl-NL"/>
        </w:rPr>
        <w:t xml:space="preserve"> toe.</w:t>
      </w:r>
    </w:p>
    <w:p w:rsidRPr="000047FB" w:rsidR="00CC2A7E" w:rsidP="003A7671" w:rsidRDefault="00CC2A7E">
      <w:pPr>
        <w:pStyle w:val="Lijstalinea"/>
        <w:ind w:left="426"/>
        <w:rPr>
          <w:rFonts w:ascii="Verdana" w:hAnsi="Verdana"/>
          <w:sz w:val="18"/>
          <w:szCs w:val="18"/>
          <w:lang w:val="nl-NL"/>
        </w:rPr>
      </w:pPr>
    </w:p>
    <w:p w:rsidRPr="00460324" w:rsidR="000F6D2A" w:rsidP="00460324" w:rsidRDefault="000C4627">
      <w:pPr>
        <w:rPr>
          <w:rFonts w:ascii="Verdana" w:hAnsi="Verdana"/>
          <w:sz w:val="18"/>
          <w:szCs w:val="18"/>
          <w:lang w:val="nl-NL"/>
        </w:rPr>
      </w:pPr>
      <w:r w:rsidRPr="00460324">
        <w:rPr>
          <w:rFonts w:ascii="Verdana" w:hAnsi="Verdana"/>
          <w:sz w:val="18"/>
          <w:szCs w:val="18"/>
          <w:lang w:val="nl-NL"/>
        </w:rPr>
        <w:t xml:space="preserve">De onderzoekers concluderen dat de maatschappelijke baten </w:t>
      </w:r>
      <w:r w:rsidRPr="00460324" w:rsidR="00045090">
        <w:rPr>
          <w:rFonts w:ascii="Verdana" w:hAnsi="Verdana"/>
          <w:sz w:val="18"/>
          <w:szCs w:val="18"/>
          <w:lang w:val="nl-NL"/>
        </w:rPr>
        <w:t>van ruimtevaart zeer groot zijn</w:t>
      </w:r>
      <w:r w:rsidRPr="00460324" w:rsidR="007425B1">
        <w:rPr>
          <w:rFonts w:ascii="Verdana" w:hAnsi="Verdana"/>
          <w:sz w:val="18"/>
          <w:szCs w:val="18"/>
          <w:lang w:val="nl-NL"/>
        </w:rPr>
        <w:t xml:space="preserve"> en vele sectoren positief beïnvloeden</w:t>
      </w:r>
      <w:r w:rsidRPr="00460324" w:rsidR="00045090">
        <w:rPr>
          <w:rFonts w:ascii="Verdana" w:hAnsi="Verdana"/>
          <w:sz w:val="18"/>
          <w:szCs w:val="18"/>
          <w:lang w:val="nl-NL"/>
        </w:rPr>
        <w:t>. Dez</w:t>
      </w:r>
      <w:r w:rsidRPr="00460324">
        <w:rPr>
          <w:rFonts w:ascii="Verdana" w:hAnsi="Verdana"/>
          <w:sz w:val="18"/>
          <w:szCs w:val="18"/>
          <w:lang w:val="nl-NL"/>
        </w:rPr>
        <w:t>e</w:t>
      </w:r>
      <w:r w:rsidRPr="00460324" w:rsidR="00045090">
        <w:rPr>
          <w:rFonts w:ascii="Verdana" w:hAnsi="Verdana"/>
          <w:sz w:val="18"/>
          <w:szCs w:val="18"/>
          <w:lang w:val="nl-NL"/>
        </w:rPr>
        <w:t xml:space="preserve"> </w:t>
      </w:r>
      <w:r w:rsidRPr="00460324" w:rsidR="00165C50">
        <w:rPr>
          <w:rFonts w:ascii="Verdana" w:hAnsi="Verdana"/>
          <w:sz w:val="18"/>
          <w:szCs w:val="18"/>
          <w:lang w:val="nl-NL"/>
        </w:rPr>
        <w:t xml:space="preserve">maatschappelijke </w:t>
      </w:r>
      <w:r w:rsidRPr="00460324" w:rsidR="00045090">
        <w:rPr>
          <w:rFonts w:ascii="Verdana" w:hAnsi="Verdana"/>
          <w:sz w:val="18"/>
          <w:szCs w:val="18"/>
          <w:lang w:val="nl-NL"/>
        </w:rPr>
        <w:t xml:space="preserve">baten zijn evenwel </w:t>
      </w:r>
      <w:r w:rsidRPr="00460324" w:rsidR="0013430E">
        <w:rPr>
          <w:rFonts w:ascii="Verdana" w:hAnsi="Verdana"/>
          <w:sz w:val="18"/>
          <w:szCs w:val="18"/>
          <w:lang w:val="nl-NL"/>
        </w:rPr>
        <w:t>lastig exact te kwantificeren</w:t>
      </w:r>
      <w:r w:rsidRPr="00460324" w:rsidR="003A4BF8">
        <w:rPr>
          <w:rFonts w:ascii="Verdana" w:hAnsi="Verdana"/>
          <w:sz w:val="18"/>
          <w:szCs w:val="18"/>
          <w:lang w:val="nl-NL"/>
        </w:rPr>
        <w:t>. Bovendien zijn de maatschappelijke baten</w:t>
      </w:r>
      <w:r w:rsidRPr="00460324" w:rsidR="0013430E">
        <w:rPr>
          <w:rFonts w:ascii="Verdana" w:hAnsi="Verdana"/>
          <w:sz w:val="18"/>
          <w:szCs w:val="18"/>
          <w:lang w:val="nl-NL"/>
        </w:rPr>
        <w:t xml:space="preserve"> </w:t>
      </w:r>
      <w:r w:rsidRPr="00460324" w:rsidR="00045090">
        <w:rPr>
          <w:rFonts w:ascii="Verdana" w:hAnsi="Verdana"/>
          <w:sz w:val="18"/>
          <w:szCs w:val="18"/>
          <w:lang w:val="nl-NL"/>
        </w:rPr>
        <w:t xml:space="preserve">moeilijk </w:t>
      </w:r>
      <w:r w:rsidRPr="00460324" w:rsidR="00423115">
        <w:rPr>
          <w:rFonts w:ascii="Verdana" w:hAnsi="Verdana"/>
          <w:sz w:val="18"/>
          <w:szCs w:val="18"/>
          <w:lang w:val="nl-NL"/>
        </w:rPr>
        <w:t xml:space="preserve">één op één </w:t>
      </w:r>
      <w:r w:rsidRPr="00460324" w:rsidR="00045090">
        <w:rPr>
          <w:rFonts w:ascii="Verdana" w:hAnsi="Verdana"/>
          <w:sz w:val="18"/>
          <w:szCs w:val="18"/>
          <w:lang w:val="nl-NL"/>
        </w:rPr>
        <w:t>te relateren</w:t>
      </w:r>
      <w:r w:rsidRPr="00460324">
        <w:rPr>
          <w:rFonts w:ascii="Verdana" w:hAnsi="Verdana"/>
          <w:sz w:val="18"/>
          <w:szCs w:val="18"/>
          <w:lang w:val="nl-NL"/>
        </w:rPr>
        <w:t xml:space="preserve"> aan de investeringen die de Nederlandse overheid doet in de ruimtevaartprogramma’s van ESA en de EU. Immers voor de realisatie van ruimtevaartprogramma’s werkt </w:t>
      </w:r>
      <w:r w:rsidRPr="00460324" w:rsidR="00D83D5B">
        <w:rPr>
          <w:rFonts w:ascii="Verdana" w:hAnsi="Verdana"/>
          <w:sz w:val="18"/>
          <w:szCs w:val="18"/>
          <w:lang w:val="nl-NL"/>
        </w:rPr>
        <w:t>Neder</w:t>
      </w:r>
      <w:r w:rsidRPr="00460324">
        <w:rPr>
          <w:rFonts w:ascii="Verdana" w:hAnsi="Verdana"/>
          <w:sz w:val="18"/>
          <w:szCs w:val="18"/>
          <w:lang w:val="nl-NL"/>
        </w:rPr>
        <w:t xml:space="preserve">land nauw samen met de Europese partners in de context van ESA en de EU. </w:t>
      </w:r>
      <w:r w:rsidRPr="00460324" w:rsidR="00F312DA">
        <w:rPr>
          <w:rFonts w:ascii="Verdana" w:hAnsi="Verdana"/>
          <w:sz w:val="18"/>
          <w:szCs w:val="18"/>
          <w:lang w:val="nl-NL"/>
        </w:rPr>
        <w:t>Allee</w:t>
      </w:r>
      <w:r w:rsidRPr="00460324" w:rsidR="00D13A5E">
        <w:rPr>
          <w:rFonts w:ascii="Verdana" w:hAnsi="Verdana"/>
          <w:sz w:val="18"/>
          <w:szCs w:val="18"/>
          <w:lang w:val="nl-NL"/>
        </w:rPr>
        <w:t xml:space="preserve">n </w:t>
      </w:r>
      <w:r w:rsidRPr="00460324" w:rsidR="00423115">
        <w:rPr>
          <w:rFonts w:ascii="Verdana" w:hAnsi="Verdana"/>
          <w:sz w:val="18"/>
          <w:szCs w:val="18"/>
          <w:lang w:val="nl-NL"/>
        </w:rPr>
        <w:t xml:space="preserve">in gezamenlijkheid met de Europese partners </w:t>
      </w:r>
      <w:r w:rsidRPr="00460324" w:rsidR="00D13A5E">
        <w:rPr>
          <w:rFonts w:ascii="Verdana" w:hAnsi="Verdana"/>
          <w:sz w:val="18"/>
          <w:szCs w:val="18"/>
          <w:lang w:val="nl-NL"/>
        </w:rPr>
        <w:t xml:space="preserve">kan Nederland </w:t>
      </w:r>
      <w:r w:rsidRPr="00460324" w:rsidR="00423115">
        <w:rPr>
          <w:rFonts w:ascii="Verdana" w:hAnsi="Verdana"/>
          <w:sz w:val="18"/>
          <w:szCs w:val="18"/>
          <w:lang w:val="nl-NL"/>
        </w:rPr>
        <w:t xml:space="preserve">een rol van betekenis spelen in de ruimtevaart. </w:t>
      </w:r>
    </w:p>
    <w:p w:rsidR="000F6D2A" w:rsidP="003A7671" w:rsidRDefault="000F6D2A">
      <w:pPr>
        <w:pStyle w:val="Lijstalinea"/>
        <w:ind w:left="426"/>
        <w:rPr>
          <w:rFonts w:ascii="Verdana" w:hAnsi="Verdana"/>
          <w:sz w:val="18"/>
          <w:szCs w:val="18"/>
          <w:lang w:val="nl-NL"/>
        </w:rPr>
      </w:pPr>
    </w:p>
    <w:p w:rsidRPr="00460324" w:rsidR="00F312DA" w:rsidP="00460324" w:rsidRDefault="00F312DA">
      <w:pPr>
        <w:rPr>
          <w:rFonts w:ascii="Verdana" w:hAnsi="Verdana"/>
          <w:sz w:val="18"/>
          <w:szCs w:val="18"/>
          <w:lang w:val="nl-NL"/>
        </w:rPr>
      </w:pPr>
      <w:r w:rsidRPr="00460324">
        <w:rPr>
          <w:rFonts w:ascii="Verdana" w:hAnsi="Verdana"/>
          <w:sz w:val="18"/>
          <w:szCs w:val="18"/>
          <w:lang w:val="nl-NL"/>
        </w:rPr>
        <w:t>De onderzoekers geven op basis van een viertal specifieke casestudies (precisielandbouw; luchtkwaliteit &amp; klimaat; wegtra</w:t>
      </w:r>
      <w:r w:rsidRPr="00460324" w:rsidR="007425B1">
        <w:rPr>
          <w:rFonts w:ascii="Verdana" w:hAnsi="Verdana"/>
          <w:sz w:val="18"/>
          <w:szCs w:val="18"/>
          <w:lang w:val="nl-NL"/>
        </w:rPr>
        <w:t>nsport</w:t>
      </w:r>
      <w:r w:rsidRPr="00460324" w:rsidR="00871BAE">
        <w:rPr>
          <w:rFonts w:ascii="Verdana" w:hAnsi="Verdana"/>
          <w:sz w:val="18"/>
          <w:szCs w:val="18"/>
          <w:lang w:val="nl-NL"/>
        </w:rPr>
        <w:t>; “Live broadcasting” en</w:t>
      </w:r>
      <w:r w:rsidRPr="00460324">
        <w:rPr>
          <w:rFonts w:ascii="Verdana" w:hAnsi="Verdana"/>
          <w:sz w:val="18"/>
          <w:szCs w:val="18"/>
          <w:lang w:val="nl-NL"/>
        </w:rPr>
        <w:t xml:space="preserve"> overige communicatie) een beeld van de omvangrijke maatschappelijke baten van ruimtevaart. Deze voorbeelden vormen slechts een beperkte selectie van gebieden waar ruimtevaart/satellietdata in to</w:t>
      </w:r>
      <w:r w:rsidRPr="00460324" w:rsidR="0013430E">
        <w:rPr>
          <w:rFonts w:ascii="Verdana" w:hAnsi="Verdana"/>
          <w:sz w:val="18"/>
          <w:szCs w:val="18"/>
          <w:lang w:val="nl-NL"/>
        </w:rPr>
        <w:t>enemende mate van betekenis voor is</w:t>
      </w:r>
      <w:r w:rsidRPr="00460324">
        <w:rPr>
          <w:rFonts w:ascii="Verdana" w:hAnsi="Verdana"/>
          <w:sz w:val="18"/>
          <w:szCs w:val="18"/>
          <w:lang w:val="nl-NL"/>
        </w:rPr>
        <w:t xml:space="preserve">. </w:t>
      </w:r>
      <w:r w:rsidRPr="00460324" w:rsidR="00165C50">
        <w:rPr>
          <w:rFonts w:ascii="Verdana" w:hAnsi="Verdana"/>
          <w:sz w:val="18"/>
          <w:szCs w:val="18"/>
          <w:lang w:val="nl-NL"/>
        </w:rPr>
        <w:t>Uit de studie komt het beeld naar voren dat ruimtevaart belangrijk is voor Nederland en dat Nederland belangrijk is voor de ruimtevaart.</w:t>
      </w:r>
      <w:r w:rsidRPr="00460324" w:rsidR="00095D08">
        <w:rPr>
          <w:rFonts w:ascii="Verdana" w:hAnsi="Verdana"/>
          <w:sz w:val="18"/>
          <w:szCs w:val="18"/>
          <w:lang w:val="nl-NL"/>
        </w:rPr>
        <w:t xml:space="preserve"> </w:t>
      </w:r>
    </w:p>
    <w:p w:rsidRPr="000047FB" w:rsidR="00F312DA" w:rsidP="003A7671" w:rsidRDefault="00F312DA">
      <w:pPr>
        <w:pStyle w:val="Lijstalinea"/>
        <w:ind w:left="426"/>
        <w:rPr>
          <w:rFonts w:ascii="Verdana" w:hAnsi="Verdana"/>
          <w:sz w:val="18"/>
          <w:szCs w:val="18"/>
          <w:lang w:val="nl-NL"/>
        </w:rPr>
      </w:pPr>
    </w:p>
    <w:p w:rsidRPr="00460324" w:rsidR="007C28FE" w:rsidP="00460324" w:rsidRDefault="00165C50">
      <w:pPr>
        <w:rPr>
          <w:rFonts w:ascii="Verdana" w:hAnsi="Verdana"/>
          <w:sz w:val="18"/>
          <w:szCs w:val="18"/>
          <w:lang w:val="nl-NL"/>
        </w:rPr>
      </w:pPr>
      <w:r w:rsidRPr="00460324">
        <w:rPr>
          <w:rFonts w:ascii="Verdana" w:hAnsi="Verdana"/>
          <w:sz w:val="18"/>
          <w:szCs w:val="18"/>
          <w:lang w:val="nl-NL"/>
        </w:rPr>
        <w:t>T</w:t>
      </w:r>
      <w:r w:rsidRPr="00460324" w:rsidR="00F312DA">
        <w:rPr>
          <w:rFonts w:ascii="Verdana" w:hAnsi="Verdana"/>
          <w:sz w:val="18"/>
          <w:szCs w:val="18"/>
          <w:lang w:val="nl-NL"/>
        </w:rPr>
        <w:t xml:space="preserve">egenover </w:t>
      </w:r>
      <w:r w:rsidRPr="00460324">
        <w:rPr>
          <w:rFonts w:ascii="Verdana" w:hAnsi="Verdana"/>
          <w:sz w:val="18"/>
          <w:szCs w:val="18"/>
          <w:lang w:val="nl-NL"/>
        </w:rPr>
        <w:t xml:space="preserve">de omvangrijke maatschappelijke baten </w:t>
      </w:r>
      <w:r w:rsidRPr="00460324" w:rsidR="00F312DA">
        <w:rPr>
          <w:rFonts w:ascii="Verdana" w:hAnsi="Verdana"/>
          <w:sz w:val="18"/>
          <w:szCs w:val="18"/>
          <w:lang w:val="nl-NL"/>
        </w:rPr>
        <w:t xml:space="preserve">staan relatief beperkte overheidsinvesteringen in </w:t>
      </w:r>
      <w:r w:rsidRPr="00460324">
        <w:rPr>
          <w:rFonts w:ascii="Verdana" w:hAnsi="Verdana"/>
          <w:sz w:val="18"/>
          <w:szCs w:val="18"/>
          <w:lang w:val="nl-NL"/>
        </w:rPr>
        <w:t xml:space="preserve">de </w:t>
      </w:r>
      <w:r w:rsidRPr="00460324" w:rsidR="00F312DA">
        <w:rPr>
          <w:rFonts w:ascii="Verdana" w:hAnsi="Verdana"/>
          <w:sz w:val="18"/>
          <w:szCs w:val="18"/>
          <w:lang w:val="nl-NL"/>
        </w:rPr>
        <w:t xml:space="preserve">ruimtevaart. </w:t>
      </w:r>
      <w:r w:rsidR="005C6C20">
        <w:rPr>
          <w:rFonts w:ascii="Verdana" w:hAnsi="Verdana"/>
          <w:sz w:val="18"/>
          <w:szCs w:val="18"/>
          <w:lang w:val="nl-NL"/>
        </w:rPr>
        <w:t xml:space="preserve">Vanaf 2012 heeft Nederland </w:t>
      </w:r>
      <w:r w:rsidRPr="00460324" w:rsidR="00393356">
        <w:rPr>
          <w:rFonts w:ascii="Verdana" w:hAnsi="Verdana"/>
          <w:sz w:val="18"/>
          <w:szCs w:val="18"/>
          <w:lang w:val="nl-NL"/>
        </w:rPr>
        <w:t xml:space="preserve">gemiddeld </w:t>
      </w:r>
      <w:r w:rsidRPr="00460324" w:rsidR="00D83D5B">
        <w:rPr>
          <w:rFonts w:ascii="Verdana" w:hAnsi="Verdana"/>
          <w:sz w:val="18"/>
          <w:szCs w:val="18"/>
          <w:lang w:val="nl-NL"/>
        </w:rPr>
        <w:t>c</w:t>
      </w:r>
      <w:r w:rsidRPr="00460324" w:rsidR="00B11972">
        <w:rPr>
          <w:rFonts w:ascii="Verdana" w:hAnsi="Verdana"/>
          <w:sz w:val="18"/>
          <w:szCs w:val="18"/>
          <w:lang w:val="nl-NL"/>
        </w:rPr>
        <w:t>irc</w:t>
      </w:r>
      <w:r w:rsidRPr="00460324" w:rsidR="00D83D5B">
        <w:rPr>
          <w:rFonts w:ascii="Verdana" w:hAnsi="Verdana"/>
          <w:sz w:val="18"/>
          <w:szCs w:val="18"/>
          <w:lang w:val="nl-NL"/>
        </w:rPr>
        <w:t>a € 90 miljoen</w:t>
      </w:r>
      <w:r w:rsidRPr="00460324" w:rsidR="003D21AF">
        <w:rPr>
          <w:rFonts w:ascii="Verdana" w:hAnsi="Verdana"/>
          <w:sz w:val="18"/>
          <w:szCs w:val="18"/>
          <w:lang w:val="nl-NL"/>
        </w:rPr>
        <w:t xml:space="preserve"> per jaar</w:t>
      </w:r>
      <w:r w:rsidR="005C6C20">
        <w:rPr>
          <w:rFonts w:ascii="Verdana" w:hAnsi="Verdana"/>
          <w:sz w:val="18"/>
          <w:szCs w:val="18"/>
          <w:lang w:val="nl-NL"/>
        </w:rPr>
        <w:t xml:space="preserve"> geïnvesteerd </w:t>
      </w:r>
      <w:r w:rsidRPr="00460324" w:rsidR="00D83D5B">
        <w:rPr>
          <w:rFonts w:ascii="Verdana" w:hAnsi="Verdana"/>
          <w:sz w:val="18"/>
          <w:szCs w:val="18"/>
          <w:lang w:val="nl-NL"/>
        </w:rPr>
        <w:t xml:space="preserve">in </w:t>
      </w:r>
      <w:r w:rsidRPr="00460324" w:rsidR="007C28FE">
        <w:rPr>
          <w:rFonts w:ascii="Verdana" w:hAnsi="Verdana"/>
          <w:sz w:val="18"/>
          <w:szCs w:val="18"/>
          <w:lang w:val="nl-NL"/>
        </w:rPr>
        <w:t>ESA-</w:t>
      </w:r>
      <w:r w:rsidRPr="00460324" w:rsidR="00D83D5B">
        <w:rPr>
          <w:rFonts w:ascii="Verdana" w:hAnsi="Verdana"/>
          <w:sz w:val="18"/>
          <w:szCs w:val="18"/>
          <w:lang w:val="nl-NL"/>
        </w:rPr>
        <w:t>ruimtevaartprogramma’s</w:t>
      </w:r>
      <w:r w:rsidRPr="00460324" w:rsidR="00B11972">
        <w:rPr>
          <w:rFonts w:ascii="Verdana" w:hAnsi="Verdana"/>
          <w:sz w:val="18"/>
          <w:szCs w:val="18"/>
          <w:lang w:val="nl-NL"/>
        </w:rPr>
        <w:t xml:space="preserve"> (circa</w:t>
      </w:r>
      <w:r w:rsidRPr="00460324" w:rsidR="00FB722F">
        <w:rPr>
          <w:rFonts w:ascii="Verdana" w:hAnsi="Verdana"/>
          <w:sz w:val="18"/>
          <w:szCs w:val="18"/>
          <w:lang w:val="nl-NL"/>
        </w:rPr>
        <w:t xml:space="preserve"> 0,02</w:t>
      </w:r>
      <w:r w:rsidRPr="00460324" w:rsidR="00D83D5B">
        <w:rPr>
          <w:rFonts w:ascii="Verdana" w:hAnsi="Verdana"/>
          <w:sz w:val="18"/>
          <w:szCs w:val="18"/>
          <w:lang w:val="nl-NL"/>
        </w:rPr>
        <w:t>% van het Neder</w:t>
      </w:r>
      <w:r w:rsidRPr="00460324" w:rsidR="006828D0">
        <w:rPr>
          <w:rFonts w:ascii="Verdana" w:hAnsi="Verdana"/>
          <w:sz w:val="18"/>
          <w:szCs w:val="18"/>
          <w:lang w:val="nl-NL"/>
        </w:rPr>
        <w:t>landse BNP)</w:t>
      </w:r>
      <w:r w:rsidR="005C6C20">
        <w:rPr>
          <w:rFonts w:ascii="Verdana" w:hAnsi="Verdana"/>
          <w:sz w:val="18"/>
          <w:szCs w:val="18"/>
          <w:lang w:val="nl-NL"/>
        </w:rPr>
        <w:t>. Daarmee</w:t>
      </w:r>
      <w:r w:rsidRPr="00460324" w:rsidR="006828D0">
        <w:rPr>
          <w:rFonts w:ascii="Verdana" w:hAnsi="Verdana"/>
          <w:sz w:val="18"/>
          <w:szCs w:val="18"/>
          <w:lang w:val="nl-NL"/>
        </w:rPr>
        <w:t xml:space="preserve"> blijft Nederland ruim</w:t>
      </w:r>
      <w:r w:rsidRPr="00460324" w:rsidR="00D83D5B">
        <w:rPr>
          <w:rFonts w:ascii="Verdana" w:hAnsi="Verdana"/>
          <w:sz w:val="18"/>
          <w:szCs w:val="18"/>
          <w:lang w:val="nl-NL"/>
        </w:rPr>
        <w:t xml:space="preserve"> achter bij andere Europese landen, zoals Frankrijk</w:t>
      </w:r>
      <w:r w:rsidRPr="00460324" w:rsidR="00FB722F">
        <w:rPr>
          <w:rFonts w:ascii="Verdana" w:hAnsi="Verdana"/>
          <w:sz w:val="18"/>
          <w:szCs w:val="18"/>
          <w:lang w:val="nl-NL"/>
        </w:rPr>
        <w:t xml:space="preserve"> (0,11%)</w:t>
      </w:r>
      <w:r w:rsidRPr="00460324" w:rsidR="00D83D5B">
        <w:rPr>
          <w:rFonts w:ascii="Verdana" w:hAnsi="Verdana"/>
          <w:sz w:val="18"/>
          <w:szCs w:val="18"/>
          <w:lang w:val="nl-NL"/>
        </w:rPr>
        <w:t>, Duitsland</w:t>
      </w:r>
      <w:r w:rsidRPr="00460324" w:rsidR="00FB722F">
        <w:rPr>
          <w:rFonts w:ascii="Verdana" w:hAnsi="Verdana"/>
          <w:sz w:val="18"/>
          <w:szCs w:val="18"/>
          <w:lang w:val="nl-NL"/>
        </w:rPr>
        <w:t xml:space="preserve"> (0,05%)</w:t>
      </w:r>
      <w:r w:rsidRPr="00460324" w:rsidR="00D83D5B">
        <w:rPr>
          <w:rFonts w:ascii="Verdana" w:hAnsi="Verdana"/>
          <w:sz w:val="18"/>
          <w:szCs w:val="18"/>
          <w:lang w:val="nl-NL"/>
        </w:rPr>
        <w:t>, I</w:t>
      </w:r>
      <w:r w:rsidRPr="00460324" w:rsidR="006828D0">
        <w:rPr>
          <w:rFonts w:ascii="Verdana" w:hAnsi="Verdana"/>
          <w:sz w:val="18"/>
          <w:szCs w:val="18"/>
          <w:lang w:val="nl-NL"/>
        </w:rPr>
        <w:t>talië</w:t>
      </w:r>
      <w:r w:rsidRPr="00460324" w:rsidR="00FB722F">
        <w:rPr>
          <w:rFonts w:ascii="Verdana" w:hAnsi="Verdana"/>
          <w:sz w:val="18"/>
          <w:szCs w:val="18"/>
          <w:lang w:val="nl-NL"/>
        </w:rPr>
        <w:t xml:space="preserve"> (0,05%)</w:t>
      </w:r>
      <w:r w:rsidRPr="00460324" w:rsidR="00E039B3">
        <w:rPr>
          <w:rFonts w:ascii="Verdana" w:hAnsi="Verdana"/>
          <w:sz w:val="18"/>
          <w:szCs w:val="18"/>
          <w:lang w:val="nl-NL"/>
        </w:rPr>
        <w:t xml:space="preserve"> en</w:t>
      </w:r>
      <w:r w:rsidRPr="00460324" w:rsidR="006828D0">
        <w:rPr>
          <w:rFonts w:ascii="Verdana" w:hAnsi="Verdana"/>
          <w:sz w:val="18"/>
          <w:szCs w:val="18"/>
          <w:lang w:val="nl-NL"/>
        </w:rPr>
        <w:t xml:space="preserve"> België</w:t>
      </w:r>
      <w:r w:rsidRPr="00460324" w:rsidR="00FB722F">
        <w:rPr>
          <w:rFonts w:ascii="Verdana" w:hAnsi="Verdana"/>
          <w:sz w:val="18"/>
          <w:szCs w:val="18"/>
          <w:lang w:val="nl-NL"/>
        </w:rPr>
        <w:t xml:space="preserve"> (0,06%)</w:t>
      </w:r>
      <w:r w:rsidRPr="00460324" w:rsidR="00E039B3">
        <w:rPr>
          <w:rFonts w:ascii="Verdana" w:hAnsi="Verdana"/>
          <w:sz w:val="18"/>
          <w:szCs w:val="18"/>
          <w:lang w:val="nl-NL"/>
        </w:rPr>
        <w:t>.</w:t>
      </w:r>
      <w:r w:rsidRPr="00460324" w:rsidR="006828D0">
        <w:rPr>
          <w:rFonts w:ascii="Verdana" w:hAnsi="Verdana"/>
          <w:sz w:val="18"/>
          <w:szCs w:val="18"/>
          <w:lang w:val="nl-NL"/>
        </w:rPr>
        <w:t xml:space="preserve"> Die</w:t>
      </w:r>
      <w:r w:rsidRPr="00460324" w:rsidR="006F7223">
        <w:rPr>
          <w:rFonts w:ascii="Verdana" w:hAnsi="Verdana"/>
          <w:sz w:val="18"/>
          <w:szCs w:val="18"/>
          <w:lang w:val="nl-NL"/>
        </w:rPr>
        <w:t xml:space="preserve"> landen</w:t>
      </w:r>
      <w:r w:rsidRPr="00460324" w:rsidR="006828D0">
        <w:rPr>
          <w:rFonts w:ascii="Verdana" w:hAnsi="Verdana"/>
          <w:sz w:val="18"/>
          <w:szCs w:val="18"/>
          <w:lang w:val="nl-NL"/>
        </w:rPr>
        <w:t xml:space="preserve"> investeren</w:t>
      </w:r>
      <w:r w:rsidRPr="00460324" w:rsidR="00D83D5B">
        <w:rPr>
          <w:rFonts w:ascii="Verdana" w:hAnsi="Verdana"/>
          <w:sz w:val="18"/>
          <w:szCs w:val="18"/>
          <w:lang w:val="nl-NL"/>
        </w:rPr>
        <w:t xml:space="preserve"> structureel </w:t>
      </w:r>
      <w:r w:rsidRPr="00460324" w:rsidR="006F7223">
        <w:rPr>
          <w:rFonts w:ascii="Verdana" w:hAnsi="Verdana"/>
          <w:sz w:val="18"/>
          <w:szCs w:val="18"/>
          <w:lang w:val="nl-NL"/>
        </w:rPr>
        <w:t xml:space="preserve">- </w:t>
      </w:r>
      <w:r w:rsidRPr="00460324" w:rsidR="00CC2A7E">
        <w:rPr>
          <w:rFonts w:ascii="Verdana" w:hAnsi="Verdana"/>
          <w:sz w:val="18"/>
          <w:szCs w:val="18"/>
          <w:lang w:val="nl-NL"/>
        </w:rPr>
        <w:t>in verhouding tot hun BNP</w:t>
      </w:r>
      <w:r w:rsidRPr="00460324" w:rsidR="006F7223">
        <w:rPr>
          <w:rFonts w:ascii="Verdana" w:hAnsi="Verdana"/>
          <w:sz w:val="18"/>
          <w:szCs w:val="18"/>
          <w:lang w:val="nl-NL"/>
        </w:rPr>
        <w:t xml:space="preserve"> -</w:t>
      </w:r>
      <w:r w:rsidRPr="00460324" w:rsidR="00CC2A7E">
        <w:rPr>
          <w:rFonts w:ascii="Verdana" w:hAnsi="Verdana"/>
          <w:sz w:val="18"/>
          <w:szCs w:val="18"/>
          <w:lang w:val="nl-NL"/>
        </w:rPr>
        <w:t xml:space="preserve"> </w:t>
      </w:r>
      <w:r w:rsidRPr="00460324" w:rsidR="00D83D5B">
        <w:rPr>
          <w:rFonts w:ascii="Verdana" w:hAnsi="Verdana"/>
          <w:sz w:val="18"/>
          <w:szCs w:val="18"/>
          <w:lang w:val="nl-NL"/>
        </w:rPr>
        <w:t>aanmerkelijk meer</w:t>
      </w:r>
      <w:r w:rsidRPr="00460324" w:rsidR="007C28FE">
        <w:rPr>
          <w:rFonts w:ascii="Verdana" w:hAnsi="Verdana"/>
          <w:sz w:val="18"/>
          <w:szCs w:val="18"/>
          <w:lang w:val="nl-NL"/>
        </w:rPr>
        <w:t xml:space="preserve"> dan Nederland</w:t>
      </w:r>
      <w:r w:rsidRPr="00460324" w:rsidR="00D83D5B">
        <w:rPr>
          <w:rFonts w:ascii="Verdana" w:hAnsi="Verdana"/>
          <w:sz w:val="18"/>
          <w:szCs w:val="18"/>
          <w:lang w:val="nl-NL"/>
        </w:rPr>
        <w:t xml:space="preserve"> </w:t>
      </w:r>
      <w:r w:rsidRPr="00460324" w:rsidR="007C28FE">
        <w:rPr>
          <w:rFonts w:ascii="Verdana" w:hAnsi="Verdana"/>
          <w:sz w:val="18"/>
          <w:szCs w:val="18"/>
          <w:lang w:val="nl-NL"/>
        </w:rPr>
        <w:t>in de ESA-ruimtevaartprogramma’s</w:t>
      </w:r>
      <w:r w:rsidRPr="00460324" w:rsidR="00D83D5B">
        <w:rPr>
          <w:rFonts w:ascii="Verdana" w:hAnsi="Verdana"/>
          <w:sz w:val="18"/>
          <w:szCs w:val="18"/>
          <w:lang w:val="nl-NL"/>
        </w:rPr>
        <w:t xml:space="preserve">. </w:t>
      </w:r>
    </w:p>
    <w:p w:rsidRPr="00460324" w:rsidR="00D13A5E" w:rsidP="00460324" w:rsidRDefault="007C28FE">
      <w:pPr>
        <w:rPr>
          <w:rFonts w:ascii="Verdana" w:hAnsi="Verdana"/>
          <w:sz w:val="18"/>
          <w:szCs w:val="18"/>
          <w:lang w:val="nl-NL"/>
        </w:rPr>
      </w:pPr>
      <w:r w:rsidRPr="00460324">
        <w:rPr>
          <w:rFonts w:ascii="Verdana" w:hAnsi="Verdana"/>
          <w:sz w:val="18"/>
          <w:szCs w:val="18"/>
          <w:lang w:val="nl-NL"/>
        </w:rPr>
        <w:t>Dit staat in contrast tot het gegeven</w:t>
      </w:r>
      <w:r w:rsidRPr="00460324" w:rsidR="00C33D3C">
        <w:rPr>
          <w:rFonts w:ascii="Verdana" w:hAnsi="Verdana"/>
          <w:sz w:val="18"/>
          <w:szCs w:val="18"/>
          <w:lang w:val="nl-NL"/>
        </w:rPr>
        <w:t xml:space="preserve"> dat</w:t>
      </w:r>
      <w:r w:rsidRPr="00460324" w:rsidR="00CC2A7E">
        <w:rPr>
          <w:rFonts w:ascii="Verdana" w:hAnsi="Verdana"/>
          <w:sz w:val="18"/>
          <w:szCs w:val="18"/>
          <w:lang w:val="nl-NL"/>
        </w:rPr>
        <w:t xml:space="preserve"> Nederland </w:t>
      </w:r>
      <w:r w:rsidRPr="00460324" w:rsidR="006828D0">
        <w:rPr>
          <w:rFonts w:ascii="Verdana" w:hAnsi="Verdana"/>
          <w:sz w:val="18"/>
          <w:szCs w:val="18"/>
          <w:lang w:val="nl-NL"/>
        </w:rPr>
        <w:t>met</w:t>
      </w:r>
      <w:r w:rsidRPr="00460324" w:rsidR="00CC2A7E">
        <w:rPr>
          <w:rFonts w:ascii="Verdana" w:hAnsi="Verdana"/>
          <w:sz w:val="18"/>
          <w:szCs w:val="18"/>
          <w:lang w:val="nl-NL"/>
        </w:rPr>
        <w:t xml:space="preserve"> de </w:t>
      </w:r>
      <w:r w:rsidRPr="00460324" w:rsidR="00B11972">
        <w:rPr>
          <w:rFonts w:ascii="Verdana" w:hAnsi="Verdana"/>
          <w:sz w:val="18"/>
          <w:szCs w:val="18"/>
          <w:lang w:val="nl-NL"/>
        </w:rPr>
        <w:t xml:space="preserve">grootste </w:t>
      </w:r>
      <w:r w:rsidRPr="00460324" w:rsidR="00CC2A7E">
        <w:rPr>
          <w:rFonts w:ascii="Verdana" w:hAnsi="Verdana"/>
          <w:sz w:val="18"/>
          <w:szCs w:val="18"/>
          <w:lang w:val="nl-NL"/>
        </w:rPr>
        <w:t>ESA-vestiging ESTEC te Noordwijk een technologisch kennis</w:t>
      </w:r>
      <w:r w:rsidRPr="00460324">
        <w:rPr>
          <w:rFonts w:ascii="Verdana" w:hAnsi="Verdana"/>
          <w:sz w:val="18"/>
          <w:szCs w:val="18"/>
          <w:lang w:val="nl-NL"/>
        </w:rPr>
        <w:t>- onderzoeks</w:t>
      </w:r>
      <w:r w:rsidRPr="00460324" w:rsidR="00CC2A7E">
        <w:rPr>
          <w:rFonts w:ascii="Verdana" w:hAnsi="Verdana"/>
          <w:sz w:val="18"/>
          <w:szCs w:val="18"/>
          <w:lang w:val="nl-NL"/>
        </w:rPr>
        <w:t>centrum op het gebied van ru</w:t>
      </w:r>
      <w:r w:rsidRPr="00460324" w:rsidR="00D13A5E">
        <w:rPr>
          <w:rFonts w:ascii="Verdana" w:hAnsi="Verdana"/>
          <w:sz w:val="18"/>
          <w:szCs w:val="18"/>
          <w:lang w:val="nl-NL"/>
        </w:rPr>
        <w:t>imtevaart in huis heeft waar</w:t>
      </w:r>
      <w:r w:rsidRPr="00460324" w:rsidR="00CC2A7E">
        <w:rPr>
          <w:rFonts w:ascii="Verdana" w:hAnsi="Verdana"/>
          <w:sz w:val="18"/>
          <w:szCs w:val="18"/>
          <w:lang w:val="nl-NL"/>
        </w:rPr>
        <w:t xml:space="preserve"> ruimschoots voordelen uit behaal</w:t>
      </w:r>
      <w:r w:rsidRPr="00460324" w:rsidR="003F6CC0">
        <w:rPr>
          <w:rFonts w:ascii="Verdana" w:hAnsi="Verdana"/>
          <w:sz w:val="18"/>
          <w:szCs w:val="18"/>
          <w:lang w:val="nl-NL"/>
        </w:rPr>
        <w:t>d</w:t>
      </w:r>
      <w:r w:rsidRPr="00460324" w:rsidR="00D13A5E">
        <w:rPr>
          <w:rFonts w:ascii="Verdana" w:hAnsi="Verdana"/>
          <w:sz w:val="18"/>
          <w:szCs w:val="18"/>
          <w:lang w:val="nl-NL"/>
        </w:rPr>
        <w:t xml:space="preserve"> worden</w:t>
      </w:r>
      <w:r w:rsidRPr="00460324" w:rsidR="006828D0">
        <w:rPr>
          <w:rFonts w:ascii="Verdana" w:hAnsi="Verdana"/>
          <w:sz w:val="18"/>
          <w:szCs w:val="18"/>
          <w:lang w:val="nl-NL"/>
        </w:rPr>
        <w:t xml:space="preserve">. </w:t>
      </w:r>
    </w:p>
    <w:p w:rsidRPr="00460324" w:rsidR="00F312DA" w:rsidP="00460324" w:rsidRDefault="004258FF">
      <w:pPr>
        <w:rPr>
          <w:rFonts w:ascii="Verdana" w:hAnsi="Verdana"/>
          <w:sz w:val="18"/>
          <w:szCs w:val="18"/>
          <w:lang w:val="nl-NL"/>
        </w:rPr>
      </w:pPr>
      <w:r>
        <w:rPr>
          <w:rFonts w:ascii="Verdana" w:hAnsi="Verdana"/>
          <w:sz w:val="18"/>
          <w:szCs w:val="18"/>
          <w:lang w:val="nl-NL"/>
        </w:rPr>
        <w:t>Bij ESTEC werken nu ongeveer 270</w:t>
      </w:r>
      <w:r w:rsidRPr="00460324" w:rsidR="006828D0">
        <w:rPr>
          <w:rFonts w:ascii="Verdana" w:hAnsi="Verdana"/>
          <w:sz w:val="18"/>
          <w:szCs w:val="18"/>
          <w:lang w:val="nl-NL"/>
        </w:rPr>
        <w:t>0 medewerkers, voor het overgrote deel academisch gevormd.</w:t>
      </w:r>
    </w:p>
    <w:p w:rsidRPr="00460324" w:rsidR="006828D0" w:rsidP="00460324" w:rsidRDefault="006828D0">
      <w:pPr>
        <w:rPr>
          <w:rFonts w:ascii="Verdana" w:hAnsi="Verdana"/>
          <w:sz w:val="18"/>
          <w:szCs w:val="18"/>
          <w:lang w:val="nl-NL"/>
        </w:rPr>
      </w:pPr>
      <w:r w:rsidRPr="00460324">
        <w:rPr>
          <w:rFonts w:ascii="Verdana" w:hAnsi="Verdana"/>
          <w:sz w:val="18"/>
          <w:szCs w:val="18"/>
          <w:lang w:val="nl-NL"/>
        </w:rPr>
        <w:t>De verhouding van de uitgaven van ESTEC in Nederland ten opzichte van de Nederlandse bijdrage aan ESA-programma’s is 5:1 in 2015, zo blijkt uit een studie van</w:t>
      </w:r>
      <w:r w:rsidRPr="00460324" w:rsidR="0013430E">
        <w:rPr>
          <w:rFonts w:ascii="Verdana" w:hAnsi="Verdana"/>
          <w:sz w:val="18"/>
          <w:szCs w:val="18"/>
          <w:lang w:val="nl-NL"/>
        </w:rPr>
        <w:t xml:space="preserve"> het bureau TRIARII (juni 201</w:t>
      </w:r>
      <w:r w:rsidRPr="00460324" w:rsidR="0031240F">
        <w:rPr>
          <w:rFonts w:ascii="Verdana" w:hAnsi="Verdana"/>
          <w:sz w:val="18"/>
          <w:szCs w:val="18"/>
          <w:lang w:val="nl-NL"/>
        </w:rPr>
        <w:t>6; bijlage 6</w:t>
      </w:r>
      <w:r w:rsidRPr="00460324" w:rsidR="0013430E">
        <w:rPr>
          <w:rFonts w:ascii="Verdana" w:hAnsi="Verdana"/>
          <w:sz w:val="18"/>
          <w:szCs w:val="18"/>
          <w:lang w:val="nl-NL"/>
        </w:rPr>
        <w:t>).</w:t>
      </w:r>
      <w:r w:rsidRPr="00460324" w:rsidR="003D21AF">
        <w:rPr>
          <w:rFonts w:ascii="Verdana" w:hAnsi="Verdana"/>
          <w:sz w:val="18"/>
          <w:szCs w:val="18"/>
          <w:lang w:val="nl-NL"/>
        </w:rPr>
        <w:t xml:space="preserve"> Dus de aanwezigheid van ESTEC leidt ertoe dat Nederland 5x zoveel aan opbrengsten verkrijgt (via belastingopbrengsten en bestedingen van ESTEC en van ESTEC-personeel) dan dat Nederland investeert in ESA-programma’s.</w:t>
      </w:r>
    </w:p>
    <w:p w:rsidRPr="000047FB" w:rsidR="00045090" w:rsidP="003A7671" w:rsidRDefault="00045090">
      <w:pPr>
        <w:pStyle w:val="Lijstalinea"/>
        <w:ind w:left="426"/>
        <w:rPr>
          <w:rFonts w:ascii="Verdana" w:hAnsi="Verdana"/>
          <w:sz w:val="18"/>
          <w:szCs w:val="18"/>
          <w:lang w:val="nl-NL"/>
        </w:rPr>
      </w:pPr>
    </w:p>
    <w:p w:rsidRPr="00460324" w:rsidR="00045090" w:rsidP="00460324" w:rsidRDefault="00045090">
      <w:pPr>
        <w:rPr>
          <w:rFonts w:ascii="Verdana" w:hAnsi="Verdana"/>
          <w:sz w:val="18"/>
          <w:szCs w:val="18"/>
          <w:lang w:val="nl-NL"/>
        </w:rPr>
      </w:pPr>
      <w:r w:rsidRPr="00460324">
        <w:rPr>
          <w:rFonts w:ascii="Verdana" w:hAnsi="Verdana"/>
          <w:sz w:val="18"/>
          <w:szCs w:val="18"/>
          <w:lang w:val="nl-NL"/>
        </w:rPr>
        <w:t>Dialogic en Dec</w:t>
      </w:r>
      <w:r w:rsidRPr="00460324" w:rsidR="006D521F">
        <w:rPr>
          <w:rFonts w:ascii="Verdana" w:hAnsi="Verdana"/>
          <w:sz w:val="18"/>
          <w:szCs w:val="18"/>
          <w:lang w:val="nl-NL"/>
        </w:rPr>
        <w:t>isio</w:t>
      </w:r>
      <w:r w:rsidRPr="00460324">
        <w:rPr>
          <w:rFonts w:ascii="Verdana" w:hAnsi="Verdana"/>
          <w:sz w:val="18"/>
          <w:szCs w:val="18"/>
          <w:lang w:val="nl-NL"/>
        </w:rPr>
        <w:t xml:space="preserve"> formuleren </w:t>
      </w:r>
      <w:r w:rsidRPr="00460324" w:rsidR="00DE48EB">
        <w:rPr>
          <w:rFonts w:ascii="Verdana" w:hAnsi="Verdana"/>
          <w:sz w:val="18"/>
          <w:szCs w:val="18"/>
          <w:lang w:val="nl-NL"/>
        </w:rPr>
        <w:t>in hun rapport een vijftal afweg</w:t>
      </w:r>
      <w:r w:rsidRPr="00460324">
        <w:rPr>
          <w:rFonts w:ascii="Verdana" w:hAnsi="Verdana"/>
          <w:sz w:val="18"/>
          <w:szCs w:val="18"/>
          <w:lang w:val="nl-NL"/>
        </w:rPr>
        <w:t>ingen</w:t>
      </w:r>
      <w:r w:rsidRPr="00460324" w:rsidR="00DE48EB">
        <w:rPr>
          <w:rFonts w:ascii="Verdana" w:hAnsi="Verdana"/>
          <w:sz w:val="18"/>
          <w:szCs w:val="18"/>
          <w:lang w:val="nl-NL"/>
        </w:rPr>
        <w:t>/aanbevelingen (</w:t>
      </w:r>
      <w:r w:rsidR="004258FF">
        <w:rPr>
          <w:rFonts w:ascii="Verdana" w:hAnsi="Verdana"/>
          <w:sz w:val="18"/>
          <w:szCs w:val="18"/>
          <w:lang w:val="nl-NL"/>
        </w:rPr>
        <w:t xml:space="preserve">zie bijlage 5, het rapport, </w:t>
      </w:r>
      <w:r w:rsidRPr="00460324" w:rsidR="00DE48EB">
        <w:rPr>
          <w:rFonts w:ascii="Verdana" w:hAnsi="Verdana"/>
          <w:sz w:val="18"/>
          <w:szCs w:val="18"/>
          <w:lang w:val="nl-NL"/>
        </w:rPr>
        <w:t>blz. 92-94)</w:t>
      </w:r>
      <w:r w:rsidRPr="00460324">
        <w:rPr>
          <w:rFonts w:ascii="Verdana" w:hAnsi="Verdana"/>
          <w:sz w:val="18"/>
          <w:szCs w:val="18"/>
          <w:lang w:val="nl-NL"/>
        </w:rPr>
        <w:t>:</w:t>
      </w:r>
    </w:p>
    <w:p w:rsidRPr="000047FB" w:rsidR="00DE48EB" w:rsidP="003A7671" w:rsidRDefault="00DE48EB">
      <w:pPr>
        <w:pStyle w:val="Lijstalinea"/>
        <w:numPr>
          <w:ilvl w:val="0"/>
          <w:numId w:val="3"/>
        </w:numPr>
        <w:ind w:hanging="294"/>
        <w:rPr>
          <w:rFonts w:ascii="Verdana" w:hAnsi="Verdana"/>
          <w:sz w:val="18"/>
          <w:szCs w:val="18"/>
          <w:lang w:val="nl-NL"/>
        </w:rPr>
      </w:pPr>
      <w:r w:rsidRPr="000047FB">
        <w:rPr>
          <w:rFonts w:ascii="Verdana" w:hAnsi="Verdana"/>
          <w:sz w:val="18"/>
          <w:szCs w:val="18"/>
          <w:lang w:val="nl-NL"/>
        </w:rPr>
        <w:t xml:space="preserve">Verhouding tussen bijdragen aan Europese </w:t>
      </w:r>
      <w:r w:rsidRPr="000047FB" w:rsidR="00DE3DA7">
        <w:rPr>
          <w:rFonts w:ascii="Verdana" w:hAnsi="Verdana"/>
          <w:sz w:val="18"/>
          <w:szCs w:val="18"/>
          <w:lang w:val="nl-NL"/>
        </w:rPr>
        <w:t>ruimtevaart</w:t>
      </w:r>
      <w:r w:rsidRPr="000047FB">
        <w:rPr>
          <w:rFonts w:ascii="Verdana" w:hAnsi="Verdana"/>
          <w:sz w:val="18"/>
          <w:szCs w:val="18"/>
          <w:lang w:val="nl-NL"/>
        </w:rPr>
        <w:t>programma’s en aan</w:t>
      </w:r>
      <w:r w:rsidRPr="000047FB" w:rsidR="00715E16">
        <w:rPr>
          <w:rFonts w:ascii="Verdana" w:hAnsi="Verdana"/>
          <w:sz w:val="18"/>
          <w:szCs w:val="18"/>
          <w:lang w:val="nl-NL"/>
        </w:rPr>
        <w:t xml:space="preserve"> het</w:t>
      </w:r>
      <w:r w:rsidRPr="000047FB">
        <w:rPr>
          <w:rFonts w:ascii="Verdana" w:hAnsi="Verdana"/>
          <w:sz w:val="18"/>
          <w:szCs w:val="18"/>
          <w:lang w:val="nl-NL"/>
        </w:rPr>
        <w:t xml:space="preserve"> nationaal flankerend beleid herzien. </w:t>
      </w:r>
    </w:p>
    <w:p w:rsidRPr="000047FB" w:rsidR="00DE48EB" w:rsidRDefault="00DE48EB">
      <w:pPr>
        <w:pStyle w:val="Lijstalinea"/>
        <w:numPr>
          <w:ilvl w:val="0"/>
          <w:numId w:val="3"/>
        </w:numPr>
        <w:ind w:hanging="294"/>
        <w:rPr>
          <w:rFonts w:ascii="Verdana" w:hAnsi="Verdana"/>
          <w:sz w:val="18"/>
          <w:szCs w:val="18"/>
          <w:lang w:val="nl-NL"/>
        </w:rPr>
      </w:pPr>
      <w:r w:rsidRPr="000047FB">
        <w:rPr>
          <w:rFonts w:ascii="Verdana" w:hAnsi="Verdana"/>
          <w:sz w:val="18"/>
          <w:szCs w:val="18"/>
          <w:lang w:val="nl-NL"/>
        </w:rPr>
        <w:t xml:space="preserve">Aandacht besteden aan de verhouding in het beleid gericht op de </w:t>
      </w:r>
      <w:r w:rsidRPr="000047FB" w:rsidR="00715E16">
        <w:rPr>
          <w:rFonts w:ascii="Verdana" w:hAnsi="Verdana"/>
          <w:sz w:val="18"/>
          <w:szCs w:val="18"/>
          <w:lang w:val="nl-NL"/>
        </w:rPr>
        <w:t>“</w:t>
      </w:r>
      <w:r w:rsidRPr="000047FB">
        <w:rPr>
          <w:rFonts w:ascii="Verdana" w:hAnsi="Verdana"/>
          <w:sz w:val="18"/>
          <w:szCs w:val="18"/>
          <w:lang w:val="nl-NL"/>
        </w:rPr>
        <w:t>upstream</w:t>
      </w:r>
      <w:r w:rsidRPr="000047FB" w:rsidR="00715E16">
        <w:rPr>
          <w:rFonts w:ascii="Verdana" w:hAnsi="Verdana"/>
          <w:sz w:val="18"/>
          <w:szCs w:val="18"/>
          <w:lang w:val="nl-NL"/>
        </w:rPr>
        <w:t xml:space="preserve">” </w:t>
      </w:r>
      <w:r w:rsidR="00EE095B">
        <w:rPr>
          <w:rFonts w:ascii="Verdana" w:hAnsi="Verdana"/>
          <w:sz w:val="18"/>
          <w:szCs w:val="18"/>
          <w:lang w:val="nl-NL"/>
        </w:rPr>
        <w:t>sector</w:t>
      </w:r>
      <w:r w:rsidRPr="000047FB" w:rsidR="00D13A5E">
        <w:rPr>
          <w:rFonts w:ascii="Verdana" w:hAnsi="Verdana"/>
          <w:sz w:val="18"/>
          <w:szCs w:val="18"/>
          <w:lang w:val="nl-NL"/>
        </w:rPr>
        <w:t xml:space="preserve"> </w:t>
      </w:r>
      <w:r w:rsidRPr="000047FB">
        <w:rPr>
          <w:rFonts w:ascii="Verdana" w:hAnsi="Verdana"/>
          <w:sz w:val="18"/>
          <w:szCs w:val="18"/>
          <w:lang w:val="nl-NL"/>
        </w:rPr>
        <w:t>en het beleid gericht op de “downstream</w:t>
      </w:r>
      <w:r w:rsidRPr="000047FB" w:rsidR="00715E16">
        <w:rPr>
          <w:rFonts w:ascii="Verdana" w:hAnsi="Verdana"/>
          <w:sz w:val="18"/>
          <w:szCs w:val="18"/>
          <w:lang w:val="nl-NL"/>
        </w:rPr>
        <w:t>” sector. Belemmerende regelgeving terugdringen.</w:t>
      </w:r>
    </w:p>
    <w:p w:rsidRPr="000047FB" w:rsidR="00715E16" w:rsidRDefault="00715E16">
      <w:pPr>
        <w:pStyle w:val="Lijstalinea"/>
        <w:numPr>
          <w:ilvl w:val="0"/>
          <w:numId w:val="3"/>
        </w:numPr>
        <w:ind w:hanging="294"/>
        <w:rPr>
          <w:rFonts w:ascii="Verdana" w:hAnsi="Verdana"/>
          <w:sz w:val="18"/>
          <w:szCs w:val="18"/>
          <w:lang w:val="nl-NL"/>
        </w:rPr>
      </w:pPr>
      <w:r w:rsidRPr="000047FB">
        <w:rPr>
          <w:rFonts w:ascii="Verdana" w:hAnsi="Verdana"/>
          <w:sz w:val="18"/>
          <w:szCs w:val="18"/>
          <w:lang w:val="nl-NL"/>
        </w:rPr>
        <w:t>Aandacht blijven houden voor de balans tussen aanbodsturing en vraagsturing in de ruimtevaart. Toepassingsmogelijkheden van ruimtevaart nadrukkelijker etaleren.</w:t>
      </w:r>
    </w:p>
    <w:p w:rsidR="00715E16" w:rsidRDefault="00715E16">
      <w:pPr>
        <w:pStyle w:val="Lijstalinea"/>
        <w:numPr>
          <w:ilvl w:val="0"/>
          <w:numId w:val="3"/>
        </w:numPr>
        <w:ind w:hanging="294"/>
        <w:rPr>
          <w:rFonts w:ascii="Verdana" w:hAnsi="Verdana"/>
          <w:sz w:val="18"/>
          <w:szCs w:val="18"/>
          <w:lang w:val="nl-NL"/>
        </w:rPr>
      </w:pPr>
      <w:r w:rsidRPr="000047FB">
        <w:rPr>
          <w:rFonts w:ascii="Verdana" w:hAnsi="Verdana"/>
          <w:sz w:val="18"/>
          <w:szCs w:val="18"/>
          <w:lang w:val="nl-NL"/>
        </w:rPr>
        <w:t>Zorgen dat bestaande sterktes/topposities behouden blijven.</w:t>
      </w:r>
    </w:p>
    <w:p w:rsidRPr="00460324" w:rsidR="00715E16" w:rsidP="00460324" w:rsidRDefault="00715E16">
      <w:pPr>
        <w:pStyle w:val="Lijstalinea"/>
        <w:numPr>
          <w:ilvl w:val="0"/>
          <w:numId w:val="3"/>
        </w:numPr>
        <w:ind w:hanging="294"/>
        <w:rPr>
          <w:rFonts w:ascii="Verdana" w:hAnsi="Verdana"/>
          <w:sz w:val="18"/>
          <w:szCs w:val="18"/>
          <w:lang w:val="nl-NL"/>
        </w:rPr>
      </w:pPr>
      <w:r w:rsidRPr="00460324">
        <w:rPr>
          <w:rFonts w:ascii="Verdana" w:hAnsi="Verdana"/>
          <w:sz w:val="18"/>
          <w:szCs w:val="18"/>
          <w:lang w:val="nl-NL"/>
        </w:rPr>
        <w:lastRenderedPageBreak/>
        <w:t xml:space="preserve">Bewustzijn en expertise </w:t>
      </w:r>
      <w:r w:rsidRPr="00460324" w:rsidR="006D521F">
        <w:rPr>
          <w:rFonts w:ascii="Verdana" w:hAnsi="Verdana"/>
          <w:sz w:val="18"/>
          <w:szCs w:val="18"/>
          <w:lang w:val="nl-NL"/>
        </w:rPr>
        <w:t xml:space="preserve">versterken </w:t>
      </w:r>
      <w:r w:rsidRPr="00460324">
        <w:rPr>
          <w:rFonts w:ascii="Verdana" w:hAnsi="Verdana"/>
          <w:sz w:val="18"/>
          <w:szCs w:val="18"/>
          <w:lang w:val="nl-NL"/>
        </w:rPr>
        <w:t>over de toepassingsmogelijkhe</w:t>
      </w:r>
      <w:r w:rsidRPr="00460324" w:rsidR="006D521F">
        <w:rPr>
          <w:rFonts w:ascii="Verdana" w:hAnsi="Verdana"/>
          <w:sz w:val="18"/>
          <w:szCs w:val="18"/>
          <w:lang w:val="nl-NL"/>
        </w:rPr>
        <w:t>den van satellietdata bij andere departementen dan EZ</w:t>
      </w:r>
      <w:r w:rsidRPr="00460324">
        <w:rPr>
          <w:rFonts w:ascii="Verdana" w:hAnsi="Verdana"/>
          <w:sz w:val="18"/>
          <w:szCs w:val="18"/>
          <w:lang w:val="nl-NL"/>
        </w:rPr>
        <w:t>.</w:t>
      </w:r>
    </w:p>
    <w:p w:rsidRPr="00460324" w:rsidR="00715E16" w:rsidP="00460324" w:rsidRDefault="00715E16">
      <w:pPr>
        <w:rPr>
          <w:rFonts w:ascii="Verdana" w:hAnsi="Verdana"/>
          <w:sz w:val="18"/>
          <w:szCs w:val="18"/>
          <w:lang w:val="nl-NL"/>
        </w:rPr>
      </w:pPr>
      <w:r w:rsidRPr="00460324">
        <w:rPr>
          <w:rFonts w:ascii="Verdana" w:hAnsi="Verdana"/>
          <w:sz w:val="18"/>
          <w:szCs w:val="18"/>
          <w:lang w:val="nl-NL"/>
        </w:rPr>
        <w:t>De reactie</w:t>
      </w:r>
      <w:r w:rsidRPr="00460324" w:rsidR="00C67637">
        <w:rPr>
          <w:rFonts w:ascii="Verdana" w:hAnsi="Verdana"/>
          <w:sz w:val="18"/>
          <w:szCs w:val="18"/>
          <w:lang w:val="nl-NL"/>
        </w:rPr>
        <w:t>s</w:t>
      </w:r>
      <w:r w:rsidRPr="00460324" w:rsidR="007A0BE9">
        <w:rPr>
          <w:rFonts w:ascii="Verdana" w:hAnsi="Verdana"/>
          <w:sz w:val="18"/>
          <w:szCs w:val="18"/>
          <w:lang w:val="nl-NL"/>
        </w:rPr>
        <w:t xml:space="preserve"> op deze vijf</w:t>
      </w:r>
      <w:r w:rsidRPr="00460324">
        <w:rPr>
          <w:rFonts w:ascii="Verdana" w:hAnsi="Verdana"/>
          <w:sz w:val="18"/>
          <w:szCs w:val="18"/>
          <w:lang w:val="nl-NL"/>
        </w:rPr>
        <w:t xml:space="preserve"> aanbevel</w:t>
      </w:r>
      <w:r w:rsidRPr="00460324" w:rsidR="00C67637">
        <w:rPr>
          <w:rFonts w:ascii="Verdana" w:hAnsi="Verdana"/>
          <w:sz w:val="18"/>
          <w:szCs w:val="18"/>
          <w:lang w:val="nl-NL"/>
        </w:rPr>
        <w:t>in</w:t>
      </w:r>
      <w:r w:rsidRPr="00460324" w:rsidR="007C28FE">
        <w:rPr>
          <w:rFonts w:ascii="Verdana" w:hAnsi="Verdana"/>
          <w:sz w:val="18"/>
          <w:szCs w:val="18"/>
          <w:lang w:val="nl-NL"/>
        </w:rPr>
        <w:t>gen zijn verwerkt in paragraaf 5 en 6</w:t>
      </w:r>
      <w:r w:rsidRPr="00460324">
        <w:rPr>
          <w:rFonts w:ascii="Verdana" w:hAnsi="Verdana"/>
          <w:sz w:val="18"/>
          <w:szCs w:val="18"/>
          <w:lang w:val="nl-NL"/>
        </w:rPr>
        <w:t xml:space="preserve"> (punt b, c en e), para</w:t>
      </w:r>
      <w:r w:rsidRPr="00460324" w:rsidR="007C28FE">
        <w:rPr>
          <w:rFonts w:ascii="Verdana" w:hAnsi="Verdana"/>
          <w:sz w:val="18"/>
          <w:szCs w:val="18"/>
          <w:lang w:val="nl-NL"/>
        </w:rPr>
        <w:t>graaf 6</w:t>
      </w:r>
      <w:r w:rsidRPr="00460324" w:rsidR="00C67637">
        <w:rPr>
          <w:rFonts w:ascii="Verdana" w:hAnsi="Verdana"/>
          <w:sz w:val="18"/>
          <w:szCs w:val="18"/>
          <w:lang w:val="nl-NL"/>
        </w:rPr>
        <w:t xml:space="preserve"> (punt d) en </w:t>
      </w:r>
      <w:r w:rsidRPr="00460324" w:rsidR="0023362E">
        <w:rPr>
          <w:rFonts w:ascii="Verdana" w:hAnsi="Verdana"/>
          <w:sz w:val="18"/>
          <w:szCs w:val="18"/>
          <w:lang w:val="nl-NL"/>
        </w:rPr>
        <w:t>paragraaf 12</w:t>
      </w:r>
      <w:r w:rsidRPr="00460324">
        <w:rPr>
          <w:rFonts w:ascii="Verdana" w:hAnsi="Verdana"/>
          <w:sz w:val="18"/>
          <w:szCs w:val="18"/>
          <w:lang w:val="nl-NL"/>
        </w:rPr>
        <w:t xml:space="preserve"> (punt a)</w:t>
      </w:r>
      <w:r w:rsidRPr="00460324" w:rsidR="00C33D3C">
        <w:rPr>
          <w:rFonts w:ascii="Verdana" w:hAnsi="Verdana"/>
          <w:sz w:val="18"/>
          <w:szCs w:val="18"/>
          <w:lang w:val="nl-NL"/>
        </w:rPr>
        <w:t xml:space="preserve"> van deze brief</w:t>
      </w:r>
      <w:r w:rsidRPr="00460324">
        <w:rPr>
          <w:rFonts w:ascii="Verdana" w:hAnsi="Verdana"/>
          <w:sz w:val="18"/>
          <w:szCs w:val="18"/>
          <w:lang w:val="nl-NL"/>
        </w:rPr>
        <w:t>.</w:t>
      </w:r>
    </w:p>
    <w:p w:rsidR="006D263F" w:rsidP="003A7671" w:rsidRDefault="006D263F">
      <w:pPr>
        <w:pStyle w:val="Lijstalinea"/>
        <w:ind w:left="426" w:hanging="66"/>
        <w:rPr>
          <w:rFonts w:ascii="Verdana" w:hAnsi="Verdana"/>
          <w:sz w:val="18"/>
          <w:szCs w:val="18"/>
          <w:lang w:val="nl-NL"/>
        </w:rPr>
      </w:pPr>
    </w:p>
    <w:p w:rsidRPr="00460324" w:rsidR="006D263F" w:rsidP="00460324" w:rsidRDefault="006D263F">
      <w:pPr>
        <w:rPr>
          <w:rFonts w:ascii="Verdana" w:hAnsi="Verdana"/>
          <w:sz w:val="18"/>
          <w:szCs w:val="18"/>
          <w:lang w:val="nl-NL"/>
        </w:rPr>
      </w:pPr>
      <w:r w:rsidRPr="00460324">
        <w:rPr>
          <w:rFonts w:ascii="Verdana" w:hAnsi="Verdana"/>
          <w:sz w:val="18"/>
          <w:szCs w:val="18"/>
          <w:lang w:val="nl-NL"/>
        </w:rPr>
        <w:t>In OESO-kader</w:t>
      </w:r>
      <w:r>
        <w:rPr>
          <w:rStyle w:val="Voetnootmarkering"/>
          <w:rFonts w:ascii="Verdana" w:hAnsi="Verdana"/>
          <w:sz w:val="18"/>
          <w:szCs w:val="18"/>
          <w:lang w:val="nl-NL"/>
        </w:rPr>
        <w:footnoteReference w:id="4"/>
      </w:r>
      <w:r w:rsidRPr="00460324">
        <w:rPr>
          <w:rFonts w:ascii="Verdana" w:hAnsi="Verdana"/>
          <w:sz w:val="18"/>
          <w:szCs w:val="18"/>
          <w:lang w:val="nl-NL"/>
        </w:rPr>
        <w:t xml:space="preserve"> fungeert het “OECD Space Forum”. </w:t>
      </w:r>
      <w:r w:rsidRPr="00460324" w:rsidR="001B2E88">
        <w:rPr>
          <w:rFonts w:ascii="Verdana" w:hAnsi="Verdana"/>
          <w:sz w:val="18"/>
          <w:szCs w:val="18"/>
          <w:lang w:val="nl-NL"/>
        </w:rPr>
        <w:t>Een kleine eenheid binnen h</w:t>
      </w:r>
      <w:r w:rsidRPr="00460324">
        <w:rPr>
          <w:rFonts w:ascii="Verdana" w:hAnsi="Verdana"/>
          <w:sz w:val="18"/>
          <w:szCs w:val="18"/>
          <w:lang w:val="nl-NL"/>
        </w:rPr>
        <w:t>et OESO-secretariaat beijvert zich om in samenspraak met ESA en met de lidstaten van dit forum een methodologie te ontwikkelen voor het jaarlijks monitoren van de kosten en baten van ruimtevaart voor de samenleving</w:t>
      </w:r>
      <w:r w:rsidRPr="00460324" w:rsidR="00C64E73">
        <w:rPr>
          <w:rFonts w:ascii="Verdana" w:hAnsi="Verdana"/>
          <w:sz w:val="18"/>
          <w:szCs w:val="18"/>
          <w:lang w:val="nl-NL"/>
        </w:rPr>
        <w:t xml:space="preserve">. Dat is </w:t>
      </w:r>
      <w:r w:rsidR="008D3C9F">
        <w:rPr>
          <w:rFonts w:ascii="Verdana" w:hAnsi="Verdana"/>
          <w:sz w:val="18"/>
          <w:szCs w:val="18"/>
          <w:lang w:val="nl-NL"/>
        </w:rPr>
        <w:t xml:space="preserve">methodologisch </w:t>
      </w:r>
      <w:r w:rsidRPr="00460324" w:rsidR="00C64E73">
        <w:rPr>
          <w:rFonts w:ascii="Verdana" w:hAnsi="Verdana"/>
          <w:sz w:val="18"/>
          <w:szCs w:val="18"/>
          <w:lang w:val="nl-NL"/>
        </w:rPr>
        <w:t>tamelijk weerbarstig</w:t>
      </w:r>
      <w:r w:rsidRPr="00460324">
        <w:rPr>
          <w:rFonts w:ascii="Verdana" w:hAnsi="Verdana"/>
          <w:sz w:val="18"/>
          <w:szCs w:val="18"/>
          <w:lang w:val="nl-NL"/>
        </w:rPr>
        <w:t xml:space="preserve">, want wat </w:t>
      </w:r>
      <w:r w:rsidRPr="00460324" w:rsidR="00C64E73">
        <w:rPr>
          <w:rFonts w:ascii="Verdana" w:hAnsi="Verdana"/>
          <w:sz w:val="18"/>
          <w:szCs w:val="18"/>
          <w:lang w:val="nl-NL"/>
        </w:rPr>
        <w:t>het is lastig de ruimtevaartsector exact te definiëren. Zo is de eerste vraag: wat is</w:t>
      </w:r>
      <w:r w:rsidRPr="00460324">
        <w:rPr>
          <w:rFonts w:ascii="Verdana" w:hAnsi="Verdana"/>
          <w:sz w:val="18"/>
          <w:szCs w:val="18"/>
          <w:lang w:val="nl-NL"/>
        </w:rPr>
        <w:t xml:space="preserve"> een ruimteva</w:t>
      </w:r>
      <w:r w:rsidRPr="00460324" w:rsidR="00C64E73">
        <w:rPr>
          <w:rFonts w:ascii="Verdana" w:hAnsi="Verdana"/>
          <w:sz w:val="18"/>
          <w:szCs w:val="18"/>
          <w:lang w:val="nl-NL"/>
        </w:rPr>
        <w:t>artonderneming? Vele bedrijv</w:t>
      </w:r>
      <w:r w:rsidRPr="00460324">
        <w:rPr>
          <w:rFonts w:ascii="Verdana" w:hAnsi="Verdana"/>
          <w:sz w:val="18"/>
          <w:szCs w:val="18"/>
          <w:lang w:val="nl-NL"/>
        </w:rPr>
        <w:t xml:space="preserve">en buiten </w:t>
      </w:r>
      <w:r w:rsidRPr="00460324" w:rsidR="00C64E73">
        <w:rPr>
          <w:rFonts w:ascii="Verdana" w:hAnsi="Verdana"/>
          <w:sz w:val="18"/>
          <w:szCs w:val="18"/>
          <w:lang w:val="nl-NL"/>
        </w:rPr>
        <w:t xml:space="preserve">de ‘ruimtevaartsector’ leveren </w:t>
      </w:r>
      <w:r w:rsidRPr="00460324" w:rsidR="001B2E88">
        <w:rPr>
          <w:rFonts w:ascii="Verdana" w:hAnsi="Verdana"/>
          <w:sz w:val="18"/>
          <w:szCs w:val="18"/>
          <w:lang w:val="nl-NL"/>
        </w:rPr>
        <w:t xml:space="preserve">producten en diensten aan </w:t>
      </w:r>
      <w:r w:rsidRPr="00460324">
        <w:rPr>
          <w:rFonts w:ascii="Verdana" w:hAnsi="Verdana"/>
          <w:sz w:val="18"/>
          <w:szCs w:val="18"/>
          <w:lang w:val="nl-NL"/>
        </w:rPr>
        <w:t>bedrijven en instellingen in deze sector.</w:t>
      </w:r>
      <w:r w:rsidRPr="00460324" w:rsidR="001B2E88">
        <w:rPr>
          <w:rFonts w:ascii="Verdana" w:hAnsi="Verdana"/>
          <w:sz w:val="18"/>
          <w:szCs w:val="18"/>
          <w:lang w:val="nl-NL"/>
        </w:rPr>
        <w:t xml:space="preserve"> Moeten die –deels- wel of niet worden meegerekend?</w:t>
      </w:r>
      <w:r w:rsidRPr="00460324">
        <w:rPr>
          <w:rFonts w:ascii="Verdana" w:hAnsi="Verdana"/>
          <w:sz w:val="18"/>
          <w:szCs w:val="18"/>
          <w:lang w:val="nl-NL"/>
        </w:rPr>
        <w:t xml:space="preserve"> En behoren bedrijven die functioneren op basis van de gegevens en beelden van satellieten nu wel of niet tot de ruimtevaartsector? O</w:t>
      </w:r>
      <w:r w:rsidRPr="00460324" w:rsidR="001B2E88">
        <w:rPr>
          <w:rFonts w:ascii="Verdana" w:hAnsi="Verdana"/>
          <w:sz w:val="18"/>
          <w:szCs w:val="18"/>
          <w:lang w:val="nl-NL"/>
        </w:rPr>
        <w:t>p</w:t>
      </w:r>
      <w:r w:rsidRPr="00460324">
        <w:rPr>
          <w:rFonts w:ascii="Verdana" w:hAnsi="Verdana"/>
          <w:sz w:val="18"/>
          <w:szCs w:val="18"/>
          <w:lang w:val="nl-NL"/>
        </w:rPr>
        <w:t xml:space="preserve"> dit soort met</w:t>
      </w:r>
      <w:r w:rsidRPr="00460324" w:rsidR="00C64E73">
        <w:rPr>
          <w:rFonts w:ascii="Verdana" w:hAnsi="Verdana"/>
          <w:sz w:val="18"/>
          <w:szCs w:val="18"/>
          <w:lang w:val="nl-NL"/>
        </w:rPr>
        <w:t>hodologische vragen probeert de OESO, samen met ESA,</w:t>
      </w:r>
      <w:r w:rsidRPr="00460324">
        <w:rPr>
          <w:rFonts w:ascii="Verdana" w:hAnsi="Verdana"/>
          <w:sz w:val="18"/>
          <w:szCs w:val="18"/>
          <w:lang w:val="nl-NL"/>
        </w:rPr>
        <w:t xml:space="preserve"> eenduidige antwoorden te formuleren. Nederland heeft besloten om per 1 januari 2017 toe te treden tot dit “OECD Space Forum”. </w:t>
      </w:r>
    </w:p>
    <w:p w:rsidR="0043482B" w:rsidRDefault="0043482B">
      <w:pPr>
        <w:pStyle w:val="Lijstalinea"/>
        <w:ind w:left="426" w:hanging="66"/>
        <w:rPr>
          <w:rFonts w:ascii="Verdana" w:hAnsi="Verdana"/>
          <w:sz w:val="18"/>
          <w:szCs w:val="18"/>
          <w:lang w:val="nl-NL"/>
        </w:rPr>
      </w:pPr>
    </w:p>
    <w:p w:rsidRPr="000047FB" w:rsidR="008D3C9F" w:rsidRDefault="008D3C9F">
      <w:pPr>
        <w:pStyle w:val="Lijstalinea"/>
        <w:ind w:left="426" w:hanging="66"/>
        <w:rPr>
          <w:rFonts w:ascii="Verdana" w:hAnsi="Verdana"/>
          <w:sz w:val="18"/>
          <w:szCs w:val="18"/>
          <w:lang w:val="nl-NL"/>
        </w:rPr>
      </w:pPr>
    </w:p>
    <w:p w:rsidRPr="000047FB" w:rsidR="00F6022C" w:rsidRDefault="00F6022C">
      <w:pPr>
        <w:pStyle w:val="Lijstalinea"/>
        <w:numPr>
          <w:ilvl w:val="0"/>
          <w:numId w:val="1"/>
        </w:numPr>
        <w:ind w:left="426" w:hanging="426"/>
        <w:rPr>
          <w:rFonts w:ascii="Verdana" w:hAnsi="Verdana"/>
          <w:sz w:val="18"/>
          <w:szCs w:val="18"/>
          <w:u w:val="single"/>
          <w:lang w:val="nl-NL"/>
        </w:rPr>
      </w:pPr>
      <w:r w:rsidRPr="000047FB">
        <w:rPr>
          <w:rFonts w:ascii="Verdana" w:hAnsi="Verdana"/>
          <w:sz w:val="18"/>
          <w:szCs w:val="18"/>
          <w:u w:val="single"/>
          <w:lang w:val="nl-NL"/>
        </w:rPr>
        <w:t>Aardobservatiebeleid/benutting van satellietdata</w:t>
      </w:r>
    </w:p>
    <w:p w:rsidRPr="000047FB" w:rsidR="00570D9A" w:rsidRDefault="00570D9A">
      <w:pPr>
        <w:ind w:left="426"/>
        <w:rPr>
          <w:rFonts w:ascii="Verdana" w:hAnsi="Verdana"/>
          <w:sz w:val="18"/>
          <w:szCs w:val="18"/>
          <w:lang w:val="nl-NL"/>
        </w:rPr>
      </w:pPr>
    </w:p>
    <w:p w:rsidRPr="000047FB" w:rsidR="00570D9A" w:rsidP="00460324" w:rsidRDefault="00570D9A">
      <w:pPr>
        <w:rPr>
          <w:rFonts w:ascii="Verdana" w:hAnsi="Verdana"/>
          <w:sz w:val="18"/>
          <w:szCs w:val="18"/>
          <w:lang w:val="nl-NL"/>
        </w:rPr>
      </w:pPr>
      <w:r w:rsidRPr="00460324">
        <w:rPr>
          <w:rFonts w:ascii="Verdana" w:hAnsi="Verdana"/>
          <w:b/>
          <w:sz w:val="18"/>
          <w:szCs w:val="18"/>
          <w:lang w:val="nl-NL"/>
        </w:rPr>
        <w:t>Beleidsdoel</w:t>
      </w:r>
      <w:r w:rsidRPr="000047FB">
        <w:rPr>
          <w:rFonts w:ascii="Verdana" w:hAnsi="Verdana"/>
          <w:sz w:val="18"/>
          <w:szCs w:val="18"/>
          <w:lang w:val="nl-NL"/>
        </w:rPr>
        <w:t>: Het</w:t>
      </w:r>
      <w:r w:rsidR="007A0BE9">
        <w:rPr>
          <w:rFonts w:ascii="Verdana" w:hAnsi="Verdana"/>
          <w:sz w:val="18"/>
          <w:szCs w:val="18"/>
          <w:lang w:val="nl-NL"/>
        </w:rPr>
        <w:t xml:space="preserve"> inzetten van satellietdata voor</w:t>
      </w:r>
      <w:r w:rsidRPr="000047FB">
        <w:rPr>
          <w:rFonts w:ascii="Verdana" w:hAnsi="Verdana"/>
          <w:sz w:val="18"/>
          <w:szCs w:val="18"/>
          <w:lang w:val="nl-NL"/>
        </w:rPr>
        <w:t xml:space="preserve"> nieuwe toepassingen </w:t>
      </w:r>
      <w:r w:rsidR="007A0BE9">
        <w:rPr>
          <w:rFonts w:ascii="Verdana" w:hAnsi="Verdana"/>
          <w:sz w:val="18"/>
          <w:szCs w:val="18"/>
          <w:lang w:val="nl-NL"/>
        </w:rPr>
        <w:t>en diensten die nuttig zijn in</w:t>
      </w:r>
      <w:r w:rsidRPr="000047FB">
        <w:rPr>
          <w:rFonts w:ascii="Verdana" w:hAnsi="Verdana"/>
          <w:sz w:val="18"/>
          <w:szCs w:val="18"/>
          <w:lang w:val="nl-NL"/>
        </w:rPr>
        <w:t xml:space="preserve"> onze samenleving, alsmede voor bijdragen aan ontwikkelingen elders, in het bijzonder in ontwikkelingslanden en opkomende markten.</w:t>
      </w:r>
    </w:p>
    <w:p w:rsidRPr="000047FB" w:rsidR="00F6022C" w:rsidP="003A7671" w:rsidRDefault="00F6022C">
      <w:pPr>
        <w:ind w:left="426"/>
        <w:rPr>
          <w:rFonts w:ascii="Verdana" w:hAnsi="Verdana"/>
          <w:sz w:val="18"/>
          <w:szCs w:val="18"/>
          <w:lang w:val="nl-NL"/>
        </w:rPr>
      </w:pPr>
    </w:p>
    <w:p w:rsidRPr="00460324" w:rsidR="007C28FE" w:rsidP="00460324" w:rsidRDefault="001738F5">
      <w:pPr>
        <w:rPr>
          <w:rFonts w:ascii="Verdana" w:hAnsi="Verdana"/>
          <w:sz w:val="18"/>
          <w:szCs w:val="18"/>
          <w:lang w:val="nl-NL"/>
        </w:rPr>
      </w:pPr>
      <w:r w:rsidRPr="00460324">
        <w:rPr>
          <w:rFonts w:ascii="Verdana" w:hAnsi="Verdana"/>
          <w:sz w:val="18"/>
          <w:szCs w:val="18"/>
          <w:lang w:val="nl-NL"/>
        </w:rPr>
        <w:t xml:space="preserve">In de </w:t>
      </w:r>
      <w:r w:rsidRPr="00460324" w:rsidR="00F6022C">
        <w:rPr>
          <w:rFonts w:ascii="Verdana" w:hAnsi="Verdana"/>
          <w:sz w:val="18"/>
          <w:szCs w:val="18"/>
          <w:lang w:val="nl-NL"/>
        </w:rPr>
        <w:t>ruimtevaartnota</w:t>
      </w:r>
      <w:r w:rsidRPr="00460324">
        <w:rPr>
          <w:rFonts w:ascii="Verdana" w:hAnsi="Verdana"/>
          <w:sz w:val="18"/>
          <w:szCs w:val="18"/>
          <w:lang w:val="nl-NL"/>
        </w:rPr>
        <w:t xml:space="preserve"> van september 2014</w:t>
      </w:r>
      <w:r w:rsidRPr="00460324" w:rsidR="00F6022C">
        <w:rPr>
          <w:rFonts w:ascii="Verdana" w:hAnsi="Verdana"/>
          <w:sz w:val="18"/>
          <w:szCs w:val="18"/>
          <w:lang w:val="nl-NL"/>
        </w:rPr>
        <w:t xml:space="preserve"> is al nader ingegaan op de grote hoeveelheid data die beschikbaar is of op relatief korte</w:t>
      </w:r>
      <w:r w:rsidRPr="00460324" w:rsidR="00570D9A">
        <w:rPr>
          <w:rFonts w:ascii="Verdana" w:hAnsi="Verdana"/>
          <w:sz w:val="18"/>
          <w:szCs w:val="18"/>
          <w:lang w:val="nl-NL"/>
        </w:rPr>
        <w:t xml:space="preserve"> termijn beschikbaar zal komen </w:t>
      </w:r>
      <w:r w:rsidRPr="00460324" w:rsidR="00F6022C">
        <w:rPr>
          <w:rFonts w:ascii="Verdana" w:hAnsi="Verdana"/>
          <w:sz w:val="18"/>
          <w:szCs w:val="18"/>
          <w:lang w:val="nl-NL"/>
        </w:rPr>
        <w:t>door de Europese programma’s Copernicus, Galileo en het satelli</w:t>
      </w:r>
      <w:r w:rsidRPr="00460324" w:rsidR="00570D9A">
        <w:rPr>
          <w:rFonts w:ascii="Verdana" w:hAnsi="Verdana"/>
          <w:sz w:val="18"/>
          <w:szCs w:val="18"/>
          <w:lang w:val="nl-NL"/>
        </w:rPr>
        <w:t>e</w:t>
      </w:r>
      <w:r w:rsidRPr="00460324" w:rsidR="007C28FE">
        <w:rPr>
          <w:rFonts w:ascii="Verdana" w:hAnsi="Verdana"/>
          <w:sz w:val="18"/>
          <w:szCs w:val="18"/>
          <w:lang w:val="nl-NL"/>
        </w:rPr>
        <w:t>tdataportaal in beheer van NSO.</w:t>
      </w:r>
    </w:p>
    <w:p w:rsidRPr="00460324" w:rsidR="00F6022C" w:rsidP="00460324" w:rsidRDefault="00F6022C">
      <w:pPr>
        <w:rPr>
          <w:rFonts w:ascii="Verdana" w:hAnsi="Verdana"/>
          <w:sz w:val="18"/>
          <w:szCs w:val="18"/>
          <w:lang w:val="nl-NL"/>
        </w:rPr>
      </w:pPr>
      <w:r w:rsidRPr="00460324">
        <w:rPr>
          <w:rFonts w:ascii="Verdana" w:hAnsi="Verdana"/>
          <w:sz w:val="18"/>
          <w:szCs w:val="18"/>
          <w:lang w:val="nl-NL"/>
        </w:rPr>
        <w:t xml:space="preserve">Het potentieel van deze data </w:t>
      </w:r>
      <w:r w:rsidRPr="00460324" w:rsidR="007C28FE">
        <w:rPr>
          <w:rFonts w:ascii="Verdana" w:hAnsi="Verdana"/>
          <w:sz w:val="18"/>
          <w:szCs w:val="18"/>
          <w:lang w:val="nl-NL"/>
        </w:rPr>
        <w:t>is enorm, zowel voor overheden, kennisinstellingen als bedrijven</w:t>
      </w:r>
      <w:r w:rsidRPr="00460324">
        <w:rPr>
          <w:rFonts w:ascii="Verdana" w:hAnsi="Verdana"/>
          <w:sz w:val="18"/>
          <w:szCs w:val="18"/>
          <w:lang w:val="nl-NL"/>
        </w:rPr>
        <w:t xml:space="preserve">. </w:t>
      </w:r>
    </w:p>
    <w:p w:rsidRPr="00460324" w:rsidR="00F6022C" w:rsidP="00460324" w:rsidRDefault="00F6022C">
      <w:pPr>
        <w:rPr>
          <w:rFonts w:ascii="Verdana" w:hAnsi="Verdana"/>
          <w:sz w:val="18"/>
          <w:szCs w:val="18"/>
          <w:lang w:val="nl-NL"/>
        </w:rPr>
      </w:pPr>
      <w:r w:rsidRPr="00460324">
        <w:rPr>
          <w:rFonts w:ascii="Verdana" w:hAnsi="Verdana"/>
          <w:sz w:val="18"/>
          <w:szCs w:val="18"/>
          <w:lang w:val="nl-NL"/>
        </w:rPr>
        <w:t>B</w:t>
      </w:r>
      <w:r w:rsidRPr="00460324" w:rsidR="007C28FE">
        <w:rPr>
          <w:rFonts w:ascii="Verdana" w:hAnsi="Verdana"/>
          <w:sz w:val="18"/>
          <w:szCs w:val="18"/>
          <w:lang w:val="nl-NL"/>
        </w:rPr>
        <w:t xml:space="preserve">edrijven en overheden maken </w:t>
      </w:r>
      <w:r w:rsidRPr="00460324" w:rsidR="002A1AF4">
        <w:rPr>
          <w:rFonts w:ascii="Verdana" w:hAnsi="Verdana"/>
          <w:sz w:val="18"/>
          <w:szCs w:val="18"/>
          <w:lang w:val="nl-NL"/>
        </w:rPr>
        <w:t xml:space="preserve">al </w:t>
      </w:r>
      <w:r w:rsidRPr="00460324">
        <w:rPr>
          <w:rFonts w:ascii="Verdana" w:hAnsi="Verdana"/>
          <w:sz w:val="18"/>
          <w:szCs w:val="18"/>
          <w:lang w:val="nl-NL"/>
        </w:rPr>
        <w:t xml:space="preserve">steeds meer gebruik van satellietdata, maar de </w:t>
      </w:r>
      <w:r w:rsidRPr="00460324" w:rsidR="00EF1E56">
        <w:rPr>
          <w:rFonts w:ascii="Verdana" w:hAnsi="Verdana"/>
          <w:sz w:val="18"/>
          <w:szCs w:val="18"/>
          <w:lang w:val="nl-NL"/>
        </w:rPr>
        <w:t xml:space="preserve">beschikbare </w:t>
      </w:r>
      <w:r w:rsidRPr="00460324">
        <w:rPr>
          <w:rFonts w:ascii="Verdana" w:hAnsi="Verdana"/>
          <w:sz w:val="18"/>
          <w:szCs w:val="18"/>
          <w:lang w:val="nl-NL"/>
        </w:rPr>
        <w:t xml:space="preserve">mogelijkheden zijn nog vele malen groter. </w:t>
      </w:r>
    </w:p>
    <w:p w:rsidRPr="00460324" w:rsidR="00F6022C" w:rsidP="00460324" w:rsidRDefault="00F6022C">
      <w:pPr>
        <w:rPr>
          <w:rFonts w:ascii="Verdana" w:hAnsi="Verdana"/>
          <w:sz w:val="18"/>
          <w:szCs w:val="18"/>
          <w:lang w:val="nl-NL"/>
        </w:rPr>
      </w:pPr>
      <w:r w:rsidRPr="00460324">
        <w:rPr>
          <w:rFonts w:ascii="Verdana" w:hAnsi="Verdana"/>
          <w:sz w:val="18"/>
          <w:szCs w:val="18"/>
          <w:lang w:val="nl-NL"/>
        </w:rPr>
        <w:t xml:space="preserve">Zo kunnen overheden op basis van satellietdata hun diensten sterk verbeteren en komen tot oplossingen voor grote maatschappelijke vraagstukken. Dat geldt niet alleen voor de monitoring van de naleving van het landbouwbeleid en het milieubeleid, voor dijkbewaking en ontwikkelingssamenwerking, maar ook voor tal van andere beleidsterreinen zoals logistiek, luchtvaart, water, veiligheid en defensie. </w:t>
      </w:r>
    </w:p>
    <w:p w:rsidRPr="00460324" w:rsidR="00F6022C" w:rsidP="00460324" w:rsidRDefault="00F6022C">
      <w:pPr>
        <w:rPr>
          <w:rFonts w:ascii="Verdana" w:hAnsi="Verdana"/>
          <w:sz w:val="18"/>
          <w:szCs w:val="18"/>
          <w:lang w:val="nl-NL"/>
        </w:rPr>
      </w:pPr>
      <w:r w:rsidRPr="00460324">
        <w:rPr>
          <w:rFonts w:ascii="Verdana" w:hAnsi="Verdana"/>
          <w:sz w:val="18"/>
          <w:szCs w:val="18"/>
          <w:lang w:val="nl-NL"/>
        </w:rPr>
        <w:t>Ook bieden deze data mogelijkheden voor het ontwikkelen van nieuwe applicaties door (midden- en klein</w:t>
      </w:r>
      <w:r w:rsidRPr="00460324" w:rsidR="00F1144D">
        <w:rPr>
          <w:rFonts w:ascii="Verdana" w:hAnsi="Verdana"/>
          <w:sz w:val="18"/>
          <w:szCs w:val="18"/>
          <w:lang w:val="nl-NL"/>
        </w:rPr>
        <w:t>-)</w:t>
      </w:r>
      <w:r w:rsidRPr="00460324">
        <w:rPr>
          <w:rFonts w:ascii="Verdana" w:hAnsi="Verdana"/>
          <w:sz w:val="18"/>
          <w:szCs w:val="18"/>
          <w:lang w:val="nl-NL"/>
        </w:rPr>
        <w:t xml:space="preserve">bedrijven. Deze bedrijvigheid lijkt achter te blijven bij de potentie die er is voor toepassingen voortvloeiend uit satellietdata. </w:t>
      </w:r>
    </w:p>
    <w:p w:rsidRPr="000047FB" w:rsidR="00F6022C" w:rsidP="003A7671" w:rsidRDefault="00F6022C">
      <w:pPr>
        <w:pStyle w:val="Lijstalinea"/>
        <w:ind w:left="426"/>
        <w:rPr>
          <w:rFonts w:ascii="Verdana" w:hAnsi="Verdana"/>
          <w:sz w:val="18"/>
          <w:szCs w:val="18"/>
          <w:lang w:val="nl-NL"/>
        </w:rPr>
      </w:pPr>
      <w:r w:rsidRPr="000047FB">
        <w:rPr>
          <w:rFonts w:ascii="Verdana" w:hAnsi="Verdana"/>
          <w:sz w:val="18"/>
          <w:szCs w:val="18"/>
          <w:lang w:val="nl-NL"/>
        </w:rPr>
        <w:t xml:space="preserve"> </w:t>
      </w:r>
    </w:p>
    <w:p w:rsidRPr="00460324" w:rsidR="00F6022C" w:rsidP="00460324" w:rsidRDefault="00EF1E56">
      <w:pPr>
        <w:rPr>
          <w:rFonts w:ascii="Verdana" w:hAnsi="Verdana"/>
          <w:sz w:val="18"/>
          <w:szCs w:val="18"/>
          <w:lang w:val="nl-NL"/>
        </w:rPr>
      </w:pPr>
      <w:r w:rsidRPr="00460324">
        <w:rPr>
          <w:rFonts w:ascii="Verdana" w:hAnsi="Verdana"/>
          <w:sz w:val="18"/>
          <w:szCs w:val="18"/>
          <w:lang w:val="nl-NL"/>
        </w:rPr>
        <w:t xml:space="preserve">De afgelopen twee jaar is door de Nederlandse overheid </w:t>
      </w:r>
      <w:r w:rsidRPr="00460324" w:rsidR="00F6022C">
        <w:rPr>
          <w:rFonts w:ascii="Verdana" w:hAnsi="Verdana"/>
          <w:sz w:val="18"/>
          <w:szCs w:val="18"/>
          <w:lang w:val="nl-NL"/>
        </w:rPr>
        <w:t xml:space="preserve">ingezet op het komen tot een nog betere benutting van satellietdata. </w:t>
      </w:r>
    </w:p>
    <w:p w:rsidRPr="00460324" w:rsidR="00F6022C" w:rsidP="00460324" w:rsidRDefault="007A0BE9">
      <w:pPr>
        <w:rPr>
          <w:rFonts w:ascii="Verdana" w:hAnsi="Verdana"/>
          <w:sz w:val="18"/>
          <w:szCs w:val="18"/>
          <w:lang w:val="nl-NL"/>
        </w:rPr>
      </w:pPr>
      <w:r w:rsidRPr="00460324">
        <w:rPr>
          <w:rFonts w:ascii="Verdana" w:hAnsi="Verdana"/>
          <w:sz w:val="18"/>
          <w:szCs w:val="18"/>
          <w:lang w:val="nl-NL"/>
        </w:rPr>
        <w:t>Er is</w:t>
      </w:r>
      <w:r w:rsidRPr="00460324" w:rsidR="00F6022C">
        <w:rPr>
          <w:rFonts w:ascii="Verdana" w:hAnsi="Verdana"/>
          <w:sz w:val="18"/>
          <w:szCs w:val="18"/>
          <w:lang w:val="nl-NL"/>
        </w:rPr>
        <w:t xml:space="preserve"> gekeken welke ministeries het meeste profijt kunnen hebben van</w:t>
      </w:r>
      <w:r w:rsidRPr="00460324" w:rsidR="00EF1E56">
        <w:rPr>
          <w:rFonts w:ascii="Verdana" w:hAnsi="Verdana"/>
          <w:sz w:val="18"/>
          <w:szCs w:val="18"/>
          <w:lang w:val="nl-NL"/>
        </w:rPr>
        <w:t xml:space="preserve"> deze data binnen hun domein. Ook</w:t>
      </w:r>
      <w:r w:rsidRPr="00460324" w:rsidR="00F6022C">
        <w:rPr>
          <w:rFonts w:ascii="Verdana" w:hAnsi="Verdana"/>
          <w:sz w:val="18"/>
          <w:szCs w:val="18"/>
          <w:lang w:val="nl-NL"/>
        </w:rPr>
        <w:t xml:space="preserve"> is er een </w:t>
      </w:r>
      <w:r w:rsidRPr="00460324" w:rsidR="00CF33E1">
        <w:rPr>
          <w:rFonts w:ascii="Verdana" w:hAnsi="Verdana"/>
          <w:sz w:val="18"/>
          <w:szCs w:val="18"/>
          <w:lang w:val="nl-NL"/>
        </w:rPr>
        <w:t>basis gelegd voor een aanpak</w:t>
      </w:r>
      <w:r w:rsidRPr="00460324" w:rsidR="00F6022C">
        <w:rPr>
          <w:rFonts w:ascii="Verdana" w:hAnsi="Verdana"/>
          <w:sz w:val="18"/>
          <w:szCs w:val="18"/>
          <w:lang w:val="nl-NL"/>
        </w:rPr>
        <w:t xml:space="preserve"> om te komen tot het benutten van deze data en voor het verbeteren van de synergie tussen de verschillende overheidsorganen. </w:t>
      </w:r>
      <w:r w:rsidRPr="00460324">
        <w:rPr>
          <w:rFonts w:ascii="Verdana" w:hAnsi="Verdana"/>
          <w:sz w:val="18"/>
          <w:szCs w:val="18"/>
          <w:lang w:val="nl-NL"/>
        </w:rPr>
        <w:t xml:space="preserve">Het gaat hierbij om het per ministerie inventariseren van de behoeften en wensen van verschillende overheidsdiensten waar satellietdata een rol bij kunnen spelen. </w:t>
      </w:r>
      <w:r w:rsidRPr="00460324" w:rsidR="001B5086">
        <w:rPr>
          <w:rFonts w:ascii="Verdana" w:hAnsi="Verdana"/>
          <w:sz w:val="18"/>
          <w:szCs w:val="18"/>
          <w:lang w:val="nl-NL"/>
        </w:rPr>
        <w:t xml:space="preserve">Daarnaast zal per ministerie gekeken worden in hoeverre in deze behoefte daadwerkelijk kan worden voorzien met behulp van satellietdata. Ook zal daarbij worden bezien of er synergie valt te bereiken door behoeftes van verschillende overheidsdiensten waar mogelijk te combineren. </w:t>
      </w:r>
      <w:r w:rsidR="008D3C9F">
        <w:rPr>
          <w:rFonts w:ascii="Verdana" w:hAnsi="Verdana"/>
          <w:sz w:val="18"/>
          <w:szCs w:val="18"/>
          <w:lang w:val="nl-NL"/>
        </w:rPr>
        <w:t>S</w:t>
      </w:r>
      <w:r w:rsidR="00ED2D0E">
        <w:rPr>
          <w:rFonts w:ascii="Verdana" w:hAnsi="Verdana"/>
          <w:sz w:val="18"/>
          <w:szCs w:val="18"/>
          <w:lang w:val="nl-NL"/>
        </w:rPr>
        <w:t xml:space="preserve">inds 1 juli 2015 </w:t>
      </w:r>
      <w:r w:rsidRPr="00460324" w:rsidR="001B5086">
        <w:rPr>
          <w:rFonts w:ascii="Verdana" w:hAnsi="Verdana"/>
          <w:sz w:val="18"/>
          <w:szCs w:val="18"/>
          <w:lang w:val="nl-NL"/>
        </w:rPr>
        <w:t>stimuleert NSO v</w:t>
      </w:r>
      <w:r w:rsidRPr="00460324" w:rsidR="00E655B4">
        <w:rPr>
          <w:rFonts w:ascii="Verdana" w:hAnsi="Verdana"/>
          <w:sz w:val="18"/>
          <w:szCs w:val="18"/>
          <w:lang w:val="nl-NL"/>
        </w:rPr>
        <w:t>ia het instrument van de SBIR (Small Bussines Innovation Research) overheidsorganisaties om kansen tot verbeterde dienstverlening te identificeren.</w:t>
      </w:r>
    </w:p>
    <w:p w:rsidR="008816DE" w:rsidRDefault="008816DE">
      <w:pPr>
        <w:rPr>
          <w:rFonts w:ascii="Verdana" w:hAnsi="Verdana"/>
          <w:sz w:val="18"/>
          <w:szCs w:val="18"/>
          <w:lang w:val="nl-NL"/>
        </w:rPr>
      </w:pPr>
    </w:p>
    <w:p w:rsidRPr="00460324" w:rsidR="00F6022C" w:rsidP="00460324" w:rsidRDefault="00CF33E1">
      <w:pPr>
        <w:rPr>
          <w:rFonts w:ascii="Verdana" w:hAnsi="Verdana"/>
          <w:sz w:val="18"/>
          <w:szCs w:val="18"/>
          <w:lang w:val="nl-NL"/>
        </w:rPr>
      </w:pPr>
      <w:r w:rsidRPr="00460324">
        <w:rPr>
          <w:rFonts w:ascii="Verdana" w:hAnsi="Verdana"/>
          <w:sz w:val="18"/>
          <w:szCs w:val="18"/>
          <w:lang w:val="nl-NL"/>
        </w:rPr>
        <w:lastRenderedPageBreak/>
        <w:t>Vervolgens</w:t>
      </w:r>
      <w:r w:rsidRPr="00460324" w:rsidR="00F6022C">
        <w:rPr>
          <w:rFonts w:ascii="Verdana" w:hAnsi="Verdana"/>
          <w:sz w:val="18"/>
          <w:szCs w:val="18"/>
          <w:lang w:val="nl-NL"/>
        </w:rPr>
        <w:t xml:space="preserve"> is er nationaal en </w:t>
      </w:r>
      <w:r w:rsidRPr="00460324" w:rsidR="00C33D3C">
        <w:rPr>
          <w:rFonts w:ascii="Verdana" w:hAnsi="Verdana"/>
          <w:sz w:val="18"/>
          <w:szCs w:val="18"/>
          <w:lang w:val="nl-NL"/>
        </w:rPr>
        <w:t xml:space="preserve">- </w:t>
      </w:r>
      <w:r w:rsidRPr="00460324" w:rsidR="00F6022C">
        <w:rPr>
          <w:rFonts w:ascii="Verdana" w:hAnsi="Verdana"/>
          <w:sz w:val="18"/>
          <w:szCs w:val="18"/>
          <w:lang w:val="nl-NL"/>
        </w:rPr>
        <w:t>gedurende het Nederlandse EU-Voorzitterschap</w:t>
      </w:r>
      <w:r w:rsidRPr="00460324" w:rsidR="00C33D3C">
        <w:rPr>
          <w:rFonts w:ascii="Verdana" w:hAnsi="Verdana"/>
          <w:sz w:val="18"/>
          <w:szCs w:val="18"/>
          <w:lang w:val="nl-NL"/>
        </w:rPr>
        <w:t xml:space="preserve"> - vooral Europees</w:t>
      </w:r>
      <w:r w:rsidRPr="00460324" w:rsidR="00F6022C">
        <w:rPr>
          <w:rFonts w:ascii="Verdana" w:hAnsi="Verdana"/>
          <w:sz w:val="18"/>
          <w:szCs w:val="18"/>
          <w:lang w:val="nl-NL"/>
        </w:rPr>
        <w:t xml:space="preserve"> geïnventariseerd waar de grootste knelpunten ten aanzien van het beter benutten van satellietdata zijn te vinden. Deze knelpunten zijn te vinden o</w:t>
      </w:r>
      <w:r w:rsidRPr="00460324" w:rsidR="00F1144D">
        <w:rPr>
          <w:rFonts w:ascii="Verdana" w:hAnsi="Verdana"/>
          <w:sz w:val="18"/>
          <w:szCs w:val="18"/>
          <w:lang w:val="nl-NL"/>
        </w:rPr>
        <w:t>p meerdere vlakken, te weten:</w:t>
      </w:r>
      <w:r w:rsidRPr="00460324" w:rsidR="00F6022C">
        <w:rPr>
          <w:rFonts w:ascii="Verdana" w:hAnsi="Verdana"/>
          <w:sz w:val="18"/>
          <w:szCs w:val="18"/>
          <w:lang w:val="nl-NL"/>
        </w:rPr>
        <w:t xml:space="preserve"> wettelijke, technische, beleids-, culturele/personeels-, veiligheids- en privacy-gronden.</w:t>
      </w:r>
    </w:p>
    <w:p w:rsidR="00F6022C" w:rsidP="00460324" w:rsidRDefault="00F6022C">
      <w:pPr>
        <w:rPr>
          <w:rFonts w:ascii="Verdana" w:hAnsi="Verdana"/>
          <w:sz w:val="18"/>
          <w:szCs w:val="18"/>
          <w:lang w:val="nl-NL"/>
        </w:rPr>
      </w:pPr>
      <w:r w:rsidRPr="00460324">
        <w:rPr>
          <w:rFonts w:ascii="Verdana" w:hAnsi="Verdana"/>
          <w:sz w:val="18"/>
          <w:szCs w:val="18"/>
          <w:lang w:val="nl-NL"/>
        </w:rPr>
        <w:t xml:space="preserve">Om </w:t>
      </w:r>
      <w:r w:rsidRPr="00460324" w:rsidR="000F6D2A">
        <w:rPr>
          <w:rFonts w:ascii="Verdana" w:hAnsi="Verdana"/>
          <w:sz w:val="18"/>
          <w:szCs w:val="18"/>
          <w:lang w:val="nl-NL"/>
        </w:rPr>
        <w:t xml:space="preserve">deze knelpunten aan te pakken wordt een </w:t>
      </w:r>
      <w:r w:rsidRPr="00460324" w:rsidR="00966E57">
        <w:rPr>
          <w:rFonts w:ascii="Verdana" w:hAnsi="Verdana"/>
          <w:sz w:val="18"/>
          <w:szCs w:val="18"/>
          <w:lang w:val="nl-NL"/>
        </w:rPr>
        <w:t>strategie ontwi</w:t>
      </w:r>
      <w:r w:rsidRPr="00460324" w:rsidR="000F6D2A">
        <w:rPr>
          <w:rFonts w:ascii="Verdana" w:hAnsi="Verdana"/>
          <w:sz w:val="18"/>
          <w:szCs w:val="18"/>
          <w:lang w:val="nl-NL"/>
        </w:rPr>
        <w:t>kkeld die zowel</w:t>
      </w:r>
      <w:r w:rsidRPr="00460324">
        <w:rPr>
          <w:rFonts w:ascii="Verdana" w:hAnsi="Verdana"/>
          <w:sz w:val="18"/>
          <w:szCs w:val="18"/>
          <w:lang w:val="nl-NL"/>
        </w:rPr>
        <w:t xml:space="preserve"> </w:t>
      </w:r>
      <w:r w:rsidRPr="00460324" w:rsidR="009572A3">
        <w:rPr>
          <w:rFonts w:ascii="Verdana" w:hAnsi="Verdana"/>
          <w:sz w:val="18"/>
          <w:szCs w:val="18"/>
          <w:lang w:val="nl-NL"/>
        </w:rPr>
        <w:t>is</w:t>
      </w:r>
      <w:r w:rsidRPr="00460324">
        <w:rPr>
          <w:rFonts w:ascii="Verdana" w:hAnsi="Verdana"/>
          <w:sz w:val="18"/>
          <w:szCs w:val="18"/>
          <w:lang w:val="nl-NL"/>
        </w:rPr>
        <w:t xml:space="preserve"> gericht op het breder bekend maken van de mogelijkheden die de huidige en toekomstige generatie satellietgegevens kunnen bieden, alsmede op het aanpakken van knelpunten die de betere benutting in de weg staan. Een aantal goede business cases en pilots</w:t>
      </w:r>
      <w:r w:rsidRPr="00460324" w:rsidR="005E3062">
        <w:rPr>
          <w:rFonts w:ascii="Verdana" w:hAnsi="Verdana"/>
          <w:sz w:val="18"/>
          <w:szCs w:val="18"/>
          <w:lang w:val="nl-NL"/>
        </w:rPr>
        <w:t xml:space="preserve"> </w:t>
      </w:r>
      <w:r w:rsidRPr="00460324">
        <w:rPr>
          <w:rFonts w:ascii="Verdana" w:hAnsi="Verdana"/>
          <w:sz w:val="18"/>
          <w:szCs w:val="18"/>
          <w:lang w:val="nl-NL"/>
        </w:rPr>
        <w:t>- al dan niet via de SBIR ruimtevaart verkregen - zal hierbij helpen.</w:t>
      </w:r>
    </w:p>
    <w:p w:rsidRPr="00460324" w:rsidR="008816DE" w:rsidP="00460324" w:rsidRDefault="008816DE">
      <w:pPr>
        <w:rPr>
          <w:rFonts w:ascii="Verdana" w:hAnsi="Verdana"/>
          <w:sz w:val="18"/>
          <w:szCs w:val="18"/>
          <w:lang w:val="nl-NL"/>
        </w:rPr>
      </w:pPr>
    </w:p>
    <w:p w:rsidR="00AF1A92" w:rsidP="00460324" w:rsidRDefault="00AF1A92">
      <w:pPr>
        <w:pBdr>
          <w:top w:val="single" w:color="auto" w:sz="4" w:space="1"/>
          <w:left w:val="single" w:color="auto" w:sz="4" w:space="4"/>
          <w:bottom w:val="single" w:color="auto" w:sz="4" w:space="1"/>
          <w:right w:val="single" w:color="auto" w:sz="4" w:space="4"/>
        </w:pBdr>
        <w:ind w:left="426"/>
        <w:rPr>
          <w:rFonts w:ascii="Verdana" w:hAnsi="Verdana"/>
          <w:sz w:val="18"/>
          <w:szCs w:val="18"/>
          <w:lang w:val="nl-NL" w:eastAsia="nl-NL"/>
        </w:rPr>
      </w:pPr>
      <w:r>
        <w:rPr>
          <w:rFonts w:ascii="Verdana" w:hAnsi="Verdana"/>
          <w:sz w:val="18"/>
          <w:szCs w:val="18"/>
          <w:lang w:val="nl-NL" w:eastAsia="nl-NL"/>
        </w:rPr>
        <w:t>Berichten uit de Volkskrant van 29-09-2016</w:t>
      </w:r>
    </w:p>
    <w:p w:rsidRPr="007557FE" w:rsidR="008816DE" w:rsidP="00460324" w:rsidRDefault="008816DE">
      <w:pPr>
        <w:pBdr>
          <w:top w:val="single" w:color="auto" w:sz="4" w:space="1"/>
          <w:left w:val="single" w:color="auto" w:sz="4" w:space="4"/>
          <w:bottom w:val="single" w:color="auto" w:sz="4" w:space="1"/>
          <w:right w:val="single" w:color="auto" w:sz="4" w:space="4"/>
        </w:pBdr>
        <w:ind w:left="426"/>
        <w:rPr>
          <w:rFonts w:ascii="Verdana" w:hAnsi="Verdana"/>
          <w:sz w:val="18"/>
          <w:szCs w:val="18"/>
          <w:lang w:val="nl-NL" w:eastAsia="nl-NL"/>
        </w:rPr>
      </w:pPr>
    </w:p>
    <w:p w:rsidRPr="007557FE" w:rsidR="00AF1A92" w:rsidP="00460324" w:rsidRDefault="00AF1A92">
      <w:pPr>
        <w:pBdr>
          <w:top w:val="single" w:color="auto" w:sz="4" w:space="1"/>
          <w:left w:val="single" w:color="auto" w:sz="4" w:space="4"/>
          <w:bottom w:val="single" w:color="auto" w:sz="4" w:space="1"/>
          <w:right w:val="single" w:color="auto" w:sz="4" w:space="4"/>
        </w:pBdr>
        <w:ind w:left="426"/>
        <w:rPr>
          <w:rFonts w:ascii="Verdana" w:hAnsi="Verdana"/>
          <w:b/>
          <w:bCs/>
          <w:sz w:val="18"/>
          <w:szCs w:val="18"/>
          <w:lang w:val="nl-NL" w:eastAsia="nl-NL"/>
        </w:rPr>
      </w:pPr>
      <w:r>
        <w:rPr>
          <w:rFonts w:ascii="Verdana" w:hAnsi="Verdana"/>
          <w:b/>
          <w:bCs/>
          <w:sz w:val="18"/>
          <w:szCs w:val="18"/>
          <w:lang w:val="nl-NL" w:eastAsia="nl-NL"/>
        </w:rPr>
        <w:t>“</w:t>
      </w:r>
      <w:r w:rsidRPr="007557FE">
        <w:rPr>
          <w:rFonts w:ascii="Verdana" w:hAnsi="Verdana"/>
          <w:b/>
          <w:bCs/>
          <w:sz w:val="18"/>
          <w:szCs w:val="18"/>
          <w:lang w:val="nl-NL" w:eastAsia="nl-NL"/>
        </w:rPr>
        <w:t>Satelliet brengt vaker onzichtbaar drama aan het licht</w:t>
      </w:r>
    </w:p>
    <w:p w:rsidRPr="007557FE" w:rsidR="00AF1A92" w:rsidP="00460324" w:rsidRDefault="00AF1A92">
      <w:pPr>
        <w:pBdr>
          <w:top w:val="single" w:color="auto" w:sz="4" w:space="1"/>
          <w:left w:val="single" w:color="auto" w:sz="4" w:space="4"/>
          <w:bottom w:val="single" w:color="auto" w:sz="4" w:space="1"/>
          <w:right w:val="single" w:color="auto" w:sz="4" w:space="4"/>
        </w:pBdr>
        <w:ind w:left="426"/>
        <w:rPr>
          <w:rFonts w:ascii="Verdana" w:hAnsi="Verdana"/>
          <w:sz w:val="18"/>
          <w:szCs w:val="18"/>
          <w:lang w:val="nl-NL" w:eastAsia="nl-NL"/>
        </w:rPr>
      </w:pPr>
      <w:r w:rsidRPr="007557FE">
        <w:rPr>
          <w:rFonts w:ascii="Verdana" w:hAnsi="Verdana"/>
          <w:sz w:val="18"/>
          <w:szCs w:val="18"/>
          <w:lang w:val="nl-NL" w:eastAsia="nl-NL"/>
        </w:rPr>
        <w:t>Platgebrande dorpen in Nigeria door terreurgroep Boko Haram, tienduizenden ontheemde Syrische vluchtelingen aan de Jordaanse grens, Noord-Koreaanse strafkampen drie keer zo groot als Washington D.C.: het rapport van Amnesty over de chemische oorlogsvoering in Darfur is niet de eerste keer dat de organisatie gebruikmaakt van satellietbeelden om oorlogsmisdrijven en mensenrechtenschendingen zichtbaar te maken.</w:t>
      </w:r>
    </w:p>
    <w:p w:rsidR="00AF1A92" w:rsidP="00460324" w:rsidRDefault="00AF1A92">
      <w:pPr>
        <w:pBdr>
          <w:top w:val="single" w:color="auto" w:sz="4" w:space="1"/>
          <w:left w:val="single" w:color="auto" w:sz="4" w:space="4"/>
          <w:bottom w:val="single" w:color="auto" w:sz="4" w:space="1"/>
          <w:right w:val="single" w:color="auto" w:sz="4" w:space="4"/>
        </w:pBdr>
        <w:ind w:left="426"/>
        <w:rPr>
          <w:rFonts w:ascii="Times New Roman" w:hAnsi="Times New Roman"/>
          <w:sz w:val="24"/>
          <w:szCs w:val="24"/>
          <w:lang w:val="nl-NL" w:eastAsia="nl-NL"/>
        </w:rPr>
      </w:pPr>
      <w:r w:rsidRPr="007557FE">
        <w:rPr>
          <w:rFonts w:ascii="Verdana" w:hAnsi="Verdana"/>
          <w:sz w:val="18"/>
          <w:szCs w:val="18"/>
          <w:lang w:val="nl-NL" w:eastAsia="nl-NL"/>
        </w:rPr>
        <w:t>Satellieten bieden een uitkomst in gebieden die te gevaarlijk zijn of moeilijk te bereiken voor onderzoekers. Ook Human Rights Watch (HRW) en kleinere organisaties maken geregeld gebruik van satellieten om informatie te verifiëren en veldwerkers te ondersteunen. 'Als we niet ter plekke kunnen komen, doen we honderden interviews telefonisch en via Skype met de bevolking. Met beelden kunnen we controleren of het klopt wat ze zeggen', zegt satellietanalist Christoph Koettl. In 2008 hoorde Amnesty dat in Tsjaad een dorp grotendeels was platgebrand. 'Getuigen spraken van zo'n 1.500 huizen, op de beelden zagen we dat het er zeker 3.000 waren</w:t>
      </w:r>
      <w:r>
        <w:rPr>
          <w:rFonts w:ascii="Times New Roman" w:hAnsi="Times New Roman"/>
          <w:sz w:val="24"/>
          <w:szCs w:val="24"/>
          <w:lang w:val="nl-NL" w:eastAsia="nl-NL"/>
        </w:rPr>
        <w:t>.”</w:t>
      </w:r>
    </w:p>
    <w:p w:rsidRPr="007557FE" w:rsidR="008816DE" w:rsidP="00460324" w:rsidRDefault="008816DE">
      <w:pPr>
        <w:pBdr>
          <w:top w:val="single" w:color="auto" w:sz="4" w:space="1"/>
          <w:left w:val="single" w:color="auto" w:sz="4" w:space="4"/>
          <w:bottom w:val="single" w:color="auto" w:sz="4" w:space="1"/>
          <w:right w:val="single" w:color="auto" w:sz="4" w:space="4"/>
        </w:pBdr>
        <w:ind w:left="426"/>
        <w:rPr>
          <w:rFonts w:ascii="Times New Roman" w:hAnsi="Times New Roman"/>
          <w:sz w:val="24"/>
          <w:szCs w:val="24"/>
          <w:lang w:val="nl-NL" w:eastAsia="nl-NL"/>
        </w:rPr>
      </w:pPr>
    </w:p>
    <w:p w:rsidRPr="007557FE" w:rsidR="00AF1A92" w:rsidP="00460324" w:rsidRDefault="00AF1A92">
      <w:pPr>
        <w:pBdr>
          <w:top w:val="single" w:color="auto" w:sz="4" w:space="1"/>
          <w:left w:val="single" w:color="auto" w:sz="4" w:space="4"/>
          <w:bottom w:val="single" w:color="auto" w:sz="4" w:space="1"/>
          <w:right w:val="single" w:color="auto" w:sz="4" w:space="4"/>
        </w:pBdr>
        <w:ind w:left="426"/>
        <w:rPr>
          <w:rFonts w:ascii="Verdana" w:hAnsi="Verdana"/>
          <w:b/>
          <w:bCs/>
          <w:sz w:val="18"/>
          <w:szCs w:val="18"/>
          <w:lang w:val="nl-NL" w:eastAsia="nl-NL"/>
        </w:rPr>
      </w:pPr>
      <w:r>
        <w:rPr>
          <w:rFonts w:ascii="Verdana" w:hAnsi="Verdana"/>
          <w:b/>
          <w:bCs/>
          <w:sz w:val="18"/>
          <w:szCs w:val="18"/>
          <w:lang w:val="nl-NL" w:eastAsia="nl-NL"/>
        </w:rPr>
        <w:t>“</w:t>
      </w:r>
      <w:r w:rsidRPr="007557FE">
        <w:rPr>
          <w:rFonts w:ascii="Verdana" w:hAnsi="Verdana"/>
          <w:b/>
          <w:bCs/>
          <w:sz w:val="18"/>
          <w:szCs w:val="18"/>
          <w:lang w:val="nl-NL" w:eastAsia="nl-NL"/>
        </w:rPr>
        <w:t>Kwaliteit Satellietbeelden spreken: chemische oorlog in Darfur</w:t>
      </w:r>
    </w:p>
    <w:p w:rsidR="00AF1A92" w:rsidP="00460324" w:rsidRDefault="00AF1A92">
      <w:pPr>
        <w:pBdr>
          <w:top w:val="single" w:color="auto" w:sz="4" w:space="1"/>
          <w:left w:val="single" w:color="auto" w:sz="4" w:space="4"/>
          <w:bottom w:val="single" w:color="auto" w:sz="4" w:space="1"/>
          <w:right w:val="single" w:color="auto" w:sz="4" w:space="4"/>
        </w:pBdr>
        <w:ind w:left="426"/>
        <w:rPr>
          <w:rFonts w:ascii="Verdana" w:hAnsi="Verdana"/>
          <w:sz w:val="18"/>
          <w:szCs w:val="18"/>
          <w:lang w:val="nl-NL" w:eastAsia="nl-NL"/>
        </w:rPr>
      </w:pPr>
      <w:r w:rsidRPr="007557FE">
        <w:rPr>
          <w:rFonts w:ascii="Verdana" w:hAnsi="Verdana"/>
          <w:sz w:val="18"/>
          <w:szCs w:val="18"/>
          <w:lang w:val="nl-NL" w:eastAsia="nl-NL"/>
        </w:rPr>
        <w:t xml:space="preserve">Soedanese regeringstroepen zetten chemische wapens in bij hun strijd tegen rebellen in Darfur. Dat concludeert </w:t>
      </w:r>
      <w:hyperlink w:tgtFrame="_blank" w:history="1" r:id="rId9">
        <w:r w:rsidRPr="007557FE">
          <w:rPr>
            <w:rStyle w:val="Hyperlink"/>
            <w:rFonts w:ascii="Verdana" w:hAnsi="Verdana"/>
            <w:color w:val="auto"/>
            <w:sz w:val="18"/>
            <w:szCs w:val="18"/>
            <w:u w:val="none"/>
            <w:lang w:val="nl-NL" w:eastAsia="nl-NL"/>
          </w:rPr>
          <w:t>Amnesty</w:t>
        </w:r>
        <w:r>
          <w:rPr>
            <w:rStyle w:val="Hyperlink"/>
            <w:rFonts w:ascii="Verdana" w:hAnsi="Verdana"/>
            <w:color w:val="auto"/>
            <w:sz w:val="18"/>
            <w:szCs w:val="18"/>
            <w:u w:val="none"/>
            <w:lang w:val="nl-NL" w:eastAsia="nl-NL"/>
          </w:rPr>
          <w:t xml:space="preserve"> International</w:t>
        </w:r>
        <w:r w:rsidRPr="007557FE">
          <w:rPr>
            <w:rStyle w:val="Hyperlink"/>
            <w:rFonts w:ascii="Verdana" w:hAnsi="Verdana"/>
            <w:color w:val="auto"/>
            <w:sz w:val="18"/>
            <w:szCs w:val="18"/>
            <w:u w:val="none"/>
            <w:lang w:val="nl-NL" w:eastAsia="nl-NL"/>
          </w:rPr>
          <w:t xml:space="preserve"> op basis van satellietbeelden en gesprekken met getuigen</w:t>
        </w:r>
      </w:hyperlink>
      <w:r w:rsidRPr="007557FE">
        <w:rPr>
          <w:rFonts w:ascii="Verdana" w:hAnsi="Verdana"/>
          <w:sz w:val="18"/>
          <w:szCs w:val="18"/>
          <w:lang w:val="nl-NL" w:eastAsia="nl-NL"/>
        </w:rPr>
        <w:t>.</w:t>
      </w:r>
      <w:r>
        <w:rPr>
          <w:rFonts w:ascii="Verdana" w:hAnsi="Verdana"/>
          <w:sz w:val="18"/>
          <w:szCs w:val="18"/>
          <w:lang w:val="nl-NL" w:eastAsia="nl-NL"/>
        </w:rPr>
        <w:t xml:space="preserve"> </w:t>
      </w:r>
      <w:r w:rsidRPr="007557FE">
        <w:rPr>
          <w:rFonts w:ascii="Verdana" w:hAnsi="Verdana"/>
          <w:sz w:val="18"/>
          <w:szCs w:val="18"/>
          <w:lang w:val="nl-NL" w:eastAsia="nl-NL"/>
        </w:rPr>
        <w:t>Sinds een jaar of tien is de kwaliteit van commerciële satellieten zo goed dat mensenrechtenorganisaties er gebruik van maken. Niet alleen om getuigenverklaringen te controleren, maar ook om onbekende misstanden te ontdekken. 'Iedereen kan door de beelden duidelijk zien wat voor drama zich ter plekke afspeelt. Je dwingt mensen de situatie letterlijk onder ogen te zien', zegt Josh Lyons, satellietanalist van HRW.</w:t>
      </w:r>
      <w:r w:rsidRPr="007557FE">
        <w:rPr>
          <w:rFonts w:ascii="Verdana" w:hAnsi="Verdana"/>
          <w:sz w:val="18"/>
          <w:szCs w:val="18"/>
          <w:lang w:val="nl-NL" w:eastAsia="nl-NL"/>
        </w:rPr>
        <w:br/>
      </w:r>
      <w:r w:rsidRPr="007557FE">
        <w:rPr>
          <w:rFonts w:ascii="Verdana" w:hAnsi="Verdana"/>
          <w:sz w:val="18"/>
          <w:szCs w:val="18"/>
          <w:lang w:val="nl-NL" w:eastAsia="nl-NL"/>
        </w:rPr>
        <w:br/>
        <w:t>Human Rights Watch werkt ook samen met de Europese Ruimtevaartorganisatie</w:t>
      </w:r>
      <w:r>
        <w:rPr>
          <w:rFonts w:ascii="Verdana" w:hAnsi="Verdana"/>
          <w:sz w:val="18"/>
          <w:szCs w:val="18"/>
          <w:lang w:val="nl-NL" w:eastAsia="nl-NL"/>
        </w:rPr>
        <w:t xml:space="preserve"> ESA</w:t>
      </w:r>
      <w:r w:rsidRPr="007557FE">
        <w:rPr>
          <w:rFonts w:ascii="Verdana" w:hAnsi="Verdana"/>
          <w:sz w:val="18"/>
          <w:szCs w:val="18"/>
          <w:lang w:val="nl-NL" w:eastAsia="nl-NL"/>
        </w:rPr>
        <w:t>, die beelden gratis verstrekt. Soms geven de commerciële bedrijven een korting voor het goede doel. Van samenwerking met overheden is geen sprake. 'We zijn onafhankelijk en beelden van overheden kunnen gemanipuleerd zijn', zegt Lyons.</w:t>
      </w:r>
      <w:r>
        <w:rPr>
          <w:rFonts w:ascii="Verdana" w:hAnsi="Verdana"/>
          <w:sz w:val="18"/>
          <w:szCs w:val="18"/>
          <w:lang w:val="nl-NL" w:eastAsia="nl-NL"/>
        </w:rPr>
        <w:t>”</w:t>
      </w:r>
    </w:p>
    <w:p w:rsidR="008816DE" w:rsidP="00460324" w:rsidRDefault="008816DE">
      <w:pPr>
        <w:rPr>
          <w:rFonts w:ascii="Verdana" w:hAnsi="Verdana"/>
          <w:sz w:val="18"/>
          <w:szCs w:val="18"/>
          <w:lang w:val="nl-NL"/>
        </w:rPr>
      </w:pPr>
    </w:p>
    <w:p w:rsidRPr="00460324" w:rsidR="00F92630" w:rsidP="00460324" w:rsidRDefault="00F92630">
      <w:pPr>
        <w:rPr>
          <w:rFonts w:ascii="Verdana" w:hAnsi="Verdana"/>
          <w:sz w:val="18"/>
          <w:szCs w:val="18"/>
          <w:lang w:val="nl-NL"/>
        </w:rPr>
      </w:pPr>
      <w:r w:rsidRPr="00460324">
        <w:rPr>
          <w:rFonts w:ascii="Verdana" w:hAnsi="Verdana"/>
          <w:sz w:val="18"/>
          <w:szCs w:val="18"/>
          <w:lang w:val="nl-NL"/>
        </w:rPr>
        <w:t>Een illustratief voorbeeld van de benutting van satellietdata d</w:t>
      </w:r>
      <w:r w:rsidRPr="00460324" w:rsidR="001B5086">
        <w:rPr>
          <w:rFonts w:ascii="Verdana" w:hAnsi="Verdana"/>
          <w:sz w:val="18"/>
          <w:szCs w:val="18"/>
          <w:lang w:val="nl-NL"/>
        </w:rPr>
        <w:t xml:space="preserve">oor de overheid is het </w:t>
      </w:r>
      <w:r w:rsidRPr="00460324" w:rsidR="00C64E73">
        <w:rPr>
          <w:rFonts w:ascii="Verdana" w:hAnsi="Verdana"/>
          <w:sz w:val="18"/>
          <w:szCs w:val="18"/>
          <w:lang w:val="nl-NL"/>
        </w:rPr>
        <w:t>programma van het m</w:t>
      </w:r>
      <w:r w:rsidRPr="00460324">
        <w:rPr>
          <w:rFonts w:ascii="Verdana" w:hAnsi="Verdana"/>
          <w:sz w:val="18"/>
          <w:szCs w:val="18"/>
          <w:lang w:val="nl-NL"/>
        </w:rPr>
        <w:t>inisterie van Buitenlandse Zaken:</w:t>
      </w:r>
      <w:r w:rsidRPr="00460324" w:rsidR="001B5086">
        <w:rPr>
          <w:rFonts w:ascii="Verdana" w:hAnsi="Verdana"/>
          <w:sz w:val="18"/>
          <w:szCs w:val="18"/>
          <w:lang w:val="nl-NL"/>
        </w:rPr>
        <w:t xml:space="preserve"> d</w:t>
      </w:r>
      <w:r w:rsidRPr="00460324">
        <w:rPr>
          <w:rFonts w:ascii="Verdana" w:hAnsi="Verdana"/>
          <w:sz w:val="18"/>
          <w:szCs w:val="18"/>
          <w:lang w:val="nl-NL"/>
        </w:rPr>
        <w:t xml:space="preserve">e Geodata for Agriculture and Water (G4AW) Faciliteit heeft als doel de voedselzekerheid in zich ontwikkelende landen te verbeteren en tegelijkertijd het gebruik van water te verminderen door </w:t>
      </w:r>
      <w:r w:rsidRPr="00460324" w:rsidR="00D475ED">
        <w:rPr>
          <w:rFonts w:ascii="Verdana" w:hAnsi="Verdana"/>
          <w:sz w:val="18"/>
          <w:szCs w:val="18"/>
          <w:lang w:val="nl-NL"/>
        </w:rPr>
        <w:t xml:space="preserve">middel van </w:t>
      </w:r>
      <w:r w:rsidRPr="00460324">
        <w:rPr>
          <w:rFonts w:ascii="Verdana" w:hAnsi="Verdana"/>
          <w:sz w:val="18"/>
          <w:szCs w:val="18"/>
          <w:lang w:val="nl-NL"/>
        </w:rPr>
        <w:t>he</w:t>
      </w:r>
      <w:r w:rsidRPr="00460324" w:rsidR="00D475ED">
        <w:rPr>
          <w:rFonts w:ascii="Verdana" w:hAnsi="Verdana"/>
          <w:sz w:val="18"/>
          <w:szCs w:val="18"/>
          <w:lang w:val="nl-NL"/>
        </w:rPr>
        <w:t>t benutten van satellietdata. Het</w:t>
      </w:r>
      <w:r w:rsidRPr="00460324">
        <w:rPr>
          <w:rFonts w:ascii="Verdana" w:hAnsi="Verdana"/>
          <w:sz w:val="18"/>
          <w:szCs w:val="18"/>
          <w:lang w:val="nl-NL"/>
        </w:rPr>
        <w:t xml:space="preserve"> Netherlands Space Office (NSO) voert de faciliteit voor</w:t>
      </w:r>
      <w:r w:rsidRPr="00460324" w:rsidR="00C64E73">
        <w:rPr>
          <w:rFonts w:ascii="Verdana" w:hAnsi="Verdana"/>
          <w:sz w:val="18"/>
          <w:szCs w:val="18"/>
          <w:lang w:val="nl-NL"/>
        </w:rPr>
        <w:t xml:space="preserve"> het m</w:t>
      </w:r>
      <w:r w:rsidRPr="00460324" w:rsidR="00D475ED">
        <w:rPr>
          <w:rFonts w:ascii="Verdana" w:hAnsi="Verdana"/>
          <w:sz w:val="18"/>
          <w:szCs w:val="18"/>
          <w:lang w:val="nl-NL"/>
        </w:rPr>
        <w:t>inisterie van</w:t>
      </w:r>
      <w:r w:rsidRPr="00460324">
        <w:rPr>
          <w:rFonts w:ascii="Verdana" w:hAnsi="Verdana"/>
          <w:sz w:val="18"/>
          <w:szCs w:val="18"/>
          <w:lang w:val="nl-NL"/>
        </w:rPr>
        <w:t xml:space="preserve"> Buitenlandse Zaken uit. Er zijn nu 17 consortia actief in 10 landen. Hierin nemen 30 Nederlandse bedrijven deel. De bedoeling is de komende 4 jaar door de opbouw van commerciële dienstverlening minimaal 3 miljoen kleinere voedselproducenten in de landbouw en visserij te bereiken. Het ziet er nu al naar uit dat het samengaan </w:t>
      </w:r>
      <w:r w:rsidRPr="00460324" w:rsidR="00D475ED">
        <w:rPr>
          <w:rFonts w:ascii="Verdana" w:hAnsi="Verdana"/>
          <w:sz w:val="18"/>
          <w:szCs w:val="18"/>
          <w:lang w:val="nl-NL"/>
        </w:rPr>
        <w:t>van snelle ontwikkelingen in ICT</w:t>
      </w:r>
      <w:r w:rsidRPr="00460324">
        <w:rPr>
          <w:rFonts w:ascii="Verdana" w:hAnsi="Verdana"/>
          <w:sz w:val="18"/>
          <w:szCs w:val="18"/>
          <w:lang w:val="nl-NL"/>
        </w:rPr>
        <w:t>, telecom</w:t>
      </w:r>
      <w:r w:rsidRPr="00460324" w:rsidR="00D475ED">
        <w:rPr>
          <w:rFonts w:ascii="Verdana" w:hAnsi="Verdana"/>
          <w:sz w:val="18"/>
          <w:szCs w:val="18"/>
          <w:lang w:val="nl-NL"/>
        </w:rPr>
        <w:t>municatie</w:t>
      </w:r>
      <w:r w:rsidRPr="00460324">
        <w:rPr>
          <w:rFonts w:ascii="Verdana" w:hAnsi="Verdana"/>
          <w:sz w:val="18"/>
          <w:szCs w:val="18"/>
          <w:lang w:val="nl-NL"/>
        </w:rPr>
        <w:t>, bankensector en verzekeringen een hele nieuwe dynamiek veroorzaa</w:t>
      </w:r>
      <w:r w:rsidRPr="00460324" w:rsidR="00D475ED">
        <w:rPr>
          <w:rFonts w:ascii="Verdana" w:hAnsi="Verdana"/>
          <w:sz w:val="18"/>
          <w:szCs w:val="18"/>
          <w:lang w:val="nl-NL"/>
        </w:rPr>
        <w:t xml:space="preserve">kt, die in de praktijk </w:t>
      </w:r>
      <w:r w:rsidRPr="00460324">
        <w:rPr>
          <w:rFonts w:ascii="Verdana" w:hAnsi="Verdana"/>
          <w:sz w:val="18"/>
          <w:szCs w:val="18"/>
          <w:lang w:val="nl-NL"/>
        </w:rPr>
        <w:t>tot verdubbeling van de beoogde resultaten kan gaan leiden.</w:t>
      </w:r>
    </w:p>
    <w:p w:rsidR="00AF1A92" w:rsidP="003A7671" w:rsidRDefault="00AF1A92">
      <w:pPr>
        <w:ind w:left="426"/>
        <w:rPr>
          <w:rFonts w:ascii="Verdana" w:hAnsi="Verdana"/>
          <w:sz w:val="18"/>
          <w:szCs w:val="18"/>
          <w:highlight w:val="yellow"/>
          <w:u w:val="single"/>
          <w:lang w:val="nl-NL"/>
        </w:rPr>
      </w:pPr>
    </w:p>
    <w:p w:rsidRPr="00510100" w:rsidR="00D11F8F" w:rsidP="00460324" w:rsidRDefault="00D11F8F">
      <w:pPr>
        <w:rPr>
          <w:rFonts w:ascii="Verdana" w:hAnsi="Verdana"/>
          <w:sz w:val="18"/>
          <w:szCs w:val="18"/>
          <w:lang w:val="nl-NL"/>
        </w:rPr>
      </w:pPr>
      <w:r w:rsidRPr="00510100">
        <w:rPr>
          <w:rFonts w:ascii="Verdana" w:hAnsi="Verdana"/>
          <w:sz w:val="18"/>
          <w:szCs w:val="18"/>
          <w:lang w:val="nl-NL"/>
        </w:rPr>
        <w:t xml:space="preserve">Voor het uitvoeren van wettelijke regelingen en beleid van het ministerie van EZ blijkt het gebruik van satellietdata zeer waardevol te zijn. Met name in de agro en natuur toepassingen bieden satellietdata </w:t>
      </w:r>
      <w:r w:rsidRPr="00510100">
        <w:rPr>
          <w:rFonts w:ascii="Verdana" w:hAnsi="Verdana"/>
          <w:sz w:val="18"/>
          <w:szCs w:val="18"/>
          <w:lang w:val="nl-NL"/>
        </w:rPr>
        <w:lastRenderedPageBreak/>
        <w:t>vele mogelijkheden. Door de Rijksdienst voor Ondernemend Nederland (RVO) worden satellietdata al veelvuldig gebruikt bij landbouwcontroles en bij veranderingen in perceelbegrenzingen. Bij de Nederlandse Voedsel en Waren Autoriteit (NVWA) is aangetoond dat landbouwinspecties efficiënter gedaan kunnen worden met behulp van satellietdata. Het gaat hierbij om de monitoring van plas-drassituaties, controles op maaidatums (Vogel &amp; Habitatrichtlijn) en vanggewassen. Tevens worden satellietdata gebruikt bij het vaststellen van water</w:t>
      </w:r>
      <w:r w:rsidR="00ED2D0E">
        <w:rPr>
          <w:rFonts w:ascii="Verdana" w:hAnsi="Verdana"/>
          <w:sz w:val="18"/>
          <w:szCs w:val="18"/>
          <w:lang w:val="nl-NL"/>
        </w:rPr>
        <w:t>- en hagel</w:t>
      </w:r>
      <w:r w:rsidRPr="00510100">
        <w:rPr>
          <w:rFonts w:ascii="Verdana" w:hAnsi="Verdana"/>
          <w:sz w:val="18"/>
          <w:szCs w:val="18"/>
          <w:lang w:val="nl-NL"/>
        </w:rPr>
        <w:t xml:space="preserve">schade in de landbouw. Ook voor beleid van EZ voor verduurzaming van de landbouw zijn satellietdata waardevol en worden de data steeds meer gebruikt in applicaties en managementsystemen voor precisielandbouw. Agrariërs maken gebruik van satellietdata voor het monitoren van de gewasontwikkeling en voor het plannen van teelthandelingen, bv loofdoding van aardappelen. Grote agrarische concerns maken gebruik van satellietdata om respectievelijk de </w:t>
      </w:r>
      <w:r w:rsidRPr="00510100" w:rsidR="00EB7235">
        <w:rPr>
          <w:rFonts w:ascii="Verdana" w:hAnsi="Verdana"/>
          <w:sz w:val="18"/>
          <w:szCs w:val="18"/>
          <w:lang w:val="nl-NL"/>
        </w:rPr>
        <w:t xml:space="preserve">toekomstige </w:t>
      </w:r>
      <w:r w:rsidRPr="00510100">
        <w:rPr>
          <w:rFonts w:ascii="Verdana" w:hAnsi="Verdana"/>
          <w:sz w:val="18"/>
          <w:szCs w:val="18"/>
          <w:lang w:val="nl-NL"/>
        </w:rPr>
        <w:t>grasopbrengst en de suikeropbrengst te schatten. De provincies gebruiken satellietdata steeds meer voor het monitoren</w:t>
      </w:r>
      <w:r w:rsidRPr="00510100" w:rsidR="00EB7235">
        <w:rPr>
          <w:rFonts w:ascii="Verdana" w:hAnsi="Verdana"/>
          <w:sz w:val="18"/>
          <w:szCs w:val="18"/>
          <w:lang w:val="nl-NL"/>
        </w:rPr>
        <w:t xml:space="preserve"> en handhaven van de boswet. H</w:t>
      </w:r>
      <w:r w:rsidRPr="00510100">
        <w:rPr>
          <w:rFonts w:ascii="Verdana" w:hAnsi="Verdana"/>
          <w:sz w:val="18"/>
          <w:szCs w:val="18"/>
          <w:lang w:val="nl-NL"/>
        </w:rPr>
        <w:t>et faunafonds zet satellietdata in bij het vaststellen van ganzenvraatschade. Naast deze operationele toepassingen van satellietdata zijn er steeds meer toepassingen in ontwikkeling bij het C</w:t>
      </w:r>
      <w:r w:rsidRPr="00510100" w:rsidR="00EB7235">
        <w:rPr>
          <w:rFonts w:ascii="Verdana" w:hAnsi="Verdana"/>
          <w:sz w:val="18"/>
          <w:szCs w:val="18"/>
          <w:lang w:val="nl-NL"/>
        </w:rPr>
        <w:t xml:space="preserve">entraal </w:t>
      </w:r>
      <w:r w:rsidRPr="00510100">
        <w:rPr>
          <w:rFonts w:ascii="Verdana" w:hAnsi="Verdana"/>
          <w:sz w:val="18"/>
          <w:szCs w:val="18"/>
          <w:lang w:val="nl-NL"/>
        </w:rPr>
        <w:t>B</w:t>
      </w:r>
      <w:r w:rsidRPr="00510100" w:rsidR="00EB7235">
        <w:rPr>
          <w:rFonts w:ascii="Verdana" w:hAnsi="Verdana"/>
          <w:sz w:val="18"/>
          <w:szCs w:val="18"/>
          <w:lang w:val="nl-NL"/>
        </w:rPr>
        <w:t xml:space="preserve">ureau voor de </w:t>
      </w:r>
      <w:r w:rsidRPr="00510100">
        <w:rPr>
          <w:rFonts w:ascii="Verdana" w:hAnsi="Verdana"/>
          <w:sz w:val="18"/>
          <w:szCs w:val="18"/>
          <w:lang w:val="nl-NL"/>
        </w:rPr>
        <w:t>S</w:t>
      </w:r>
      <w:r w:rsidRPr="00510100" w:rsidR="00EB7235">
        <w:rPr>
          <w:rFonts w:ascii="Verdana" w:hAnsi="Verdana"/>
          <w:sz w:val="18"/>
          <w:szCs w:val="18"/>
          <w:lang w:val="nl-NL"/>
        </w:rPr>
        <w:t>tatistiek</w:t>
      </w:r>
      <w:r w:rsidRPr="00510100">
        <w:rPr>
          <w:rFonts w:ascii="Verdana" w:hAnsi="Verdana"/>
          <w:sz w:val="18"/>
          <w:szCs w:val="18"/>
          <w:lang w:val="nl-NL"/>
        </w:rPr>
        <w:t xml:space="preserve"> (energie), S</w:t>
      </w:r>
      <w:r w:rsidR="00ED2D0E">
        <w:rPr>
          <w:rFonts w:ascii="Verdana" w:hAnsi="Verdana"/>
          <w:sz w:val="18"/>
          <w:szCs w:val="18"/>
          <w:lang w:val="nl-NL"/>
        </w:rPr>
        <w:t>taatsbosb</w:t>
      </w:r>
      <w:r w:rsidRPr="00510100" w:rsidR="00EB7235">
        <w:rPr>
          <w:rFonts w:ascii="Verdana" w:hAnsi="Verdana"/>
          <w:sz w:val="18"/>
          <w:szCs w:val="18"/>
          <w:lang w:val="nl-NL"/>
        </w:rPr>
        <w:t>eheer en andere organisaties, die onder</w:t>
      </w:r>
      <w:r w:rsidRPr="00510100">
        <w:rPr>
          <w:rFonts w:ascii="Verdana" w:hAnsi="Verdana"/>
          <w:sz w:val="18"/>
          <w:szCs w:val="18"/>
          <w:lang w:val="nl-NL"/>
        </w:rPr>
        <w:t xml:space="preserve"> </w:t>
      </w:r>
      <w:r w:rsidRPr="00510100" w:rsidR="00EB7235">
        <w:rPr>
          <w:rFonts w:ascii="Verdana" w:hAnsi="Verdana"/>
          <w:sz w:val="18"/>
          <w:szCs w:val="18"/>
          <w:lang w:val="nl-NL"/>
        </w:rPr>
        <w:t xml:space="preserve">het ministerie van </w:t>
      </w:r>
      <w:r w:rsidRPr="00510100">
        <w:rPr>
          <w:rFonts w:ascii="Verdana" w:hAnsi="Verdana"/>
          <w:sz w:val="18"/>
          <w:szCs w:val="18"/>
          <w:lang w:val="nl-NL"/>
        </w:rPr>
        <w:t>EZ</w:t>
      </w:r>
      <w:r w:rsidRPr="00510100" w:rsidR="00EB7235">
        <w:rPr>
          <w:rFonts w:ascii="Verdana" w:hAnsi="Verdana"/>
          <w:sz w:val="18"/>
          <w:szCs w:val="18"/>
          <w:lang w:val="nl-NL"/>
        </w:rPr>
        <w:t xml:space="preserve"> ressorteren</w:t>
      </w:r>
      <w:r w:rsidRPr="00510100">
        <w:rPr>
          <w:rFonts w:ascii="Verdana" w:hAnsi="Verdana"/>
          <w:sz w:val="18"/>
          <w:szCs w:val="18"/>
          <w:lang w:val="nl-NL"/>
        </w:rPr>
        <w:t>.</w:t>
      </w:r>
    </w:p>
    <w:p w:rsidRPr="00510100" w:rsidR="002A1AF4" w:rsidP="003A7671" w:rsidRDefault="002A1AF4">
      <w:pPr>
        <w:ind w:left="426"/>
        <w:rPr>
          <w:rFonts w:ascii="Verdana" w:hAnsi="Verdana"/>
          <w:sz w:val="18"/>
          <w:szCs w:val="18"/>
          <w:u w:val="single"/>
          <w:lang w:val="nl-NL"/>
        </w:rPr>
      </w:pPr>
    </w:p>
    <w:p w:rsidR="004E39D0" w:rsidP="00460324" w:rsidRDefault="00C64E73">
      <w:pPr>
        <w:rPr>
          <w:rFonts w:ascii="Verdana" w:hAnsi="Verdana"/>
          <w:sz w:val="18"/>
          <w:szCs w:val="18"/>
          <w:lang w:val="nl-NL"/>
        </w:rPr>
      </w:pPr>
      <w:r w:rsidRPr="00510100">
        <w:rPr>
          <w:rFonts w:ascii="Verdana" w:hAnsi="Verdana"/>
          <w:sz w:val="18"/>
          <w:szCs w:val="18"/>
          <w:lang w:val="nl-NL"/>
        </w:rPr>
        <w:t>Het m</w:t>
      </w:r>
      <w:r w:rsidRPr="00510100" w:rsidR="00D475ED">
        <w:rPr>
          <w:rFonts w:ascii="Verdana" w:hAnsi="Verdana"/>
          <w:sz w:val="18"/>
          <w:szCs w:val="18"/>
          <w:lang w:val="nl-NL"/>
        </w:rPr>
        <w:t xml:space="preserve">inisterie van </w:t>
      </w:r>
      <w:r w:rsidRPr="00510100" w:rsidR="003D21AF">
        <w:rPr>
          <w:rFonts w:ascii="Verdana" w:hAnsi="Verdana"/>
          <w:sz w:val="18"/>
          <w:szCs w:val="18"/>
          <w:lang w:val="nl-NL"/>
        </w:rPr>
        <w:t xml:space="preserve">IenM maakt dagelijks </w:t>
      </w:r>
      <w:r w:rsidRPr="00510100" w:rsidR="004E39D0">
        <w:rPr>
          <w:rFonts w:ascii="Verdana" w:hAnsi="Verdana"/>
          <w:sz w:val="18"/>
          <w:szCs w:val="18"/>
          <w:lang w:val="nl-NL"/>
        </w:rPr>
        <w:t>veel gebruik van satellietdata. Het ga</w:t>
      </w:r>
      <w:r w:rsidRPr="00510100" w:rsidR="003D21AF">
        <w:rPr>
          <w:rFonts w:ascii="Verdana" w:hAnsi="Verdana"/>
          <w:sz w:val="18"/>
          <w:szCs w:val="18"/>
          <w:lang w:val="nl-NL"/>
        </w:rPr>
        <w:t>at bijvoorbeeld om de</w:t>
      </w:r>
      <w:r w:rsidRPr="00510100" w:rsidR="004E39D0">
        <w:rPr>
          <w:rFonts w:ascii="Verdana" w:hAnsi="Verdana"/>
          <w:sz w:val="18"/>
          <w:szCs w:val="18"/>
          <w:lang w:val="nl-NL"/>
        </w:rPr>
        <w:t xml:space="preserve"> weersverwachtingen van het KNMI, de plaatsbepaling en veiligheid in verkeer, vervoer en logistiek, metingen aan de zeespiegel en het monitoren van luchtkwaliteit en milieuontwikkelingen. De omvang en bruikbaarheid van satellietdata neemt snel toe, waardoor een veelheid aan toepassingen mogelijk wordt. </w:t>
      </w:r>
      <w:r w:rsidR="00510100">
        <w:rPr>
          <w:rFonts w:ascii="Verdana" w:hAnsi="Verdana"/>
          <w:sz w:val="18"/>
          <w:szCs w:val="18"/>
          <w:lang w:val="nl-NL"/>
        </w:rPr>
        <w:t xml:space="preserve">Vanuit een behoeftestelling wordt gewerkt aan integratie van </w:t>
      </w:r>
      <w:r w:rsidR="00D16E00">
        <w:rPr>
          <w:rFonts w:ascii="Verdana" w:hAnsi="Verdana"/>
          <w:sz w:val="18"/>
          <w:szCs w:val="18"/>
          <w:lang w:val="nl-NL"/>
        </w:rPr>
        <w:t xml:space="preserve">satellietdata in beleid en uitvoering. </w:t>
      </w:r>
      <w:r w:rsidRPr="00510100" w:rsidR="004E39D0">
        <w:rPr>
          <w:rFonts w:ascii="Verdana" w:hAnsi="Verdana"/>
          <w:sz w:val="18"/>
          <w:szCs w:val="18"/>
          <w:lang w:val="nl-NL"/>
        </w:rPr>
        <w:t xml:space="preserve">Omvangrijke projecten van de Europese Unie op het gebied van aardobservatie (Copernicus) en satellietnavigatie (Galileo) leiden tot innovaties met satellietdata die in de toekomst geïntegreerd worden in (Europese) wet- en regelgeving. Deze vrij beschikbare data zullen in toenemende mate ook buiten de overheid worden gebruikt door wetenschap, bedrijfsleven en maatschappelijke organisaties. </w:t>
      </w:r>
    </w:p>
    <w:p w:rsidR="003D2664" w:rsidP="00460324" w:rsidRDefault="00ED2D0E">
      <w:pPr>
        <w:rPr>
          <w:rFonts w:ascii="Verdana" w:hAnsi="Verdana"/>
          <w:sz w:val="18"/>
          <w:szCs w:val="18"/>
          <w:lang w:val="nl-NL"/>
        </w:rPr>
      </w:pPr>
      <w:r>
        <w:rPr>
          <w:rFonts w:ascii="Verdana" w:hAnsi="Verdana"/>
          <w:sz w:val="18"/>
          <w:szCs w:val="18"/>
          <w:lang w:val="nl-NL"/>
        </w:rPr>
        <w:t>Naast de introductie van een nieuwe gen</w:t>
      </w:r>
      <w:r w:rsidR="004258FF">
        <w:rPr>
          <w:rFonts w:ascii="Verdana" w:hAnsi="Verdana"/>
          <w:sz w:val="18"/>
          <w:szCs w:val="18"/>
          <w:lang w:val="nl-NL"/>
        </w:rPr>
        <w:t>eratie weersatellieten wordt in 2017</w:t>
      </w:r>
      <w:r>
        <w:rPr>
          <w:rFonts w:ascii="Verdana" w:hAnsi="Verdana"/>
          <w:sz w:val="18"/>
          <w:szCs w:val="18"/>
          <w:lang w:val="nl-NL"/>
        </w:rPr>
        <w:t xml:space="preserve"> een opvolger van het Nederlandse Ozon Meetinstrument  (OMI) gelanceerd</w:t>
      </w:r>
      <w:r w:rsidR="004258FF">
        <w:rPr>
          <w:rFonts w:ascii="Verdana" w:hAnsi="Verdana"/>
          <w:sz w:val="18"/>
          <w:szCs w:val="18"/>
          <w:lang w:val="nl-NL"/>
        </w:rPr>
        <w:t>, het zogenaamde TROPOMI-satelliet-instrument. Daarmee kan de luchtkwaliteit</w:t>
      </w:r>
      <w:r>
        <w:rPr>
          <w:rFonts w:ascii="Verdana" w:hAnsi="Verdana"/>
          <w:sz w:val="18"/>
          <w:szCs w:val="18"/>
          <w:lang w:val="nl-NL"/>
        </w:rPr>
        <w:t xml:space="preserve"> tot op stads</w:t>
      </w:r>
      <w:r w:rsidR="004258FF">
        <w:rPr>
          <w:rFonts w:ascii="Verdana" w:hAnsi="Verdana"/>
          <w:sz w:val="18"/>
          <w:szCs w:val="18"/>
          <w:lang w:val="nl-NL"/>
        </w:rPr>
        <w:t>deelniveau worden ge</w:t>
      </w:r>
      <w:r>
        <w:rPr>
          <w:rFonts w:ascii="Verdana" w:hAnsi="Verdana"/>
          <w:sz w:val="18"/>
          <w:szCs w:val="18"/>
          <w:lang w:val="nl-NL"/>
        </w:rPr>
        <w:t xml:space="preserve">meten. Het KNMI is mondiaal leverancier van </w:t>
      </w:r>
      <w:r w:rsidR="00A15CF4">
        <w:rPr>
          <w:rFonts w:ascii="Verdana" w:hAnsi="Verdana"/>
          <w:sz w:val="18"/>
          <w:szCs w:val="18"/>
          <w:lang w:val="nl-NL"/>
        </w:rPr>
        <w:t>diensten voor bijvoorbeeld het klimaatbeleid op basis van de verkregen satellietdata. Zo refereerde president Barack Obama recent in een toespraak aan h</w:t>
      </w:r>
      <w:r w:rsidR="003D2664">
        <w:rPr>
          <w:rFonts w:ascii="Verdana" w:hAnsi="Verdana"/>
          <w:sz w:val="18"/>
          <w:szCs w:val="18"/>
          <w:lang w:val="nl-NL"/>
        </w:rPr>
        <w:t>et OMI-instrument, waarvan de emissie-monitoring een belangrijke bijdrage heeft</w:t>
      </w:r>
      <w:r w:rsidR="00A15CF4">
        <w:rPr>
          <w:rFonts w:ascii="Verdana" w:hAnsi="Verdana"/>
          <w:sz w:val="18"/>
          <w:szCs w:val="18"/>
          <w:lang w:val="nl-NL"/>
        </w:rPr>
        <w:t xml:space="preserve"> geleverd aan de kennisontwikkeling </w:t>
      </w:r>
      <w:r w:rsidR="003D2664">
        <w:rPr>
          <w:rFonts w:ascii="Verdana" w:hAnsi="Verdana"/>
          <w:sz w:val="18"/>
          <w:szCs w:val="18"/>
          <w:lang w:val="nl-NL"/>
        </w:rPr>
        <w:t>op het gebied van gassen die van belang zijn voor de  luchtkwaliteit in de aardatmosfeer.</w:t>
      </w:r>
    </w:p>
    <w:p w:rsidR="003D2664" w:rsidP="00460324" w:rsidRDefault="003D2664">
      <w:pPr>
        <w:rPr>
          <w:rFonts w:ascii="Verdana" w:hAnsi="Verdana"/>
          <w:sz w:val="18"/>
          <w:szCs w:val="18"/>
          <w:lang w:val="nl-NL"/>
        </w:rPr>
      </w:pPr>
    </w:p>
    <w:p w:rsidRPr="00A45903" w:rsidR="00A45903" w:rsidP="00460324" w:rsidRDefault="00A45903">
      <w:pPr>
        <w:rPr>
          <w:rFonts w:ascii="Verdana" w:hAnsi="Verdana"/>
          <w:sz w:val="18"/>
          <w:szCs w:val="18"/>
          <w:lang w:val="nl-NL"/>
        </w:rPr>
      </w:pPr>
      <w:r>
        <w:rPr>
          <w:rFonts w:ascii="Verdana" w:hAnsi="Verdana"/>
          <w:sz w:val="18"/>
          <w:szCs w:val="18"/>
          <w:lang w:val="nl-NL"/>
        </w:rPr>
        <w:t>Op terreinen van het ministerie van OCW, in het bijzonder op dat</w:t>
      </w:r>
      <w:r w:rsidRPr="00A45903">
        <w:rPr>
          <w:rFonts w:ascii="Verdana" w:hAnsi="Verdana"/>
          <w:sz w:val="18"/>
          <w:szCs w:val="18"/>
          <w:lang w:val="nl-NL"/>
        </w:rPr>
        <w:t xml:space="preserve"> van de aardwetenschappen</w:t>
      </w:r>
      <w:r>
        <w:rPr>
          <w:rFonts w:ascii="Verdana" w:hAnsi="Verdana"/>
          <w:sz w:val="18"/>
          <w:szCs w:val="18"/>
          <w:lang w:val="nl-NL"/>
        </w:rPr>
        <w:t>,</w:t>
      </w:r>
      <w:r w:rsidRPr="00A45903">
        <w:rPr>
          <w:rFonts w:ascii="Verdana" w:hAnsi="Verdana"/>
          <w:sz w:val="18"/>
          <w:szCs w:val="18"/>
          <w:lang w:val="nl-NL"/>
        </w:rPr>
        <w:t xml:space="preserve"> is de benutting van satelliet-aardobser</w:t>
      </w:r>
      <w:r>
        <w:rPr>
          <w:rFonts w:ascii="Verdana" w:hAnsi="Verdana"/>
          <w:sz w:val="18"/>
          <w:szCs w:val="18"/>
          <w:lang w:val="nl-NL"/>
        </w:rPr>
        <w:t xml:space="preserve">vatiedata van oudsher </w:t>
      </w:r>
      <w:r w:rsidRPr="00A45903">
        <w:rPr>
          <w:rFonts w:ascii="Verdana" w:hAnsi="Verdana"/>
          <w:sz w:val="18"/>
          <w:szCs w:val="18"/>
          <w:lang w:val="nl-NL"/>
        </w:rPr>
        <w:t xml:space="preserve">sterk </w:t>
      </w:r>
      <w:r>
        <w:rPr>
          <w:rFonts w:ascii="Verdana" w:hAnsi="Verdana"/>
          <w:sz w:val="18"/>
          <w:szCs w:val="18"/>
          <w:lang w:val="nl-NL"/>
        </w:rPr>
        <w:t>instrumenteel aa</w:t>
      </w:r>
      <w:r w:rsidRPr="00A45903">
        <w:rPr>
          <w:rFonts w:ascii="Verdana" w:hAnsi="Verdana"/>
          <w:sz w:val="18"/>
          <w:szCs w:val="18"/>
          <w:lang w:val="nl-NL"/>
        </w:rPr>
        <w:t>n het atmosfeerond</w:t>
      </w:r>
      <w:r>
        <w:rPr>
          <w:rFonts w:ascii="Verdana" w:hAnsi="Verdana"/>
          <w:sz w:val="18"/>
          <w:szCs w:val="18"/>
          <w:lang w:val="nl-NL"/>
        </w:rPr>
        <w:t>erzoek (zie paragraaf 7). O</w:t>
      </w:r>
      <w:r w:rsidRPr="00A45903">
        <w:rPr>
          <w:rFonts w:ascii="Verdana" w:hAnsi="Verdana"/>
          <w:sz w:val="18"/>
          <w:szCs w:val="18"/>
          <w:lang w:val="nl-NL"/>
        </w:rPr>
        <w:t>ok op andere aardwetenschappelijke gebieden vindt in Nederland wetenschappelijk onderzoek van topkwaliteit plaats m</w:t>
      </w:r>
      <w:r>
        <w:rPr>
          <w:rFonts w:ascii="Verdana" w:hAnsi="Verdana"/>
          <w:sz w:val="18"/>
          <w:szCs w:val="18"/>
          <w:lang w:val="nl-NL"/>
        </w:rPr>
        <w:t xml:space="preserve">et </w:t>
      </w:r>
      <w:r w:rsidRPr="00A45903">
        <w:rPr>
          <w:rFonts w:ascii="Verdana" w:hAnsi="Verdana"/>
          <w:sz w:val="18"/>
          <w:szCs w:val="18"/>
          <w:lang w:val="nl-NL"/>
        </w:rPr>
        <w:t>b</w:t>
      </w:r>
      <w:r>
        <w:rPr>
          <w:rFonts w:ascii="Verdana" w:hAnsi="Verdana"/>
          <w:sz w:val="18"/>
          <w:szCs w:val="18"/>
          <w:lang w:val="nl-NL"/>
        </w:rPr>
        <w:t>ehulp van</w:t>
      </w:r>
      <w:r w:rsidRPr="00A45903">
        <w:rPr>
          <w:rFonts w:ascii="Verdana" w:hAnsi="Verdana"/>
          <w:sz w:val="18"/>
          <w:szCs w:val="18"/>
          <w:lang w:val="nl-NL"/>
        </w:rPr>
        <w:t xml:space="preserve"> satellietdata. OCW bevordert dit wetenschappelij</w:t>
      </w:r>
      <w:r>
        <w:rPr>
          <w:rFonts w:ascii="Verdana" w:hAnsi="Verdana"/>
          <w:sz w:val="18"/>
          <w:szCs w:val="18"/>
          <w:lang w:val="nl-NL"/>
        </w:rPr>
        <w:t>k ruimteonderzoek onder meer via</w:t>
      </w:r>
      <w:r w:rsidRPr="00A45903">
        <w:rPr>
          <w:rFonts w:ascii="Verdana" w:hAnsi="Verdana"/>
          <w:sz w:val="18"/>
          <w:szCs w:val="18"/>
          <w:lang w:val="nl-NL"/>
        </w:rPr>
        <w:t xml:space="preserve"> het NWO programma Gebruikersondersteuning Ruimteonderzoek</w:t>
      </w:r>
      <w:r>
        <w:rPr>
          <w:rFonts w:ascii="Verdana" w:hAnsi="Verdana"/>
          <w:sz w:val="18"/>
          <w:szCs w:val="18"/>
          <w:lang w:val="nl-NL"/>
        </w:rPr>
        <w:t xml:space="preserve"> (zie paragraaf 12)</w:t>
      </w:r>
      <w:r w:rsidRPr="00A45903">
        <w:rPr>
          <w:rFonts w:ascii="Verdana" w:hAnsi="Verdana"/>
          <w:sz w:val="18"/>
          <w:szCs w:val="18"/>
          <w:lang w:val="nl-NL"/>
        </w:rPr>
        <w:t>. Op het gebied van de hydrologie en het landgebruik worden satellietdata veelvuldig gebruikt ten behoeve van het in kaart brengen van overstromingen en droogte, gewaskenmerken en oogstvoorspellingen, landgebruik en -degradat</w:t>
      </w:r>
      <w:r>
        <w:rPr>
          <w:rFonts w:ascii="Verdana" w:hAnsi="Verdana"/>
          <w:sz w:val="18"/>
          <w:szCs w:val="18"/>
          <w:lang w:val="nl-NL"/>
        </w:rPr>
        <w:t>ie, stedelijke ontwikkeling en andere thema’s</w:t>
      </w:r>
      <w:r w:rsidRPr="00A45903">
        <w:rPr>
          <w:rFonts w:ascii="Verdana" w:hAnsi="Verdana"/>
          <w:sz w:val="18"/>
          <w:szCs w:val="18"/>
          <w:lang w:val="nl-NL"/>
        </w:rPr>
        <w:t>. Op het gebied van de vaste aarde en ijs spelen satellietdata een grote rol bij het modelleren van onder meer ijs</w:t>
      </w:r>
      <w:r>
        <w:rPr>
          <w:rFonts w:ascii="Verdana" w:hAnsi="Verdana"/>
          <w:sz w:val="18"/>
          <w:szCs w:val="18"/>
          <w:lang w:val="nl-NL"/>
        </w:rPr>
        <w:t>-</w:t>
      </w:r>
      <w:r w:rsidRPr="00A45903">
        <w:rPr>
          <w:rFonts w:ascii="Verdana" w:hAnsi="Verdana"/>
          <w:sz w:val="18"/>
          <w:szCs w:val="18"/>
          <w:lang w:val="nl-NL"/>
        </w:rPr>
        <w:t>afsmelt, bodembeweging, aardbevingen, l</w:t>
      </w:r>
      <w:r>
        <w:rPr>
          <w:rFonts w:ascii="Verdana" w:hAnsi="Verdana"/>
          <w:sz w:val="18"/>
          <w:szCs w:val="18"/>
          <w:lang w:val="nl-NL"/>
        </w:rPr>
        <w:t>andverschuivingen</w:t>
      </w:r>
      <w:r w:rsidRPr="00A45903">
        <w:rPr>
          <w:rFonts w:ascii="Verdana" w:hAnsi="Verdana"/>
          <w:sz w:val="18"/>
          <w:szCs w:val="18"/>
          <w:lang w:val="nl-NL"/>
        </w:rPr>
        <w:t xml:space="preserve"> en het gedrag van vulkanen. Op het gebied van oceanen, kusten en zee</w:t>
      </w:r>
      <w:r>
        <w:rPr>
          <w:rFonts w:ascii="Verdana" w:hAnsi="Verdana"/>
          <w:sz w:val="18"/>
          <w:szCs w:val="18"/>
          <w:lang w:val="nl-NL"/>
        </w:rPr>
        <w:t>-</w:t>
      </w:r>
      <w:r w:rsidRPr="00A45903">
        <w:rPr>
          <w:rFonts w:ascii="Verdana" w:hAnsi="Verdana"/>
          <w:sz w:val="18"/>
          <w:szCs w:val="18"/>
          <w:lang w:val="nl-NL"/>
        </w:rPr>
        <w:t>ijs leveren satellietdata sleutelinformatie over o.a. zeespiegelveranderingen, stromingen, ecologische condities van kust</w:t>
      </w:r>
      <w:r>
        <w:rPr>
          <w:rFonts w:ascii="Verdana" w:hAnsi="Verdana"/>
          <w:sz w:val="18"/>
          <w:szCs w:val="18"/>
          <w:lang w:val="nl-NL"/>
        </w:rPr>
        <w:t xml:space="preserve">- en polaire </w:t>
      </w:r>
      <w:r w:rsidRPr="00A45903">
        <w:rPr>
          <w:rFonts w:ascii="Verdana" w:hAnsi="Verdana"/>
          <w:sz w:val="18"/>
          <w:szCs w:val="18"/>
          <w:lang w:val="nl-NL"/>
        </w:rPr>
        <w:t>gebieden. Niet alleen bevordert de benutting van satellietdata op al deze onderzoeksgebieden de vooruitgang van de wetenschap, maar met de kennis die hier wordt opgebouwd wordt de ontwikkeling van nieuwe maatschappelijke toepassingen mogelijk gemaakt. Zo zijn het de wetenschappers uit Delft en Wageningen die onderzoek doen waarmee het mogelijk wordt om u</w:t>
      </w:r>
      <w:r>
        <w:rPr>
          <w:rFonts w:ascii="Verdana" w:hAnsi="Verdana"/>
          <w:sz w:val="18"/>
          <w:szCs w:val="18"/>
          <w:lang w:val="nl-NL"/>
        </w:rPr>
        <w:t>it satelliet-radardata (die niet gehinderd worden door</w:t>
      </w:r>
      <w:r w:rsidRPr="00A45903">
        <w:rPr>
          <w:rFonts w:ascii="Verdana" w:hAnsi="Verdana"/>
          <w:sz w:val="18"/>
          <w:szCs w:val="18"/>
          <w:lang w:val="nl-NL"/>
        </w:rPr>
        <w:t xml:space="preserve"> wolken) de juiste informatie te halen over de groei van planten, onder meer van belang voor toepassingen in de agro-sector.</w:t>
      </w:r>
      <w:r>
        <w:rPr>
          <w:rFonts w:ascii="Verdana" w:hAnsi="Verdana"/>
          <w:sz w:val="18"/>
          <w:szCs w:val="18"/>
          <w:lang w:val="nl-NL"/>
        </w:rPr>
        <w:t xml:space="preserve"> </w:t>
      </w:r>
      <w:r>
        <w:rPr>
          <w:rFonts w:ascii="Verdana" w:hAnsi="Verdana"/>
          <w:sz w:val="18"/>
          <w:szCs w:val="18"/>
          <w:lang w:val="nl-NL"/>
        </w:rPr>
        <w:lastRenderedPageBreak/>
        <w:t>Wereldwijd vervullen satellietbeelden een belangrijke rol bij het monitoren van cultureel erfgoed en bij archeologisch onderzoek.</w:t>
      </w:r>
    </w:p>
    <w:p w:rsidR="002A1AF4" w:rsidP="003A7671" w:rsidRDefault="002A1AF4">
      <w:pPr>
        <w:ind w:left="426"/>
        <w:rPr>
          <w:rFonts w:ascii="Verdana" w:hAnsi="Verdana"/>
          <w:sz w:val="18"/>
          <w:szCs w:val="18"/>
          <w:lang w:val="nl-NL" w:eastAsia="nl-NL"/>
        </w:rPr>
      </w:pPr>
    </w:p>
    <w:p w:rsidRPr="000047FB" w:rsidR="002A1AF4" w:rsidP="00460324" w:rsidRDefault="002A1AF4">
      <w:pPr>
        <w:rPr>
          <w:rFonts w:ascii="Verdana" w:hAnsi="Verdana"/>
          <w:sz w:val="18"/>
          <w:szCs w:val="18"/>
          <w:lang w:val="nl-NL" w:eastAsia="nl-NL"/>
        </w:rPr>
      </w:pPr>
      <w:r>
        <w:rPr>
          <w:rFonts w:ascii="Verdana" w:hAnsi="Verdana"/>
          <w:sz w:val="18"/>
          <w:szCs w:val="18"/>
          <w:lang w:val="nl-NL" w:eastAsia="nl-NL"/>
        </w:rPr>
        <w:t xml:space="preserve">De ministeries van Defensie en van Veiligheid en Justitie onderzoeken momenteel samen met </w:t>
      </w:r>
      <w:r w:rsidR="00EB7235">
        <w:rPr>
          <w:rFonts w:ascii="Verdana" w:hAnsi="Verdana"/>
          <w:sz w:val="18"/>
          <w:szCs w:val="18"/>
          <w:lang w:val="nl-NL" w:eastAsia="nl-NL"/>
        </w:rPr>
        <w:t xml:space="preserve">het NSO en </w:t>
      </w:r>
      <w:r>
        <w:rPr>
          <w:rFonts w:ascii="Verdana" w:hAnsi="Verdana"/>
          <w:sz w:val="18"/>
          <w:szCs w:val="18"/>
          <w:lang w:val="nl-NL" w:eastAsia="nl-NL"/>
        </w:rPr>
        <w:t>bedrijven de mogelijkheden om satellietdat</w:t>
      </w:r>
      <w:r w:rsidR="00A45903">
        <w:rPr>
          <w:rFonts w:ascii="Verdana" w:hAnsi="Verdana"/>
          <w:sz w:val="18"/>
          <w:szCs w:val="18"/>
          <w:lang w:val="nl-NL" w:eastAsia="nl-NL"/>
        </w:rPr>
        <w:t>a te benutten voor het uitvoeren van</w:t>
      </w:r>
      <w:r>
        <w:rPr>
          <w:rFonts w:ascii="Verdana" w:hAnsi="Verdana"/>
          <w:sz w:val="18"/>
          <w:szCs w:val="18"/>
          <w:lang w:val="nl-NL" w:eastAsia="nl-NL"/>
        </w:rPr>
        <w:t xml:space="preserve"> taken.</w:t>
      </w:r>
    </w:p>
    <w:p w:rsidR="007557FE" w:rsidP="003A7671" w:rsidRDefault="007557FE">
      <w:pPr>
        <w:pStyle w:val="Lijstalinea"/>
        <w:ind w:left="426"/>
        <w:rPr>
          <w:rFonts w:ascii="Verdana" w:hAnsi="Verdana"/>
          <w:sz w:val="18"/>
          <w:szCs w:val="18"/>
          <w:u w:val="single"/>
          <w:lang w:val="nl-NL"/>
        </w:rPr>
      </w:pPr>
    </w:p>
    <w:p w:rsidRPr="00460324" w:rsidR="002A5968" w:rsidP="00460324" w:rsidRDefault="002A5968">
      <w:pPr>
        <w:rPr>
          <w:rFonts w:ascii="Verdana" w:hAnsi="Verdana"/>
          <w:sz w:val="18"/>
          <w:szCs w:val="18"/>
          <w:lang w:val="nl-NL"/>
        </w:rPr>
      </w:pPr>
      <w:r w:rsidRPr="00460324">
        <w:rPr>
          <w:rFonts w:ascii="Verdana" w:hAnsi="Verdana"/>
          <w:sz w:val="18"/>
          <w:szCs w:val="18"/>
          <w:lang w:val="nl-NL"/>
        </w:rPr>
        <w:t>Een werkgroep van de Interdepartementale Commissie Ruimtevaart heeft recent advies uitgebracht aan de ICR over het overheid-breed beter benutten van satellietdata (zie voor een synopsis van dit advies</w:t>
      </w:r>
      <w:r w:rsidR="00A15CF4">
        <w:rPr>
          <w:rFonts w:ascii="Verdana" w:hAnsi="Verdana"/>
          <w:sz w:val="18"/>
          <w:szCs w:val="18"/>
          <w:lang w:val="nl-NL"/>
        </w:rPr>
        <w:t>:</w:t>
      </w:r>
      <w:r w:rsidRPr="00460324">
        <w:rPr>
          <w:rFonts w:ascii="Verdana" w:hAnsi="Verdana"/>
          <w:sz w:val="18"/>
          <w:szCs w:val="18"/>
          <w:lang w:val="nl-NL"/>
        </w:rPr>
        <w:t xml:space="preserve"> bijlage 7).</w:t>
      </w:r>
    </w:p>
    <w:p w:rsidRPr="00460324" w:rsidR="002A5968" w:rsidP="00460324" w:rsidRDefault="002A5968">
      <w:pPr>
        <w:rPr>
          <w:rFonts w:ascii="Verdana" w:hAnsi="Verdana"/>
          <w:sz w:val="18"/>
          <w:szCs w:val="18"/>
          <w:lang w:val="nl-NL"/>
        </w:rPr>
      </w:pPr>
      <w:r w:rsidRPr="00460324">
        <w:rPr>
          <w:rFonts w:ascii="Verdana" w:hAnsi="Verdana"/>
          <w:sz w:val="18"/>
          <w:szCs w:val="18"/>
          <w:lang w:val="nl-NL"/>
        </w:rPr>
        <w:t>De ambitie is om te komen tot een betere benutting van satellietdata door overheden en andere instellingen en hiermee beleidsprocessen efficiënter en effectiever in te richten en een groter rendement te halen uit de investeringen in de ruimte-infrastructuur. Dit advies richt zich in de eerste instantie op overheden.</w:t>
      </w:r>
    </w:p>
    <w:p w:rsidRPr="00460324" w:rsidR="002A5968" w:rsidP="00460324" w:rsidRDefault="002A5968">
      <w:pPr>
        <w:rPr>
          <w:rFonts w:ascii="Verdana" w:hAnsi="Verdana"/>
          <w:sz w:val="18"/>
          <w:szCs w:val="18"/>
          <w:lang w:val="nl-NL"/>
        </w:rPr>
      </w:pPr>
      <w:r w:rsidRPr="00460324">
        <w:rPr>
          <w:rFonts w:ascii="Verdana" w:hAnsi="Verdana"/>
          <w:sz w:val="18"/>
          <w:szCs w:val="18"/>
          <w:lang w:val="nl-NL"/>
        </w:rPr>
        <w:t xml:space="preserve">Belangrijke elementen uit het advies zijn: </w:t>
      </w:r>
    </w:p>
    <w:p w:rsidRPr="00460324" w:rsidR="002A5968" w:rsidP="00460324" w:rsidRDefault="0043482B">
      <w:pPr>
        <w:pStyle w:val="Lijstalinea"/>
        <w:numPr>
          <w:ilvl w:val="0"/>
          <w:numId w:val="23"/>
        </w:numPr>
        <w:rPr>
          <w:rFonts w:ascii="Verdana" w:hAnsi="Verdana"/>
          <w:sz w:val="18"/>
          <w:szCs w:val="18"/>
          <w:lang w:val="nl-NL"/>
        </w:rPr>
      </w:pPr>
      <w:r>
        <w:rPr>
          <w:rFonts w:ascii="Verdana" w:hAnsi="Verdana"/>
          <w:sz w:val="18"/>
          <w:szCs w:val="18"/>
          <w:lang w:val="nl-NL"/>
        </w:rPr>
        <w:t>H</w:t>
      </w:r>
      <w:r w:rsidRPr="00460324" w:rsidR="002A5968">
        <w:rPr>
          <w:rFonts w:ascii="Verdana" w:hAnsi="Verdana"/>
          <w:sz w:val="18"/>
          <w:szCs w:val="18"/>
          <w:lang w:val="nl-NL"/>
        </w:rPr>
        <w:t>et inrichten van een structuur en proces dat er voor zorgt dat er bij verschillende overheidsinstellingen bekendheid wordt gegeven aan de mogelijkheden van satellietdata voor verbetering van de dienstverlening. Deze bewustwording bij overheidsinstellingen over kansen die satellietdata bieden om overheidsprocessen doelmatiger in te richten kan leiden tot groter gebruik en daarmee meer mogelijkheden om tot synergie te komen over de verschillende overheden heen</w:t>
      </w:r>
      <w:r>
        <w:rPr>
          <w:rFonts w:ascii="Verdana" w:hAnsi="Verdana"/>
          <w:sz w:val="18"/>
          <w:szCs w:val="18"/>
          <w:lang w:val="nl-NL"/>
        </w:rPr>
        <w:t>.</w:t>
      </w:r>
      <w:r w:rsidRPr="00460324" w:rsidR="002A5968">
        <w:rPr>
          <w:rFonts w:ascii="Verdana" w:hAnsi="Verdana"/>
          <w:sz w:val="18"/>
          <w:szCs w:val="18"/>
          <w:lang w:val="nl-NL"/>
        </w:rPr>
        <w:t xml:space="preserve"> </w:t>
      </w:r>
    </w:p>
    <w:p w:rsidRPr="00460324" w:rsidR="002A5968" w:rsidP="00460324" w:rsidRDefault="0043482B">
      <w:pPr>
        <w:pStyle w:val="Lijstalinea"/>
        <w:numPr>
          <w:ilvl w:val="0"/>
          <w:numId w:val="23"/>
        </w:numPr>
        <w:rPr>
          <w:rFonts w:ascii="Verdana" w:hAnsi="Verdana"/>
          <w:sz w:val="18"/>
          <w:szCs w:val="18"/>
          <w:lang w:val="nl-NL"/>
        </w:rPr>
      </w:pPr>
      <w:r>
        <w:rPr>
          <w:rFonts w:ascii="Verdana" w:hAnsi="Verdana"/>
          <w:sz w:val="18"/>
          <w:szCs w:val="18"/>
          <w:lang w:val="nl-NL"/>
        </w:rPr>
        <w:t>Z</w:t>
      </w:r>
      <w:r w:rsidRPr="00460324" w:rsidR="002A5968">
        <w:rPr>
          <w:rFonts w:ascii="Verdana" w:hAnsi="Verdana"/>
          <w:sz w:val="18"/>
          <w:szCs w:val="18"/>
          <w:lang w:val="nl-NL"/>
        </w:rPr>
        <w:t>org voor goede business cases, voorbeelden of pilots. Dit kan onder andere door voortzetting van het traject rondom innovatiegericht inkopen specifiek voor ruimtevaart</w:t>
      </w:r>
      <w:r>
        <w:rPr>
          <w:rFonts w:ascii="Verdana" w:hAnsi="Verdana"/>
          <w:sz w:val="18"/>
          <w:szCs w:val="18"/>
          <w:lang w:val="nl-NL"/>
        </w:rPr>
        <w:t>.</w:t>
      </w:r>
      <w:r w:rsidRPr="00460324" w:rsidR="002A5968">
        <w:rPr>
          <w:rFonts w:ascii="Verdana" w:hAnsi="Verdana"/>
          <w:sz w:val="18"/>
          <w:szCs w:val="18"/>
          <w:lang w:val="nl-NL"/>
        </w:rPr>
        <w:t xml:space="preserve"> </w:t>
      </w:r>
    </w:p>
    <w:p w:rsidRPr="00460324" w:rsidR="002A5968" w:rsidP="00460324" w:rsidRDefault="0043482B">
      <w:pPr>
        <w:pStyle w:val="Lijstalinea"/>
        <w:numPr>
          <w:ilvl w:val="0"/>
          <w:numId w:val="23"/>
        </w:numPr>
        <w:rPr>
          <w:rFonts w:ascii="Verdana" w:hAnsi="Verdana"/>
          <w:sz w:val="18"/>
          <w:szCs w:val="18"/>
          <w:lang w:val="nl-NL"/>
        </w:rPr>
      </w:pPr>
      <w:r>
        <w:rPr>
          <w:rFonts w:ascii="Verdana" w:hAnsi="Verdana"/>
          <w:sz w:val="18"/>
          <w:szCs w:val="18"/>
          <w:lang w:val="nl-NL"/>
        </w:rPr>
        <w:t>V</w:t>
      </w:r>
      <w:r w:rsidRPr="00460324" w:rsidR="002A5968">
        <w:rPr>
          <w:rFonts w:ascii="Verdana" w:hAnsi="Verdana"/>
          <w:sz w:val="18"/>
          <w:szCs w:val="18"/>
          <w:lang w:val="nl-NL"/>
        </w:rPr>
        <w:t>eranker satellietinformatie in het complete domein van geo-informatie</w:t>
      </w:r>
      <w:r>
        <w:rPr>
          <w:rFonts w:ascii="Verdana" w:hAnsi="Verdana"/>
          <w:sz w:val="18"/>
          <w:szCs w:val="18"/>
          <w:lang w:val="nl-NL"/>
        </w:rPr>
        <w:t>.</w:t>
      </w:r>
    </w:p>
    <w:p w:rsidRPr="00460324" w:rsidR="002A5968" w:rsidP="00460324" w:rsidRDefault="0043482B">
      <w:pPr>
        <w:pStyle w:val="Lijstalinea"/>
        <w:numPr>
          <w:ilvl w:val="0"/>
          <w:numId w:val="23"/>
        </w:numPr>
        <w:rPr>
          <w:rFonts w:ascii="Verdana" w:hAnsi="Verdana"/>
          <w:sz w:val="18"/>
          <w:szCs w:val="18"/>
          <w:lang w:val="nl-NL"/>
        </w:rPr>
      </w:pPr>
      <w:r>
        <w:rPr>
          <w:rFonts w:ascii="Verdana" w:hAnsi="Verdana"/>
          <w:sz w:val="18"/>
          <w:szCs w:val="18"/>
          <w:lang w:val="nl-NL"/>
        </w:rPr>
        <w:t>R</w:t>
      </w:r>
      <w:r w:rsidRPr="00460324" w:rsidR="002A5968">
        <w:rPr>
          <w:rFonts w:ascii="Verdana" w:hAnsi="Verdana"/>
          <w:sz w:val="18"/>
          <w:szCs w:val="18"/>
          <w:lang w:val="nl-NL"/>
        </w:rPr>
        <w:t>egel een laagdrempelige vrije toegang tot de beschikbare satellietinformatie. Dit kan door continuering van het NSO-satellietdataportaal, bijvoorbeeld via publiek-private samenwerking en centrale data-inkoopmogelijkheden van data die niet gratis voorhanden zijn. Dit laatste betreft met name hoge resolutie satellietbeelden</w:t>
      </w:r>
      <w:r>
        <w:rPr>
          <w:rFonts w:ascii="Verdana" w:hAnsi="Verdana"/>
          <w:sz w:val="18"/>
          <w:szCs w:val="18"/>
          <w:lang w:val="nl-NL"/>
        </w:rPr>
        <w:t>.</w:t>
      </w:r>
    </w:p>
    <w:p w:rsidRPr="00460324" w:rsidR="002A5968" w:rsidP="00460324" w:rsidRDefault="0043482B">
      <w:pPr>
        <w:pStyle w:val="Lijstalinea"/>
        <w:numPr>
          <w:ilvl w:val="0"/>
          <w:numId w:val="23"/>
        </w:numPr>
        <w:rPr>
          <w:rFonts w:ascii="Verdana" w:hAnsi="Verdana"/>
          <w:sz w:val="18"/>
          <w:szCs w:val="18"/>
          <w:lang w:val="nl-NL"/>
        </w:rPr>
      </w:pPr>
      <w:r>
        <w:rPr>
          <w:rFonts w:ascii="Verdana" w:hAnsi="Verdana"/>
          <w:sz w:val="18"/>
          <w:szCs w:val="18"/>
          <w:lang w:val="nl-NL"/>
        </w:rPr>
        <w:t>Z</w:t>
      </w:r>
      <w:r w:rsidRPr="00460324" w:rsidR="002A5968">
        <w:rPr>
          <w:rFonts w:ascii="Verdana" w:hAnsi="Verdana"/>
          <w:sz w:val="18"/>
          <w:szCs w:val="18"/>
          <w:lang w:val="nl-NL"/>
        </w:rPr>
        <w:t>org verder voor het wegnemen van juridische belemmeringen in wet- en regelgeving en heb oog voor privacy en veiligheidsrisico’s bij de benutting van satellietinformatie.</w:t>
      </w:r>
    </w:p>
    <w:p w:rsidR="007C28FE" w:rsidP="003A7671" w:rsidRDefault="007C28FE">
      <w:pPr>
        <w:pStyle w:val="Lijstalinea"/>
        <w:ind w:left="426"/>
        <w:rPr>
          <w:rFonts w:ascii="Verdana" w:hAnsi="Verdana"/>
          <w:sz w:val="18"/>
          <w:szCs w:val="18"/>
          <w:u w:val="single"/>
          <w:lang w:val="nl-NL"/>
        </w:rPr>
      </w:pPr>
    </w:p>
    <w:p w:rsidRPr="000047FB" w:rsidR="0043482B" w:rsidRDefault="0043482B">
      <w:pPr>
        <w:pStyle w:val="Lijstalinea"/>
        <w:ind w:left="426"/>
        <w:rPr>
          <w:rFonts w:ascii="Verdana" w:hAnsi="Verdana"/>
          <w:sz w:val="18"/>
          <w:szCs w:val="18"/>
          <w:u w:val="single"/>
          <w:lang w:val="nl-NL"/>
        </w:rPr>
      </w:pPr>
    </w:p>
    <w:p w:rsidRPr="000047FB" w:rsidR="001738F5" w:rsidRDefault="001738F5">
      <w:pPr>
        <w:pStyle w:val="Lijstalinea"/>
        <w:numPr>
          <w:ilvl w:val="0"/>
          <w:numId w:val="1"/>
        </w:numPr>
        <w:ind w:left="426" w:hanging="426"/>
        <w:rPr>
          <w:rFonts w:ascii="Verdana" w:hAnsi="Verdana"/>
          <w:sz w:val="18"/>
          <w:szCs w:val="18"/>
          <w:u w:val="single"/>
          <w:lang w:val="nl-NL"/>
        </w:rPr>
      </w:pPr>
      <w:r w:rsidRPr="000047FB">
        <w:rPr>
          <w:rFonts w:ascii="Verdana" w:hAnsi="Verdana"/>
          <w:sz w:val="18"/>
          <w:szCs w:val="18"/>
          <w:u w:val="single"/>
          <w:lang w:val="nl-NL"/>
        </w:rPr>
        <w:t>Technologieontwikkeling in relatie tot vraagsturing</w:t>
      </w:r>
      <w:r w:rsidR="00D475ED">
        <w:rPr>
          <w:rFonts w:ascii="Verdana" w:hAnsi="Verdana"/>
          <w:sz w:val="18"/>
          <w:szCs w:val="18"/>
          <w:u w:val="single"/>
          <w:lang w:val="nl-NL"/>
        </w:rPr>
        <w:t>/instrumentencluster</w:t>
      </w:r>
    </w:p>
    <w:p w:rsidRPr="000047FB" w:rsidR="0052010D" w:rsidRDefault="0052010D">
      <w:pPr>
        <w:ind w:left="426"/>
        <w:rPr>
          <w:rFonts w:ascii="Verdana" w:hAnsi="Verdana"/>
          <w:sz w:val="18"/>
          <w:szCs w:val="18"/>
          <w:u w:val="single"/>
          <w:lang w:val="nl-NL"/>
        </w:rPr>
      </w:pPr>
    </w:p>
    <w:p w:rsidRPr="0052010D" w:rsidR="0052010D" w:rsidP="00460324" w:rsidRDefault="0052010D">
      <w:pPr>
        <w:rPr>
          <w:rFonts w:ascii="Verdana" w:hAnsi="Verdana"/>
          <w:sz w:val="18"/>
          <w:szCs w:val="18"/>
          <w:lang w:val="nl-NL"/>
        </w:rPr>
      </w:pPr>
      <w:r w:rsidRPr="00460324">
        <w:rPr>
          <w:rFonts w:ascii="Verdana" w:hAnsi="Verdana"/>
          <w:b/>
          <w:sz w:val="18"/>
          <w:szCs w:val="18"/>
          <w:lang w:val="nl-NL"/>
        </w:rPr>
        <w:t>Beleidsdoel</w:t>
      </w:r>
      <w:r>
        <w:rPr>
          <w:rFonts w:ascii="Verdana" w:hAnsi="Verdana"/>
          <w:sz w:val="18"/>
          <w:szCs w:val="18"/>
          <w:lang w:val="nl-NL"/>
        </w:rPr>
        <w:t xml:space="preserve">: </w:t>
      </w:r>
      <w:r w:rsidRPr="0052010D">
        <w:rPr>
          <w:rFonts w:ascii="Verdana" w:hAnsi="Verdana"/>
          <w:sz w:val="18"/>
          <w:szCs w:val="18"/>
          <w:lang w:val="nl-NL"/>
        </w:rPr>
        <w:t xml:space="preserve">Het bijdragen aan de ontwikkeling van een gezonde ruimtevaartsector, inclusief verkoopbare producten en diensten die aan ruimtevaart zijn gerelateerd. </w:t>
      </w:r>
    </w:p>
    <w:p w:rsidR="001738F5" w:rsidP="003A7671" w:rsidRDefault="001738F5">
      <w:pPr>
        <w:pStyle w:val="Lijstalinea"/>
        <w:ind w:left="426"/>
        <w:rPr>
          <w:rFonts w:ascii="Verdana" w:hAnsi="Verdana"/>
          <w:sz w:val="18"/>
          <w:szCs w:val="18"/>
          <w:u w:val="single"/>
          <w:lang w:val="nl-NL"/>
        </w:rPr>
      </w:pPr>
    </w:p>
    <w:p w:rsidRPr="00460324" w:rsidR="0052010D" w:rsidP="00460324" w:rsidRDefault="0052010D">
      <w:pPr>
        <w:rPr>
          <w:rFonts w:ascii="Verdana" w:hAnsi="Verdana"/>
          <w:sz w:val="18"/>
          <w:szCs w:val="18"/>
          <w:lang w:val="nl-NL"/>
        </w:rPr>
      </w:pPr>
      <w:r w:rsidRPr="00460324">
        <w:rPr>
          <w:rFonts w:ascii="Verdana" w:hAnsi="Verdana"/>
          <w:sz w:val="18"/>
          <w:szCs w:val="18"/>
          <w:lang w:val="nl-NL"/>
        </w:rPr>
        <w:t xml:space="preserve">De ruimtevaartsector </w:t>
      </w:r>
      <w:r w:rsidRPr="00460324" w:rsidR="00C64E73">
        <w:rPr>
          <w:rFonts w:ascii="Verdana" w:hAnsi="Verdana"/>
          <w:sz w:val="18"/>
          <w:szCs w:val="18"/>
          <w:lang w:val="nl-NL"/>
        </w:rPr>
        <w:t>is voortdurend</w:t>
      </w:r>
      <w:r w:rsidRPr="00460324">
        <w:rPr>
          <w:rFonts w:ascii="Verdana" w:hAnsi="Verdana"/>
          <w:sz w:val="18"/>
          <w:szCs w:val="18"/>
          <w:lang w:val="nl-NL"/>
        </w:rPr>
        <w:t xml:space="preserve"> in beweging en sterk gedreven door innovaties. Tegelijkertijd staat de veiligheid</w:t>
      </w:r>
      <w:r w:rsidRPr="00460324" w:rsidR="002D0C3D">
        <w:rPr>
          <w:rFonts w:ascii="Verdana" w:hAnsi="Verdana"/>
          <w:sz w:val="18"/>
          <w:szCs w:val="18"/>
          <w:lang w:val="nl-NL"/>
        </w:rPr>
        <w:t xml:space="preserve"> bij</w:t>
      </w:r>
      <w:r w:rsidRPr="00460324">
        <w:rPr>
          <w:rFonts w:ascii="Verdana" w:hAnsi="Verdana"/>
          <w:sz w:val="18"/>
          <w:szCs w:val="18"/>
          <w:lang w:val="nl-NL"/>
        </w:rPr>
        <w:t xml:space="preserve"> </w:t>
      </w:r>
      <w:r w:rsidRPr="00460324" w:rsidR="002D0C3D">
        <w:rPr>
          <w:rFonts w:ascii="Verdana" w:hAnsi="Verdana"/>
          <w:sz w:val="18"/>
          <w:szCs w:val="18"/>
          <w:lang w:val="nl-NL"/>
        </w:rPr>
        <w:t>ruimtevaart</w:t>
      </w:r>
      <w:r w:rsidRPr="00460324">
        <w:rPr>
          <w:rFonts w:ascii="Verdana" w:hAnsi="Verdana"/>
          <w:sz w:val="18"/>
          <w:szCs w:val="18"/>
          <w:lang w:val="nl-NL"/>
        </w:rPr>
        <w:t xml:space="preserve">missies voorop, waardoor in de </w:t>
      </w:r>
      <w:r w:rsidRPr="00460324" w:rsidR="002D0C3D">
        <w:rPr>
          <w:rFonts w:ascii="Verdana" w:hAnsi="Verdana"/>
          <w:sz w:val="18"/>
          <w:szCs w:val="18"/>
          <w:lang w:val="nl-NL"/>
        </w:rPr>
        <w:t>ruimtevaart met zeer lage veiligheidsmarges</w:t>
      </w:r>
      <w:r w:rsidRPr="00460324">
        <w:rPr>
          <w:rFonts w:ascii="Verdana" w:hAnsi="Verdana"/>
          <w:sz w:val="18"/>
          <w:szCs w:val="18"/>
          <w:lang w:val="nl-NL"/>
        </w:rPr>
        <w:t xml:space="preserve"> wordt gewerkt. Van innovaties dienen hun nut en noodzaak daadwerkelijk bewezen te zijn</w:t>
      </w:r>
      <w:r w:rsidRPr="00460324" w:rsidR="00D475ED">
        <w:rPr>
          <w:rFonts w:ascii="Verdana" w:hAnsi="Verdana"/>
          <w:sz w:val="18"/>
          <w:szCs w:val="18"/>
          <w:lang w:val="nl-NL"/>
        </w:rPr>
        <w:t xml:space="preserve"> alvorens ze worden toegepast in raketten en satellieten</w:t>
      </w:r>
      <w:r w:rsidRPr="00460324">
        <w:rPr>
          <w:rFonts w:ascii="Verdana" w:hAnsi="Verdana"/>
          <w:sz w:val="18"/>
          <w:szCs w:val="18"/>
          <w:lang w:val="nl-NL"/>
        </w:rPr>
        <w:t>.</w:t>
      </w:r>
      <w:r w:rsidRPr="00460324" w:rsidR="008469D1">
        <w:rPr>
          <w:rFonts w:ascii="Verdana" w:hAnsi="Verdana"/>
          <w:sz w:val="18"/>
          <w:szCs w:val="18"/>
          <w:lang w:val="nl-NL"/>
        </w:rPr>
        <w:t xml:space="preserve"> Technologische inzichten zijn aan vernieuwing onderhevig. Nieuwe technologie</w:t>
      </w:r>
      <w:r w:rsidRPr="00460324" w:rsidR="002D0C3D">
        <w:rPr>
          <w:rFonts w:ascii="Verdana" w:hAnsi="Verdana"/>
          <w:sz w:val="18"/>
          <w:szCs w:val="18"/>
          <w:lang w:val="nl-NL"/>
        </w:rPr>
        <w:t xml:space="preserve">ën worden slechts </w:t>
      </w:r>
      <w:r w:rsidRPr="00460324" w:rsidR="008469D1">
        <w:rPr>
          <w:rFonts w:ascii="Verdana" w:hAnsi="Verdana"/>
          <w:sz w:val="18"/>
          <w:szCs w:val="18"/>
          <w:lang w:val="nl-NL"/>
        </w:rPr>
        <w:t>na lange testprocedures ingeze</w:t>
      </w:r>
      <w:r w:rsidRPr="00460324" w:rsidR="00D475ED">
        <w:rPr>
          <w:rFonts w:ascii="Verdana" w:hAnsi="Verdana"/>
          <w:sz w:val="18"/>
          <w:szCs w:val="18"/>
          <w:lang w:val="nl-NL"/>
        </w:rPr>
        <w:t>t</w:t>
      </w:r>
      <w:r w:rsidRPr="00460324" w:rsidR="008469D1">
        <w:rPr>
          <w:rFonts w:ascii="Verdana" w:hAnsi="Verdana"/>
          <w:sz w:val="18"/>
          <w:szCs w:val="18"/>
          <w:lang w:val="nl-NL"/>
        </w:rPr>
        <w:t>.</w:t>
      </w:r>
    </w:p>
    <w:p w:rsidR="002D0C3D" w:rsidP="003A7671" w:rsidRDefault="002D0C3D">
      <w:pPr>
        <w:pStyle w:val="Lijstalinea"/>
        <w:ind w:left="426"/>
        <w:rPr>
          <w:rFonts w:ascii="Verdana" w:hAnsi="Verdana"/>
          <w:sz w:val="18"/>
          <w:szCs w:val="18"/>
          <w:lang w:val="nl-NL"/>
        </w:rPr>
      </w:pPr>
    </w:p>
    <w:p w:rsidRPr="00460324" w:rsidR="002D0C3D" w:rsidP="00460324" w:rsidRDefault="00435A77">
      <w:pPr>
        <w:rPr>
          <w:rFonts w:ascii="Verdana" w:hAnsi="Verdana"/>
          <w:sz w:val="18"/>
          <w:szCs w:val="18"/>
          <w:lang w:val="nl-NL"/>
        </w:rPr>
      </w:pPr>
      <w:r w:rsidRPr="00460324">
        <w:rPr>
          <w:rFonts w:ascii="Verdana" w:hAnsi="Verdana"/>
          <w:sz w:val="18"/>
          <w:szCs w:val="18"/>
          <w:lang w:val="nl-NL"/>
        </w:rPr>
        <w:t>Er is een ontwikkeling gaande om satellietinstrumentarium steeds compacter te ontwikkelen en bouwen. Dit maakt het mogelijk om</w:t>
      </w:r>
      <w:r w:rsidRPr="00460324" w:rsidR="002D0C3D">
        <w:rPr>
          <w:rFonts w:ascii="Verdana" w:hAnsi="Verdana"/>
          <w:sz w:val="18"/>
          <w:szCs w:val="18"/>
          <w:lang w:val="nl-NL"/>
        </w:rPr>
        <w:t xml:space="preserve"> kleinere satellieten</w:t>
      </w:r>
      <w:r w:rsidRPr="00460324">
        <w:rPr>
          <w:rFonts w:ascii="Verdana" w:hAnsi="Verdana"/>
          <w:sz w:val="18"/>
          <w:szCs w:val="18"/>
          <w:lang w:val="nl-NL"/>
        </w:rPr>
        <w:t xml:space="preserve"> te bouwen</w:t>
      </w:r>
      <w:r w:rsidRPr="00460324" w:rsidR="002D0C3D">
        <w:rPr>
          <w:rFonts w:ascii="Verdana" w:hAnsi="Verdana"/>
          <w:sz w:val="18"/>
          <w:szCs w:val="18"/>
          <w:lang w:val="nl-NL"/>
        </w:rPr>
        <w:t>, inclusie</w:t>
      </w:r>
      <w:r w:rsidRPr="00460324">
        <w:rPr>
          <w:rFonts w:ascii="Verdana" w:hAnsi="Verdana"/>
          <w:sz w:val="18"/>
          <w:szCs w:val="18"/>
          <w:lang w:val="nl-NL"/>
        </w:rPr>
        <w:t>f zogenaamde “cubesats”. Dat zijn</w:t>
      </w:r>
      <w:r w:rsidRPr="00460324" w:rsidR="002D0C3D">
        <w:rPr>
          <w:rFonts w:ascii="Verdana" w:hAnsi="Verdana"/>
          <w:sz w:val="18"/>
          <w:szCs w:val="18"/>
          <w:lang w:val="nl-NL"/>
        </w:rPr>
        <w:t xml:space="preserve"> satellieten ter grootte van melkpakken. Deze ontwikkeling maakt het </w:t>
      </w:r>
      <w:r w:rsidRPr="00460324">
        <w:rPr>
          <w:rFonts w:ascii="Verdana" w:hAnsi="Verdana"/>
          <w:sz w:val="18"/>
          <w:szCs w:val="18"/>
          <w:lang w:val="nl-NL"/>
        </w:rPr>
        <w:t xml:space="preserve">ook </w:t>
      </w:r>
      <w:r w:rsidRPr="00460324" w:rsidR="002D0C3D">
        <w:rPr>
          <w:rFonts w:ascii="Verdana" w:hAnsi="Verdana"/>
          <w:sz w:val="18"/>
          <w:szCs w:val="18"/>
          <w:lang w:val="nl-NL"/>
        </w:rPr>
        <w:t>mogelijk meerdere satellieten met één draagraket in een baan om de aarde te brengen of zelfs tientallen mini-satellieten in één k</w:t>
      </w:r>
      <w:r w:rsidRPr="00460324">
        <w:rPr>
          <w:rFonts w:ascii="Verdana" w:hAnsi="Verdana"/>
          <w:sz w:val="18"/>
          <w:szCs w:val="18"/>
          <w:lang w:val="nl-NL"/>
        </w:rPr>
        <w:t xml:space="preserve">eer. Het maakt het tevens haalbaar om </w:t>
      </w:r>
      <w:r w:rsidRPr="00460324" w:rsidR="002D0C3D">
        <w:rPr>
          <w:rFonts w:ascii="Verdana" w:hAnsi="Verdana"/>
          <w:sz w:val="18"/>
          <w:szCs w:val="18"/>
          <w:lang w:val="nl-NL"/>
        </w:rPr>
        <w:t xml:space="preserve">hele constellaties van satellieten in relatief korte </w:t>
      </w:r>
      <w:r w:rsidRPr="00460324">
        <w:rPr>
          <w:rFonts w:ascii="Verdana" w:hAnsi="Verdana"/>
          <w:sz w:val="18"/>
          <w:szCs w:val="18"/>
          <w:lang w:val="nl-NL"/>
        </w:rPr>
        <w:t>tijd in positie te brengen in een baan om de Aarde</w:t>
      </w:r>
      <w:r w:rsidRPr="00460324" w:rsidR="002D0C3D">
        <w:rPr>
          <w:rFonts w:ascii="Verdana" w:hAnsi="Verdana"/>
          <w:sz w:val="18"/>
          <w:szCs w:val="18"/>
          <w:lang w:val="nl-NL"/>
        </w:rPr>
        <w:t>.</w:t>
      </w:r>
      <w:r w:rsidRPr="00460324" w:rsidR="00296471">
        <w:rPr>
          <w:rFonts w:ascii="Verdana" w:hAnsi="Verdana"/>
          <w:sz w:val="18"/>
          <w:szCs w:val="18"/>
          <w:lang w:val="nl-NL"/>
        </w:rPr>
        <w:t xml:space="preserve"> Die constellaties zijn robuust doordat vele kleine satellieten samen een grote eenheid vormen.</w:t>
      </w:r>
    </w:p>
    <w:p w:rsidR="002D0C3D" w:rsidP="003A7671" w:rsidRDefault="002D0C3D">
      <w:pPr>
        <w:pStyle w:val="Lijstalinea"/>
        <w:ind w:left="426"/>
        <w:rPr>
          <w:rFonts w:ascii="Verdana" w:hAnsi="Verdana"/>
          <w:sz w:val="18"/>
          <w:szCs w:val="18"/>
          <w:lang w:val="nl-NL"/>
        </w:rPr>
      </w:pPr>
    </w:p>
    <w:p w:rsidRPr="00460324" w:rsidR="002D0C3D" w:rsidP="00460324" w:rsidRDefault="002D0C3D">
      <w:pPr>
        <w:rPr>
          <w:rFonts w:ascii="Verdana" w:hAnsi="Verdana"/>
          <w:sz w:val="18"/>
          <w:szCs w:val="18"/>
          <w:lang w:val="nl-NL"/>
        </w:rPr>
      </w:pPr>
      <w:r w:rsidRPr="00460324">
        <w:rPr>
          <w:rFonts w:ascii="Verdana" w:hAnsi="Verdana"/>
          <w:sz w:val="18"/>
          <w:szCs w:val="18"/>
          <w:lang w:val="nl-NL"/>
        </w:rPr>
        <w:t>Toekomstige</w:t>
      </w:r>
      <w:r w:rsidRPr="00460324" w:rsidR="00435A77">
        <w:rPr>
          <w:rFonts w:ascii="Verdana" w:hAnsi="Verdana"/>
          <w:sz w:val="18"/>
          <w:szCs w:val="18"/>
          <w:lang w:val="nl-NL"/>
        </w:rPr>
        <w:t xml:space="preserve"> behoeften aan informatie kunnen worden vertaald </w:t>
      </w:r>
      <w:r w:rsidRPr="00460324">
        <w:rPr>
          <w:rFonts w:ascii="Verdana" w:hAnsi="Verdana"/>
          <w:sz w:val="18"/>
          <w:szCs w:val="18"/>
          <w:lang w:val="nl-NL"/>
        </w:rPr>
        <w:t>naar de behoefte aan toekomstige infrastructuur in de ruimte. Onder andere via het zogenaamde “instrumentencluster”</w:t>
      </w:r>
      <w:r w:rsidRPr="00460324" w:rsidR="00F1144D">
        <w:rPr>
          <w:rFonts w:ascii="Verdana" w:hAnsi="Verdana"/>
          <w:sz w:val="18"/>
          <w:szCs w:val="18"/>
          <w:lang w:val="nl-NL"/>
        </w:rPr>
        <w:t xml:space="preserve"> en via het “roadmap-proces”</w:t>
      </w:r>
      <w:r w:rsidRPr="00460324">
        <w:rPr>
          <w:rFonts w:ascii="Verdana" w:hAnsi="Verdana"/>
          <w:sz w:val="18"/>
          <w:szCs w:val="18"/>
          <w:lang w:val="nl-NL"/>
        </w:rPr>
        <w:t xml:space="preserve"> koppelt het NSO de toekomstige behoeften aan de specifieke kennis en kunde in Nederland. Met de de</w:t>
      </w:r>
      <w:r w:rsidRPr="00460324" w:rsidR="00C74366">
        <w:rPr>
          <w:rFonts w:ascii="Verdana" w:hAnsi="Verdana"/>
          <w:sz w:val="18"/>
          <w:szCs w:val="18"/>
          <w:lang w:val="nl-NL"/>
        </w:rPr>
        <w:t>s</w:t>
      </w:r>
      <w:r w:rsidRPr="00460324">
        <w:rPr>
          <w:rFonts w:ascii="Verdana" w:hAnsi="Verdana"/>
          <w:sz w:val="18"/>
          <w:szCs w:val="18"/>
          <w:lang w:val="nl-NL"/>
        </w:rPr>
        <w:t>kundigheid van kennisinstellingen en bedrijven</w:t>
      </w:r>
      <w:r w:rsidRPr="00460324" w:rsidR="00C74366">
        <w:rPr>
          <w:rFonts w:ascii="Verdana" w:hAnsi="Verdana"/>
          <w:sz w:val="18"/>
          <w:szCs w:val="18"/>
          <w:lang w:val="nl-NL"/>
        </w:rPr>
        <w:t xml:space="preserve"> gespecialiseerd in satellietinstrumenten wordt geïnventariseerd bij welke niches Nederland specifiek een bijdrage kan </w:t>
      </w:r>
      <w:r w:rsidRPr="00460324" w:rsidR="00C74366">
        <w:rPr>
          <w:rFonts w:ascii="Verdana" w:hAnsi="Verdana"/>
          <w:sz w:val="18"/>
          <w:szCs w:val="18"/>
          <w:lang w:val="nl-NL"/>
        </w:rPr>
        <w:lastRenderedPageBreak/>
        <w:t>gaan en/of blijft leveren aan specifieke (wetenschappelijke) ruimtevaartprogramma’s. Daarbij wordt met name gefocust op instrumenten waar Nederland een erkende reputatie heeft opgebouwd. Uiteraard is er ook aandacht/ruimte voor nieuwe ontwikkelingen.</w:t>
      </w:r>
    </w:p>
    <w:p w:rsidR="00C74366" w:rsidP="003A7671" w:rsidRDefault="00C74366">
      <w:pPr>
        <w:pStyle w:val="Lijstalinea"/>
        <w:ind w:left="426"/>
        <w:rPr>
          <w:rFonts w:ascii="Verdana" w:hAnsi="Verdana"/>
          <w:sz w:val="18"/>
          <w:szCs w:val="18"/>
          <w:lang w:val="nl-NL"/>
        </w:rPr>
      </w:pPr>
    </w:p>
    <w:p w:rsidRPr="00460324" w:rsidR="00C74366" w:rsidP="00460324" w:rsidRDefault="00C74366">
      <w:pPr>
        <w:rPr>
          <w:rFonts w:ascii="Verdana" w:hAnsi="Verdana"/>
          <w:sz w:val="18"/>
          <w:szCs w:val="18"/>
          <w:lang w:val="nl-NL"/>
        </w:rPr>
      </w:pPr>
      <w:r w:rsidRPr="00460324">
        <w:rPr>
          <w:rFonts w:ascii="Verdana" w:hAnsi="Verdana"/>
          <w:sz w:val="18"/>
          <w:szCs w:val="18"/>
          <w:lang w:val="nl-NL"/>
        </w:rPr>
        <w:t>Doel van het instrumenten-cluster is om:</w:t>
      </w:r>
    </w:p>
    <w:p w:rsidR="00C74366" w:rsidP="003A7671" w:rsidRDefault="00D475ED">
      <w:pPr>
        <w:pStyle w:val="Lijstalinea"/>
        <w:numPr>
          <w:ilvl w:val="0"/>
          <w:numId w:val="17"/>
        </w:numPr>
        <w:rPr>
          <w:rFonts w:ascii="Verdana" w:hAnsi="Verdana"/>
          <w:sz w:val="18"/>
          <w:szCs w:val="18"/>
          <w:lang w:val="nl-NL"/>
        </w:rPr>
      </w:pPr>
      <w:r>
        <w:rPr>
          <w:rFonts w:ascii="Verdana" w:hAnsi="Verdana"/>
          <w:sz w:val="18"/>
          <w:szCs w:val="18"/>
          <w:lang w:val="nl-NL"/>
        </w:rPr>
        <w:t>Het in stand houden en</w:t>
      </w:r>
      <w:r w:rsidR="00C74366">
        <w:rPr>
          <w:rFonts w:ascii="Verdana" w:hAnsi="Verdana"/>
          <w:sz w:val="18"/>
          <w:szCs w:val="18"/>
          <w:lang w:val="nl-NL"/>
        </w:rPr>
        <w:t xml:space="preserve"> optimaliseren van aanwezige</w:t>
      </w:r>
      <w:r>
        <w:rPr>
          <w:rFonts w:ascii="Verdana" w:hAnsi="Verdana"/>
          <w:sz w:val="18"/>
          <w:szCs w:val="18"/>
          <w:lang w:val="nl-NL"/>
        </w:rPr>
        <w:t>,</w:t>
      </w:r>
      <w:r w:rsidR="00C74366">
        <w:rPr>
          <w:rFonts w:ascii="Verdana" w:hAnsi="Verdana"/>
          <w:sz w:val="18"/>
          <w:szCs w:val="18"/>
          <w:lang w:val="nl-NL"/>
        </w:rPr>
        <w:t xml:space="preserve"> en opbouwen van nieuwe</w:t>
      </w:r>
      <w:r>
        <w:rPr>
          <w:rFonts w:ascii="Verdana" w:hAnsi="Verdana"/>
          <w:sz w:val="18"/>
          <w:szCs w:val="18"/>
          <w:lang w:val="nl-NL"/>
        </w:rPr>
        <w:t>,</w:t>
      </w:r>
      <w:r w:rsidR="00C74366">
        <w:rPr>
          <w:rFonts w:ascii="Verdana" w:hAnsi="Verdana"/>
          <w:sz w:val="18"/>
          <w:szCs w:val="18"/>
          <w:lang w:val="nl-NL"/>
        </w:rPr>
        <w:t xml:space="preserve"> technologische kennis en expertise voor de ontwikkeling van ruimte-instrumenten. </w:t>
      </w:r>
    </w:p>
    <w:p w:rsidR="00C74366" w:rsidP="00460324" w:rsidRDefault="00C74366">
      <w:pPr>
        <w:pStyle w:val="Lijstalinea"/>
        <w:numPr>
          <w:ilvl w:val="0"/>
          <w:numId w:val="17"/>
        </w:numPr>
        <w:ind w:left="357" w:hanging="357"/>
        <w:rPr>
          <w:rFonts w:ascii="Verdana" w:hAnsi="Verdana"/>
          <w:sz w:val="18"/>
          <w:szCs w:val="18"/>
          <w:lang w:val="nl-NL"/>
        </w:rPr>
      </w:pPr>
      <w:r>
        <w:rPr>
          <w:rFonts w:ascii="Verdana" w:hAnsi="Verdana"/>
          <w:sz w:val="18"/>
          <w:szCs w:val="18"/>
          <w:lang w:val="nl-NL"/>
        </w:rPr>
        <w:t>Het opzetten van een stru</w:t>
      </w:r>
      <w:r w:rsidR="00EF1E56">
        <w:rPr>
          <w:rFonts w:ascii="Verdana" w:hAnsi="Verdana"/>
          <w:sz w:val="18"/>
          <w:szCs w:val="18"/>
          <w:lang w:val="nl-NL"/>
        </w:rPr>
        <w:t>ctuur die leidt tot heldere</w:t>
      </w:r>
      <w:r>
        <w:rPr>
          <w:rFonts w:ascii="Verdana" w:hAnsi="Verdana"/>
          <w:sz w:val="18"/>
          <w:szCs w:val="18"/>
          <w:lang w:val="nl-NL"/>
        </w:rPr>
        <w:t xml:space="preserve"> besluitvorming over de prioriteiten voor de inzet van nationaal ruimtevaart</w:t>
      </w:r>
      <w:r w:rsidR="00470CB6">
        <w:rPr>
          <w:rFonts w:ascii="Verdana" w:hAnsi="Verdana"/>
          <w:sz w:val="18"/>
          <w:szCs w:val="18"/>
          <w:lang w:val="nl-NL"/>
        </w:rPr>
        <w:t>budget voor de ontwikkeling van (technologie voor) satelliet-instrumenten.</w:t>
      </w:r>
      <w:r w:rsidR="00EF1E56">
        <w:rPr>
          <w:rFonts w:ascii="Verdana" w:hAnsi="Verdana"/>
          <w:sz w:val="18"/>
          <w:szCs w:val="18"/>
          <w:lang w:val="nl-NL"/>
        </w:rPr>
        <w:t xml:space="preserve"> </w:t>
      </w:r>
    </w:p>
    <w:p w:rsidR="00470CB6" w:rsidP="00460324" w:rsidRDefault="00470CB6">
      <w:pPr>
        <w:pStyle w:val="Lijstalinea"/>
        <w:numPr>
          <w:ilvl w:val="0"/>
          <w:numId w:val="17"/>
        </w:numPr>
        <w:ind w:left="357" w:hanging="357"/>
        <w:rPr>
          <w:rFonts w:ascii="Verdana" w:hAnsi="Verdana"/>
          <w:sz w:val="18"/>
          <w:szCs w:val="18"/>
          <w:lang w:val="nl-NL"/>
        </w:rPr>
      </w:pPr>
      <w:r>
        <w:rPr>
          <w:rFonts w:ascii="Verdana" w:hAnsi="Verdana"/>
          <w:sz w:val="18"/>
          <w:szCs w:val="18"/>
          <w:lang w:val="nl-NL"/>
        </w:rPr>
        <w:t>Het verbinden van de downstream behoeften met de upstream instrumentenexpertise.</w:t>
      </w:r>
    </w:p>
    <w:p w:rsidR="00FA7E34" w:rsidP="00460324" w:rsidRDefault="00FA7E34">
      <w:pPr>
        <w:pStyle w:val="Lijstalinea"/>
        <w:numPr>
          <w:ilvl w:val="0"/>
          <w:numId w:val="17"/>
        </w:numPr>
        <w:ind w:left="357" w:hanging="357"/>
        <w:rPr>
          <w:rFonts w:ascii="Verdana" w:hAnsi="Verdana"/>
          <w:sz w:val="18"/>
          <w:szCs w:val="18"/>
          <w:lang w:val="nl-NL"/>
        </w:rPr>
      </w:pPr>
      <w:r>
        <w:rPr>
          <w:rFonts w:ascii="Verdana" w:hAnsi="Verdana"/>
          <w:sz w:val="18"/>
          <w:szCs w:val="18"/>
          <w:lang w:val="nl-NL"/>
        </w:rPr>
        <w:t>Bij de besluitvorming dient de behoefte aan (nieuwe) informatie leidend te zijn voor de ontwikkeling van nieuwe technologie/instrumenten.</w:t>
      </w:r>
    </w:p>
    <w:p w:rsidR="0043482B" w:rsidP="00460324" w:rsidRDefault="0043482B">
      <w:pPr>
        <w:rPr>
          <w:rFonts w:ascii="Verdana" w:hAnsi="Verdana"/>
          <w:sz w:val="18"/>
          <w:szCs w:val="18"/>
          <w:lang w:val="nl-NL"/>
        </w:rPr>
      </w:pPr>
    </w:p>
    <w:p w:rsidRPr="00460324" w:rsidR="0052010D" w:rsidP="00460324" w:rsidRDefault="000E3128">
      <w:pPr>
        <w:rPr>
          <w:rFonts w:ascii="Verdana" w:hAnsi="Verdana"/>
          <w:sz w:val="18"/>
          <w:szCs w:val="18"/>
          <w:lang w:val="nl-NL"/>
        </w:rPr>
      </w:pPr>
      <w:r w:rsidRPr="00460324">
        <w:rPr>
          <w:rFonts w:ascii="Verdana" w:hAnsi="Verdana"/>
          <w:sz w:val="18"/>
          <w:szCs w:val="18"/>
          <w:lang w:val="nl-NL"/>
        </w:rPr>
        <w:t xml:space="preserve">Zodra het instrumentcluster met concrete voorstellen komt zullen die </w:t>
      </w:r>
      <w:r w:rsidRPr="00460324" w:rsidR="00296D56">
        <w:rPr>
          <w:rFonts w:ascii="Verdana" w:hAnsi="Verdana"/>
          <w:sz w:val="18"/>
          <w:szCs w:val="18"/>
          <w:lang w:val="nl-NL"/>
        </w:rPr>
        <w:t>op hun merites</w:t>
      </w:r>
      <w:r w:rsidRPr="00460324">
        <w:rPr>
          <w:rFonts w:ascii="Verdana" w:hAnsi="Verdana"/>
          <w:sz w:val="18"/>
          <w:szCs w:val="18"/>
          <w:lang w:val="nl-NL"/>
        </w:rPr>
        <w:t xml:space="preserve"> worden beoordeeld en </w:t>
      </w:r>
      <w:r w:rsidRPr="00460324" w:rsidR="00296D56">
        <w:rPr>
          <w:rFonts w:ascii="Verdana" w:hAnsi="Verdana"/>
          <w:sz w:val="18"/>
          <w:szCs w:val="18"/>
          <w:lang w:val="nl-NL"/>
        </w:rPr>
        <w:t xml:space="preserve">zal worden </w:t>
      </w:r>
      <w:r w:rsidRPr="00460324">
        <w:rPr>
          <w:rFonts w:ascii="Verdana" w:hAnsi="Verdana"/>
          <w:sz w:val="18"/>
          <w:szCs w:val="18"/>
          <w:lang w:val="nl-NL"/>
        </w:rPr>
        <w:t>bezien op welke wijze in de financiering ervan kan worden voorzien.</w:t>
      </w:r>
    </w:p>
    <w:p w:rsidR="0014431B" w:rsidP="00460324" w:rsidRDefault="0014431B">
      <w:pPr>
        <w:rPr>
          <w:rFonts w:ascii="Verdana" w:hAnsi="Verdana"/>
          <w:sz w:val="18"/>
          <w:szCs w:val="18"/>
          <w:lang w:val="nl-NL"/>
        </w:rPr>
      </w:pPr>
    </w:p>
    <w:p w:rsidRPr="00460324" w:rsidR="00A323DD" w:rsidP="00460324" w:rsidRDefault="00A323DD">
      <w:pPr>
        <w:rPr>
          <w:rFonts w:ascii="Verdana" w:hAnsi="Verdana"/>
          <w:sz w:val="18"/>
          <w:szCs w:val="18"/>
          <w:lang w:val="nl-NL"/>
        </w:rPr>
      </w:pPr>
      <w:r w:rsidRPr="00460324">
        <w:rPr>
          <w:rFonts w:ascii="Verdana" w:hAnsi="Verdana"/>
          <w:sz w:val="18"/>
          <w:szCs w:val="18"/>
          <w:lang w:val="nl-NL"/>
        </w:rPr>
        <w:t>Het NSO zal de ontwikkeling van roadmaps voor het genereren van keuzes bij technologie-ontwikkelingstrajecten continueren.</w:t>
      </w:r>
    </w:p>
    <w:p w:rsidRPr="00A323DD" w:rsidR="00A323DD" w:rsidP="003A7671" w:rsidRDefault="00A323DD">
      <w:pPr>
        <w:pStyle w:val="Lijstalinea"/>
        <w:ind w:left="426"/>
        <w:rPr>
          <w:rFonts w:ascii="Verdana" w:hAnsi="Verdana"/>
          <w:sz w:val="18"/>
          <w:szCs w:val="18"/>
          <w:lang w:val="nl-NL"/>
        </w:rPr>
      </w:pPr>
    </w:p>
    <w:p w:rsidRPr="00460324" w:rsidR="00470CB6" w:rsidP="00460324" w:rsidRDefault="00470CB6">
      <w:pPr>
        <w:rPr>
          <w:rFonts w:ascii="Verdana" w:hAnsi="Verdana"/>
          <w:sz w:val="18"/>
          <w:szCs w:val="18"/>
          <w:lang w:val="nl-NL"/>
        </w:rPr>
      </w:pPr>
      <w:r w:rsidRPr="00460324">
        <w:rPr>
          <w:rFonts w:ascii="Verdana" w:hAnsi="Verdana"/>
          <w:sz w:val="18"/>
          <w:szCs w:val="18"/>
          <w:lang w:val="nl-NL"/>
        </w:rPr>
        <w:t xml:space="preserve">Om toekomstige </w:t>
      </w:r>
      <w:r w:rsidRPr="00460324" w:rsidR="00821A80">
        <w:rPr>
          <w:rFonts w:ascii="Verdana" w:hAnsi="Verdana"/>
          <w:sz w:val="18"/>
          <w:szCs w:val="18"/>
          <w:lang w:val="nl-NL"/>
        </w:rPr>
        <w:t>productontwikkeling te bevorderen is het gewenst dat de hele keten van technologieontwikkeling van pril idee tot volwaardig bewezen product goed op elkaar aansluit. D</w:t>
      </w:r>
      <w:r w:rsidRPr="00460324" w:rsidR="000E3128">
        <w:rPr>
          <w:rFonts w:ascii="Verdana" w:hAnsi="Verdana"/>
          <w:sz w:val="18"/>
          <w:szCs w:val="18"/>
          <w:lang w:val="nl-NL"/>
        </w:rPr>
        <w:t>aartoe wordt het ontstaan van clustering en kennisnetwerken bevorderd. Met name op het gebied van optische instrumentatie is hiermee</w:t>
      </w:r>
      <w:r w:rsidRPr="00460324" w:rsidR="00CA4E0F">
        <w:rPr>
          <w:rFonts w:ascii="Verdana" w:hAnsi="Verdana"/>
          <w:sz w:val="18"/>
          <w:szCs w:val="18"/>
          <w:lang w:val="nl-NL"/>
        </w:rPr>
        <w:t xml:space="preserve"> al goede vooruitgang geboekt. O</w:t>
      </w:r>
      <w:r w:rsidRPr="00460324" w:rsidR="000E3128">
        <w:rPr>
          <w:rFonts w:ascii="Verdana" w:hAnsi="Verdana"/>
          <w:sz w:val="18"/>
          <w:szCs w:val="18"/>
          <w:lang w:val="nl-NL"/>
        </w:rPr>
        <w:t>ok op andere terreinen wordt hier op ingezet.</w:t>
      </w:r>
      <w:r w:rsidRPr="00460324" w:rsidR="00821A80">
        <w:rPr>
          <w:rFonts w:ascii="Verdana" w:hAnsi="Verdana"/>
          <w:sz w:val="18"/>
          <w:szCs w:val="18"/>
          <w:lang w:val="nl-NL"/>
        </w:rPr>
        <w:t xml:space="preserve"> </w:t>
      </w:r>
      <w:r w:rsidRPr="00460324" w:rsidR="000E3128">
        <w:rPr>
          <w:rFonts w:ascii="Verdana" w:hAnsi="Verdana"/>
          <w:sz w:val="18"/>
          <w:szCs w:val="18"/>
          <w:lang w:val="nl-NL"/>
        </w:rPr>
        <w:t>Het biedt mogelijkheden om ruimtevaartkennis en ervaring buiten de ruimtevaart in te zetten en ook om technologie van buiten naar binnen te halen.</w:t>
      </w:r>
    </w:p>
    <w:p w:rsidRPr="00460324" w:rsidR="0001070C" w:rsidP="00460324" w:rsidRDefault="003D21AF">
      <w:pPr>
        <w:rPr>
          <w:rFonts w:ascii="Verdana" w:hAnsi="Verdana"/>
          <w:sz w:val="18"/>
          <w:szCs w:val="18"/>
          <w:lang w:val="nl-NL"/>
        </w:rPr>
      </w:pPr>
      <w:r w:rsidRPr="00460324">
        <w:rPr>
          <w:rFonts w:ascii="Verdana" w:hAnsi="Verdana"/>
          <w:sz w:val="18"/>
          <w:szCs w:val="18"/>
          <w:lang w:val="nl-NL"/>
        </w:rPr>
        <w:t xml:space="preserve">Naast het generieke </w:t>
      </w:r>
      <w:r w:rsidRPr="00460324" w:rsidR="0001070C">
        <w:rPr>
          <w:rFonts w:ascii="Verdana" w:hAnsi="Verdana"/>
          <w:sz w:val="18"/>
          <w:szCs w:val="18"/>
          <w:lang w:val="nl-NL"/>
        </w:rPr>
        <w:t>instrumentarium</w:t>
      </w:r>
      <w:r w:rsidRPr="00460324" w:rsidR="00A323DD">
        <w:rPr>
          <w:rFonts w:ascii="Verdana" w:hAnsi="Verdana"/>
          <w:sz w:val="18"/>
          <w:szCs w:val="18"/>
          <w:lang w:val="nl-NL"/>
        </w:rPr>
        <w:t xml:space="preserve">, dat </w:t>
      </w:r>
      <w:r w:rsidRPr="00460324" w:rsidR="0001070C">
        <w:rPr>
          <w:rFonts w:ascii="Verdana" w:hAnsi="Verdana"/>
          <w:sz w:val="18"/>
          <w:szCs w:val="18"/>
          <w:lang w:val="nl-NL"/>
        </w:rPr>
        <w:t xml:space="preserve">ten </w:t>
      </w:r>
      <w:r w:rsidRPr="00460324" w:rsidR="00A323DD">
        <w:rPr>
          <w:rFonts w:ascii="Verdana" w:hAnsi="Verdana"/>
          <w:sz w:val="18"/>
          <w:szCs w:val="18"/>
          <w:lang w:val="nl-NL"/>
        </w:rPr>
        <w:t>dienst staat van</w:t>
      </w:r>
      <w:r w:rsidRPr="00460324" w:rsidR="0001070C">
        <w:rPr>
          <w:rFonts w:ascii="Verdana" w:hAnsi="Verdana"/>
          <w:sz w:val="18"/>
          <w:szCs w:val="18"/>
          <w:lang w:val="nl-NL"/>
        </w:rPr>
        <w:t xml:space="preserve"> het bedrijfsleven </w:t>
      </w:r>
      <w:r w:rsidRPr="00460324" w:rsidR="00A323DD">
        <w:rPr>
          <w:rFonts w:ascii="Verdana" w:hAnsi="Verdana"/>
          <w:sz w:val="18"/>
          <w:szCs w:val="18"/>
          <w:lang w:val="nl-NL"/>
        </w:rPr>
        <w:t xml:space="preserve">in het algemeen </w:t>
      </w:r>
      <w:r w:rsidRPr="00460324" w:rsidR="0001070C">
        <w:rPr>
          <w:rFonts w:ascii="Verdana" w:hAnsi="Verdana"/>
          <w:sz w:val="18"/>
          <w:szCs w:val="18"/>
          <w:lang w:val="nl-NL"/>
        </w:rPr>
        <w:t xml:space="preserve">wordt overwogen: </w:t>
      </w:r>
    </w:p>
    <w:p w:rsidR="0001070C" w:rsidP="003A7671" w:rsidRDefault="0043482B">
      <w:pPr>
        <w:pStyle w:val="Lijstalinea"/>
        <w:numPr>
          <w:ilvl w:val="0"/>
          <w:numId w:val="18"/>
        </w:numPr>
        <w:rPr>
          <w:rFonts w:ascii="Verdana" w:hAnsi="Verdana"/>
          <w:sz w:val="18"/>
          <w:szCs w:val="18"/>
          <w:lang w:val="nl-NL"/>
        </w:rPr>
      </w:pPr>
      <w:r>
        <w:rPr>
          <w:rFonts w:ascii="Verdana" w:hAnsi="Verdana"/>
          <w:sz w:val="18"/>
          <w:szCs w:val="18"/>
          <w:lang w:val="nl-NL"/>
        </w:rPr>
        <w:t>D</w:t>
      </w:r>
      <w:r w:rsidR="0001070C">
        <w:rPr>
          <w:rFonts w:ascii="Verdana" w:hAnsi="Verdana"/>
          <w:sz w:val="18"/>
          <w:szCs w:val="18"/>
          <w:lang w:val="nl-NL"/>
        </w:rPr>
        <w:t>e condities om in aanmerking te komen voor het Innovatiekrediet zodanig te verruimen dat ook langer lopende technologie-ontwikkelingsactiviteiten in de ruimtevaart kunnen kwalificeren</w:t>
      </w:r>
      <w:r w:rsidR="00F1144D">
        <w:rPr>
          <w:rFonts w:ascii="Verdana" w:hAnsi="Verdana"/>
          <w:sz w:val="18"/>
          <w:szCs w:val="18"/>
          <w:lang w:val="nl-NL"/>
        </w:rPr>
        <w:t xml:space="preserve"> voor de toekenning van innovatiekredieten</w:t>
      </w:r>
      <w:r>
        <w:rPr>
          <w:rFonts w:ascii="Verdana" w:hAnsi="Verdana"/>
          <w:sz w:val="18"/>
          <w:szCs w:val="18"/>
          <w:lang w:val="nl-NL"/>
        </w:rPr>
        <w:t>.</w:t>
      </w:r>
    </w:p>
    <w:p w:rsidR="000E3128" w:rsidRDefault="0043482B">
      <w:pPr>
        <w:pStyle w:val="Lijstalinea"/>
        <w:numPr>
          <w:ilvl w:val="0"/>
          <w:numId w:val="18"/>
        </w:numPr>
        <w:rPr>
          <w:rFonts w:ascii="Verdana" w:hAnsi="Verdana"/>
          <w:sz w:val="18"/>
          <w:szCs w:val="18"/>
          <w:lang w:val="nl-NL"/>
        </w:rPr>
      </w:pPr>
      <w:r>
        <w:rPr>
          <w:rFonts w:ascii="Verdana" w:hAnsi="Verdana"/>
          <w:sz w:val="18"/>
          <w:szCs w:val="18"/>
          <w:lang w:val="nl-NL"/>
        </w:rPr>
        <w:t>B</w:t>
      </w:r>
      <w:r w:rsidR="00C64E73">
        <w:rPr>
          <w:rFonts w:ascii="Verdana" w:hAnsi="Verdana"/>
          <w:sz w:val="18"/>
          <w:szCs w:val="18"/>
          <w:lang w:val="nl-NL"/>
        </w:rPr>
        <w:t xml:space="preserve">innen </w:t>
      </w:r>
      <w:r w:rsidR="003D21AF">
        <w:rPr>
          <w:rFonts w:ascii="Verdana" w:hAnsi="Verdana"/>
          <w:sz w:val="18"/>
          <w:szCs w:val="18"/>
          <w:lang w:val="nl-NL"/>
        </w:rPr>
        <w:t>de SBIR</w:t>
      </w:r>
      <w:r w:rsidR="0001070C">
        <w:rPr>
          <w:rFonts w:ascii="Verdana" w:hAnsi="Verdana"/>
          <w:sz w:val="18"/>
          <w:szCs w:val="18"/>
          <w:lang w:val="nl-NL"/>
        </w:rPr>
        <w:t xml:space="preserve"> </w:t>
      </w:r>
      <w:r w:rsidR="00AF1A92">
        <w:rPr>
          <w:rFonts w:ascii="Verdana" w:hAnsi="Verdana"/>
          <w:sz w:val="18"/>
          <w:szCs w:val="18"/>
          <w:lang w:val="nl-NL"/>
        </w:rPr>
        <w:t>ruimte bieden aan</w:t>
      </w:r>
      <w:r w:rsidR="0001070C">
        <w:rPr>
          <w:rFonts w:ascii="Verdana" w:hAnsi="Verdana"/>
          <w:sz w:val="18"/>
          <w:szCs w:val="18"/>
          <w:lang w:val="nl-NL"/>
        </w:rPr>
        <w:t xml:space="preserve"> technologie-ontwikkelingsprojecten</w:t>
      </w:r>
      <w:r w:rsidR="000E3128">
        <w:rPr>
          <w:rFonts w:ascii="Verdana" w:hAnsi="Verdana"/>
          <w:sz w:val="18"/>
          <w:szCs w:val="18"/>
          <w:lang w:val="nl-NL"/>
        </w:rPr>
        <w:t>.</w:t>
      </w:r>
    </w:p>
    <w:p w:rsidR="00FA7E34" w:rsidRDefault="00FA7E34">
      <w:pPr>
        <w:rPr>
          <w:rFonts w:ascii="Verdana" w:hAnsi="Verdana"/>
          <w:sz w:val="18"/>
          <w:szCs w:val="18"/>
          <w:lang w:val="nl-NL"/>
        </w:rPr>
      </w:pPr>
    </w:p>
    <w:p w:rsidRPr="00C6211C" w:rsidR="00C6211C" w:rsidP="00460324" w:rsidRDefault="00C6211C">
      <w:pPr>
        <w:rPr>
          <w:rFonts w:ascii="Verdana" w:hAnsi="Verdana" w:cs="Times New Roman"/>
          <w:sz w:val="18"/>
          <w:szCs w:val="18"/>
          <w:lang w:val="nl-NL"/>
        </w:rPr>
      </w:pPr>
      <w:r w:rsidRPr="00C6211C">
        <w:rPr>
          <w:rFonts w:ascii="Verdana" w:hAnsi="Verdana" w:cs="Times New Roman"/>
          <w:sz w:val="18"/>
          <w:szCs w:val="18"/>
          <w:lang w:val="nl-NL"/>
        </w:rPr>
        <w:t xml:space="preserve">Recent is het ExoMars-programma van ESA en het Russische ruimtevaartagentschap Roscosmos in het nieuws geweest. </w:t>
      </w:r>
      <w:r w:rsidR="00A15CF4">
        <w:rPr>
          <w:rFonts w:ascii="Verdana" w:hAnsi="Verdana" w:cs="Times New Roman"/>
          <w:sz w:val="18"/>
          <w:szCs w:val="18"/>
          <w:lang w:val="nl-NL"/>
        </w:rPr>
        <w:t xml:space="preserve">Het </w:t>
      </w:r>
      <w:r>
        <w:rPr>
          <w:rFonts w:ascii="Verdana" w:hAnsi="Verdana" w:cs="Times New Roman"/>
          <w:sz w:val="18"/>
          <w:szCs w:val="18"/>
          <w:lang w:val="nl-NL"/>
        </w:rPr>
        <w:t>ExoM</w:t>
      </w:r>
      <w:r w:rsidRPr="00C6211C">
        <w:rPr>
          <w:rFonts w:ascii="Verdana" w:hAnsi="Verdana" w:cs="Times New Roman"/>
          <w:sz w:val="18"/>
          <w:szCs w:val="18"/>
          <w:lang w:val="nl-NL"/>
        </w:rPr>
        <w:t>ars</w:t>
      </w:r>
      <w:r w:rsidR="00A15CF4">
        <w:rPr>
          <w:rFonts w:ascii="Verdana" w:hAnsi="Verdana" w:cs="Times New Roman"/>
          <w:sz w:val="18"/>
          <w:szCs w:val="18"/>
          <w:lang w:val="nl-NL"/>
        </w:rPr>
        <w:t>-programma</w:t>
      </w:r>
      <w:r>
        <w:rPr>
          <w:rFonts w:ascii="Verdana" w:hAnsi="Verdana" w:cs="Times New Roman"/>
          <w:sz w:val="18"/>
          <w:szCs w:val="18"/>
          <w:lang w:val="nl-NL"/>
        </w:rPr>
        <w:t xml:space="preserve"> bestaat uit twee missies:</w:t>
      </w:r>
      <w:r w:rsidRPr="00C6211C">
        <w:rPr>
          <w:rFonts w:ascii="Verdana" w:hAnsi="Verdana" w:cs="Times New Roman"/>
          <w:sz w:val="18"/>
          <w:szCs w:val="18"/>
          <w:lang w:val="nl-NL"/>
        </w:rPr>
        <w:t xml:space="preserve"> de 2016 missie en de 2020 missie. De eerste missie is op 14 maart </w:t>
      </w:r>
      <w:r>
        <w:rPr>
          <w:rFonts w:ascii="Verdana" w:hAnsi="Verdana" w:cs="Times New Roman"/>
          <w:sz w:val="18"/>
          <w:szCs w:val="18"/>
          <w:lang w:val="nl-NL"/>
        </w:rPr>
        <w:t xml:space="preserve">van </w:t>
      </w:r>
      <w:r w:rsidRPr="00C6211C">
        <w:rPr>
          <w:rFonts w:ascii="Verdana" w:hAnsi="Verdana" w:cs="Times New Roman"/>
          <w:sz w:val="18"/>
          <w:szCs w:val="18"/>
          <w:lang w:val="nl-NL"/>
        </w:rPr>
        <w:t xml:space="preserve">dit jaar succesvol gelanceerd vanuit Baikonur </w:t>
      </w:r>
      <w:r>
        <w:rPr>
          <w:rFonts w:ascii="Verdana" w:hAnsi="Verdana" w:cs="Times New Roman"/>
          <w:sz w:val="18"/>
          <w:szCs w:val="18"/>
          <w:lang w:val="nl-NL"/>
        </w:rPr>
        <w:t>(</w:t>
      </w:r>
      <w:r w:rsidRPr="00C6211C">
        <w:rPr>
          <w:rFonts w:ascii="Verdana" w:hAnsi="Verdana" w:cs="Times New Roman"/>
          <w:sz w:val="18"/>
          <w:szCs w:val="18"/>
          <w:lang w:val="nl-NL"/>
        </w:rPr>
        <w:t>Kazachstan</w:t>
      </w:r>
      <w:r>
        <w:rPr>
          <w:rFonts w:ascii="Verdana" w:hAnsi="Verdana" w:cs="Times New Roman"/>
          <w:sz w:val="18"/>
          <w:szCs w:val="18"/>
          <w:lang w:val="nl-NL"/>
        </w:rPr>
        <w:t>)</w:t>
      </w:r>
      <w:r w:rsidR="00A15CF4">
        <w:rPr>
          <w:rFonts w:ascii="Verdana" w:hAnsi="Verdana" w:cs="Times New Roman"/>
          <w:sz w:val="18"/>
          <w:szCs w:val="18"/>
          <w:lang w:val="nl-NL"/>
        </w:rPr>
        <w:t xml:space="preserve"> en op 19 oktober 2016</w:t>
      </w:r>
      <w:r w:rsidRPr="00C6211C">
        <w:rPr>
          <w:rFonts w:ascii="Verdana" w:hAnsi="Verdana" w:cs="Times New Roman"/>
          <w:sz w:val="18"/>
          <w:szCs w:val="18"/>
          <w:lang w:val="nl-NL"/>
        </w:rPr>
        <w:t xml:space="preserve"> (ruim 7 maanden later) bij Mars aangekomen. Daarbij is het belangrijkste onderdeel van de 2016 missie – de “Trace Gas Orbiter” (TGO) - voor het opsporen en monitoren van methaan in de atmosfeer van Mars - succesvol in een baan om Mars gebracht. Het andere onderdeel van de 2016 missie, de Schiaparelli-lander, is helaas op Mars neergestort en is daarmee verloren. Dit laatste was echter niet ‘mission-critical’</w:t>
      </w:r>
      <w:r>
        <w:rPr>
          <w:rFonts w:ascii="Verdana" w:hAnsi="Verdana" w:cs="Times New Roman"/>
          <w:sz w:val="18"/>
          <w:szCs w:val="18"/>
          <w:lang w:val="nl-NL"/>
        </w:rPr>
        <w:t xml:space="preserve"> omdat</w:t>
      </w:r>
      <w:r w:rsidRPr="00C6211C">
        <w:rPr>
          <w:rFonts w:ascii="Verdana" w:hAnsi="Verdana" w:cs="Times New Roman"/>
          <w:sz w:val="18"/>
          <w:szCs w:val="18"/>
          <w:lang w:val="nl-NL"/>
        </w:rPr>
        <w:t xml:space="preserve"> het hier ging om een </w:t>
      </w:r>
      <w:r>
        <w:rPr>
          <w:rFonts w:ascii="Verdana" w:hAnsi="Verdana" w:cs="Times New Roman"/>
          <w:sz w:val="18"/>
          <w:szCs w:val="18"/>
          <w:lang w:val="nl-NL"/>
        </w:rPr>
        <w:t>demonstratie/</w:t>
      </w:r>
      <w:r w:rsidRPr="00C6211C">
        <w:rPr>
          <w:rFonts w:ascii="Verdana" w:hAnsi="Verdana" w:cs="Times New Roman"/>
          <w:sz w:val="18"/>
          <w:szCs w:val="18"/>
          <w:lang w:val="nl-NL"/>
        </w:rPr>
        <w:t xml:space="preserve">test van de benodigde technologie voor de 2020 missie om </w:t>
      </w:r>
      <w:r w:rsidR="00A15CF4">
        <w:rPr>
          <w:rFonts w:ascii="Verdana" w:hAnsi="Verdana" w:cs="Times New Roman"/>
          <w:sz w:val="18"/>
          <w:szCs w:val="18"/>
          <w:lang w:val="nl-NL"/>
        </w:rPr>
        <w:t xml:space="preserve">deze laatste </w:t>
      </w:r>
      <w:r w:rsidRPr="00C6211C">
        <w:rPr>
          <w:rFonts w:ascii="Verdana" w:hAnsi="Verdana" w:cs="Times New Roman"/>
          <w:sz w:val="18"/>
          <w:szCs w:val="18"/>
          <w:lang w:val="nl-NL"/>
        </w:rPr>
        <w:t>veilig</w:t>
      </w:r>
      <w:r>
        <w:rPr>
          <w:rFonts w:ascii="Verdana" w:hAnsi="Verdana" w:cs="Times New Roman"/>
          <w:sz w:val="18"/>
          <w:szCs w:val="18"/>
          <w:lang w:val="nl-NL"/>
        </w:rPr>
        <w:t xml:space="preserve"> op Mars te kunnen </w:t>
      </w:r>
      <w:r w:rsidR="00A15CF4">
        <w:rPr>
          <w:rFonts w:ascii="Verdana" w:hAnsi="Verdana" w:cs="Times New Roman"/>
          <w:sz w:val="18"/>
          <w:szCs w:val="18"/>
          <w:lang w:val="nl-NL"/>
        </w:rPr>
        <w:t xml:space="preserve">laten </w:t>
      </w:r>
      <w:r>
        <w:rPr>
          <w:rFonts w:ascii="Verdana" w:hAnsi="Verdana" w:cs="Times New Roman"/>
          <w:sz w:val="18"/>
          <w:szCs w:val="18"/>
          <w:lang w:val="nl-NL"/>
        </w:rPr>
        <w:t xml:space="preserve">landen. </w:t>
      </w:r>
      <w:r w:rsidRPr="00C6211C">
        <w:rPr>
          <w:rFonts w:ascii="Verdana" w:hAnsi="Verdana" w:cs="Times New Roman"/>
          <w:sz w:val="18"/>
          <w:szCs w:val="18"/>
          <w:lang w:val="nl-NL"/>
        </w:rPr>
        <w:t xml:space="preserve">Vermoedelijk was deze </w:t>
      </w:r>
      <w:r>
        <w:rPr>
          <w:rFonts w:ascii="Verdana" w:hAnsi="Verdana" w:cs="Times New Roman"/>
          <w:sz w:val="18"/>
          <w:szCs w:val="18"/>
          <w:lang w:val="nl-NL"/>
        </w:rPr>
        <w:t>test/</w:t>
      </w:r>
      <w:r w:rsidRPr="00C6211C">
        <w:rPr>
          <w:rFonts w:ascii="Verdana" w:hAnsi="Verdana" w:cs="Times New Roman"/>
          <w:sz w:val="18"/>
          <w:szCs w:val="18"/>
          <w:lang w:val="nl-NL"/>
        </w:rPr>
        <w:t>demonstratie niet succesvol doordat de remraketten tijdens de laatste fase van de landing voorti</w:t>
      </w:r>
      <w:r>
        <w:rPr>
          <w:rFonts w:ascii="Verdana" w:hAnsi="Verdana" w:cs="Times New Roman"/>
          <w:sz w:val="18"/>
          <w:szCs w:val="18"/>
          <w:lang w:val="nl-NL"/>
        </w:rPr>
        <w:t xml:space="preserve">jdig ophielden te functioneren. </w:t>
      </w:r>
      <w:r w:rsidRPr="00C6211C">
        <w:rPr>
          <w:rFonts w:ascii="Verdana" w:hAnsi="Verdana" w:cs="Times New Roman"/>
          <w:sz w:val="18"/>
          <w:szCs w:val="18"/>
          <w:lang w:val="nl-NL"/>
        </w:rPr>
        <w:t>Onderzoek naar de</w:t>
      </w:r>
      <w:r>
        <w:rPr>
          <w:rFonts w:ascii="Verdana" w:hAnsi="Verdana" w:cs="Times New Roman"/>
          <w:sz w:val="18"/>
          <w:szCs w:val="18"/>
          <w:lang w:val="nl-NL"/>
        </w:rPr>
        <w:t xml:space="preserve"> exacte oorzaak is gaande</w:t>
      </w:r>
      <w:r w:rsidRPr="00C6211C">
        <w:rPr>
          <w:rFonts w:ascii="Verdana" w:hAnsi="Verdana" w:cs="Times New Roman"/>
          <w:sz w:val="18"/>
          <w:szCs w:val="18"/>
          <w:lang w:val="nl-NL"/>
        </w:rPr>
        <w:t>.</w:t>
      </w:r>
    </w:p>
    <w:p w:rsidRPr="00C6211C" w:rsidR="00C6211C" w:rsidP="00460324" w:rsidRDefault="00C6211C">
      <w:pPr>
        <w:ind w:left="720"/>
        <w:rPr>
          <w:rFonts w:ascii="Verdana" w:hAnsi="Verdana" w:cs="Times New Roman"/>
          <w:sz w:val="18"/>
          <w:szCs w:val="18"/>
          <w:lang w:val="nl-NL"/>
        </w:rPr>
      </w:pPr>
    </w:p>
    <w:p w:rsidRPr="00C6211C" w:rsidR="00C6211C" w:rsidP="00460324" w:rsidRDefault="00C6211C">
      <w:pPr>
        <w:rPr>
          <w:rFonts w:ascii="Verdana" w:hAnsi="Verdana" w:cs="Times New Roman"/>
          <w:sz w:val="18"/>
          <w:szCs w:val="18"/>
          <w:lang w:val="nl-NL"/>
        </w:rPr>
      </w:pPr>
      <w:r w:rsidRPr="00C6211C">
        <w:rPr>
          <w:rFonts w:ascii="Verdana" w:hAnsi="Verdana" w:cs="Times New Roman"/>
          <w:sz w:val="18"/>
          <w:szCs w:val="18"/>
          <w:lang w:val="nl-NL"/>
        </w:rPr>
        <w:t>De 2016-missie vormt</w:t>
      </w:r>
      <w:r>
        <w:rPr>
          <w:rFonts w:ascii="Verdana" w:hAnsi="Verdana" w:cs="Times New Roman"/>
          <w:sz w:val="18"/>
          <w:szCs w:val="18"/>
          <w:lang w:val="nl-NL"/>
        </w:rPr>
        <w:t xml:space="preserve"> </w:t>
      </w:r>
      <w:r w:rsidRPr="00C6211C">
        <w:rPr>
          <w:rFonts w:ascii="Verdana" w:hAnsi="Verdana" w:cs="Times New Roman"/>
          <w:sz w:val="18"/>
          <w:szCs w:val="18"/>
          <w:lang w:val="nl-NL"/>
        </w:rPr>
        <w:t xml:space="preserve">de opmaat voor de tweede missie in 2020. Dan wil ESA (wederom in samenwerking met Roscosmos) een wagentje met instrumenten (de ESA </w:t>
      </w:r>
      <w:r>
        <w:rPr>
          <w:rFonts w:ascii="Verdana" w:hAnsi="Verdana" w:cs="Times New Roman"/>
          <w:sz w:val="18"/>
          <w:szCs w:val="18"/>
          <w:lang w:val="nl-NL"/>
        </w:rPr>
        <w:t>2020-</w:t>
      </w:r>
      <w:r w:rsidRPr="00C6211C">
        <w:rPr>
          <w:rFonts w:ascii="Verdana" w:hAnsi="Verdana" w:cs="Times New Roman"/>
          <w:sz w:val="18"/>
          <w:szCs w:val="18"/>
          <w:lang w:val="nl-NL"/>
        </w:rPr>
        <w:t>rover) op Mars laten landen om te onderzoek</w:t>
      </w:r>
      <w:r>
        <w:rPr>
          <w:rFonts w:ascii="Verdana" w:hAnsi="Verdana" w:cs="Times New Roman"/>
          <w:sz w:val="18"/>
          <w:szCs w:val="18"/>
          <w:lang w:val="nl-NL"/>
        </w:rPr>
        <w:t xml:space="preserve">en via </w:t>
      </w:r>
      <w:r w:rsidR="002262BF">
        <w:rPr>
          <w:rFonts w:ascii="Verdana" w:hAnsi="Verdana" w:cs="Times New Roman"/>
          <w:sz w:val="18"/>
          <w:szCs w:val="18"/>
          <w:lang w:val="nl-NL"/>
        </w:rPr>
        <w:t xml:space="preserve">het </w:t>
      </w:r>
      <w:r>
        <w:rPr>
          <w:rFonts w:ascii="Verdana" w:hAnsi="Verdana" w:cs="Times New Roman"/>
          <w:sz w:val="18"/>
          <w:szCs w:val="18"/>
          <w:lang w:val="nl-NL"/>
        </w:rPr>
        <w:t>boren</w:t>
      </w:r>
      <w:r w:rsidR="002262BF">
        <w:rPr>
          <w:rFonts w:ascii="Verdana" w:hAnsi="Verdana" w:cs="Times New Roman"/>
          <w:sz w:val="18"/>
          <w:szCs w:val="18"/>
          <w:lang w:val="nl-NL"/>
        </w:rPr>
        <w:t xml:space="preserve"> in de bodem</w:t>
      </w:r>
      <w:r w:rsidRPr="00C6211C">
        <w:rPr>
          <w:rFonts w:ascii="Verdana" w:hAnsi="Verdana" w:cs="Times New Roman"/>
          <w:sz w:val="18"/>
          <w:szCs w:val="18"/>
          <w:lang w:val="nl-NL"/>
        </w:rPr>
        <w:t xml:space="preserve"> of er op Mars ooit condities waren waarin ontstaan van leven mogelijk was en/of zelfs</w:t>
      </w:r>
      <w:r>
        <w:rPr>
          <w:rFonts w:ascii="Verdana" w:hAnsi="Verdana" w:cs="Times New Roman"/>
          <w:sz w:val="18"/>
          <w:szCs w:val="18"/>
          <w:lang w:val="nl-NL"/>
        </w:rPr>
        <w:t xml:space="preserve"> heeft bestaan</w:t>
      </w:r>
      <w:r w:rsidRPr="00C6211C">
        <w:rPr>
          <w:rFonts w:ascii="Verdana" w:hAnsi="Verdana" w:cs="Times New Roman"/>
          <w:sz w:val="18"/>
          <w:szCs w:val="18"/>
          <w:lang w:val="nl-NL"/>
        </w:rPr>
        <w:t>.</w:t>
      </w:r>
    </w:p>
    <w:p w:rsidR="00C6211C" w:rsidP="00460324" w:rsidRDefault="00C6211C">
      <w:pPr>
        <w:rPr>
          <w:rFonts w:ascii="Verdana" w:hAnsi="Verdana" w:cs="Times New Roman"/>
          <w:sz w:val="18"/>
          <w:szCs w:val="18"/>
          <w:lang w:val="nl-NL"/>
        </w:rPr>
      </w:pPr>
      <w:r w:rsidRPr="00C6211C">
        <w:rPr>
          <w:rFonts w:ascii="Verdana" w:hAnsi="Verdana" w:cs="Times New Roman"/>
          <w:sz w:val="18"/>
          <w:szCs w:val="18"/>
          <w:lang w:val="nl-NL"/>
        </w:rPr>
        <w:t>Van de totale kosten voor Exomars (ESA-deel) van € 1,558 miljard euro heeft Nederland, tijdens de Ministeriële conferentie in 2008,</w:t>
      </w:r>
      <w:r w:rsidR="00A82032">
        <w:rPr>
          <w:rFonts w:ascii="Verdana" w:hAnsi="Verdana" w:cs="Times New Roman"/>
          <w:sz w:val="18"/>
          <w:szCs w:val="18"/>
          <w:lang w:val="nl-NL"/>
        </w:rPr>
        <w:t xml:space="preserve"> een bescheiden</w:t>
      </w:r>
      <w:r w:rsidRPr="00C6211C">
        <w:rPr>
          <w:rFonts w:ascii="Verdana" w:hAnsi="Verdana" w:cs="Times New Roman"/>
          <w:sz w:val="18"/>
          <w:szCs w:val="18"/>
          <w:lang w:val="nl-NL"/>
        </w:rPr>
        <w:t xml:space="preserve"> € 12 miljoen bijgedragen. Nederland is niet van plan meer aan dit programma bij </w:t>
      </w:r>
      <w:r w:rsidR="00A82032">
        <w:rPr>
          <w:rFonts w:ascii="Verdana" w:hAnsi="Verdana" w:cs="Times New Roman"/>
          <w:sz w:val="18"/>
          <w:szCs w:val="18"/>
          <w:lang w:val="nl-NL"/>
        </w:rPr>
        <w:t>te dragen. Nederland heeft in</w:t>
      </w:r>
      <w:r w:rsidRPr="00C6211C">
        <w:rPr>
          <w:rFonts w:ascii="Verdana" w:hAnsi="Verdana" w:cs="Times New Roman"/>
          <w:sz w:val="18"/>
          <w:szCs w:val="18"/>
          <w:lang w:val="nl-NL"/>
        </w:rPr>
        <w:t xml:space="preserve"> 2012 besloten de schaarse beschikbare middelen </w:t>
      </w:r>
      <w:r w:rsidR="00A82032">
        <w:rPr>
          <w:rFonts w:ascii="Verdana" w:hAnsi="Verdana" w:cs="Times New Roman"/>
          <w:sz w:val="18"/>
          <w:szCs w:val="18"/>
          <w:lang w:val="nl-NL"/>
        </w:rPr>
        <w:t xml:space="preserve">voor exploratie </w:t>
      </w:r>
      <w:r w:rsidRPr="00C6211C">
        <w:rPr>
          <w:rFonts w:ascii="Verdana" w:hAnsi="Verdana" w:cs="Times New Roman"/>
          <w:sz w:val="18"/>
          <w:szCs w:val="18"/>
          <w:lang w:val="nl-NL"/>
        </w:rPr>
        <w:t xml:space="preserve">alleen te investeren in het programma ten behoeve van de bouw, onderhoud </w:t>
      </w:r>
      <w:r w:rsidRPr="00C6211C">
        <w:rPr>
          <w:rFonts w:ascii="Verdana" w:hAnsi="Verdana" w:cs="Times New Roman"/>
          <w:sz w:val="18"/>
          <w:szCs w:val="18"/>
          <w:lang w:val="nl-NL"/>
        </w:rPr>
        <w:lastRenderedPageBreak/>
        <w:t xml:space="preserve">en benutting van het “International Space Station” (ISS). Dit omdat Nederland waarde hecht aan de goede samenwerking </w:t>
      </w:r>
      <w:r w:rsidR="00A82032">
        <w:rPr>
          <w:rFonts w:ascii="Verdana" w:hAnsi="Verdana" w:cs="Times New Roman"/>
          <w:sz w:val="18"/>
          <w:szCs w:val="18"/>
          <w:lang w:val="nl-NL"/>
        </w:rPr>
        <w:t xml:space="preserve">in de ruimte </w:t>
      </w:r>
      <w:r w:rsidRPr="00C6211C">
        <w:rPr>
          <w:rFonts w:ascii="Verdana" w:hAnsi="Verdana" w:cs="Times New Roman"/>
          <w:sz w:val="18"/>
          <w:szCs w:val="18"/>
          <w:lang w:val="nl-NL"/>
        </w:rPr>
        <w:t>van de Verenigde Staten, Rusland, Euro</w:t>
      </w:r>
      <w:r w:rsidR="00A82032">
        <w:rPr>
          <w:rFonts w:ascii="Verdana" w:hAnsi="Verdana" w:cs="Times New Roman"/>
          <w:sz w:val="18"/>
          <w:szCs w:val="18"/>
          <w:lang w:val="nl-NL"/>
        </w:rPr>
        <w:t>pa, Canada en Japan</w:t>
      </w:r>
      <w:r w:rsidRPr="00C6211C">
        <w:rPr>
          <w:rFonts w:ascii="Verdana" w:hAnsi="Verdana" w:cs="Times New Roman"/>
          <w:sz w:val="18"/>
          <w:szCs w:val="18"/>
          <w:lang w:val="nl-NL"/>
        </w:rPr>
        <w:t>, zoals die al vele jaren plaats vindt in het kader van het ISS-project.</w:t>
      </w:r>
    </w:p>
    <w:p w:rsidR="003D2664" w:rsidP="00460324" w:rsidRDefault="003D2664">
      <w:pPr>
        <w:rPr>
          <w:rFonts w:ascii="Verdana" w:hAnsi="Verdana" w:cs="Times New Roman"/>
          <w:sz w:val="18"/>
          <w:szCs w:val="18"/>
          <w:lang w:val="nl-NL"/>
        </w:rPr>
      </w:pPr>
    </w:p>
    <w:p w:rsidRPr="00C6211C" w:rsidR="003D2664" w:rsidP="00460324" w:rsidRDefault="003D2664">
      <w:pPr>
        <w:rPr>
          <w:rFonts w:ascii="Verdana" w:hAnsi="Verdana" w:cs="Times New Roman"/>
          <w:sz w:val="18"/>
          <w:szCs w:val="18"/>
          <w:lang w:val="nl-NL"/>
        </w:rPr>
      </w:pPr>
    </w:p>
    <w:p w:rsidRPr="000047FB" w:rsidR="003B101C" w:rsidP="003A7671" w:rsidRDefault="00A15CF4">
      <w:pPr>
        <w:pStyle w:val="Lijstalinea"/>
        <w:numPr>
          <w:ilvl w:val="0"/>
          <w:numId w:val="1"/>
        </w:numPr>
        <w:ind w:left="426" w:hanging="426"/>
        <w:rPr>
          <w:rFonts w:ascii="Verdana" w:hAnsi="Verdana"/>
          <w:sz w:val="18"/>
          <w:szCs w:val="18"/>
          <w:u w:val="single"/>
          <w:lang w:val="nl-NL"/>
        </w:rPr>
      </w:pPr>
      <w:r>
        <w:rPr>
          <w:rFonts w:ascii="Verdana" w:hAnsi="Verdana"/>
          <w:sz w:val="18"/>
          <w:szCs w:val="18"/>
          <w:u w:val="single"/>
          <w:lang w:val="nl-NL"/>
        </w:rPr>
        <w:t>Wetenscha</w:t>
      </w:r>
      <w:r w:rsidRPr="000047FB" w:rsidR="003B101C">
        <w:rPr>
          <w:rFonts w:ascii="Verdana" w:hAnsi="Verdana"/>
          <w:sz w:val="18"/>
          <w:szCs w:val="18"/>
          <w:u w:val="single"/>
          <w:lang w:val="nl-NL"/>
        </w:rPr>
        <w:t>p en educatie</w:t>
      </w:r>
    </w:p>
    <w:p w:rsidRPr="000047FB" w:rsidR="009A69CD" w:rsidRDefault="009A69CD">
      <w:pPr>
        <w:ind w:left="426"/>
        <w:rPr>
          <w:rFonts w:ascii="Verdana" w:hAnsi="Verdana"/>
          <w:sz w:val="18"/>
          <w:szCs w:val="18"/>
          <w:lang w:val="nl-NL"/>
        </w:rPr>
      </w:pPr>
    </w:p>
    <w:p w:rsidR="00570D9A" w:rsidP="00460324" w:rsidRDefault="00570D9A">
      <w:pPr>
        <w:rPr>
          <w:rFonts w:ascii="Verdana" w:hAnsi="Verdana"/>
          <w:sz w:val="18"/>
          <w:szCs w:val="18"/>
          <w:lang w:val="nl-NL"/>
        </w:rPr>
      </w:pPr>
      <w:r w:rsidRPr="00460324">
        <w:rPr>
          <w:rFonts w:ascii="Verdana" w:hAnsi="Verdana"/>
          <w:b/>
          <w:sz w:val="18"/>
          <w:szCs w:val="18"/>
          <w:lang w:val="nl-NL"/>
        </w:rPr>
        <w:t>Beleidsdoel</w:t>
      </w:r>
      <w:r w:rsidRPr="000047FB">
        <w:rPr>
          <w:rFonts w:ascii="Verdana" w:hAnsi="Verdana"/>
          <w:sz w:val="18"/>
          <w:szCs w:val="18"/>
          <w:lang w:val="nl-NL"/>
        </w:rPr>
        <w:t>: Het ondersteunen van hoogwaardige wetenschappelijke onderzoek op het gebied van sterrenkunde, aardgericht ruimteonderzoek en planeetonderzoek.</w:t>
      </w:r>
    </w:p>
    <w:p w:rsidRPr="000047FB" w:rsidR="00A15CF4" w:rsidP="00460324" w:rsidRDefault="00A15CF4">
      <w:pPr>
        <w:rPr>
          <w:rFonts w:ascii="Verdana" w:hAnsi="Verdana"/>
          <w:sz w:val="18"/>
          <w:szCs w:val="18"/>
          <w:lang w:val="nl-NL"/>
        </w:rPr>
      </w:pPr>
    </w:p>
    <w:p w:rsidRPr="003D2664" w:rsidR="00C60362" w:rsidP="00460324" w:rsidRDefault="008B57EC">
      <w:pPr>
        <w:rPr>
          <w:rFonts w:ascii="Verdana" w:hAnsi="Verdana"/>
          <w:color w:val="031E31"/>
          <w:sz w:val="18"/>
          <w:szCs w:val="18"/>
          <w:lang w:val="nl-NL"/>
        </w:rPr>
      </w:pPr>
      <w:r w:rsidRPr="003D2664">
        <w:rPr>
          <w:rFonts w:ascii="Verdana" w:hAnsi="Verdana"/>
          <w:sz w:val="18"/>
          <w:szCs w:val="18"/>
          <w:lang w:val="nl-NL"/>
        </w:rPr>
        <w:t xml:space="preserve">Wetenschappelijke ruimtevaartmissies spreken enorm tot de verbeelding. </w:t>
      </w:r>
      <w:r w:rsidRPr="003D2664" w:rsidR="006539B7">
        <w:rPr>
          <w:rFonts w:ascii="Verdana" w:hAnsi="Verdana"/>
          <w:sz w:val="18"/>
          <w:szCs w:val="18"/>
          <w:lang w:val="nl-NL"/>
        </w:rPr>
        <w:t>Da</w:t>
      </w:r>
      <w:r w:rsidRPr="003D2664" w:rsidR="00A15CF4">
        <w:rPr>
          <w:rFonts w:ascii="Verdana" w:hAnsi="Verdana"/>
          <w:sz w:val="18"/>
          <w:szCs w:val="18"/>
          <w:lang w:val="nl-NL"/>
        </w:rPr>
        <w:t xml:space="preserve">t geldt zeker voor </w:t>
      </w:r>
      <w:r w:rsidRPr="003D2664" w:rsidR="00E71E65">
        <w:rPr>
          <w:rFonts w:ascii="Verdana" w:hAnsi="Verdana"/>
          <w:sz w:val="18"/>
          <w:szCs w:val="18"/>
          <w:lang w:val="nl-NL"/>
        </w:rPr>
        <w:t>r</w:t>
      </w:r>
      <w:r w:rsidRPr="003D2664" w:rsidR="00C60362">
        <w:rPr>
          <w:rFonts w:ascii="Verdana" w:hAnsi="Verdana"/>
          <w:sz w:val="18"/>
          <w:szCs w:val="18"/>
          <w:lang w:val="nl-NL"/>
        </w:rPr>
        <w:t>ecente wetenschappelijke missie</w:t>
      </w:r>
      <w:r w:rsidRPr="003D2664" w:rsidR="00E71E65">
        <w:rPr>
          <w:rFonts w:ascii="Verdana" w:hAnsi="Verdana"/>
          <w:sz w:val="18"/>
          <w:szCs w:val="18"/>
          <w:lang w:val="nl-NL"/>
        </w:rPr>
        <w:t>s</w:t>
      </w:r>
      <w:r w:rsidRPr="003D2664" w:rsidR="00C60362">
        <w:rPr>
          <w:rFonts w:ascii="Verdana" w:hAnsi="Verdana"/>
          <w:sz w:val="18"/>
          <w:szCs w:val="18"/>
          <w:lang w:val="nl-NL"/>
        </w:rPr>
        <w:t xml:space="preserve"> van ESA</w:t>
      </w:r>
      <w:r w:rsidRPr="003D2664" w:rsidR="009572A3">
        <w:rPr>
          <w:rFonts w:ascii="Verdana" w:hAnsi="Verdana"/>
          <w:sz w:val="18"/>
          <w:szCs w:val="18"/>
          <w:lang w:val="nl-NL"/>
        </w:rPr>
        <w:t>:</w:t>
      </w:r>
      <w:r w:rsidRPr="003D2664" w:rsidR="00C60362">
        <w:rPr>
          <w:rFonts w:ascii="Verdana" w:hAnsi="Verdana"/>
          <w:sz w:val="18"/>
          <w:szCs w:val="18"/>
          <w:lang w:val="nl-NL"/>
        </w:rPr>
        <w:t xml:space="preserve"> Rosetta en Gaia. De Roset</w:t>
      </w:r>
      <w:r w:rsidRPr="003D2664" w:rsidR="00C35EAD">
        <w:rPr>
          <w:rFonts w:ascii="Verdana" w:hAnsi="Verdana"/>
          <w:sz w:val="18"/>
          <w:szCs w:val="18"/>
          <w:lang w:val="nl-NL"/>
        </w:rPr>
        <w:t>t</w:t>
      </w:r>
      <w:r w:rsidRPr="003D2664" w:rsidR="00C60362">
        <w:rPr>
          <w:rFonts w:ascii="Verdana" w:hAnsi="Verdana"/>
          <w:sz w:val="18"/>
          <w:szCs w:val="18"/>
          <w:lang w:val="nl-NL"/>
        </w:rPr>
        <w:t xml:space="preserve">a-missie was gericht op vermeerdering van de kennis over het ontstaan van ons zonnestelsel en van leven op Aarde. Na een vlucht van 10 jaar bereikte de Rosetta-missie de komeet </w:t>
      </w:r>
      <w:r w:rsidRPr="003D2664" w:rsidR="00C60362">
        <w:rPr>
          <w:rFonts w:ascii="Verdana" w:hAnsi="Verdana"/>
          <w:color w:val="031E31"/>
          <w:sz w:val="18"/>
          <w:szCs w:val="18"/>
          <w:lang w:val="nl-NL"/>
        </w:rPr>
        <w:t>67P/Churyumov–Gerasimenko</w:t>
      </w:r>
      <w:r w:rsidRPr="003D2664" w:rsidR="00B01906">
        <w:rPr>
          <w:rFonts w:ascii="Verdana" w:hAnsi="Verdana"/>
          <w:color w:val="031E31"/>
          <w:sz w:val="18"/>
          <w:szCs w:val="18"/>
          <w:lang w:val="nl-NL"/>
        </w:rPr>
        <w:t>. In november 2014 landde</w:t>
      </w:r>
      <w:r w:rsidRPr="003D2664" w:rsidR="00C60362">
        <w:rPr>
          <w:rFonts w:ascii="Verdana" w:hAnsi="Verdana"/>
          <w:color w:val="031E31"/>
          <w:sz w:val="18"/>
          <w:szCs w:val="18"/>
          <w:lang w:val="nl-NL"/>
        </w:rPr>
        <w:t xml:space="preserve"> de komeet-lander Philea </w:t>
      </w:r>
      <w:r w:rsidRPr="003D2664" w:rsidR="00B01906">
        <w:rPr>
          <w:rFonts w:ascii="Verdana" w:hAnsi="Verdana"/>
          <w:color w:val="031E31"/>
          <w:sz w:val="18"/>
          <w:szCs w:val="18"/>
          <w:lang w:val="nl-NL"/>
        </w:rPr>
        <w:t xml:space="preserve">op deze komeet in een situatie van nagenoeg gewichtloosheid. Op 30 september jl. is de Rosetta-sonde na twaalf jaar trouwe dienst op de komeet </w:t>
      </w:r>
      <w:r w:rsidRPr="003D2664" w:rsidR="00131A68">
        <w:rPr>
          <w:rFonts w:ascii="Verdana" w:hAnsi="Verdana"/>
          <w:color w:val="031E31"/>
          <w:sz w:val="18"/>
          <w:szCs w:val="18"/>
          <w:lang w:val="nl-NL"/>
        </w:rPr>
        <w:t>gecontroleerd geland</w:t>
      </w:r>
      <w:r w:rsidRPr="003D2664" w:rsidR="00B01906">
        <w:rPr>
          <w:rFonts w:ascii="Verdana" w:hAnsi="Verdana"/>
          <w:color w:val="031E31"/>
          <w:sz w:val="18"/>
          <w:szCs w:val="18"/>
          <w:lang w:val="nl-NL"/>
        </w:rPr>
        <w:t xml:space="preserve">. Tot het laatste moment zijn er beelden van de komeet naar </w:t>
      </w:r>
      <w:r w:rsidRPr="003D2664" w:rsidR="003927E8">
        <w:rPr>
          <w:rFonts w:ascii="Verdana" w:hAnsi="Verdana"/>
          <w:color w:val="031E31"/>
          <w:sz w:val="18"/>
          <w:szCs w:val="18"/>
          <w:lang w:val="nl-NL"/>
        </w:rPr>
        <w:t xml:space="preserve">de </w:t>
      </w:r>
      <w:r w:rsidRPr="003D2664" w:rsidR="00B01906">
        <w:rPr>
          <w:rFonts w:ascii="Verdana" w:hAnsi="Verdana"/>
          <w:color w:val="031E31"/>
          <w:sz w:val="18"/>
          <w:szCs w:val="18"/>
          <w:lang w:val="nl-NL"/>
        </w:rPr>
        <w:t>aarde verzonden.</w:t>
      </w:r>
      <w:r w:rsidRPr="003D2664" w:rsidR="00EB7235">
        <w:rPr>
          <w:rFonts w:ascii="Verdana" w:hAnsi="Verdana"/>
          <w:color w:val="031E31"/>
          <w:sz w:val="18"/>
          <w:szCs w:val="18"/>
          <w:lang w:val="nl-NL"/>
        </w:rPr>
        <w:t xml:space="preserve"> Nederland heeft component</w:t>
      </w:r>
      <w:r w:rsidRPr="003D2664" w:rsidR="008F4C7B">
        <w:rPr>
          <w:rFonts w:ascii="Verdana" w:hAnsi="Verdana"/>
          <w:color w:val="031E31"/>
          <w:sz w:val="18"/>
          <w:szCs w:val="18"/>
          <w:lang w:val="nl-NL"/>
        </w:rPr>
        <w:t xml:space="preserve">en en zonnepanelen geleverd voor de Rosetta-missie en is </w:t>
      </w:r>
      <w:r w:rsidRPr="003D2664" w:rsidR="0081528E">
        <w:rPr>
          <w:rFonts w:ascii="Verdana" w:hAnsi="Verdana"/>
          <w:color w:val="031E31"/>
          <w:sz w:val="18"/>
          <w:szCs w:val="18"/>
          <w:lang w:val="nl-NL"/>
        </w:rPr>
        <w:t xml:space="preserve">actief </w:t>
      </w:r>
      <w:r w:rsidRPr="003D2664" w:rsidR="008F4C7B">
        <w:rPr>
          <w:rFonts w:ascii="Verdana" w:hAnsi="Verdana"/>
          <w:color w:val="031E31"/>
          <w:sz w:val="18"/>
          <w:szCs w:val="18"/>
          <w:lang w:val="nl-NL"/>
        </w:rPr>
        <w:t>betrokken bij de wetenschappelijke verwerking van de vele gegevens die de missie heeft opgeleverd.</w:t>
      </w:r>
      <w:r w:rsidRPr="003D2664" w:rsidR="00F364FF">
        <w:rPr>
          <w:rFonts w:ascii="Verdana" w:hAnsi="Verdana"/>
          <w:color w:val="031E31"/>
          <w:sz w:val="18"/>
          <w:szCs w:val="18"/>
          <w:lang w:val="nl-NL"/>
        </w:rPr>
        <w:t xml:space="preserve"> </w:t>
      </w:r>
    </w:p>
    <w:p w:rsidRPr="000047FB" w:rsidR="00B01906" w:rsidP="003A7671" w:rsidRDefault="00B01906">
      <w:pPr>
        <w:pStyle w:val="Lijstalinea"/>
        <w:ind w:left="426"/>
        <w:rPr>
          <w:rFonts w:ascii="Verdana" w:hAnsi="Verdana"/>
          <w:color w:val="031E31"/>
          <w:sz w:val="18"/>
          <w:szCs w:val="18"/>
          <w:lang w:val="nl-NL"/>
        </w:rPr>
      </w:pPr>
    </w:p>
    <w:p w:rsidRPr="00460324" w:rsidR="00B01906" w:rsidP="00460324" w:rsidRDefault="003927E8">
      <w:pPr>
        <w:rPr>
          <w:rFonts w:ascii="Verdana" w:hAnsi="Verdana"/>
          <w:color w:val="031E31"/>
          <w:sz w:val="18"/>
          <w:szCs w:val="18"/>
          <w:lang w:val="nl-NL"/>
        </w:rPr>
      </w:pPr>
      <w:r w:rsidRPr="00460324">
        <w:rPr>
          <w:rFonts w:ascii="Verdana" w:hAnsi="Verdana"/>
          <w:color w:val="031E31"/>
          <w:sz w:val="18"/>
          <w:szCs w:val="18"/>
          <w:lang w:val="nl-NL"/>
        </w:rPr>
        <w:t>In 2013</w:t>
      </w:r>
      <w:r w:rsidRPr="00460324" w:rsidR="00B01906">
        <w:rPr>
          <w:rFonts w:ascii="Verdana" w:hAnsi="Verdana"/>
          <w:color w:val="031E31"/>
          <w:sz w:val="18"/>
          <w:szCs w:val="18"/>
          <w:lang w:val="nl-NL"/>
        </w:rPr>
        <w:t xml:space="preserve"> is de Ga</w:t>
      </w:r>
      <w:r w:rsidRPr="00460324" w:rsidR="00C35EAD">
        <w:rPr>
          <w:rFonts w:ascii="Verdana" w:hAnsi="Verdana"/>
          <w:color w:val="031E31"/>
          <w:sz w:val="18"/>
          <w:szCs w:val="18"/>
          <w:lang w:val="nl-NL"/>
        </w:rPr>
        <w:t>i</w:t>
      </w:r>
      <w:r w:rsidRPr="00460324" w:rsidR="00B01906">
        <w:rPr>
          <w:rFonts w:ascii="Verdana" w:hAnsi="Verdana"/>
          <w:color w:val="031E31"/>
          <w:sz w:val="18"/>
          <w:szCs w:val="18"/>
          <w:lang w:val="nl-NL"/>
        </w:rPr>
        <w:t xml:space="preserve">a-missie van start gegaan. Deze ruimtesonde </w:t>
      </w:r>
      <w:r w:rsidRPr="00460324" w:rsidR="00EB0691">
        <w:rPr>
          <w:rFonts w:ascii="Verdana" w:hAnsi="Verdana"/>
          <w:color w:val="031E31"/>
          <w:sz w:val="18"/>
          <w:szCs w:val="18"/>
          <w:lang w:val="nl-NL"/>
        </w:rPr>
        <w:t>is op een afstand van 1</w:t>
      </w:r>
      <w:r w:rsidRPr="00460324" w:rsidR="00131A68">
        <w:rPr>
          <w:rFonts w:ascii="Verdana" w:hAnsi="Verdana"/>
          <w:color w:val="031E31"/>
          <w:sz w:val="18"/>
          <w:szCs w:val="18"/>
          <w:lang w:val="nl-NL"/>
        </w:rPr>
        <w:t>,5</w:t>
      </w:r>
      <w:r w:rsidRPr="00460324" w:rsidR="00EB0691">
        <w:rPr>
          <w:rFonts w:ascii="Verdana" w:hAnsi="Verdana"/>
          <w:color w:val="031E31"/>
          <w:sz w:val="18"/>
          <w:szCs w:val="18"/>
          <w:lang w:val="nl-NL"/>
        </w:rPr>
        <w:t xml:space="preserve"> miljoen kilometer</w:t>
      </w:r>
      <w:r w:rsidRPr="00460324" w:rsidR="00131A68">
        <w:rPr>
          <w:rFonts w:ascii="Verdana" w:hAnsi="Verdana"/>
          <w:color w:val="031E31"/>
          <w:sz w:val="18"/>
          <w:szCs w:val="18"/>
          <w:lang w:val="nl-NL"/>
        </w:rPr>
        <w:t>s</w:t>
      </w:r>
      <w:r w:rsidRPr="00460324" w:rsidR="00EB0691">
        <w:rPr>
          <w:rFonts w:ascii="Verdana" w:hAnsi="Verdana"/>
          <w:color w:val="031E31"/>
          <w:sz w:val="18"/>
          <w:szCs w:val="18"/>
          <w:lang w:val="nl-NL"/>
        </w:rPr>
        <w:t xml:space="preserve"> </w:t>
      </w:r>
      <w:r w:rsidR="008A544A">
        <w:rPr>
          <w:rFonts w:ascii="Verdana" w:hAnsi="Verdana"/>
          <w:color w:val="031E31"/>
          <w:sz w:val="18"/>
          <w:szCs w:val="18"/>
          <w:lang w:val="nl-NL"/>
        </w:rPr>
        <w:t>van de A</w:t>
      </w:r>
      <w:r w:rsidRPr="00460324" w:rsidR="00EB0691">
        <w:rPr>
          <w:rFonts w:ascii="Verdana" w:hAnsi="Verdana"/>
          <w:color w:val="031E31"/>
          <w:sz w:val="18"/>
          <w:szCs w:val="18"/>
          <w:lang w:val="nl-NL"/>
        </w:rPr>
        <w:t>arde gepositioneerd en</w:t>
      </w:r>
      <w:r w:rsidRPr="00460324">
        <w:rPr>
          <w:rFonts w:ascii="Verdana" w:hAnsi="Verdana"/>
          <w:color w:val="031E31"/>
          <w:sz w:val="18"/>
          <w:szCs w:val="18"/>
          <w:lang w:val="nl-NL"/>
        </w:rPr>
        <w:t xml:space="preserve"> heeft, na 3 jaar meten, in september 2016 een kaart met ruim 1,1 miljard sterren van ons Melkwegstelsel opgeleverd</w:t>
      </w:r>
      <w:r w:rsidRPr="00460324" w:rsidR="003D21AF">
        <w:rPr>
          <w:rFonts w:ascii="Verdana" w:hAnsi="Verdana"/>
          <w:color w:val="031E31"/>
          <w:sz w:val="18"/>
          <w:szCs w:val="18"/>
          <w:lang w:val="nl-NL"/>
        </w:rPr>
        <w:t>. Deze missie zal de astronomische kennis</w:t>
      </w:r>
      <w:r w:rsidRPr="00460324" w:rsidR="00EB0691">
        <w:rPr>
          <w:rFonts w:ascii="Verdana" w:hAnsi="Verdana"/>
          <w:color w:val="031E31"/>
          <w:sz w:val="18"/>
          <w:szCs w:val="18"/>
          <w:lang w:val="nl-NL"/>
        </w:rPr>
        <w:t xml:space="preserve"> over de </w:t>
      </w:r>
      <w:r w:rsidRPr="00460324">
        <w:rPr>
          <w:rFonts w:ascii="Verdana" w:hAnsi="Verdana"/>
          <w:color w:val="031E31"/>
          <w:sz w:val="18"/>
          <w:szCs w:val="18"/>
          <w:lang w:val="nl-NL"/>
        </w:rPr>
        <w:t>vormingsgeschiedenis en werking van de</w:t>
      </w:r>
      <w:r w:rsidRPr="00460324" w:rsidR="00EB0691">
        <w:rPr>
          <w:rFonts w:ascii="Verdana" w:hAnsi="Verdana"/>
          <w:color w:val="031E31"/>
          <w:sz w:val="18"/>
          <w:szCs w:val="18"/>
          <w:lang w:val="nl-NL"/>
        </w:rPr>
        <w:t xml:space="preserve"> </w:t>
      </w:r>
      <w:r w:rsidRPr="00460324">
        <w:rPr>
          <w:rFonts w:ascii="Verdana" w:hAnsi="Verdana"/>
          <w:color w:val="031E31"/>
          <w:sz w:val="18"/>
          <w:szCs w:val="18"/>
          <w:lang w:val="nl-NL"/>
        </w:rPr>
        <w:t>Melkweg</w:t>
      </w:r>
      <w:r w:rsidRPr="00460324" w:rsidR="00EB0691">
        <w:rPr>
          <w:rFonts w:ascii="Verdana" w:hAnsi="Verdana"/>
          <w:color w:val="031E31"/>
          <w:sz w:val="18"/>
          <w:szCs w:val="18"/>
          <w:lang w:val="nl-NL"/>
        </w:rPr>
        <w:t xml:space="preserve"> sterk vergroten.</w:t>
      </w:r>
      <w:r w:rsidRPr="00460324" w:rsidR="008F4C7B">
        <w:rPr>
          <w:rFonts w:ascii="Verdana" w:hAnsi="Verdana"/>
          <w:color w:val="031E31"/>
          <w:sz w:val="18"/>
          <w:szCs w:val="18"/>
          <w:lang w:val="nl-NL"/>
        </w:rPr>
        <w:t xml:space="preserve"> Nederlandse astronomen zijn actief betrokken bij deze ESA-missie.</w:t>
      </w:r>
    </w:p>
    <w:p w:rsidRPr="000047FB" w:rsidR="00EB0691" w:rsidP="003A7671" w:rsidRDefault="00EB0691">
      <w:pPr>
        <w:pStyle w:val="Lijstalinea"/>
        <w:ind w:left="426"/>
        <w:rPr>
          <w:rFonts w:ascii="Verdana" w:hAnsi="Verdana"/>
          <w:color w:val="031E31"/>
          <w:sz w:val="18"/>
          <w:szCs w:val="18"/>
          <w:lang w:val="nl-NL"/>
        </w:rPr>
      </w:pPr>
    </w:p>
    <w:p w:rsidRPr="00460324" w:rsidR="008F4C7B" w:rsidP="00460324" w:rsidRDefault="00EB0691">
      <w:pPr>
        <w:rPr>
          <w:rFonts w:ascii="Verdana" w:hAnsi="Verdana"/>
          <w:color w:val="031E31"/>
          <w:sz w:val="18"/>
          <w:szCs w:val="18"/>
          <w:lang w:val="nl-NL"/>
        </w:rPr>
      </w:pPr>
      <w:r w:rsidRPr="00460324">
        <w:rPr>
          <w:rFonts w:ascii="Verdana" w:hAnsi="Verdana"/>
          <w:color w:val="031E31"/>
          <w:sz w:val="18"/>
          <w:szCs w:val="18"/>
          <w:lang w:val="nl-NL"/>
        </w:rPr>
        <w:t xml:space="preserve">Zoals ook gesteld in mijn Ruimtevaartnota </w:t>
      </w:r>
      <w:r w:rsidR="003D2664">
        <w:rPr>
          <w:rFonts w:ascii="Verdana" w:hAnsi="Verdana"/>
          <w:color w:val="031E31"/>
          <w:sz w:val="18"/>
          <w:szCs w:val="18"/>
          <w:lang w:val="nl-NL"/>
        </w:rPr>
        <w:t xml:space="preserve"> 2014-2020 </w:t>
      </w:r>
      <w:r w:rsidRPr="00460324">
        <w:rPr>
          <w:rFonts w:ascii="Verdana" w:hAnsi="Verdana"/>
          <w:color w:val="031E31"/>
          <w:sz w:val="18"/>
          <w:szCs w:val="18"/>
          <w:lang w:val="nl-NL"/>
        </w:rPr>
        <w:t xml:space="preserve">van 11 september 2014 blijft ruimteonderzoek onverminderd belangrijk voor de Nederlandse wetenschap. </w:t>
      </w:r>
      <w:r w:rsidRPr="00460324" w:rsidR="008F4C7B">
        <w:rPr>
          <w:rFonts w:ascii="Verdana" w:hAnsi="Verdana"/>
          <w:color w:val="031E31"/>
          <w:sz w:val="18"/>
          <w:szCs w:val="18"/>
          <w:lang w:val="nl-NL"/>
        </w:rPr>
        <w:t xml:space="preserve">Dat betreft niet alleen </w:t>
      </w:r>
      <w:r w:rsidRPr="00460324" w:rsidR="0081528E">
        <w:rPr>
          <w:rFonts w:ascii="Verdana" w:hAnsi="Verdana"/>
          <w:color w:val="031E31"/>
          <w:sz w:val="18"/>
          <w:szCs w:val="18"/>
          <w:lang w:val="nl-NL"/>
        </w:rPr>
        <w:t>het Nederlandse vakgebied van de astronomie</w:t>
      </w:r>
      <w:r w:rsidRPr="00460324">
        <w:rPr>
          <w:rFonts w:ascii="Verdana" w:hAnsi="Verdana"/>
          <w:color w:val="031E31"/>
          <w:sz w:val="18"/>
          <w:szCs w:val="18"/>
          <w:lang w:val="nl-NL"/>
        </w:rPr>
        <w:t xml:space="preserve">, maar ook de </w:t>
      </w:r>
      <w:r w:rsidRPr="00460324" w:rsidR="00950333">
        <w:rPr>
          <w:rFonts w:ascii="Verdana" w:hAnsi="Verdana"/>
          <w:color w:val="031E31"/>
          <w:sz w:val="18"/>
          <w:szCs w:val="18"/>
          <w:lang w:val="nl-NL"/>
        </w:rPr>
        <w:t>aardwetenschappen,</w:t>
      </w:r>
      <w:r w:rsidRPr="00460324" w:rsidR="00AB2682">
        <w:rPr>
          <w:rFonts w:ascii="Verdana" w:hAnsi="Verdana"/>
          <w:color w:val="031E31"/>
          <w:sz w:val="18"/>
          <w:szCs w:val="18"/>
          <w:lang w:val="nl-NL"/>
        </w:rPr>
        <w:t xml:space="preserve"> </w:t>
      </w:r>
      <w:r w:rsidRPr="00460324" w:rsidR="00950333">
        <w:rPr>
          <w:rFonts w:ascii="Verdana" w:hAnsi="Verdana"/>
          <w:color w:val="031E31"/>
          <w:sz w:val="18"/>
          <w:szCs w:val="18"/>
          <w:lang w:val="nl-NL"/>
        </w:rPr>
        <w:t xml:space="preserve">die </w:t>
      </w:r>
      <w:r w:rsidRPr="00460324" w:rsidR="00287509">
        <w:rPr>
          <w:rFonts w:ascii="Verdana" w:hAnsi="Verdana"/>
          <w:color w:val="031E31"/>
          <w:sz w:val="18"/>
          <w:szCs w:val="18"/>
          <w:lang w:val="nl-NL"/>
        </w:rPr>
        <w:t>zijn gericht op</w:t>
      </w:r>
      <w:r w:rsidRPr="00460324" w:rsidR="00950333">
        <w:rPr>
          <w:rFonts w:ascii="Verdana" w:hAnsi="Verdana"/>
          <w:color w:val="031E31"/>
          <w:sz w:val="18"/>
          <w:szCs w:val="18"/>
          <w:lang w:val="nl-NL"/>
        </w:rPr>
        <w:t xml:space="preserve"> een brede waaier aan maatschappelijk zeer relevante onderwerpen, zoals</w:t>
      </w:r>
      <w:r w:rsidRPr="00460324" w:rsidR="003927E8">
        <w:rPr>
          <w:rFonts w:ascii="Verdana" w:hAnsi="Verdana"/>
          <w:color w:val="031E31"/>
          <w:sz w:val="18"/>
          <w:szCs w:val="18"/>
          <w:lang w:val="nl-NL"/>
        </w:rPr>
        <w:t xml:space="preserve"> klimaat,</w:t>
      </w:r>
      <w:r w:rsidRPr="00460324" w:rsidR="00950333">
        <w:rPr>
          <w:rFonts w:ascii="Verdana" w:hAnsi="Verdana"/>
          <w:color w:val="031E31"/>
          <w:sz w:val="18"/>
          <w:szCs w:val="18"/>
          <w:lang w:val="nl-NL"/>
        </w:rPr>
        <w:t xml:space="preserve"> luchtvervuiling, de ozonlaag, </w:t>
      </w:r>
      <w:r w:rsidRPr="00460324" w:rsidR="0099690D">
        <w:rPr>
          <w:rFonts w:ascii="Verdana" w:hAnsi="Verdana"/>
          <w:color w:val="031E31"/>
          <w:sz w:val="18"/>
          <w:szCs w:val="18"/>
          <w:lang w:val="nl-NL"/>
        </w:rPr>
        <w:t xml:space="preserve">waterbeheer, </w:t>
      </w:r>
      <w:r w:rsidRPr="00460324" w:rsidR="00950333">
        <w:rPr>
          <w:rFonts w:ascii="Verdana" w:hAnsi="Verdana"/>
          <w:color w:val="031E31"/>
          <w:sz w:val="18"/>
          <w:szCs w:val="18"/>
          <w:lang w:val="nl-NL"/>
        </w:rPr>
        <w:t>precisielandbouw</w:t>
      </w:r>
      <w:r w:rsidRPr="00460324" w:rsidR="00435A77">
        <w:rPr>
          <w:rFonts w:ascii="Verdana" w:hAnsi="Verdana"/>
          <w:color w:val="031E31"/>
          <w:sz w:val="18"/>
          <w:szCs w:val="18"/>
          <w:lang w:val="nl-NL"/>
        </w:rPr>
        <w:t>/voedselproductie</w:t>
      </w:r>
      <w:r w:rsidRPr="00460324" w:rsidR="0099690D">
        <w:rPr>
          <w:rFonts w:ascii="Verdana" w:hAnsi="Verdana"/>
          <w:color w:val="031E31"/>
          <w:sz w:val="18"/>
          <w:szCs w:val="18"/>
          <w:lang w:val="nl-NL"/>
        </w:rPr>
        <w:t xml:space="preserve"> en </w:t>
      </w:r>
      <w:r w:rsidRPr="00460324" w:rsidR="00950333">
        <w:rPr>
          <w:rFonts w:ascii="Verdana" w:hAnsi="Verdana"/>
          <w:color w:val="031E31"/>
          <w:sz w:val="18"/>
          <w:szCs w:val="18"/>
          <w:lang w:val="nl-NL"/>
        </w:rPr>
        <w:t>delfstoffenwinning</w:t>
      </w:r>
      <w:r w:rsidRPr="00460324" w:rsidR="0066664A">
        <w:rPr>
          <w:rFonts w:ascii="Verdana" w:hAnsi="Verdana"/>
          <w:color w:val="031E31"/>
          <w:sz w:val="18"/>
          <w:szCs w:val="18"/>
          <w:lang w:val="nl-NL"/>
        </w:rPr>
        <w:t xml:space="preserve">. </w:t>
      </w:r>
      <w:r w:rsidRPr="00460324" w:rsidR="001D0F8C">
        <w:rPr>
          <w:rFonts w:ascii="Verdana" w:hAnsi="Verdana"/>
          <w:color w:val="031E31"/>
          <w:sz w:val="18"/>
          <w:szCs w:val="18"/>
          <w:lang w:val="nl-NL"/>
        </w:rPr>
        <w:t xml:space="preserve">Wetenschappers vergroten en verdiepen </w:t>
      </w:r>
      <w:r w:rsidRPr="00460324">
        <w:rPr>
          <w:rFonts w:ascii="Verdana" w:hAnsi="Verdana"/>
          <w:color w:val="031E31"/>
          <w:sz w:val="18"/>
          <w:szCs w:val="18"/>
          <w:lang w:val="nl-NL"/>
        </w:rPr>
        <w:t>met behulp van satellietdata en –beelden hun kennis over al</w:t>
      </w:r>
      <w:r w:rsidRPr="00460324" w:rsidR="00C64E73">
        <w:rPr>
          <w:rFonts w:ascii="Verdana" w:hAnsi="Verdana"/>
          <w:color w:val="031E31"/>
          <w:sz w:val="18"/>
          <w:szCs w:val="18"/>
          <w:lang w:val="nl-NL"/>
        </w:rPr>
        <w:t>lerlei processen op en rond de A</w:t>
      </w:r>
      <w:r w:rsidRPr="00460324">
        <w:rPr>
          <w:rFonts w:ascii="Verdana" w:hAnsi="Verdana"/>
          <w:color w:val="031E31"/>
          <w:sz w:val="18"/>
          <w:szCs w:val="18"/>
          <w:lang w:val="nl-NL"/>
        </w:rPr>
        <w:t>arde</w:t>
      </w:r>
      <w:r w:rsidRPr="00460324" w:rsidR="0099690D">
        <w:rPr>
          <w:rFonts w:ascii="Verdana" w:hAnsi="Verdana"/>
          <w:color w:val="031E31"/>
          <w:sz w:val="18"/>
          <w:szCs w:val="18"/>
          <w:lang w:val="nl-NL"/>
        </w:rPr>
        <w:t xml:space="preserve"> die hierop van invloed zijn</w:t>
      </w:r>
      <w:r w:rsidRPr="00460324">
        <w:rPr>
          <w:rFonts w:ascii="Verdana" w:hAnsi="Verdana"/>
          <w:color w:val="031E31"/>
          <w:sz w:val="18"/>
          <w:szCs w:val="18"/>
          <w:lang w:val="nl-NL"/>
        </w:rPr>
        <w:t xml:space="preserve">. </w:t>
      </w:r>
    </w:p>
    <w:p w:rsidRPr="00460324" w:rsidR="008F4C7B" w:rsidP="00460324" w:rsidRDefault="008F4C7B">
      <w:pPr>
        <w:rPr>
          <w:rFonts w:ascii="Verdana" w:hAnsi="Verdana"/>
          <w:color w:val="031E31"/>
          <w:sz w:val="18"/>
          <w:szCs w:val="18"/>
          <w:lang w:val="nl-NL"/>
        </w:rPr>
      </w:pPr>
      <w:r w:rsidRPr="00460324">
        <w:rPr>
          <w:rFonts w:ascii="Verdana" w:hAnsi="Verdana"/>
          <w:color w:val="031E31"/>
          <w:sz w:val="18"/>
          <w:szCs w:val="18"/>
          <w:lang w:val="nl-NL"/>
        </w:rPr>
        <w:t>Sinds 2008 heeft Nederland consistent ingezet op een drietal wetenschappelijke gebieden voor het ruimteonderzoek: aardobservatie, astronomie en planeetonderzoek. Met deze keuze wordt zo optimaal mogelijk a</w:t>
      </w:r>
      <w:r w:rsidRPr="00460324" w:rsidR="00435A77">
        <w:rPr>
          <w:rFonts w:ascii="Verdana" w:hAnsi="Verdana"/>
          <w:color w:val="031E31"/>
          <w:sz w:val="18"/>
          <w:szCs w:val="18"/>
          <w:lang w:val="nl-NL"/>
        </w:rPr>
        <w:t>angesloten bij operationele</w:t>
      </w:r>
      <w:r w:rsidRPr="00460324">
        <w:rPr>
          <w:rFonts w:ascii="Verdana" w:hAnsi="Verdana"/>
          <w:color w:val="031E31"/>
          <w:sz w:val="18"/>
          <w:szCs w:val="18"/>
          <w:lang w:val="nl-NL"/>
        </w:rPr>
        <w:t xml:space="preserve"> ruimtevaartprogramma’s van ESA en de EU.</w:t>
      </w:r>
    </w:p>
    <w:p w:rsidRPr="000047FB" w:rsidR="008F4C7B" w:rsidP="003A7671" w:rsidRDefault="008F4C7B">
      <w:pPr>
        <w:pStyle w:val="Lijstalinea"/>
        <w:ind w:left="426"/>
        <w:rPr>
          <w:rFonts w:ascii="Verdana" w:hAnsi="Verdana"/>
          <w:color w:val="031E31"/>
          <w:sz w:val="18"/>
          <w:szCs w:val="18"/>
          <w:lang w:val="nl-NL"/>
        </w:rPr>
      </w:pPr>
    </w:p>
    <w:p w:rsidRPr="00460324" w:rsidR="008F4C7B" w:rsidP="00460324" w:rsidRDefault="008F4C7B">
      <w:pPr>
        <w:rPr>
          <w:rFonts w:ascii="Verdana" w:hAnsi="Verdana"/>
          <w:color w:val="031E31"/>
          <w:sz w:val="18"/>
          <w:szCs w:val="18"/>
          <w:lang w:val="nl-NL"/>
        </w:rPr>
      </w:pPr>
      <w:r w:rsidRPr="00460324">
        <w:rPr>
          <w:rFonts w:ascii="Verdana" w:hAnsi="Verdana"/>
          <w:color w:val="031E31"/>
          <w:sz w:val="18"/>
          <w:szCs w:val="18"/>
          <w:lang w:val="nl-NL"/>
        </w:rPr>
        <w:t>Op het gebied van aardob</w:t>
      </w:r>
      <w:r w:rsidRPr="00460324" w:rsidR="009F337E">
        <w:rPr>
          <w:rFonts w:ascii="Verdana" w:hAnsi="Verdana"/>
          <w:color w:val="031E31"/>
          <w:sz w:val="18"/>
          <w:szCs w:val="18"/>
          <w:lang w:val="nl-NL"/>
        </w:rPr>
        <w:t xml:space="preserve">servatie heeft Nederland </w:t>
      </w:r>
      <w:r w:rsidRPr="00460324">
        <w:rPr>
          <w:rFonts w:ascii="Verdana" w:hAnsi="Verdana"/>
          <w:color w:val="031E31"/>
          <w:sz w:val="18"/>
          <w:szCs w:val="18"/>
          <w:lang w:val="nl-NL"/>
        </w:rPr>
        <w:t xml:space="preserve">een internationale reputatie opgebouwd </w:t>
      </w:r>
      <w:r w:rsidRPr="00460324" w:rsidR="00FC4AD9">
        <w:rPr>
          <w:rFonts w:ascii="Verdana" w:hAnsi="Verdana"/>
          <w:color w:val="031E31"/>
          <w:sz w:val="18"/>
          <w:szCs w:val="18"/>
          <w:lang w:val="nl-NL"/>
        </w:rPr>
        <w:t>in het onderzoek naar</w:t>
      </w:r>
      <w:r w:rsidRPr="00460324" w:rsidR="00D56C7B">
        <w:rPr>
          <w:rFonts w:ascii="Verdana" w:hAnsi="Verdana"/>
          <w:color w:val="031E31"/>
          <w:sz w:val="18"/>
          <w:szCs w:val="18"/>
          <w:lang w:val="nl-NL"/>
        </w:rPr>
        <w:t xml:space="preserve"> klimaat en luchtkwaliteit. D</w:t>
      </w:r>
      <w:r w:rsidRPr="00460324" w:rsidR="00420A6E">
        <w:rPr>
          <w:rFonts w:ascii="Verdana" w:hAnsi="Verdana"/>
          <w:color w:val="031E31"/>
          <w:sz w:val="18"/>
          <w:szCs w:val="18"/>
          <w:lang w:val="nl-NL"/>
        </w:rPr>
        <w:t>it mede op grond van de bouw en het gebruik</w:t>
      </w:r>
      <w:r w:rsidRPr="00460324" w:rsidR="00D56C7B">
        <w:rPr>
          <w:rFonts w:ascii="Verdana" w:hAnsi="Verdana"/>
          <w:color w:val="031E31"/>
          <w:sz w:val="18"/>
          <w:szCs w:val="18"/>
          <w:lang w:val="nl-NL"/>
        </w:rPr>
        <w:t xml:space="preserve"> van Nederlandse satellietinstrumenten SCIAMACHI en OMI. </w:t>
      </w:r>
      <w:r w:rsidR="004258FF">
        <w:rPr>
          <w:rFonts w:ascii="Verdana" w:hAnsi="Verdana"/>
          <w:color w:val="031E31"/>
          <w:sz w:val="18"/>
          <w:szCs w:val="18"/>
          <w:lang w:val="nl-NL"/>
        </w:rPr>
        <w:t>In de vroege zomer van</w:t>
      </w:r>
      <w:r w:rsidRPr="00460324" w:rsidR="00D56C7B">
        <w:rPr>
          <w:rFonts w:ascii="Verdana" w:hAnsi="Verdana"/>
          <w:color w:val="031E31"/>
          <w:sz w:val="18"/>
          <w:szCs w:val="18"/>
          <w:lang w:val="nl-NL"/>
        </w:rPr>
        <w:t xml:space="preserve"> 2017 wordt het TROPOMI-</w:t>
      </w:r>
      <w:r w:rsidR="008A544A">
        <w:rPr>
          <w:rFonts w:ascii="Verdana" w:hAnsi="Verdana"/>
          <w:color w:val="031E31"/>
          <w:sz w:val="18"/>
          <w:szCs w:val="18"/>
          <w:lang w:val="nl-NL"/>
        </w:rPr>
        <w:t>satelliet</w:t>
      </w:r>
      <w:r w:rsidRPr="00460324" w:rsidR="00D56C7B">
        <w:rPr>
          <w:rFonts w:ascii="Verdana" w:hAnsi="Verdana"/>
          <w:color w:val="031E31"/>
          <w:sz w:val="18"/>
          <w:szCs w:val="18"/>
          <w:lang w:val="nl-NL"/>
        </w:rPr>
        <w:t xml:space="preserve">instrument in een baan om de </w:t>
      </w:r>
      <w:r w:rsidRPr="00460324" w:rsidR="00C35EAD">
        <w:rPr>
          <w:rFonts w:ascii="Verdana" w:hAnsi="Verdana"/>
          <w:color w:val="031E31"/>
          <w:sz w:val="18"/>
          <w:szCs w:val="18"/>
          <w:lang w:val="nl-NL"/>
        </w:rPr>
        <w:t>a</w:t>
      </w:r>
      <w:r w:rsidRPr="00460324" w:rsidR="00D56C7B">
        <w:rPr>
          <w:rFonts w:ascii="Verdana" w:hAnsi="Verdana"/>
          <w:color w:val="031E31"/>
          <w:sz w:val="18"/>
          <w:szCs w:val="18"/>
          <w:lang w:val="nl-NL"/>
        </w:rPr>
        <w:t xml:space="preserve">arde gebracht. Daarmee wordt nog veel nauwkeuriger gemonitord welke stoffen en welke bronnen </w:t>
      </w:r>
      <w:r w:rsidRPr="00460324" w:rsidR="00F15ADF">
        <w:rPr>
          <w:rFonts w:ascii="Verdana" w:hAnsi="Verdana"/>
          <w:color w:val="031E31"/>
          <w:sz w:val="18"/>
          <w:szCs w:val="18"/>
          <w:lang w:val="nl-NL"/>
        </w:rPr>
        <w:t xml:space="preserve">ons klimaat en </w:t>
      </w:r>
      <w:r w:rsidRPr="00460324" w:rsidR="00D56C7B">
        <w:rPr>
          <w:rFonts w:ascii="Verdana" w:hAnsi="Verdana"/>
          <w:color w:val="031E31"/>
          <w:sz w:val="18"/>
          <w:szCs w:val="18"/>
          <w:lang w:val="nl-NL"/>
        </w:rPr>
        <w:t>de luchtkwaliteit in de atmosfeer beïnvloeden. Het TROPOMI-instrument maakt onderdeel uit van het Europese Copernicus-programma en is ontworpen en gebouwd in nauwe interactie tussen Airbus</w:t>
      </w:r>
      <w:r w:rsidRPr="00460324" w:rsidR="00C64E73">
        <w:rPr>
          <w:rFonts w:ascii="Verdana" w:hAnsi="Verdana"/>
          <w:color w:val="031E31"/>
          <w:sz w:val="18"/>
          <w:szCs w:val="18"/>
          <w:lang w:val="nl-NL"/>
        </w:rPr>
        <w:t xml:space="preserve"> Defense and Space</w:t>
      </w:r>
      <w:r w:rsidRPr="00460324" w:rsidR="007C46E9">
        <w:rPr>
          <w:rFonts w:ascii="Verdana" w:hAnsi="Verdana"/>
          <w:color w:val="031E31"/>
          <w:sz w:val="18"/>
          <w:szCs w:val="18"/>
          <w:lang w:val="nl-NL"/>
        </w:rPr>
        <w:t xml:space="preserve">-Leiden, TNO, het KNMI en SRON </w:t>
      </w:r>
      <w:r w:rsidRPr="00460324" w:rsidR="00420A6E">
        <w:rPr>
          <w:rFonts w:ascii="Verdana" w:hAnsi="Verdana"/>
          <w:color w:val="031E31"/>
          <w:sz w:val="18"/>
          <w:szCs w:val="18"/>
          <w:lang w:val="nl-NL"/>
        </w:rPr>
        <w:t xml:space="preserve">met bijdragen van vele middelgrote en kleine bedrijven. Het instrument is ontwikkeld en gebouwd </w:t>
      </w:r>
      <w:r w:rsidRPr="00460324" w:rsidR="007C46E9">
        <w:rPr>
          <w:rFonts w:ascii="Verdana" w:hAnsi="Verdana"/>
          <w:color w:val="031E31"/>
          <w:sz w:val="18"/>
          <w:szCs w:val="18"/>
          <w:lang w:val="nl-NL"/>
        </w:rPr>
        <w:t>in opdracht van het Ne</w:t>
      </w:r>
      <w:r w:rsidRPr="00460324" w:rsidR="00C64E73">
        <w:rPr>
          <w:rFonts w:ascii="Verdana" w:hAnsi="Verdana"/>
          <w:color w:val="031E31"/>
          <w:sz w:val="18"/>
          <w:szCs w:val="18"/>
          <w:lang w:val="nl-NL"/>
        </w:rPr>
        <w:t>therlands Space Office</w:t>
      </w:r>
      <w:r w:rsidRPr="00460324" w:rsidR="00420A6E">
        <w:rPr>
          <w:rFonts w:ascii="Verdana" w:hAnsi="Verdana"/>
          <w:color w:val="031E31"/>
          <w:sz w:val="18"/>
          <w:szCs w:val="18"/>
          <w:lang w:val="nl-NL"/>
        </w:rPr>
        <w:t xml:space="preserve"> (NSO) en </w:t>
      </w:r>
      <w:r w:rsidRPr="00460324" w:rsidR="007C46E9">
        <w:rPr>
          <w:rFonts w:ascii="Verdana" w:hAnsi="Verdana"/>
          <w:color w:val="031E31"/>
          <w:sz w:val="18"/>
          <w:szCs w:val="18"/>
          <w:lang w:val="nl-NL"/>
        </w:rPr>
        <w:t xml:space="preserve">gefinancierd door de </w:t>
      </w:r>
      <w:r w:rsidRPr="00460324" w:rsidR="00C64E73">
        <w:rPr>
          <w:rFonts w:ascii="Verdana" w:hAnsi="Verdana"/>
          <w:color w:val="031E31"/>
          <w:sz w:val="18"/>
          <w:szCs w:val="18"/>
          <w:lang w:val="nl-NL"/>
        </w:rPr>
        <w:t>m</w:t>
      </w:r>
      <w:r w:rsidRPr="00460324" w:rsidR="007C46E9">
        <w:rPr>
          <w:rFonts w:ascii="Verdana" w:hAnsi="Verdana"/>
          <w:color w:val="031E31"/>
          <w:sz w:val="18"/>
          <w:szCs w:val="18"/>
          <w:lang w:val="nl-NL"/>
        </w:rPr>
        <w:t xml:space="preserve">inisteries van Economische Zaken, Infrastructuur en Milieu en Onderwijs, </w:t>
      </w:r>
      <w:r w:rsidRPr="00460324" w:rsidR="00EF1E56">
        <w:rPr>
          <w:rFonts w:ascii="Verdana" w:hAnsi="Verdana"/>
          <w:color w:val="031E31"/>
          <w:sz w:val="18"/>
          <w:szCs w:val="18"/>
          <w:lang w:val="nl-NL"/>
        </w:rPr>
        <w:t xml:space="preserve">Cultuur en Wetenschap. </w:t>
      </w:r>
    </w:p>
    <w:p w:rsidRPr="000047FB" w:rsidR="008F4C7B" w:rsidP="003A7671" w:rsidRDefault="008F4C7B">
      <w:pPr>
        <w:pStyle w:val="Lijstalinea"/>
        <w:ind w:left="426"/>
        <w:rPr>
          <w:rFonts w:ascii="Verdana" w:hAnsi="Verdana"/>
          <w:color w:val="031E31"/>
          <w:sz w:val="18"/>
          <w:szCs w:val="18"/>
          <w:lang w:val="nl-NL"/>
        </w:rPr>
      </w:pPr>
    </w:p>
    <w:p w:rsidRPr="00460324" w:rsidR="005A73A4" w:rsidP="00460324" w:rsidRDefault="005A73A4">
      <w:pPr>
        <w:rPr>
          <w:rFonts w:ascii="Verdana" w:hAnsi="Verdana"/>
          <w:color w:val="031E31"/>
          <w:sz w:val="18"/>
          <w:szCs w:val="18"/>
          <w:lang w:val="nl-NL"/>
        </w:rPr>
      </w:pPr>
      <w:r w:rsidRPr="00460324">
        <w:rPr>
          <w:rFonts w:ascii="Verdana" w:hAnsi="Verdana"/>
          <w:color w:val="031E31"/>
          <w:sz w:val="18"/>
          <w:szCs w:val="18"/>
          <w:lang w:val="nl-NL"/>
        </w:rPr>
        <w:t xml:space="preserve">Onderzoek </w:t>
      </w:r>
      <w:r w:rsidRPr="00460324" w:rsidR="00C35EAD">
        <w:rPr>
          <w:rFonts w:ascii="Verdana" w:hAnsi="Verdana"/>
          <w:color w:val="031E31"/>
          <w:sz w:val="18"/>
          <w:szCs w:val="18"/>
          <w:lang w:val="nl-NL"/>
        </w:rPr>
        <w:t>a</w:t>
      </w:r>
      <w:r w:rsidRPr="00460324">
        <w:rPr>
          <w:rFonts w:ascii="Verdana" w:hAnsi="Verdana"/>
          <w:color w:val="031E31"/>
          <w:sz w:val="18"/>
          <w:szCs w:val="18"/>
          <w:lang w:val="nl-NL"/>
        </w:rPr>
        <w:t>an de maan,</w:t>
      </w:r>
      <w:r w:rsidRPr="00460324" w:rsidR="00287509">
        <w:rPr>
          <w:rFonts w:ascii="Verdana" w:hAnsi="Verdana"/>
          <w:color w:val="031E31"/>
          <w:sz w:val="18"/>
          <w:szCs w:val="18"/>
          <w:lang w:val="nl-NL"/>
        </w:rPr>
        <w:t xml:space="preserve"> planeten</w:t>
      </w:r>
      <w:r w:rsidRPr="00460324" w:rsidR="00277267">
        <w:rPr>
          <w:rFonts w:ascii="Verdana" w:hAnsi="Verdana"/>
          <w:color w:val="031E31"/>
          <w:sz w:val="18"/>
          <w:szCs w:val="18"/>
          <w:lang w:val="nl-NL"/>
        </w:rPr>
        <w:t xml:space="preserve">, kometen </w:t>
      </w:r>
      <w:r w:rsidRPr="00460324">
        <w:rPr>
          <w:rFonts w:ascii="Verdana" w:hAnsi="Verdana"/>
          <w:color w:val="031E31"/>
          <w:sz w:val="18"/>
          <w:szCs w:val="18"/>
          <w:lang w:val="nl-NL"/>
        </w:rPr>
        <w:t xml:space="preserve">en andere </w:t>
      </w:r>
      <w:r w:rsidRPr="00460324" w:rsidR="00277267">
        <w:rPr>
          <w:rFonts w:ascii="Verdana" w:hAnsi="Verdana"/>
          <w:color w:val="031E31"/>
          <w:sz w:val="18"/>
          <w:szCs w:val="18"/>
          <w:lang w:val="nl-NL"/>
        </w:rPr>
        <w:t>objecten</w:t>
      </w:r>
      <w:r w:rsidRPr="00460324">
        <w:rPr>
          <w:rFonts w:ascii="Verdana" w:hAnsi="Verdana"/>
          <w:color w:val="031E31"/>
          <w:sz w:val="18"/>
          <w:szCs w:val="18"/>
          <w:lang w:val="nl-NL"/>
        </w:rPr>
        <w:t xml:space="preserve"> in ons zonnestelsel blijft erop gericht om onze kennis te vergroten, alsmede onze inzichten over </w:t>
      </w:r>
      <w:r w:rsidRPr="00460324" w:rsidR="00277267">
        <w:rPr>
          <w:rFonts w:ascii="Verdana" w:hAnsi="Verdana"/>
          <w:color w:val="031E31"/>
          <w:sz w:val="18"/>
          <w:szCs w:val="18"/>
          <w:lang w:val="nl-NL"/>
        </w:rPr>
        <w:t xml:space="preserve">eventuele </w:t>
      </w:r>
      <w:r w:rsidRPr="00460324">
        <w:rPr>
          <w:rFonts w:ascii="Verdana" w:hAnsi="Verdana"/>
          <w:color w:val="031E31"/>
          <w:sz w:val="18"/>
          <w:szCs w:val="18"/>
          <w:lang w:val="nl-NL"/>
        </w:rPr>
        <w:t xml:space="preserve">benutting ervan. </w:t>
      </w:r>
      <w:r w:rsidRPr="00460324" w:rsidR="00F15ADF">
        <w:rPr>
          <w:rFonts w:ascii="Verdana" w:hAnsi="Verdana"/>
          <w:color w:val="031E31"/>
          <w:sz w:val="18"/>
          <w:szCs w:val="18"/>
          <w:lang w:val="nl-NL"/>
        </w:rPr>
        <w:t xml:space="preserve">Wat is de ontstaansgeschiedenis van ons zonnestelsel? Waar komt het water op aarde vandaan, belangrijk voor alle leven? </w:t>
      </w:r>
      <w:r w:rsidRPr="00460324">
        <w:rPr>
          <w:rFonts w:ascii="Verdana" w:hAnsi="Verdana"/>
          <w:color w:val="031E31"/>
          <w:sz w:val="18"/>
          <w:szCs w:val="18"/>
          <w:lang w:val="nl-NL"/>
        </w:rPr>
        <w:t>Kan de maan benut worden als spri</w:t>
      </w:r>
      <w:r w:rsidRPr="00460324" w:rsidR="00FC4AD9">
        <w:rPr>
          <w:rFonts w:ascii="Verdana" w:hAnsi="Verdana"/>
          <w:color w:val="031E31"/>
          <w:sz w:val="18"/>
          <w:szCs w:val="18"/>
          <w:lang w:val="nl-NL"/>
        </w:rPr>
        <w:t xml:space="preserve">ngplank voor ruimtemissies naar </w:t>
      </w:r>
      <w:r w:rsidRPr="00460324" w:rsidR="007A565A">
        <w:rPr>
          <w:rFonts w:ascii="Verdana" w:hAnsi="Verdana"/>
          <w:color w:val="031E31"/>
          <w:sz w:val="18"/>
          <w:szCs w:val="18"/>
          <w:lang w:val="nl-NL"/>
        </w:rPr>
        <w:t>verder</w:t>
      </w:r>
      <w:r w:rsidRPr="00460324" w:rsidR="00E039B3">
        <w:rPr>
          <w:rFonts w:ascii="Verdana" w:hAnsi="Verdana"/>
          <w:color w:val="031E31"/>
          <w:sz w:val="18"/>
          <w:szCs w:val="18"/>
          <w:lang w:val="nl-NL"/>
        </w:rPr>
        <w:t xml:space="preserve"> </w:t>
      </w:r>
      <w:r w:rsidRPr="00460324" w:rsidR="00FC4AD9">
        <w:rPr>
          <w:rFonts w:ascii="Verdana" w:hAnsi="Verdana"/>
          <w:color w:val="031E31"/>
          <w:sz w:val="18"/>
          <w:szCs w:val="18"/>
          <w:lang w:val="nl-NL"/>
        </w:rPr>
        <w:t xml:space="preserve">weg </w:t>
      </w:r>
      <w:r w:rsidRPr="00460324">
        <w:rPr>
          <w:rFonts w:ascii="Verdana" w:hAnsi="Verdana"/>
          <w:color w:val="031E31"/>
          <w:sz w:val="18"/>
          <w:szCs w:val="18"/>
          <w:lang w:val="nl-NL"/>
        </w:rPr>
        <w:t>gelegen objecten? Is het voor mensen mogelijk langere tijd te (over-)leven op een planeet als Mars? Kunnen del</w:t>
      </w:r>
      <w:r w:rsidRPr="00460324" w:rsidR="00F15ADF">
        <w:rPr>
          <w:rFonts w:ascii="Verdana" w:hAnsi="Verdana"/>
          <w:color w:val="031E31"/>
          <w:sz w:val="18"/>
          <w:szCs w:val="18"/>
          <w:lang w:val="nl-NL"/>
        </w:rPr>
        <w:t>fstoffen van planeten en andere ruimte-objecten</w:t>
      </w:r>
      <w:r w:rsidRPr="00460324" w:rsidR="007A565A">
        <w:rPr>
          <w:rFonts w:ascii="Verdana" w:hAnsi="Verdana"/>
          <w:color w:val="031E31"/>
          <w:sz w:val="18"/>
          <w:szCs w:val="18"/>
          <w:lang w:val="nl-NL"/>
        </w:rPr>
        <w:t xml:space="preserve"> benut worden voor gebruik op A</w:t>
      </w:r>
      <w:r w:rsidRPr="00460324">
        <w:rPr>
          <w:rFonts w:ascii="Verdana" w:hAnsi="Verdana"/>
          <w:color w:val="031E31"/>
          <w:sz w:val="18"/>
          <w:szCs w:val="18"/>
          <w:lang w:val="nl-NL"/>
        </w:rPr>
        <w:t xml:space="preserve">arde? Dit zijn </w:t>
      </w:r>
      <w:r w:rsidRPr="00460324">
        <w:rPr>
          <w:rFonts w:ascii="Verdana" w:hAnsi="Verdana"/>
          <w:color w:val="031E31"/>
          <w:sz w:val="18"/>
          <w:szCs w:val="18"/>
          <w:lang w:val="nl-NL"/>
        </w:rPr>
        <w:lastRenderedPageBreak/>
        <w:t xml:space="preserve">allemaal vragen die nader onderzoek vergen. Met behulp van ruimtemissies en astronomisch onderzoek </w:t>
      </w:r>
      <w:r w:rsidRPr="00460324" w:rsidR="00287509">
        <w:rPr>
          <w:rFonts w:ascii="Verdana" w:hAnsi="Verdana"/>
          <w:color w:val="031E31"/>
          <w:sz w:val="18"/>
          <w:szCs w:val="18"/>
          <w:lang w:val="nl-NL"/>
        </w:rPr>
        <w:t>kunnen vragen worden beantwoord</w:t>
      </w:r>
      <w:r w:rsidRPr="00460324">
        <w:rPr>
          <w:rFonts w:ascii="Verdana" w:hAnsi="Verdana"/>
          <w:color w:val="031E31"/>
          <w:sz w:val="18"/>
          <w:szCs w:val="18"/>
          <w:lang w:val="nl-NL"/>
        </w:rPr>
        <w:t xml:space="preserve">. Ook het onderzoek dat wordt verricht </w:t>
      </w:r>
      <w:r w:rsidRPr="00460324" w:rsidR="00E470F2">
        <w:rPr>
          <w:rFonts w:ascii="Verdana" w:hAnsi="Verdana"/>
          <w:color w:val="031E31"/>
          <w:sz w:val="18"/>
          <w:szCs w:val="18"/>
          <w:lang w:val="nl-NL"/>
        </w:rPr>
        <w:t xml:space="preserve">door astronauten </w:t>
      </w:r>
      <w:r w:rsidRPr="00460324">
        <w:rPr>
          <w:rFonts w:ascii="Verdana" w:hAnsi="Verdana"/>
          <w:color w:val="031E31"/>
          <w:sz w:val="18"/>
          <w:szCs w:val="18"/>
          <w:lang w:val="nl-NL"/>
        </w:rPr>
        <w:t>in het Internationa</w:t>
      </w:r>
      <w:r w:rsidRPr="00460324" w:rsidR="003F1A1E">
        <w:rPr>
          <w:rFonts w:ascii="Verdana" w:hAnsi="Verdana"/>
          <w:color w:val="031E31"/>
          <w:sz w:val="18"/>
          <w:szCs w:val="18"/>
          <w:lang w:val="nl-NL"/>
        </w:rPr>
        <w:t>l Space Station (ISS) draag</w:t>
      </w:r>
      <w:r w:rsidRPr="00460324" w:rsidR="004F7A97">
        <w:rPr>
          <w:rFonts w:ascii="Verdana" w:hAnsi="Verdana"/>
          <w:color w:val="031E31"/>
          <w:sz w:val="18"/>
          <w:szCs w:val="18"/>
          <w:lang w:val="nl-NL"/>
        </w:rPr>
        <w:t>t</w:t>
      </w:r>
      <w:r w:rsidRPr="00460324">
        <w:rPr>
          <w:rFonts w:ascii="Verdana" w:hAnsi="Verdana"/>
          <w:color w:val="031E31"/>
          <w:sz w:val="18"/>
          <w:szCs w:val="18"/>
          <w:lang w:val="nl-NL"/>
        </w:rPr>
        <w:t xml:space="preserve"> bij </w:t>
      </w:r>
      <w:r w:rsidRPr="00460324" w:rsidR="003F1A1E">
        <w:rPr>
          <w:rFonts w:ascii="Verdana" w:hAnsi="Verdana"/>
          <w:color w:val="031E31"/>
          <w:sz w:val="18"/>
          <w:szCs w:val="18"/>
          <w:lang w:val="nl-NL"/>
        </w:rPr>
        <w:t xml:space="preserve">aan </w:t>
      </w:r>
      <w:r w:rsidRPr="00460324">
        <w:rPr>
          <w:rFonts w:ascii="Verdana" w:hAnsi="Verdana"/>
          <w:color w:val="031E31"/>
          <w:sz w:val="18"/>
          <w:szCs w:val="18"/>
          <w:lang w:val="nl-NL"/>
        </w:rPr>
        <w:t>het vinden van antwoorden op dit soort vragen.</w:t>
      </w:r>
    </w:p>
    <w:p w:rsidRPr="000047FB" w:rsidR="00E470F2" w:rsidP="003A7671" w:rsidRDefault="00E470F2">
      <w:pPr>
        <w:pStyle w:val="Lijstalinea"/>
        <w:ind w:left="426"/>
        <w:rPr>
          <w:rFonts w:ascii="Verdana" w:hAnsi="Verdana"/>
          <w:color w:val="031E31"/>
          <w:sz w:val="18"/>
          <w:szCs w:val="18"/>
          <w:lang w:val="nl-NL"/>
        </w:rPr>
      </w:pPr>
    </w:p>
    <w:p w:rsidRPr="00460324" w:rsidR="00E470F2" w:rsidP="00460324" w:rsidRDefault="00E470F2">
      <w:pPr>
        <w:rPr>
          <w:rFonts w:ascii="Verdana" w:hAnsi="Verdana"/>
          <w:color w:val="031E31"/>
          <w:sz w:val="18"/>
          <w:szCs w:val="18"/>
          <w:lang w:val="nl-NL"/>
        </w:rPr>
      </w:pPr>
      <w:r w:rsidRPr="00460324">
        <w:rPr>
          <w:rFonts w:ascii="Verdana" w:hAnsi="Verdana"/>
          <w:color w:val="031E31"/>
          <w:sz w:val="18"/>
          <w:szCs w:val="18"/>
          <w:lang w:val="nl-NL"/>
        </w:rPr>
        <w:t>De astronomie in Nederland wordt sterk gesteund met wetenschappelijke missies van ESA, zoals de Gaia-missie (zie boven</w:t>
      </w:r>
      <w:r w:rsidRPr="00460324" w:rsidR="000A7026">
        <w:rPr>
          <w:rFonts w:ascii="Verdana" w:hAnsi="Verdana"/>
          <w:color w:val="031E31"/>
          <w:sz w:val="18"/>
          <w:szCs w:val="18"/>
          <w:lang w:val="nl-NL"/>
        </w:rPr>
        <w:t>)</w:t>
      </w:r>
      <w:r w:rsidRPr="00460324">
        <w:rPr>
          <w:rFonts w:ascii="Verdana" w:hAnsi="Verdana"/>
          <w:color w:val="031E31"/>
          <w:sz w:val="18"/>
          <w:szCs w:val="18"/>
          <w:lang w:val="nl-NL"/>
        </w:rPr>
        <w:t xml:space="preserve">, de Herschel-ruimtetelescoop en andere. Dit </w:t>
      </w:r>
      <w:r w:rsidRPr="00460324" w:rsidR="00F364FF">
        <w:rPr>
          <w:rFonts w:ascii="Verdana" w:hAnsi="Verdana"/>
          <w:color w:val="031E31"/>
          <w:sz w:val="18"/>
          <w:szCs w:val="18"/>
          <w:lang w:val="nl-NL"/>
        </w:rPr>
        <w:t xml:space="preserve">gebeurt </w:t>
      </w:r>
      <w:r w:rsidRPr="00460324">
        <w:rPr>
          <w:rFonts w:ascii="Verdana" w:hAnsi="Verdana"/>
          <w:color w:val="031E31"/>
          <w:sz w:val="18"/>
          <w:szCs w:val="18"/>
          <w:lang w:val="nl-NL"/>
        </w:rPr>
        <w:t>in combinatie met de activiteiten van het European Southern Observatory (ESO)</w:t>
      </w:r>
      <w:r w:rsidRPr="00460324" w:rsidR="00602E33">
        <w:rPr>
          <w:rFonts w:ascii="Verdana" w:hAnsi="Verdana"/>
          <w:color w:val="031E31"/>
          <w:sz w:val="18"/>
          <w:szCs w:val="18"/>
          <w:lang w:val="nl-NL"/>
        </w:rPr>
        <w:t>, een verdrag</w:t>
      </w:r>
      <w:r w:rsidR="008A544A">
        <w:rPr>
          <w:rFonts w:ascii="Verdana" w:hAnsi="Verdana"/>
          <w:color w:val="031E31"/>
          <w:sz w:val="18"/>
          <w:szCs w:val="18"/>
          <w:lang w:val="nl-NL"/>
        </w:rPr>
        <w:t xml:space="preserve">sorganisatie waar Nederland </w:t>
      </w:r>
      <w:r w:rsidRPr="00460324" w:rsidR="00602E33">
        <w:rPr>
          <w:rFonts w:ascii="Verdana" w:hAnsi="Verdana"/>
          <w:color w:val="031E31"/>
          <w:sz w:val="18"/>
          <w:szCs w:val="18"/>
          <w:lang w:val="nl-NL"/>
        </w:rPr>
        <w:t>lid van is en die</w:t>
      </w:r>
      <w:r w:rsidRPr="00460324">
        <w:rPr>
          <w:rFonts w:ascii="Verdana" w:hAnsi="Verdana"/>
          <w:color w:val="031E31"/>
          <w:sz w:val="18"/>
          <w:szCs w:val="18"/>
          <w:lang w:val="nl-NL"/>
        </w:rPr>
        <w:t xml:space="preserve"> grote telescopen </w:t>
      </w:r>
      <w:r w:rsidRPr="00460324" w:rsidR="00602E33">
        <w:rPr>
          <w:rFonts w:ascii="Verdana" w:hAnsi="Verdana"/>
          <w:color w:val="031E31"/>
          <w:sz w:val="18"/>
          <w:szCs w:val="18"/>
          <w:lang w:val="nl-NL"/>
        </w:rPr>
        <w:t>exploiteert op de toppen van de Andes</w:t>
      </w:r>
      <w:r w:rsidRPr="00460324">
        <w:rPr>
          <w:rFonts w:ascii="Verdana" w:hAnsi="Verdana"/>
          <w:color w:val="031E31"/>
          <w:sz w:val="18"/>
          <w:szCs w:val="18"/>
          <w:lang w:val="nl-NL"/>
        </w:rPr>
        <w:t xml:space="preserve"> in de Chileense Atacama-woestijn</w:t>
      </w:r>
      <w:r w:rsidRPr="00460324" w:rsidR="00F364FF">
        <w:rPr>
          <w:rFonts w:ascii="Verdana" w:hAnsi="Verdana"/>
          <w:color w:val="031E31"/>
          <w:sz w:val="18"/>
          <w:szCs w:val="18"/>
          <w:lang w:val="nl-NL"/>
        </w:rPr>
        <w:t>. Het</w:t>
      </w:r>
      <w:r w:rsidRPr="00460324">
        <w:rPr>
          <w:rFonts w:ascii="Verdana" w:hAnsi="Verdana"/>
          <w:color w:val="031E31"/>
          <w:sz w:val="18"/>
          <w:szCs w:val="18"/>
          <w:lang w:val="nl-NL"/>
        </w:rPr>
        <w:t xml:space="preserve"> biedt een scala aan mogelijkheden om onze kennis over het heelal, de oorsprong daarvan en over andere zonnestelsels en exo-planeten (buiten ons zonnestelsel) sterk te vergroten. Nederlandse astronomen maken actief gebruik van deze faciliteiten</w:t>
      </w:r>
      <w:r w:rsidRPr="00460324" w:rsidR="00F364FF">
        <w:rPr>
          <w:rFonts w:ascii="Verdana" w:hAnsi="Verdana"/>
          <w:color w:val="031E31"/>
          <w:sz w:val="18"/>
          <w:szCs w:val="18"/>
          <w:lang w:val="nl-NL"/>
        </w:rPr>
        <w:t>, die veelal in samenhang met elkaar opereren</w:t>
      </w:r>
      <w:r w:rsidRPr="00460324">
        <w:rPr>
          <w:rFonts w:ascii="Verdana" w:hAnsi="Verdana"/>
          <w:color w:val="031E31"/>
          <w:sz w:val="18"/>
          <w:szCs w:val="18"/>
          <w:lang w:val="nl-NL"/>
        </w:rPr>
        <w:t>.</w:t>
      </w:r>
    </w:p>
    <w:p w:rsidRPr="000047FB" w:rsidR="00FC4AD9" w:rsidP="003A7671" w:rsidRDefault="00FC4AD9">
      <w:pPr>
        <w:pStyle w:val="Lijstalinea"/>
        <w:ind w:left="426"/>
        <w:rPr>
          <w:rFonts w:ascii="Verdana" w:hAnsi="Verdana"/>
          <w:color w:val="031E31"/>
          <w:sz w:val="18"/>
          <w:szCs w:val="18"/>
          <w:lang w:val="nl-NL"/>
        </w:rPr>
      </w:pPr>
    </w:p>
    <w:p w:rsidRPr="00460324" w:rsidR="00093751" w:rsidP="00460324" w:rsidRDefault="00C64E73">
      <w:pPr>
        <w:rPr>
          <w:rFonts w:ascii="Verdana" w:hAnsi="Verdana"/>
          <w:color w:val="031E31"/>
          <w:sz w:val="18"/>
          <w:szCs w:val="18"/>
          <w:lang w:val="nl-NL"/>
        </w:rPr>
      </w:pPr>
      <w:r w:rsidRPr="00460324">
        <w:rPr>
          <w:rFonts w:ascii="Verdana" w:hAnsi="Verdana"/>
          <w:color w:val="031E31"/>
          <w:sz w:val="18"/>
          <w:szCs w:val="18"/>
          <w:lang w:val="nl-NL"/>
        </w:rPr>
        <w:t>Het m</w:t>
      </w:r>
      <w:r w:rsidRPr="00460324" w:rsidR="00E470F2">
        <w:rPr>
          <w:rFonts w:ascii="Verdana" w:hAnsi="Verdana"/>
          <w:color w:val="031E31"/>
          <w:sz w:val="18"/>
          <w:szCs w:val="18"/>
          <w:lang w:val="nl-NL"/>
        </w:rPr>
        <w:t>inisterie van OCW blijft de onderzoeksgebieden aardobservatie en planeetonderzoek actief ondersteunen via het programma Gebruiksondersteuning Wetens</w:t>
      </w:r>
      <w:r w:rsidRPr="00460324" w:rsidR="00F364FF">
        <w:rPr>
          <w:rFonts w:ascii="Verdana" w:hAnsi="Verdana"/>
          <w:color w:val="031E31"/>
          <w:sz w:val="18"/>
          <w:szCs w:val="18"/>
          <w:lang w:val="nl-NL"/>
        </w:rPr>
        <w:t xml:space="preserve">chap (GOW) en via de wetenschappelijke </w:t>
      </w:r>
      <w:r w:rsidRPr="00460324" w:rsidR="00E470F2">
        <w:rPr>
          <w:rFonts w:ascii="Verdana" w:hAnsi="Verdana"/>
          <w:color w:val="031E31"/>
          <w:sz w:val="18"/>
          <w:szCs w:val="18"/>
          <w:lang w:val="nl-NL"/>
        </w:rPr>
        <w:t>programma’s van ESA. Het astronomisch onderzoek wordt actie</w:t>
      </w:r>
      <w:r w:rsidRPr="00460324" w:rsidR="00F364FF">
        <w:rPr>
          <w:rFonts w:ascii="Verdana" w:hAnsi="Verdana"/>
          <w:color w:val="031E31"/>
          <w:sz w:val="18"/>
          <w:szCs w:val="18"/>
          <w:lang w:val="nl-NL"/>
        </w:rPr>
        <w:t xml:space="preserve">f ondersteund via de wetenschappelijke </w:t>
      </w:r>
      <w:r w:rsidRPr="00460324" w:rsidR="00E470F2">
        <w:rPr>
          <w:rFonts w:ascii="Verdana" w:hAnsi="Verdana"/>
          <w:color w:val="031E31"/>
          <w:sz w:val="18"/>
          <w:szCs w:val="18"/>
          <w:lang w:val="nl-NL"/>
        </w:rPr>
        <w:t>programma’s van ESA en ESO. Doel van het GOW-programma is om ondersteuning te bieden aan in Nederland werkzame onderzoekers bij het (voorbereiden</w:t>
      </w:r>
      <w:r w:rsidRPr="00460324" w:rsidR="00AA6C69">
        <w:rPr>
          <w:rFonts w:ascii="Verdana" w:hAnsi="Verdana"/>
          <w:color w:val="031E31"/>
          <w:sz w:val="18"/>
          <w:szCs w:val="18"/>
          <w:lang w:val="nl-NL"/>
        </w:rPr>
        <w:t xml:space="preserve"> op het) </w:t>
      </w:r>
      <w:r w:rsidRPr="00460324" w:rsidR="00F364FF">
        <w:rPr>
          <w:rFonts w:ascii="Verdana" w:hAnsi="Verdana"/>
          <w:color w:val="031E31"/>
          <w:sz w:val="18"/>
          <w:szCs w:val="18"/>
          <w:lang w:val="nl-NL"/>
        </w:rPr>
        <w:t>gebruik</w:t>
      </w:r>
      <w:r w:rsidRPr="00460324" w:rsidR="00602E33">
        <w:rPr>
          <w:rFonts w:ascii="Verdana" w:hAnsi="Verdana"/>
          <w:color w:val="031E31"/>
          <w:sz w:val="18"/>
          <w:szCs w:val="18"/>
          <w:lang w:val="nl-NL"/>
        </w:rPr>
        <w:t xml:space="preserve"> </w:t>
      </w:r>
      <w:r w:rsidRPr="00460324" w:rsidR="00AA6C69">
        <w:rPr>
          <w:rFonts w:ascii="Verdana" w:hAnsi="Verdana"/>
          <w:color w:val="031E31"/>
          <w:sz w:val="18"/>
          <w:szCs w:val="18"/>
          <w:lang w:val="nl-NL"/>
        </w:rPr>
        <w:t xml:space="preserve">van </w:t>
      </w:r>
      <w:r w:rsidRPr="00460324" w:rsidR="00F364FF">
        <w:rPr>
          <w:rFonts w:ascii="Verdana" w:hAnsi="Verdana"/>
          <w:color w:val="031E31"/>
          <w:sz w:val="18"/>
          <w:szCs w:val="18"/>
          <w:lang w:val="nl-NL"/>
        </w:rPr>
        <w:t xml:space="preserve">de </w:t>
      </w:r>
      <w:r w:rsidRPr="00460324" w:rsidR="00AA6C69">
        <w:rPr>
          <w:rFonts w:ascii="Verdana" w:hAnsi="Verdana"/>
          <w:color w:val="031E31"/>
          <w:sz w:val="18"/>
          <w:szCs w:val="18"/>
          <w:lang w:val="nl-NL"/>
        </w:rPr>
        <w:t>wetenschappelijke infrastructuur in de ruimte ten behoeve van wetenschappelijk onderzoek in Nederland.</w:t>
      </w:r>
      <w:r w:rsidRPr="00460324" w:rsidR="00FC4AD9">
        <w:rPr>
          <w:rFonts w:ascii="Verdana" w:hAnsi="Verdana"/>
          <w:color w:val="031E31"/>
          <w:sz w:val="18"/>
          <w:szCs w:val="18"/>
          <w:lang w:val="nl-NL"/>
        </w:rPr>
        <w:t xml:space="preserve"> </w:t>
      </w:r>
      <w:r w:rsidRPr="00460324" w:rsidR="00093751">
        <w:rPr>
          <w:rFonts w:ascii="Verdana" w:hAnsi="Verdana"/>
          <w:color w:val="031E31"/>
          <w:sz w:val="18"/>
          <w:szCs w:val="18"/>
          <w:lang w:val="nl-NL"/>
        </w:rPr>
        <w:t>Vanuit Nederland zijn SRON en NSO nauw betrokken bij de to</w:t>
      </w:r>
      <w:r w:rsidRPr="00460324" w:rsidR="00F364FF">
        <w:rPr>
          <w:rFonts w:ascii="Verdana" w:hAnsi="Verdana"/>
          <w:color w:val="031E31"/>
          <w:sz w:val="18"/>
          <w:szCs w:val="18"/>
          <w:lang w:val="nl-NL"/>
        </w:rPr>
        <w:t>tstandkoming van de</w:t>
      </w:r>
      <w:r w:rsidRPr="00460324" w:rsidR="00BC59A0">
        <w:rPr>
          <w:rFonts w:ascii="Verdana" w:hAnsi="Verdana"/>
          <w:color w:val="031E31"/>
          <w:sz w:val="18"/>
          <w:szCs w:val="18"/>
          <w:lang w:val="nl-NL"/>
        </w:rPr>
        <w:t xml:space="preserve"> wetenschap</w:t>
      </w:r>
      <w:r w:rsidRPr="00460324" w:rsidR="00684E39">
        <w:rPr>
          <w:rFonts w:ascii="Verdana" w:hAnsi="Verdana"/>
          <w:color w:val="031E31"/>
          <w:sz w:val="18"/>
          <w:szCs w:val="18"/>
          <w:lang w:val="nl-NL"/>
        </w:rPr>
        <w:t>pelijk</w:t>
      </w:r>
      <w:r w:rsidRPr="00460324" w:rsidR="00F364FF">
        <w:rPr>
          <w:rFonts w:ascii="Verdana" w:hAnsi="Verdana"/>
          <w:color w:val="031E31"/>
          <w:sz w:val="18"/>
          <w:szCs w:val="18"/>
          <w:lang w:val="nl-NL"/>
        </w:rPr>
        <w:t>e</w:t>
      </w:r>
      <w:r w:rsidRPr="00460324" w:rsidR="00093751">
        <w:rPr>
          <w:rFonts w:ascii="Verdana" w:hAnsi="Verdana"/>
          <w:color w:val="031E31"/>
          <w:sz w:val="18"/>
          <w:szCs w:val="18"/>
          <w:lang w:val="nl-NL"/>
        </w:rPr>
        <w:t xml:space="preserve"> programma</w:t>
      </w:r>
      <w:r w:rsidRPr="00460324" w:rsidR="00F364FF">
        <w:rPr>
          <w:rFonts w:ascii="Verdana" w:hAnsi="Verdana"/>
          <w:color w:val="031E31"/>
          <w:sz w:val="18"/>
          <w:szCs w:val="18"/>
          <w:lang w:val="nl-NL"/>
        </w:rPr>
        <w:t>’s</w:t>
      </w:r>
      <w:r w:rsidRPr="00460324" w:rsidR="00093751">
        <w:rPr>
          <w:rFonts w:ascii="Verdana" w:hAnsi="Verdana"/>
          <w:color w:val="031E31"/>
          <w:sz w:val="18"/>
          <w:szCs w:val="18"/>
          <w:lang w:val="nl-NL"/>
        </w:rPr>
        <w:t xml:space="preserve"> van ESA en via hen tal van relevante spelers uit de wereld van astronomie en andere</w:t>
      </w:r>
      <w:r w:rsidRPr="00460324" w:rsidR="007A565A">
        <w:rPr>
          <w:rFonts w:ascii="Verdana" w:hAnsi="Verdana"/>
          <w:color w:val="031E31"/>
          <w:sz w:val="18"/>
          <w:szCs w:val="18"/>
          <w:lang w:val="nl-NL"/>
        </w:rPr>
        <w:t xml:space="preserve"> wetenschapsgebieden. H</w:t>
      </w:r>
      <w:r w:rsidRPr="00460324" w:rsidR="00BC59A0">
        <w:rPr>
          <w:rFonts w:ascii="Verdana" w:hAnsi="Verdana"/>
          <w:color w:val="031E31"/>
          <w:sz w:val="18"/>
          <w:szCs w:val="18"/>
          <w:lang w:val="nl-NL"/>
        </w:rPr>
        <w:t xml:space="preserve">un inzet </w:t>
      </w:r>
      <w:r w:rsidRPr="00460324" w:rsidR="007A565A">
        <w:rPr>
          <w:rFonts w:ascii="Verdana" w:hAnsi="Verdana"/>
          <w:color w:val="031E31"/>
          <w:sz w:val="18"/>
          <w:szCs w:val="18"/>
          <w:lang w:val="nl-NL"/>
        </w:rPr>
        <w:t xml:space="preserve">is </w:t>
      </w:r>
      <w:r w:rsidRPr="00460324" w:rsidR="00BC59A0">
        <w:rPr>
          <w:rFonts w:ascii="Verdana" w:hAnsi="Verdana"/>
          <w:color w:val="031E31"/>
          <w:sz w:val="18"/>
          <w:szCs w:val="18"/>
          <w:lang w:val="nl-NL"/>
        </w:rPr>
        <w:t xml:space="preserve">voor de Nederlandse wetenschap relevante missies op de kalender te krijgen van </w:t>
      </w:r>
      <w:r w:rsidRPr="00460324" w:rsidR="00F364FF">
        <w:rPr>
          <w:rFonts w:ascii="Verdana" w:hAnsi="Verdana"/>
          <w:color w:val="031E31"/>
          <w:sz w:val="18"/>
          <w:szCs w:val="18"/>
          <w:lang w:val="nl-NL"/>
        </w:rPr>
        <w:t>ESA.</w:t>
      </w:r>
      <w:r w:rsidRPr="00460324" w:rsidR="007A565A">
        <w:rPr>
          <w:rFonts w:ascii="Verdana" w:hAnsi="Verdana"/>
          <w:color w:val="031E31"/>
          <w:sz w:val="18"/>
          <w:szCs w:val="18"/>
          <w:lang w:val="nl-NL"/>
        </w:rPr>
        <w:t xml:space="preserve"> Dat vereist veel inspanningen, </w:t>
      </w:r>
      <w:r w:rsidRPr="00460324" w:rsidR="00BC59A0">
        <w:rPr>
          <w:rFonts w:ascii="Verdana" w:hAnsi="Verdana"/>
          <w:color w:val="031E31"/>
          <w:sz w:val="18"/>
          <w:szCs w:val="18"/>
          <w:lang w:val="nl-NL"/>
        </w:rPr>
        <w:t>want de lat ligt hoog in termen van wetenschappelijke excellentie.</w:t>
      </w:r>
    </w:p>
    <w:p w:rsidRPr="000047FB" w:rsidR="00093751" w:rsidP="003A7671" w:rsidRDefault="00093751">
      <w:pPr>
        <w:pStyle w:val="Lijstalinea"/>
        <w:ind w:left="426"/>
        <w:rPr>
          <w:rFonts w:ascii="Verdana" w:hAnsi="Verdana"/>
          <w:color w:val="031E31"/>
          <w:sz w:val="18"/>
          <w:szCs w:val="18"/>
          <w:lang w:val="nl-NL"/>
        </w:rPr>
      </w:pPr>
    </w:p>
    <w:p w:rsidRPr="00460324" w:rsidR="001C5E8B" w:rsidP="00460324" w:rsidRDefault="00F23825">
      <w:pPr>
        <w:rPr>
          <w:rFonts w:ascii="Verdana" w:hAnsi="Verdana"/>
          <w:color w:val="031E31"/>
          <w:sz w:val="18"/>
          <w:szCs w:val="18"/>
          <w:lang w:val="nl-NL"/>
        </w:rPr>
      </w:pPr>
      <w:r w:rsidRPr="00460324">
        <w:rPr>
          <w:rFonts w:ascii="Verdana" w:hAnsi="Verdana"/>
          <w:color w:val="031E31"/>
          <w:sz w:val="18"/>
          <w:szCs w:val="18"/>
          <w:lang w:val="nl-NL"/>
        </w:rPr>
        <w:t xml:space="preserve">Fundamenteel voor het behoud en versterking van de Nederlandse positie op het gebied van de ruimtevaart is kwalitatief hoogstaand </w:t>
      </w:r>
      <w:r w:rsidRPr="00460324" w:rsidR="00684E39">
        <w:rPr>
          <w:rFonts w:ascii="Verdana" w:hAnsi="Verdana"/>
          <w:color w:val="031E31"/>
          <w:sz w:val="18"/>
          <w:szCs w:val="18"/>
          <w:lang w:val="nl-NL"/>
        </w:rPr>
        <w:t xml:space="preserve">onderzoek en </w:t>
      </w:r>
      <w:r w:rsidRPr="00460324">
        <w:rPr>
          <w:rFonts w:ascii="Verdana" w:hAnsi="Verdana"/>
          <w:color w:val="031E31"/>
          <w:sz w:val="18"/>
          <w:szCs w:val="18"/>
          <w:lang w:val="nl-NL"/>
        </w:rPr>
        <w:t>onderwijs</w:t>
      </w:r>
      <w:r w:rsidRPr="00460324" w:rsidR="00F15ADF">
        <w:rPr>
          <w:rFonts w:ascii="Verdana" w:hAnsi="Verdana"/>
          <w:color w:val="031E31"/>
          <w:sz w:val="18"/>
          <w:szCs w:val="18"/>
          <w:lang w:val="nl-NL"/>
        </w:rPr>
        <w:t>, waarbij het interdisciplinaire karakter van ruimtevaart voor een extra dimensie zorgt</w:t>
      </w:r>
      <w:r w:rsidRPr="00460324">
        <w:rPr>
          <w:rFonts w:ascii="Verdana" w:hAnsi="Verdana"/>
          <w:color w:val="031E31"/>
          <w:sz w:val="18"/>
          <w:szCs w:val="18"/>
          <w:lang w:val="nl-NL"/>
        </w:rPr>
        <w:t>.</w:t>
      </w:r>
      <w:r w:rsidRPr="00460324" w:rsidR="00AA0BC5">
        <w:rPr>
          <w:rFonts w:ascii="Verdana" w:hAnsi="Verdana"/>
          <w:color w:val="031E31"/>
          <w:sz w:val="18"/>
          <w:szCs w:val="18"/>
          <w:lang w:val="nl-NL"/>
        </w:rPr>
        <w:t xml:space="preserve"> </w:t>
      </w:r>
      <w:r w:rsidRPr="00460324" w:rsidR="00684E39">
        <w:rPr>
          <w:rFonts w:ascii="Verdana" w:hAnsi="Verdana"/>
          <w:color w:val="031E31"/>
          <w:sz w:val="18"/>
          <w:szCs w:val="18"/>
          <w:lang w:val="nl-NL"/>
        </w:rPr>
        <w:t xml:space="preserve">Voor onderzoek geldt dat </w:t>
      </w:r>
      <w:r w:rsidRPr="00460324" w:rsidR="00A31608">
        <w:rPr>
          <w:rFonts w:ascii="Verdana" w:hAnsi="Verdana"/>
          <w:color w:val="031E31"/>
          <w:sz w:val="18"/>
          <w:szCs w:val="18"/>
          <w:lang w:val="nl-NL"/>
        </w:rPr>
        <w:t xml:space="preserve">onderzoekers in tal van vakgebieden de mogelijkheid moeten hebben om inzichten en data uit de ruimtevaart optimaal te kunnen benutten bij het verder brengen van hun wetenschappelijk onderzoek, en </w:t>
      </w:r>
      <w:r w:rsidRPr="00460324" w:rsidR="00F62064">
        <w:rPr>
          <w:rFonts w:ascii="Verdana" w:hAnsi="Verdana"/>
          <w:color w:val="031E31"/>
          <w:sz w:val="18"/>
          <w:szCs w:val="18"/>
          <w:lang w:val="nl-NL"/>
        </w:rPr>
        <w:t>via</w:t>
      </w:r>
      <w:r w:rsidRPr="00460324" w:rsidR="0099690D">
        <w:rPr>
          <w:rFonts w:ascii="Verdana" w:hAnsi="Verdana"/>
          <w:color w:val="031E31"/>
          <w:sz w:val="18"/>
          <w:szCs w:val="18"/>
          <w:lang w:val="nl-NL"/>
        </w:rPr>
        <w:t xml:space="preserve"> vormen van</w:t>
      </w:r>
      <w:r w:rsidRPr="00460324" w:rsidR="00F62064">
        <w:rPr>
          <w:rFonts w:ascii="Verdana" w:hAnsi="Verdana"/>
          <w:color w:val="031E31"/>
          <w:sz w:val="18"/>
          <w:szCs w:val="18"/>
          <w:lang w:val="nl-NL"/>
        </w:rPr>
        <w:t xml:space="preserve"> terugkoppeling</w:t>
      </w:r>
      <w:r w:rsidR="008A544A">
        <w:rPr>
          <w:rFonts w:ascii="Verdana" w:hAnsi="Verdana"/>
          <w:color w:val="031E31"/>
          <w:sz w:val="18"/>
          <w:szCs w:val="18"/>
          <w:lang w:val="nl-NL"/>
        </w:rPr>
        <w:t xml:space="preserve"> ook de ruimtevaart weer voeden</w:t>
      </w:r>
      <w:r w:rsidRPr="00460324" w:rsidR="00F62064">
        <w:rPr>
          <w:rFonts w:ascii="Verdana" w:hAnsi="Verdana"/>
          <w:color w:val="031E31"/>
          <w:sz w:val="18"/>
          <w:szCs w:val="18"/>
          <w:lang w:val="nl-NL"/>
        </w:rPr>
        <w:t xml:space="preserve"> met ambities en wensen uit de wetenschap. </w:t>
      </w:r>
    </w:p>
    <w:p w:rsidRPr="00460324" w:rsidR="00387A98" w:rsidP="00460324" w:rsidRDefault="00AE15CA">
      <w:pPr>
        <w:rPr>
          <w:rFonts w:ascii="Verdana" w:hAnsi="Verdana"/>
          <w:color w:val="031E31"/>
          <w:sz w:val="18"/>
          <w:szCs w:val="18"/>
          <w:lang w:val="nl-NL"/>
        </w:rPr>
      </w:pPr>
      <w:r w:rsidRPr="00460324">
        <w:rPr>
          <w:rFonts w:ascii="Verdana" w:hAnsi="Verdana"/>
          <w:color w:val="031E31"/>
          <w:sz w:val="18"/>
          <w:szCs w:val="18"/>
          <w:lang w:val="nl-NL"/>
        </w:rPr>
        <w:t>Ruimtevaart en astronomie zijn onderdeel van diverse ‘routes’ uit de Nationale Wetenschapsagenda die in de afgelopen periode door alle bij onderzoek en innovatie betrokken partijen in Nederland is opgesteld. Bij de implementatie van deze agenda in de komende pe</w:t>
      </w:r>
      <w:r w:rsidRPr="00460324" w:rsidR="00287509">
        <w:rPr>
          <w:rFonts w:ascii="Verdana" w:hAnsi="Verdana"/>
          <w:color w:val="031E31"/>
          <w:sz w:val="18"/>
          <w:szCs w:val="18"/>
          <w:lang w:val="nl-NL"/>
        </w:rPr>
        <w:t>rio</w:t>
      </w:r>
      <w:r w:rsidRPr="00460324">
        <w:rPr>
          <w:rFonts w:ascii="Verdana" w:hAnsi="Verdana"/>
          <w:color w:val="031E31"/>
          <w:sz w:val="18"/>
          <w:szCs w:val="18"/>
          <w:lang w:val="nl-NL"/>
        </w:rPr>
        <w:t xml:space="preserve">de liggen er kansen om de ruimtevaart nog beter te verbinden met de wetenschap en met maatschappelijke toepassingen. </w:t>
      </w:r>
      <w:r w:rsidRPr="00460324" w:rsidR="001C5E8B">
        <w:rPr>
          <w:rFonts w:ascii="Verdana" w:hAnsi="Verdana"/>
          <w:color w:val="031E31"/>
          <w:sz w:val="18"/>
          <w:szCs w:val="18"/>
          <w:lang w:val="nl-NL"/>
        </w:rPr>
        <w:t xml:space="preserve">Ruimtevaart maakt ook deel uit van de </w:t>
      </w:r>
      <w:r w:rsidRPr="00460324" w:rsidR="00F31FA1">
        <w:rPr>
          <w:rFonts w:ascii="Verdana" w:hAnsi="Verdana"/>
          <w:color w:val="031E31"/>
          <w:sz w:val="18"/>
          <w:szCs w:val="18"/>
          <w:lang w:val="nl-NL"/>
        </w:rPr>
        <w:t>Topsect</w:t>
      </w:r>
      <w:r w:rsidR="00F31FA1">
        <w:rPr>
          <w:rFonts w:ascii="Verdana" w:hAnsi="Verdana"/>
          <w:color w:val="031E31"/>
          <w:sz w:val="18"/>
          <w:szCs w:val="18"/>
          <w:lang w:val="nl-NL"/>
        </w:rPr>
        <w:t>o</w:t>
      </w:r>
      <w:r w:rsidRPr="00460324" w:rsidR="00F31FA1">
        <w:rPr>
          <w:rFonts w:ascii="Verdana" w:hAnsi="Verdana"/>
          <w:color w:val="031E31"/>
          <w:sz w:val="18"/>
          <w:szCs w:val="18"/>
          <w:lang w:val="nl-NL"/>
        </w:rPr>
        <w:t xml:space="preserve">r </w:t>
      </w:r>
      <w:r w:rsidRPr="00460324" w:rsidR="001C5E8B">
        <w:rPr>
          <w:rFonts w:ascii="Verdana" w:hAnsi="Verdana"/>
          <w:color w:val="031E31"/>
          <w:sz w:val="18"/>
          <w:szCs w:val="18"/>
          <w:lang w:val="nl-NL"/>
        </w:rPr>
        <w:t>Hightech</w:t>
      </w:r>
      <w:r w:rsidR="00F31FA1">
        <w:rPr>
          <w:rFonts w:ascii="Verdana" w:hAnsi="Verdana"/>
          <w:color w:val="031E31"/>
          <w:sz w:val="18"/>
          <w:szCs w:val="18"/>
          <w:lang w:val="nl-NL"/>
        </w:rPr>
        <w:t xml:space="preserve">, Systemen </w:t>
      </w:r>
      <w:r w:rsidRPr="00460324" w:rsidR="001C5E8B">
        <w:rPr>
          <w:rFonts w:ascii="Verdana" w:hAnsi="Verdana"/>
          <w:color w:val="031E31"/>
          <w:sz w:val="18"/>
          <w:szCs w:val="18"/>
          <w:lang w:val="nl-NL"/>
        </w:rPr>
        <w:t>&amp; Materialen. Daarin wordt onder andere ingezet op betere verbindingen tussen kennisontwikkeling en de valorisatie daarvan</w:t>
      </w:r>
      <w:r w:rsidRPr="00460324" w:rsidR="00886ED4">
        <w:rPr>
          <w:rFonts w:ascii="Verdana" w:hAnsi="Verdana"/>
          <w:color w:val="031E31"/>
          <w:sz w:val="18"/>
          <w:szCs w:val="18"/>
          <w:lang w:val="nl-NL"/>
        </w:rPr>
        <w:t xml:space="preserve"> in commerciële</w:t>
      </w:r>
      <w:r w:rsidRPr="00460324" w:rsidR="001C5E8B">
        <w:rPr>
          <w:rFonts w:ascii="Verdana" w:hAnsi="Verdana"/>
          <w:color w:val="031E31"/>
          <w:sz w:val="18"/>
          <w:szCs w:val="18"/>
          <w:lang w:val="nl-NL"/>
        </w:rPr>
        <w:t xml:space="preserve"> toepassingen.</w:t>
      </w:r>
    </w:p>
    <w:p w:rsidRPr="000047FB" w:rsidR="00387A98" w:rsidP="003A7671" w:rsidRDefault="00387A98">
      <w:pPr>
        <w:pStyle w:val="Lijstalinea"/>
        <w:ind w:left="426"/>
        <w:rPr>
          <w:rFonts w:ascii="Verdana" w:hAnsi="Verdana"/>
          <w:color w:val="031E31"/>
          <w:sz w:val="18"/>
          <w:szCs w:val="18"/>
          <w:lang w:val="nl-NL"/>
        </w:rPr>
      </w:pPr>
    </w:p>
    <w:p w:rsidRPr="00460324" w:rsidR="009E7C69" w:rsidP="00460324" w:rsidRDefault="00387A98">
      <w:pPr>
        <w:rPr>
          <w:rFonts w:ascii="Verdana" w:hAnsi="Verdana"/>
          <w:color w:val="031E31"/>
          <w:sz w:val="18"/>
          <w:szCs w:val="18"/>
          <w:lang w:val="nl-NL"/>
        </w:rPr>
      </w:pPr>
      <w:r w:rsidRPr="00460324">
        <w:rPr>
          <w:rFonts w:ascii="Verdana" w:hAnsi="Verdana"/>
          <w:color w:val="031E31"/>
          <w:sz w:val="18"/>
          <w:szCs w:val="18"/>
          <w:lang w:val="nl-NL"/>
        </w:rPr>
        <w:t xml:space="preserve">Talent wordt gevormd in het onderwijs. </w:t>
      </w:r>
      <w:r w:rsidRPr="00460324" w:rsidR="00AA0BC5">
        <w:rPr>
          <w:rFonts w:ascii="Verdana" w:hAnsi="Verdana"/>
          <w:color w:val="031E31"/>
          <w:sz w:val="18"/>
          <w:szCs w:val="18"/>
          <w:lang w:val="nl-NL"/>
        </w:rPr>
        <w:t>Dat geldt niet alleen voor</w:t>
      </w:r>
      <w:r w:rsidRPr="00460324" w:rsidR="00F23825">
        <w:rPr>
          <w:rFonts w:ascii="Verdana" w:hAnsi="Verdana"/>
          <w:color w:val="031E31"/>
          <w:sz w:val="18"/>
          <w:szCs w:val="18"/>
          <w:lang w:val="nl-NL"/>
        </w:rPr>
        <w:t xml:space="preserve"> </w:t>
      </w:r>
      <w:r w:rsidRPr="00460324">
        <w:rPr>
          <w:rFonts w:ascii="Verdana" w:hAnsi="Verdana"/>
          <w:color w:val="031E31"/>
          <w:sz w:val="18"/>
          <w:szCs w:val="18"/>
          <w:lang w:val="nl-NL"/>
        </w:rPr>
        <w:t xml:space="preserve">het </w:t>
      </w:r>
      <w:r w:rsidRPr="00460324" w:rsidR="00F15ADF">
        <w:rPr>
          <w:rFonts w:ascii="Verdana" w:hAnsi="Verdana"/>
          <w:color w:val="031E31"/>
          <w:sz w:val="18"/>
          <w:szCs w:val="18"/>
          <w:lang w:val="nl-NL"/>
        </w:rPr>
        <w:t>universit</w:t>
      </w:r>
      <w:r w:rsidRPr="00460324">
        <w:rPr>
          <w:rFonts w:ascii="Verdana" w:hAnsi="Verdana"/>
          <w:color w:val="031E31"/>
          <w:sz w:val="18"/>
          <w:szCs w:val="18"/>
          <w:lang w:val="nl-NL"/>
        </w:rPr>
        <w:t>air onderwijs</w:t>
      </w:r>
      <w:r w:rsidRPr="00460324" w:rsidR="00F23825">
        <w:rPr>
          <w:rFonts w:ascii="Verdana" w:hAnsi="Verdana"/>
          <w:color w:val="031E31"/>
          <w:sz w:val="18"/>
          <w:szCs w:val="18"/>
          <w:lang w:val="nl-NL"/>
        </w:rPr>
        <w:t xml:space="preserve">, maar evenzeer </w:t>
      </w:r>
      <w:r w:rsidRPr="00460324" w:rsidR="00AA0BC5">
        <w:rPr>
          <w:rFonts w:ascii="Verdana" w:hAnsi="Verdana"/>
          <w:color w:val="031E31"/>
          <w:sz w:val="18"/>
          <w:szCs w:val="18"/>
          <w:lang w:val="nl-NL"/>
        </w:rPr>
        <w:t>voor</w:t>
      </w:r>
      <w:r w:rsidRPr="00460324" w:rsidR="009E7C69">
        <w:rPr>
          <w:rFonts w:ascii="Verdana" w:hAnsi="Verdana"/>
          <w:color w:val="031E31"/>
          <w:sz w:val="18"/>
          <w:szCs w:val="18"/>
          <w:lang w:val="nl-NL"/>
        </w:rPr>
        <w:t xml:space="preserve"> hogescholen</w:t>
      </w:r>
      <w:r w:rsidRPr="00460324" w:rsidR="00F23825">
        <w:rPr>
          <w:rFonts w:ascii="Verdana" w:hAnsi="Verdana"/>
          <w:color w:val="031E31"/>
          <w:sz w:val="18"/>
          <w:szCs w:val="18"/>
          <w:lang w:val="nl-NL"/>
        </w:rPr>
        <w:t xml:space="preserve"> en het basis</w:t>
      </w:r>
      <w:r w:rsidRPr="00460324" w:rsidR="00684E39">
        <w:rPr>
          <w:rFonts w:ascii="Verdana" w:hAnsi="Verdana"/>
          <w:color w:val="031E31"/>
          <w:sz w:val="18"/>
          <w:szCs w:val="18"/>
          <w:lang w:val="nl-NL"/>
        </w:rPr>
        <w:t>-</w:t>
      </w:r>
      <w:r w:rsidR="008A544A">
        <w:rPr>
          <w:rFonts w:ascii="Verdana" w:hAnsi="Verdana"/>
          <w:color w:val="031E31"/>
          <w:sz w:val="18"/>
          <w:szCs w:val="18"/>
          <w:lang w:val="nl-NL"/>
        </w:rPr>
        <w:t xml:space="preserve">, </w:t>
      </w:r>
      <w:r w:rsidRPr="00460324" w:rsidR="00F23825">
        <w:rPr>
          <w:rFonts w:ascii="Verdana" w:hAnsi="Verdana"/>
          <w:color w:val="031E31"/>
          <w:sz w:val="18"/>
          <w:szCs w:val="18"/>
          <w:lang w:val="nl-NL"/>
        </w:rPr>
        <w:t xml:space="preserve">middelbaar </w:t>
      </w:r>
      <w:r w:rsidR="008A544A">
        <w:rPr>
          <w:rFonts w:ascii="Verdana" w:hAnsi="Verdana"/>
          <w:color w:val="031E31"/>
          <w:sz w:val="18"/>
          <w:szCs w:val="18"/>
          <w:lang w:val="nl-NL"/>
        </w:rPr>
        <w:t xml:space="preserve">en beroepsgericht </w:t>
      </w:r>
      <w:r w:rsidRPr="00460324" w:rsidR="00F23825">
        <w:rPr>
          <w:rFonts w:ascii="Verdana" w:hAnsi="Verdana"/>
          <w:color w:val="031E31"/>
          <w:sz w:val="18"/>
          <w:szCs w:val="18"/>
          <w:lang w:val="nl-NL"/>
        </w:rPr>
        <w:t>onderwijs. Het is verheugend te constateren dat mede door de activiteiten in het kader van het overheidsprogramma Techniekpact</w:t>
      </w:r>
      <w:r w:rsidRPr="00460324" w:rsidR="003D164E">
        <w:rPr>
          <w:rFonts w:ascii="Verdana" w:hAnsi="Verdana"/>
          <w:color w:val="031E31"/>
          <w:sz w:val="18"/>
          <w:szCs w:val="18"/>
          <w:lang w:val="nl-NL"/>
        </w:rPr>
        <w:t xml:space="preserve"> </w:t>
      </w:r>
      <w:r w:rsidRPr="00460324" w:rsidR="00B4174B">
        <w:rPr>
          <w:rFonts w:ascii="Verdana" w:hAnsi="Verdana"/>
          <w:color w:val="031E31"/>
          <w:sz w:val="18"/>
          <w:szCs w:val="18"/>
          <w:lang w:val="nl-NL"/>
        </w:rPr>
        <w:t xml:space="preserve">- </w:t>
      </w:r>
      <w:r w:rsidRPr="00460324" w:rsidR="003D164E">
        <w:rPr>
          <w:rFonts w:ascii="Verdana" w:hAnsi="Verdana"/>
          <w:color w:val="031E31"/>
          <w:sz w:val="18"/>
          <w:szCs w:val="18"/>
          <w:lang w:val="nl-NL"/>
        </w:rPr>
        <w:t>met astronaut André Kuipers als ambassadeur</w:t>
      </w:r>
      <w:r w:rsidRPr="00460324" w:rsidR="00B4174B">
        <w:rPr>
          <w:rFonts w:ascii="Verdana" w:hAnsi="Verdana"/>
          <w:color w:val="031E31"/>
          <w:sz w:val="18"/>
          <w:szCs w:val="18"/>
          <w:lang w:val="nl-NL"/>
        </w:rPr>
        <w:t xml:space="preserve"> -</w:t>
      </w:r>
      <w:r w:rsidRPr="00460324" w:rsidR="00F23825">
        <w:rPr>
          <w:rFonts w:ascii="Verdana" w:hAnsi="Verdana"/>
          <w:color w:val="031E31"/>
          <w:sz w:val="18"/>
          <w:szCs w:val="18"/>
          <w:lang w:val="nl-NL"/>
        </w:rPr>
        <w:t xml:space="preserve"> en door inspan</w:t>
      </w:r>
      <w:r w:rsidRPr="00460324" w:rsidR="003D164E">
        <w:rPr>
          <w:rFonts w:ascii="Verdana" w:hAnsi="Verdana"/>
          <w:color w:val="031E31"/>
          <w:sz w:val="18"/>
          <w:szCs w:val="18"/>
          <w:lang w:val="nl-NL"/>
        </w:rPr>
        <w:t xml:space="preserve">ningen </w:t>
      </w:r>
      <w:r w:rsidRPr="00460324" w:rsidR="00AA0BC5">
        <w:rPr>
          <w:rFonts w:ascii="Verdana" w:hAnsi="Verdana"/>
          <w:color w:val="031E31"/>
          <w:sz w:val="18"/>
          <w:szCs w:val="18"/>
          <w:lang w:val="nl-NL"/>
        </w:rPr>
        <w:t>vanuit het bedrijfsleven</w:t>
      </w:r>
      <w:r w:rsidRPr="00460324" w:rsidR="00F1144D">
        <w:rPr>
          <w:rFonts w:ascii="Verdana" w:hAnsi="Verdana"/>
          <w:color w:val="031E31"/>
          <w:sz w:val="18"/>
          <w:szCs w:val="18"/>
          <w:lang w:val="nl-NL"/>
        </w:rPr>
        <w:t>,</w:t>
      </w:r>
      <w:r w:rsidRPr="00460324" w:rsidR="00F23825">
        <w:rPr>
          <w:rFonts w:ascii="Verdana" w:hAnsi="Verdana"/>
          <w:color w:val="031E31"/>
          <w:sz w:val="18"/>
          <w:szCs w:val="18"/>
          <w:lang w:val="nl-NL"/>
        </w:rPr>
        <w:t xml:space="preserve"> de aanmelding van jongeren voor </w:t>
      </w:r>
      <w:r w:rsidRPr="00460324" w:rsidR="00684E39">
        <w:rPr>
          <w:rFonts w:ascii="Verdana" w:hAnsi="Verdana"/>
          <w:color w:val="031E31"/>
          <w:sz w:val="18"/>
          <w:szCs w:val="18"/>
          <w:lang w:val="nl-NL"/>
        </w:rPr>
        <w:t xml:space="preserve">bèta- en </w:t>
      </w:r>
      <w:r w:rsidRPr="00460324" w:rsidR="00F23825">
        <w:rPr>
          <w:rFonts w:ascii="Verdana" w:hAnsi="Verdana"/>
          <w:color w:val="031E31"/>
          <w:sz w:val="18"/>
          <w:szCs w:val="18"/>
          <w:lang w:val="nl-NL"/>
        </w:rPr>
        <w:t xml:space="preserve">technische studierichtingen de afgelopen jaren aanmerkelijk is toegenomen. </w:t>
      </w:r>
    </w:p>
    <w:p w:rsidRPr="00460324" w:rsidR="00AA6C69" w:rsidP="00460324" w:rsidRDefault="00F23825">
      <w:pPr>
        <w:rPr>
          <w:rFonts w:ascii="Verdana" w:hAnsi="Verdana"/>
          <w:color w:val="031E31"/>
          <w:sz w:val="18"/>
          <w:szCs w:val="18"/>
          <w:lang w:val="nl-NL"/>
        </w:rPr>
      </w:pPr>
      <w:r w:rsidRPr="00460324">
        <w:rPr>
          <w:rFonts w:ascii="Verdana" w:hAnsi="Verdana"/>
          <w:color w:val="031E31"/>
          <w:sz w:val="18"/>
          <w:szCs w:val="18"/>
          <w:lang w:val="nl-NL"/>
        </w:rPr>
        <w:t xml:space="preserve">De faculteit Lucht- en Ruimtevaart van de Technische Universiteit Delft trekt veel jongeren aan uit binnen- en buitenland. Naast </w:t>
      </w:r>
      <w:r w:rsidRPr="00460324" w:rsidR="009E7C69">
        <w:rPr>
          <w:rFonts w:ascii="Verdana" w:hAnsi="Verdana"/>
          <w:color w:val="031E31"/>
          <w:sz w:val="18"/>
          <w:szCs w:val="18"/>
          <w:lang w:val="nl-NL"/>
        </w:rPr>
        <w:t xml:space="preserve">de noodzakelijke </w:t>
      </w:r>
      <w:r w:rsidRPr="00460324">
        <w:rPr>
          <w:rFonts w:ascii="Verdana" w:hAnsi="Verdana"/>
          <w:color w:val="031E31"/>
          <w:sz w:val="18"/>
          <w:szCs w:val="18"/>
          <w:lang w:val="nl-NL"/>
        </w:rPr>
        <w:t xml:space="preserve">technische vaardigheden worden de studenten ook geschoold in aspecten van ondernemerschap om hen voor te bereiden op activiteiten in het bedrijfsleven. </w:t>
      </w:r>
      <w:r w:rsidRPr="00460324" w:rsidR="009E7C69">
        <w:rPr>
          <w:rFonts w:ascii="Verdana" w:hAnsi="Verdana"/>
          <w:color w:val="031E31"/>
          <w:sz w:val="18"/>
          <w:szCs w:val="18"/>
          <w:lang w:val="nl-NL"/>
        </w:rPr>
        <w:t xml:space="preserve">Voor de groeimarkt van de verwerking van satellietdata in nieuwe diensten aan bedrijven en overheden is behoefte aan opleidingen op universiteiten en hogescholen, waarin kennis van </w:t>
      </w:r>
      <w:r w:rsidRPr="00460324" w:rsidR="00F15ADF">
        <w:rPr>
          <w:rFonts w:ascii="Verdana" w:hAnsi="Verdana"/>
          <w:color w:val="031E31"/>
          <w:sz w:val="18"/>
          <w:szCs w:val="18"/>
          <w:lang w:val="nl-NL"/>
        </w:rPr>
        <w:t xml:space="preserve">technologie, </w:t>
      </w:r>
      <w:r w:rsidRPr="00460324" w:rsidR="009E7C69">
        <w:rPr>
          <w:rFonts w:ascii="Verdana" w:hAnsi="Verdana"/>
          <w:color w:val="031E31"/>
          <w:sz w:val="18"/>
          <w:szCs w:val="18"/>
          <w:lang w:val="nl-NL"/>
        </w:rPr>
        <w:t>ICT, dataver</w:t>
      </w:r>
      <w:r w:rsidRPr="00460324" w:rsidR="00FC4AD9">
        <w:rPr>
          <w:rFonts w:ascii="Verdana" w:hAnsi="Verdana"/>
          <w:color w:val="031E31"/>
          <w:sz w:val="18"/>
          <w:szCs w:val="18"/>
          <w:lang w:val="nl-NL"/>
        </w:rPr>
        <w:t>werking en ondernemerschap worden</w:t>
      </w:r>
      <w:r w:rsidRPr="00460324" w:rsidR="009E7C69">
        <w:rPr>
          <w:rFonts w:ascii="Verdana" w:hAnsi="Verdana"/>
          <w:color w:val="031E31"/>
          <w:sz w:val="18"/>
          <w:szCs w:val="18"/>
          <w:lang w:val="nl-NL"/>
        </w:rPr>
        <w:t xml:space="preserve"> gecombineerd.</w:t>
      </w:r>
    </w:p>
    <w:p w:rsidRPr="000047FB" w:rsidR="00C60362" w:rsidP="003A7671" w:rsidRDefault="00C60362">
      <w:pPr>
        <w:pStyle w:val="Lijstalinea"/>
        <w:ind w:left="426"/>
        <w:rPr>
          <w:rFonts w:ascii="Verdana" w:hAnsi="Verdana"/>
          <w:sz w:val="18"/>
          <w:szCs w:val="18"/>
          <w:lang w:val="nl-NL"/>
        </w:rPr>
      </w:pPr>
    </w:p>
    <w:p w:rsidRPr="00460324" w:rsidR="00BC59A0" w:rsidP="00460324" w:rsidRDefault="00BC59A0">
      <w:pPr>
        <w:rPr>
          <w:rFonts w:ascii="Verdana" w:hAnsi="Verdana"/>
          <w:sz w:val="18"/>
          <w:szCs w:val="18"/>
          <w:lang w:val="nl-NL"/>
        </w:rPr>
      </w:pPr>
      <w:r w:rsidRPr="00460324">
        <w:rPr>
          <w:rFonts w:ascii="Verdana" w:hAnsi="Verdana"/>
          <w:sz w:val="18"/>
          <w:szCs w:val="18"/>
          <w:lang w:val="nl-NL"/>
        </w:rPr>
        <w:lastRenderedPageBreak/>
        <w:t>Het NSO en ESA hebben samen met het Science Center NEMO te Amsterdam een</w:t>
      </w:r>
      <w:r w:rsidRPr="00460324" w:rsidR="00D908C3">
        <w:rPr>
          <w:rFonts w:ascii="Verdana" w:hAnsi="Verdana"/>
          <w:sz w:val="18"/>
          <w:szCs w:val="18"/>
          <w:lang w:val="nl-NL"/>
        </w:rPr>
        <w:t xml:space="preserve"> </w:t>
      </w:r>
      <w:r w:rsidRPr="00460324">
        <w:rPr>
          <w:rFonts w:ascii="Verdana" w:hAnsi="Verdana"/>
          <w:sz w:val="18"/>
          <w:szCs w:val="18"/>
          <w:lang w:val="nl-NL"/>
        </w:rPr>
        <w:t xml:space="preserve">groot educatief programma opgezet: het European Space Education Resource Office (ESERO), gevestigd bij NEMO. Dit programma bestaat </w:t>
      </w:r>
      <w:r w:rsidRPr="00460324" w:rsidR="000A7026">
        <w:rPr>
          <w:rFonts w:ascii="Verdana" w:hAnsi="Verdana"/>
          <w:sz w:val="18"/>
          <w:szCs w:val="18"/>
          <w:lang w:val="nl-NL"/>
        </w:rPr>
        <w:t>in 2016</w:t>
      </w:r>
      <w:r w:rsidRPr="00460324">
        <w:rPr>
          <w:rFonts w:ascii="Verdana" w:hAnsi="Verdana"/>
          <w:sz w:val="18"/>
          <w:szCs w:val="18"/>
          <w:lang w:val="nl-NL"/>
        </w:rPr>
        <w:t xml:space="preserve"> 10 ja</w:t>
      </w:r>
      <w:r w:rsidRPr="00460324" w:rsidR="000A7026">
        <w:rPr>
          <w:rFonts w:ascii="Verdana" w:hAnsi="Verdana"/>
          <w:sz w:val="18"/>
          <w:szCs w:val="18"/>
          <w:lang w:val="nl-NL"/>
        </w:rPr>
        <w:t>a</w:t>
      </w:r>
      <w:r w:rsidRPr="00460324">
        <w:rPr>
          <w:rFonts w:ascii="Verdana" w:hAnsi="Verdana"/>
          <w:sz w:val="18"/>
          <w:szCs w:val="18"/>
          <w:lang w:val="nl-NL"/>
        </w:rPr>
        <w:t>r. Vanuit dit programma worden workshops georganiseerd over ruimte</w:t>
      </w:r>
      <w:r w:rsidRPr="00460324" w:rsidR="00E23E25">
        <w:rPr>
          <w:rFonts w:ascii="Verdana" w:hAnsi="Verdana"/>
          <w:sz w:val="18"/>
          <w:szCs w:val="18"/>
          <w:lang w:val="nl-NL"/>
        </w:rPr>
        <w:t>vaart en techniek voor docen</w:t>
      </w:r>
      <w:r w:rsidRPr="00460324">
        <w:rPr>
          <w:rFonts w:ascii="Verdana" w:hAnsi="Verdana"/>
          <w:sz w:val="18"/>
          <w:szCs w:val="18"/>
          <w:lang w:val="nl-NL"/>
        </w:rPr>
        <w:t>ten en leerlingen van basis en middelbare scholen. Daarn</w:t>
      </w:r>
      <w:r w:rsidRPr="00460324" w:rsidR="000A7026">
        <w:rPr>
          <w:rFonts w:ascii="Verdana" w:hAnsi="Verdana"/>
          <w:sz w:val="18"/>
          <w:szCs w:val="18"/>
          <w:lang w:val="nl-NL"/>
        </w:rPr>
        <w:t>a</w:t>
      </w:r>
      <w:r w:rsidRPr="00460324">
        <w:rPr>
          <w:rFonts w:ascii="Verdana" w:hAnsi="Verdana"/>
          <w:sz w:val="18"/>
          <w:szCs w:val="18"/>
          <w:lang w:val="nl-NL"/>
        </w:rPr>
        <w:t xml:space="preserve">ast worden met scholen projecten opgezet en een website beheerd: </w:t>
      </w:r>
      <w:hyperlink w:history="1" r:id="rId10">
        <w:r w:rsidRPr="008816DE">
          <w:rPr>
            <w:rStyle w:val="Hyperlink"/>
            <w:rFonts w:ascii="Verdana" w:hAnsi="Verdana"/>
            <w:sz w:val="18"/>
            <w:szCs w:val="18"/>
            <w:lang w:val="nl-NL"/>
          </w:rPr>
          <w:t>www.ruimtevaartindeklas.nl</w:t>
        </w:r>
      </w:hyperlink>
      <w:r w:rsidRPr="0043482B" w:rsidR="00B4174B">
        <w:rPr>
          <w:rStyle w:val="Hyperlink"/>
          <w:rFonts w:ascii="Verdana" w:hAnsi="Verdana"/>
          <w:sz w:val="18"/>
          <w:szCs w:val="18"/>
          <w:lang w:val="nl-NL"/>
        </w:rPr>
        <w:t>,</w:t>
      </w:r>
      <w:r w:rsidRPr="00460324">
        <w:rPr>
          <w:rFonts w:ascii="Verdana" w:hAnsi="Verdana"/>
          <w:sz w:val="18"/>
          <w:szCs w:val="18"/>
          <w:lang w:val="nl-NL"/>
        </w:rPr>
        <w:t xml:space="preserve"> waarmee langs digitale weg allerlei educatie-materiaal beschikbaar wordt ges</w:t>
      </w:r>
      <w:r w:rsidRPr="00460324" w:rsidR="00E23E25">
        <w:rPr>
          <w:rFonts w:ascii="Verdana" w:hAnsi="Verdana"/>
          <w:sz w:val="18"/>
          <w:szCs w:val="18"/>
          <w:lang w:val="nl-NL"/>
        </w:rPr>
        <w:t>teld aan scholen en docenten</w:t>
      </w:r>
      <w:r w:rsidRPr="00460324">
        <w:rPr>
          <w:rFonts w:ascii="Verdana" w:hAnsi="Verdana"/>
          <w:sz w:val="18"/>
          <w:szCs w:val="18"/>
          <w:lang w:val="nl-NL"/>
        </w:rPr>
        <w:t>.</w:t>
      </w:r>
    </w:p>
    <w:p w:rsidR="00886ED4" w:rsidP="003A7671" w:rsidRDefault="00886ED4">
      <w:pPr>
        <w:pStyle w:val="Lijstalinea"/>
        <w:ind w:left="426" w:hanging="426"/>
        <w:rPr>
          <w:rFonts w:ascii="Verdana" w:hAnsi="Verdana"/>
          <w:sz w:val="18"/>
          <w:szCs w:val="18"/>
          <w:lang w:val="nl-NL"/>
        </w:rPr>
      </w:pPr>
    </w:p>
    <w:p w:rsidRPr="000047FB" w:rsidR="0043482B" w:rsidRDefault="0043482B">
      <w:pPr>
        <w:pStyle w:val="Lijstalinea"/>
        <w:ind w:left="426" w:hanging="426"/>
        <w:rPr>
          <w:rFonts w:ascii="Verdana" w:hAnsi="Verdana"/>
          <w:sz w:val="18"/>
          <w:szCs w:val="18"/>
          <w:lang w:val="nl-NL"/>
        </w:rPr>
      </w:pPr>
    </w:p>
    <w:p w:rsidRPr="000047FB" w:rsidR="003B101C" w:rsidRDefault="003B101C">
      <w:pPr>
        <w:pStyle w:val="Lijstalinea"/>
        <w:numPr>
          <w:ilvl w:val="0"/>
          <w:numId w:val="1"/>
        </w:numPr>
        <w:ind w:left="426" w:hanging="426"/>
        <w:rPr>
          <w:rFonts w:ascii="Verdana" w:hAnsi="Verdana"/>
          <w:sz w:val="18"/>
          <w:szCs w:val="18"/>
          <w:u w:val="single"/>
          <w:lang w:val="nl-NL"/>
        </w:rPr>
      </w:pPr>
      <w:r w:rsidRPr="000047FB">
        <w:rPr>
          <w:rFonts w:ascii="Verdana" w:hAnsi="Verdana"/>
          <w:sz w:val="18"/>
          <w:szCs w:val="18"/>
          <w:u w:val="single"/>
          <w:lang w:val="nl-NL"/>
        </w:rPr>
        <w:t>Ruimtevaart en veiligheidsvraagstukken</w:t>
      </w:r>
    </w:p>
    <w:p w:rsidRPr="000047FB" w:rsidR="00A63850" w:rsidRDefault="00A63850">
      <w:pPr>
        <w:rPr>
          <w:rFonts w:ascii="Verdana" w:hAnsi="Verdana"/>
          <w:sz w:val="18"/>
          <w:szCs w:val="18"/>
          <w:u w:val="single"/>
          <w:lang w:val="nl-NL"/>
        </w:rPr>
      </w:pPr>
    </w:p>
    <w:p w:rsidRPr="000047FB" w:rsidR="004D2B3B" w:rsidP="00460324" w:rsidRDefault="004D2B3B">
      <w:pPr>
        <w:rPr>
          <w:rFonts w:ascii="Verdana" w:hAnsi="Verdana" w:eastAsia="Calibri" w:cs="Calibri"/>
          <w:sz w:val="18"/>
          <w:szCs w:val="18"/>
          <w:lang w:val="nl-NL"/>
        </w:rPr>
      </w:pPr>
      <w:r w:rsidRPr="000047FB">
        <w:rPr>
          <w:rFonts w:ascii="Verdana" w:hAnsi="Verdana" w:eastAsia="Calibri" w:cs="Calibri"/>
          <w:sz w:val="18"/>
          <w:szCs w:val="18"/>
          <w:lang w:val="nl-NL"/>
        </w:rPr>
        <w:t>Als gevolg van commercialisatie van ruimtediensten en de miniaturisatie van technologie hebben steeds meer partijen, ook private ondernemingen, toegang tot de ruimte. Dit heeft geleid tot een sterke groei van het aantal satellieten dat jaarlijks in een baan rond de</w:t>
      </w:r>
      <w:r w:rsidR="003715D9">
        <w:rPr>
          <w:rFonts w:ascii="Verdana" w:hAnsi="Verdana" w:eastAsia="Calibri" w:cs="Calibri"/>
          <w:sz w:val="18"/>
          <w:szCs w:val="18"/>
          <w:lang w:val="nl-NL"/>
        </w:rPr>
        <w:t xml:space="preserve"> aarde wordt gebracht. O</w:t>
      </w:r>
      <w:r w:rsidRPr="000047FB">
        <w:rPr>
          <w:rFonts w:ascii="Verdana" w:hAnsi="Verdana" w:eastAsia="Calibri" w:cs="Calibri"/>
          <w:sz w:val="18"/>
          <w:szCs w:val="18"/>
          <w:lang w:val="nl-NL"/>
        </w:rPr>
        <w:t xml:space="preserve">ok </w:t>
      </w:r>
      <w:r w:rsidR="003715D9">
        <w:rPr>
          <w:rFonts w:ascii="Verdana" w:hAnsi="Verdana" w:eastAsia="Calibri" w:cs="Calibri"/>
          <w:sz w:val="18"/>
          <w:szCs w:val="18"/>
          <w:lang w:val="nl-NL"/>
        </w:rPr>
        <w:t xml:space="preserve">neemt </w:t>
      </w:r>
      <w:r w:rsidRPr="000047FB">
        <w:rPr>
          <w:rFonts w:ascii="Verdana" w:hAnsi="Verdana" w:eastAsia="Calibri" w:cs="Calibri"/>
          <w:sz w:val="18"/>
          <w:szCs w:val="18"/>
          <w:lang w:val="nl-NL"/>
        </w:rPr>
        <w:t>de hoeveelheid in onbruik geraakte satellieten en sa</w:t>
      </w:r>
      <w:r w:rsidR="003715D9">
        <w:rPr>
          <w:rFonts w:ascii="Verdana" w:hAnsi="Verdana" w:eastAsia="Calibri" w:cs="Calibri"/>
          <w:sz w:val="18"/>
          <w:szCs w:val="18"/>
          <w:lang w:val="nl-NL"/>
        </w:rPr>
        <w:t>tellietresten (ruimtepuin)</w:t>
      </w:r>
      <w:r w:rsidRPr="000047FB">
        <w:rPr>
          <w:rFonts w:ascii="Verdana" w:hAnsi="Verdana" w:eastAsia="Calibri" w:cs="Calibri"/>
          <w:sz w:val="18"/>
          <w:szCs w:val="18"/>
          <w:lang w:val="nl-NL"/>
        </w:rPr>
        <w:t xml:space="preserve"> steeds verder toe waardoor</w:t>
      </w:r>
      <w:r w:rsidR="003715D9">
        <w:rPr>
          <w:rFonts w:ascii="Verdana" w:hAnsi="Verdana" w:eastAsia="Calibri" w:cs="Calibri"/>
          <w:sz w:val="18"/>
          <w:szCs w:val="18"/>
          <w:lang w:val="nl-NL"/>
        </w:rPr>
        <w:t xml:space="preserve"> </w:t>
      </w:r>
      <w:r w:rsidRPr="000047FB" w:rsidR="003715D9">
        <w:rPr>
          <w:rFonts w:ascii="Verdana" w:hAnsi="Verdana" w:eastAsia="Calibri" w:cs="Calibri"/>
          <w:sz w:val="18"/>
          <w:szCs w:val="18"/>
          <w:lang w:val="nl-NL"/>
        </w:rPr>
        <w:t>de kans</w:t>
      </w:r>
      <w:r w:rsidR="003715D9">
        <w:rPr>
          <w:rFonts w:ascii="Verdana" w:hAnsi="Verdana" w:eastAsia="Calibri" w:cs="Calibri"/>
          <w:sz w:val="18"/>
          <w:szCs w:val="18"/>
          <w:lang w:val="nl-NL"/>
        </w:rPr>
        <w:t xml:space="preserve"> toeneemt</w:t>
      </w:r>
      <w:r w:rsidRPr="000047FB" w:rsidR="003715D9">
        <w:rPr>
          <w:rFonts w:ascii="Verdana" w:hAnsi="Verdana" w:eastAsia="Calibri" w:cs="Calibri"/>
          <w:sz w:val="18"/>
          <w:szCs w:val="18"/>
          <w:lang w:val="nl-NL"/>
        </w:rPr>
        <w:t xml:space="preserve"> op fatale schade aan operationele satellieten</w:t>
      </w:r>
      <w:r w:rsidR="003715D9">
        <w:rPr>
          <w:rFonts w:ascii="Verdana" w:hAnsi="Verdana" w:eastAsia="Calibri" w:cs="Calibri"/>
          <w:sz w:val="18"/>
          <w:szCs w:val="18"/>
          <w:lang w:val="nl-NL"/>
        </w:rPr>
        <w:t xml:space="preserve"> </w:t>
      </w:r>
      <w:r w:rsidR="0044224E">
        <w:rPr>
          <w:rFonts w:ascii="Verdana" w:hAnsi="Verdana" w:eastAsia="Calibri" w:cs="Calibri"/>
          <w:sz w:val="18"/>
          <w:szCs w:val="18"/>
          <w:lang w:val="nl-NL"/>
        </w:rPr>
        <w:t>als</w:t>
      </w:r>
      <w:r w:rsidR="003715D9">
        <w:rPr>
          <w:rFonts w:ascii="Verdana" w:hAnsi="Verdana" w:eastAsia="Calibri" w:cs="Calibri"/>
          <w:sz w:val="18"/>
          <w:szCs w:val="18"/>
          <w:lang w:val="nl-NL"/>
        </w:rPr>
        <w:t xml:space="preserve"> gevolg van mogelijke botsingen</w:t>
      </w:r>
      <w:r w:rsidRPr="000047FB">
        <w:rPr>
          <w:rFonts w:ascii="Verdana" w:hAnsi="Verdana" w:eastAsia="Calibri" w:cs="Calibri"/>
          <w:sz w:val="18"/>
          <w:szCs w:val="18"/>
          <w:lang w:val="nl-NL"/>
        </w:rPr>
        <w:t xml:space="preserve">. Daarnaast investeren militaire grootmachten als China, Rusland en de VS </w:t>
      </w:r>
      <w:r w:rsidR="003715D9">
        <w:rPr>
          <w:rFonts w:ascii="Verdana" w:hAnsi="Verdana" w:eastAsia="Calibri" w:cs="Calibri"/>
          <w:sz w:val="18"/>
          <w:szCs w:val="18"/>
          <w:lang w:val="nl-NL"/>
        </w:rPr>
        <w:t>in satelliet</w:t>
      </w:r>
      <w:r w:rsidRPr="000047FB">
        <w:rPr>
          <w:rFonts w:ascii="Verdana" w:hAnsi="Verdana" w:eastAsia="Calibri" w:cs="Calibri"/>
          <w:sz w:val="18"/>
          <w:szCs w:val="18"/>
          <w:lang w:val="nl-NL"/>
        </w:rPr>
        <w:t>systemen die specifiek gericht zijn op het ver</w:t>
      </w:r>
      <w:r w:rsidR="003715D9">
        <w:rPr>
          <w:rFonts w:ascii="Verdana" w:hAnsi="Verdana" w:eastAsia="Calibri" w:cs="Calibri"/>
          <w:sz w:val="18"/>
          <w:szCs w:val="18"/>
          <w:lang w:val="nl-NL"/>
        </w:rPr>
        <w:t xml:space="preserve">krijgen of behouden van een positie in </w:t>
      </w:r>
      <w:r w:rsidRPr="000047FB">
        <w:rPr>
          <w:rFonts w:ascii="Verdana" w:hAnsi="Verdana" w:eastAsia="Calibri" w:cs="Calibri"/>
          <w:sz w:val="18"/>
          <w:szCs w:val="18"/>
          <w:lang w:val="nl-NL"/>
        </w:rPr>
        <w:t xml:space="preserve">het ruimtedomein. </w:t>
      </w:r>
    </w:p>
    <w:p w:rsidRPr="000047FB" w:rsidR="0043482B" w:rsidP="00460324" w:rsidRDefault="0043482B">
      <w:pPr>
        <w:rPr>
          <w:rFonts w:ascii="Verdana" w:hAnsi="Verdana" w:eastAsia="Calibri" w:cs="Calibri"/>
          <w:sz w:val="18"/>
          <w:szCs w:val="18"/>
          <w:lang w:val="nl-NL"/>
        </w:rPr>
      </w:pPr>
    </w:p>
    <w:p w:rsidR="0044224E" w:rsidP="00460324" w:rsidRDefault="00F6022C">
      <w:pPr>
        <w:rPr>
          <w:rFonts w:ascii="Verdana" w:hAnsi="Verdana" w:eastAsia="Calibri" w:cs="Calibri"/>
          <w:sz w:val="18"/>
          <w:szCs w:val="18"/>
          <w:lang w:val="nl-NL"/>
        </w:rPr>
      </w:pPr>
      <w:r w:rsidRPr="000047FB">
        <w:rPr>
          <w:rFonts w:ascii="Verdana" w:hAnsi="Verdana" w:eastAsia="Calibri" w:cs="Calibri"/>
          <w:sz w:val="18"/>
          <w:szCs w:val="18"/>
          <w:lang w:val="nl-NL"/>
        </w:rPr>
        <w:t>Samenlevingen worden steeds afhankelijker van de benutting van satellietdata en satellieten</w:t>
      </w:r>
      <w:r w:rsidR="0044224E">
        <w:rPr>
          <w:rFonts w:ascii="Verdana" w:hAnsi="Verdana" w:eastAsia="Calibri" w:cs="Calibri"/>
          <w:sz w:val="18"/>
          <w:szCs w:val="18"/>
          <w:lang w:val="nl-NL"/>
        </w:rPr>
        <w:t>, mede omdat steeds meer verouderde methoden voor deze functionaliteiten uit kostenbesparing buiten werking worden gesteld of ontmanteld</w:t>
      </w:r>
      <w:r w:rsidRPr="000047FB">
        <w:rPr>
          <w:rFonts w:ascii="Verdana" w:hAnsi="Verdana" w:eastAsia="Calibri" w:cs="Calibri"/>
          <w:sz w:val="18"/>
          <w:szCs w:val="18"/>
          <w:lang w:val="nl-NL"/>
        </w:rPr>
        <w:t xml:space="preserve">. </w:t>
      </w:r>
      <w:r w:rsidR="0044224E">
        <w:rPr>
          <w:rFonts w:ascii="Verdana" w:hAnsi="Verdana" w:eastAsia="Calibri" w:cs="Calibri"/>
          <w:sz w:val="18"/>
          <w:szCs w:val="18"/>
          <w:lang w:val="nl-NL"/>
        </w:rPr>
        <w:t>Dat betekent dat er steeds minder alternatieven zijn voor bijvoorbeeld tijd- en plaatsbepaling, mocht de ruimtevaartmodus (tijdelijk) uitvallen.</w:t>
      </w:r>
    </w:p>
    <w:p w:rsidR="00602FBA" w:rsidP="00460324" w:rsidRDefault="00602FBA">
      <w:pPr>
        <w:rPr>
          <w:rFonts w:ascii="Verdana" w:hAnsi="Verdana" w:eastAsia="Calibri" w:cs="Calibri"/>
          <w:sz w:val="18"/>
          <w:szCs w:val="18"/>
          <w:lang w:val="nl-NL"/>
        </w:rPr>
      </w:pPr>
      <w:r>
        <w:rPr>
          <w:rFonts w:ascii="Verdana" w:hAnsi="Verdana" w:eastAsia="Calibri" w:cs="Calibri"/>
          <w:sz w:val="18"/>
          <w:szCs w:val="18"/>
          <w:lang w:val="nl-NL"/>
        </w:rPr>
        <w:t xml:space="preserve">Vastgesteld moet daarbij worden dat veel primaire faciliteiten in de ruimte </w:t>
      </w:r>
      <w:r w:rsidR="003715D9">
        <w:rPr>
          <w:rFonts w:ascii="Verdana" w:hAnsi="Verdana" w:eastAsia="Calibri" w:cs="Calibri"/>
          <w:sz w:val="18"/>
          <w:szCs w:val="18"/>
          <w:lang w:val="nl-NL"/>
        </w:rPr>
        <w:t xml:space="preserve">beheerd </w:t>
      </w:r>
      <w:r>
        <w:rPr>
          <w:rFonts w:ascii="Verdana" w:hAnsi="Verdana" w:eastAsia="Calibri" w:cs="Calibri"/>
          <w:sz w:val="18"/>
          <w:szCs w:val="18"/>
          <w:lang w:val="nl-NL"/>
        </w:rPr>
        <w:t xml:space="preserve">worden door </w:t>
      </w:r>
      <w:r w:rsidR="003715D9">
        <w:rPr>
          <w:rFonts w:ascii="Verdana" w:hAnsi="Verdana" w:eastAsia="Calibri" w:cs="Calibri"/>
          <w:sz w:val="18"/>
          <w:szCs w:val="18"/>
          <w:lang w:val="nl-NL"/>
        </w:rPr>
        <w:t xml:space="preserve">nationale </w:t>
      </w:r>
      <w:r>
        <w:rPr>
          <w:rFonts w:ascii="Verdana" w:hAnsi="Verdana" w:eastAsia="Calibri" w:cs="Calibri"/>
          <w:sz w:val="18"/>
          <w:szCs w:val="18"/>
          <w:lang w:val="nl-NL"/>
        </w:rPr>
        <w:t>overheden</w:t>
      </w:r>
      <w:r w:rsidR="003715D9">
        <w:rPr>
          <w:rFonts w:ascii="Verdana" w:hAnsi="Verdana" w:eastAsia="Calibri" w:cs="Calibri"/>
          <w:sz w:val="18"/>
          <w:szCs w:val="18"/>
          <w:lang w:val="nl-NL"/>
        </w:rPr>
        <w:t>, zoals het Amerikaanse gps-signaal,</w:t>
      </w:r>
      <w:r w:rsidR="003D164E">
        <w:rPr>
          <w:rFonts w:ascii="Verdana" w:hAnsi="Verdana" w:eastAsia="Calibri" w:cs="Calibri"/>
          <w:sz w:val="18"/>
          <w:szCs w:val="18"/>
          <w:lang w:val="nl-NL"/>
        </w:rPr>
        <w:t xml:space="preserve"> dat beheerd wordt door het VS-m</w:t>
      </w:r>
      <w:r w:rsidR="003715D9">
        <w:rPr>
          <w:rFonts w:ascii="Verdana" w:hAnsi="Verdana" w:eastAsia="Calibri" w:cs="Calibri"/>
          <w:sz w:val="18"/>
          <w:szCs w:val="18"/>
          <w:lang w:val="nl-NL"/>
        </w:rPr>
        <w:t>inisterie van Defensie</w:t>
      </w:r>
      <w:r>
        <w:rPr>
          <w:rFonts w:ascii="Verdana" w:hAnsi="Verdana" w:eastAsia="Calibri" w:cs="Calibri"/>
          <w:sz w:val="18"/>
          <w:szCs w:val="18"/>
          <w:lang w:val="nl-NL"/>
        </w:rPr>
        <w:t>. Een onafhankelijke toegang tot de diensten van vitale ruimtefaciliteiten is daarmee niet onder alle omstandigheden gegarandeerd. Daarom zijn Europese projecten</w:t>
      </w:r>
      <w:r w:rsidR="00D16E00">
        <w:rPr>
          <w:rFonts w:ascii="Verdana" w:hAnsi="Verdana" w:eastAsia="Calibri" w:cs="Calibri"/>
          <w:sz w:val="18"/>
          <w:szCs w:val="18"/>
          <w:lang w:val="nl-NL"/>
        </w:rPr>
        <w:t xml:space="preserve"> zoals Copernicus en Galileo</w:t>
      </w:r>
      <w:r>
        <w:rPr>
          <w:rFonts w:ascii="Verdana" w:hAnsi="Verdana" w:eastAsia="Calibri" w:cs="Calibri"/>
          <w:sz w:val="18"/>
          <w:szCs w:val="18"/>
          <w:lang w:val="nl-NL"/>
        </w:rPr>
        <w:t xml:space="preserve"> een grote </w:t>
      </w:r>
      <w:r w:rsidR="00D16E00">
        <w:rPr>
          <w:rFonts w:ascii="Verdana" w:hAnsi="Verdana" w:eastAsia="Calibri" w:cs="Calibri"/>
          <w:sz w:val="18"/>
          <w:szCs w:val="18"/>
          <w:lang w:val="nl-NL"/>
        </w:rPr>
        <w:t>aan</w:t>
      </w:r>
      <w:r>
        <w:rPr>
          <w:rFonts w:ascii="Verdana" w:hAnsi="Verdana" w:eastAsia="Calibri" w:cs="Calibri"/>
          <w:sz w:val="18"/>
          <w:szCs w:val="18"/>
          <w:lang w:val="nl-NL"/>
        </w:rPr>
        <w:t xml:space="preserve">winst: ze maken Europa onafhankelijker van landen buiten Europa. Daarnaast zorgt het voor extra back-up zolang systemen van meerdere partijen/landen functioneren en voor een ieder toegankelijk zijn. </w:t>
      </w:r>
    </w:p>
    <w:p w:rsidR="00D16E00" w:rsidP="00460324" w:rsidRDefault="00D16E00">
      <w:pPr>
        <w:ind w:left="426"/>
        <w:rPr>
          <w:rFonts w:ascii="Verdana" w:hAnsi="Verdana" w:eastAsia="Calibri" w:cs="Calibri"/>
          <w:sz w:val="18"/>
          <w:szCs w:val="18"/>
          <w:lang w:val="nl-NL"/>
        </w:rPr>
      </w:pPr>
    </w:p>
    <w:p w:rsidRPr="000047FB" w:rsidR="00F6022C" w:rsidP="00460324" w:rsidRDefault="00602FBA">
      <w:pPr>
        <w:rPr>
          <w:rFonts w:ascii="Verdana" w:hAnsi="Verdana" w:eastAsia="Calibri" w:cs="Calibri"/>
          <w:sz w:val="18"/>
          <w:szCs w:val="18"/>
          <w:lang w:val="nl-NL"/>
        </w:rPr>
      </w:pPr>
      <w:r>
        <w:rPr>
          <w:rFonts w:ascii="Verdana" w:hAnsi="Verdana" w:eastAsia="Calibri" w:cs="Calibri"/>
          <w:sz w:val="18"/>
          <w:szCs w:val="18"/>
          <w:lang w:val="nl-NL"/>
        </w:rPr>
        <w:t xml:space="preserve">Ruimtefaciliteiten kunnen ook door onopzettelijke (en niet-menselijke) oorzaak hun functie (tijdelijk) verliezen, bijvoorbeeld door magnetische straling afkomstig van de zon. Door grote uitbarstingen op de zon kunnen satelliet-infrastructuur in de ruimte, </w:t>
      </w:r>
      <w:r w:rsidR="003D164E">
        <w:rPr>
          <w:rFonts w:ascii="Verdana" w:hAnsi="Verdana" w:eastAsia="Calibri" w:cs="Calibri"/>
          <w:sz w:val="18"/>
          <w:szCs w:val="18"/>
          <w:lang w:val="nl-NL"/>
        </w:rPr>
        <w:t>en (energie-)infrastructuur op A</w:t>
      </w:r>
      <w:r>
        <w:rPr>
          <w:rFonts w:ascii="Verdana" w:hAnsi="Verdana" w:eastAsia="Calibri" w:cs="Calibri"/>
          <w:sz w:val="18"/>
          <w:szCs w:val="18"/>
          <w:lang w:val="nl-NL"/>
        </w:rPr>
        <w:t>arde, voor korte of langere tijd uitgeschakeld raken. In EU- en ESA-kader wordt onderzocht op welke wijze de kwetsbaarheid van satellieten en van aardse infrastructuur kan worden gereduceerd.</w:t>
      </w:r>
      <w:r w:rsidR="00BC1DE6">
        <w:rPr>
          <w:rFonts w:ascii="Verdana" w:hAnsi="Verdana" w:eastAsia="Calibri" w:cs="Calibri"/>
          <w:sz w:val="18"/>
          <w:szCs w:val="18"/>
          <w:lang w:val="nl-NL"/>
        </w:rPr>
        <w:t xml:space="preserve"> Nederland zal </w:t>
      </w:r>
      <w:r w:rsidR="00B5638B">
        <w:rPr>
          <w:rFonts w:ascii="Verdana" w:hAnsi="Verdana" w:eastAsia="Calibri" w:cs="Calibri"/>
          <w:sz w:val="18"/>
          <w:szCs w:val="18"/>
          <w:lang w:val="nl-NL"/>
        </w:rPr>
        <w:t xml:space="preserve">gaan participeren in het </w:t>
      </w:r>
      <w:r w:rsidR="00BC1DE6">
        <w:rPr>
          <w:rFonts w:ascii="Verdana" w:hAnsi="Verdana" w:eastAsia="Calibri" w:cs="Calibri"/>
          <w:sz w:val="18"/>
          <w:szCs w:val="18"/>
          <w:lang w:val="nl-NL"/>
        </w:rPr>
        <w:t xml:space="preserve">desbetreffende </w:t>
      </w:r>
      <w:r w:rsidR="00B5638B">
        <w:rPr>
          <w:rFonts w:ascii="Verdana" w:hAnsi="Verdana" w:eastAsia="Calibri" w:cs="Calibri"/>
          <w:sz w:val="18"/>
          <w:szCs w:val="18"/>
          <w:lang w:val="nl-NL"/>
        </w:rPr>
        <w:t>ESA-programma voor “Spa</w:t>
      </w:r>
      <w:r w:rsidR="003715D9">
        <w:rPr>
          <w:rFonts w:ascii="Verdana" w:hAnsi="Verdana" w:eastAsia="Calibri" w:cs="Calibri"/>
          <w:sz w:val="18"/>
          <w:szCs w:val="18"/>
          <w:lang w:val="nl-NL"/>
        </w:rPr>
        <w:t xml:space="preserve">ce Situational Awareness” (SSA) dat gericht is op het tijdig signaleren van potentiële bedreigingen voor de Aarde vanuit de ruimte, zoals </w:t>
      </w:r>
      <w:r w:rsidR="00D16E00">
        <w:rPr>
          <w:rFonts w:ascii="Verdana" w:hAnsi="Verdana" w:eastAsia="Calibri" w:cs="Calibri"/>
          <w:sz w:val="18"/>
          <w:szCs w:val="18"/>
          <w:lang w:val="nl-NL"/>
        </w:rPr>
        <w:t>extreme zonneactiviteit</w:t>
      </w:r>
      <w:r w:rsidR="003715D9">
        <w:rPr>
          <w:rFonts w:ascii="Verdana" w:hAnsi="Verdana" w:eastAsia="Calibri" w:cs="Calibri"/>
          <w:sz w:val="18"/>
          <w:szCs w:val="18"/>
          <w:lang w:val="nl-NL"/>
        </w:rPr>
        <w:t>.</w:t>
      </w:r>
    </w:p>
    <w:p w:rsidRPr="000047FB" w:rsidR="00BD2B7F" w:rsidP="00460324" w:rsidRDefault="00BD2B7F">
      <w:pPr>
        <w:ind w:left="426"/>
        <w:rPr>
          <w:rFonts w:ascii="Verdana" w:hAnsi="Verdana" w:eastAsia="Calibri" w:cs="Calibri"/>
          <w:sz w:val="18"/>
          <w:szCs w:val="18"/>
          <w:lang w:val="nl-NL"/>
        </w:rPr>
      </w:pPr>
    </w:p>
    <w:p w:rsidR="00D16E00" w:rsidP="00460324" w:rsidRDefault="004D2B3B">
      <w:pPr>
        <w:rPr>
          <w:rFonts w:ascii="Verdana" w:hAnsi="Verdana" w:eastAsia="Calibri" w:cs="Calibri"/>
          <w:sz w:val="18"/>
          <w:szCs w:val="18"/>
          <w:lang w:val="nl-NL"/>
        </w:rPr>
      </w:pPr>
      <w:r w:rsidRPr="000047FB">
        <w:rPr>
          <w:rFonts w:ascii="Verdana" w:hAnsi="Verdana" w:eastAsia="Calibri" w:cs="Calibri"/>
          <w:sz w:val="18"/>
          <w:szCs w:val="18"/>
          <w:lang w:val="nl-NL"/>
        </w:rPr>
        <w:t xml:space="preserve">In Nederland </w:t>
      </w:r>
      <w:r w:rsidR="00BC1DE6">
        <w:rPr>
          <w:rFonts w:ascii="Verdana" w:hAnsi="Verdana" w:eastAsia="Calibri" w:cs="Calibri"/>
          <w:sz w:val="18"/>
          <w:szCs w:val="18"/>
          <w:lang w:val="nl-NL"/>
        </w:rPr>
        <w:t xml:space="preserve">en Europa </w:t>
      </w:r>
      <w:r w:rsidRPr="000047FB">
        <w:rPr>
          <w:rFonts w:ascii="Verdana" w:hAnsi="Verdana" w:eastAsia="Calibri" w:cs="Calibri"/>
          <w:sz w:val="18"/>
          <w:szCs w:val="18"/>
          <w:lang w:val="nl-NL"/>
        </w:rPr>
        <w:t xml:space="preserve">bestaat een groeiend besef van het belang en omvang van de </w:t>
      </w:r>
      <w:r w:rsidR="00A067B6">
        <w:rPr>
          <w:rFonts w:ascii="Verdana" w:hAnsi="Verdana" w:eastAsia="Calibri" w:cs="Calibri"/>
          <w:sz w:val="18"/>
          <w:szCs w:val="18"/>
          <w:lang w:val="nl-NL"/>
        </w:rPr>
        <w:t xml:space="preserve">kansen en veiligheidsrisico’s </w:t>
      </w:r>
      <w:r w:rsidRPr="000047FB">
        <w:rPr>
          <w:rFonts w:ascii="Verdana" w:hAnsi="Verdana" w:eastAsia="Calibri" w:cs="Calibri"/>
          <w:sz w:val="18"/>
          <w:szCs w:val="18"/>
          <w:lang w:val="nl-NL"/>
        </w:rPr>
        <w:t xml:space="preserve">van bovengenoemde ontwikkelingen. De veiligheidsdimensie van het ruimtevaartbeleid is echter dermate veelzijdig dat de kennis en beleidsverantwoordelijkheid bij verschillende departementen belegd is. </w:t>
      </w:r>
    </w:p>
    <w:p w:rsidRPr="000047FB" w:rsidR="004D2B3B" w:rsidP="00460324" w:rsidRDefault="004D2B3B">
      <w:pPr>
        <w:rPr>
          <w:rFonts w:ascii="Verdana" w:hAnsi="Verdana" w:eastAsia="Calibri" w:cs="Calibri"/>
          <w:sz w:val="18"/>
          <w:szCs w:val="18"/>
          <w:lang w:val="nl-NL"/>
        </w:rPr>
      </w:pPr>
      <w:r w:rsidRPr="000047FB">
        <w:rPr>
          <w:rFonts w:ascii="Verdana" w:hAnsi="Verdana" w:eastAsia="Calibri" w:cs="Calibri"/>
          <w:sz w:val="18"/>
          <w:szCs w:val="18"/>
          <w:lang w:val="nl-NL"/>
        </w:rPr>
        <w:t xml:space="preserve">Bij </w:t>
      </w:r>
      <w:r w:rsidRPr="000047FB" w:rsidR="00594BCE">
        <w:rPr>
          <w:rFonts w:ascii="Verdana" w:hAnsi="Verdana" w:eastAsia="Calibri" w:cs="Calibri"/>
          <w:sz w:val="18"/>
          <w:szCs w:val="18"/>
          <w:lang w:val="nl-NL"/>
        </w:rPr>
        <w:t xml:space="preserve">het </w:t>
      </w:r>
      <w:r w:rsidR="003D164E">
        <w:rPr>
          <w:rFonts w:ascii="Verdana" w:hAnsi="Verdana" w:eastAsia="Calibri" w:cs="Calibri"/>
          <w:sz w:val="18"/>
          <w:szCs w:val="18"/>
          <w:lang w:val="nl-NL"/>
        </w:rPr>
        <w:t>m</w:t>
      </w:r>
      <w:r w:rsidRPr="000047FB" w:rsidR="00594BCE">
        <w:rPr>
          <w:rFonts w:ascii="Verdana" w:hAnsi="Verdana" w:eastAsia="Calibri" w:cs="Calibri"/>
          <w:sz w:val="18"/>
          <w:szCs w:val="18"/>
          <w:lang w:val="nl-NL"/>
        </w:rPr>
        <w:t xml:space="preserve">inisterie van </w:t>
      </w:r>
      <w:r w:rsidRPr="000047FB">
        <w:rPr>
          <w:rFonts w:ascii="Verdana" w:hAnsi="Verdana" w:eastAsia="Calibri" w:cs="Calibri"/>
          <w:sz w:val="18"/>
          <w:szCs w:val="18"/>
          <w:lang w:val="nl-NL"/>
        </w:rPr>
        <w:t>Defensie is de afgelopen jaren het besef gegroeid dat het departement een rol kan vervullen in de kennisopbouw en beleidsontwikkeling wat betreft de defensie– en veiligheidsaspecten van ruimtevaart. Daarbij gaat de aandacht vooral uit naar he</w:t>
      </w:r>
      <w:r w:rsidR="00A067B6">
        <w:rPr>
          <w:rFonts w:ascii="Verdana" w:hAnsi="Verdana" w:eastAsia="Calibri" w:cs="Calibri"/>
          <w:sz w:val="18"/>
          <w:szCs w:val="18"/>
          <w:lang w:val="nl-NL"/>
        </w:rPr>
        <w:t>t versterken van inzicht in de ruimteomgeving</w:t>
      </w:r>
      <w:r w:rsidR="00B5638B">
        <w:rPr>
          <w:rFonts w:ascii="Verdana" w:hAnsi="Verdana" w:eastAsia="Calibri" w:cs="Calibri"/>
          <w:sz w:val="18"/>
          <w:szCs w:val="18"/>
          <w:lang w:val="nl-NL"/>
        </w:rPr>
        <w:t xml:space="preserve"> (</w:t>
      </w:r>
      <w:r w:rsidR="00A067B6">
        <w:rPr>
          <w:rFonts w:ascii="Verdana" w:hAnsi="Verdana" w:eastAsia="Calibri" w:cs="Calibri"/>
          <w:sz w:val="18"/>
          <w:szCs w:val="18"/>
          <w:lang w:val="nl-NL"/>
        </w:rPr>
        <w:t xml:space="preserve">waar zijn satellieten, waar bevindt zich ruimtepuin?; </w:t>
      </w:r>
      <w:r w:rsidR="00B5638B">
        <w:rPr>
          <w:rFonts w:ascii="Verdana" w:hAnsi="Verdana" w:eastAsia="Calibri" w:cs="Calibri"/>
          <w:sz w:val="18"/>
          <w:szCs w:val="18"/>
          <w:lang w:val="nl-NL"/>
        </w:rPr>
        <w:t>“Space Situational A</w:t>
      </w:r>
      <w:r w:rsidRPr="000047FB">
        <w:rPr>
          <w:rFonts w:ascii="Verdana" w:hAnsi="Verdana" w:eastAsia="Calibri" w:cs="Calibri"/>
          <w:sz w:val="18"/>
          <w:szCs w:val="18"/>
          <w:lang w:val="nl-NL"/>
        </w:rPr>
        <w:t>wareness”), het verkrijgen van een beter inzicht in de invloed en voorspelbaarheid van zonneactiviteit op militair optreden en installaties en het belang van de aansluiting</w:t>
      </w:r>
      <w:r w:rsidRPr="000047FB" w:rsidR="00D908C3">
        <w:rPr>
          <w:rFonts w:ascii="Verdana" w:hAnsi="Verdana" w:eastAsia="Calibri" w:cs="Calibri"/>
          <w:sz w:val="18"/>
          <w:szCs w:val="18"/>
          <w:lang w:val="nl-NL"/>
        </w:rPr>
        <w:t xml:space="preserve"> </w:t>
      </w:r>
      <w:r w:rsidR="00A067B6">
        <w:rPr>
          <w:rFonts w:ascii="Verdana" w:hAnsi="Verdana" w:eastAsia="Calibri" w:cs="Calibri"/>
          <w:sz w:val="18"/>
          <w:szCs w:val="18"/>
          <w:lang w:val="nl-NL"/>
        </w:rPr>
        <w:t>bij nationale activiteiten gericht op</w:t>
      </w:r>
      <w:r w:rsidRPr="000047FB">
        <w:rPr>
          <w:rFonts w:ascii="Verdana" w:hAnsi="Verdana" w:eastAsia="Calibri" w:cs="Calibri"/>
          <w:sz w:val="18"/>
          <w:szCs w:val="18"/>
          <w:lang w:val="nl-NL"/>
        </w:rPr>
        <w:t xml:space="preserve"> innovatieve satelliettoepassingen ter ondersteuning van de</w:t>
      </w:r>
      <w:r w:rsidRPr="000047FB" w:rsidR="00D908C3">
        <w:rPr>
          <w:rFonts w:ascii="Verdana" w:hAnsi="Verdana" w:eastAsia="Calibri" w:cs="Calibri"/>
          <w:sz w:val="18"/>
          <w:szCs w:val="18"/>
          <w:lang w:val="nl-NL"/>
        </w:rPr>
        <w:t xml:space="preserve"> </w:t>
      </w:r>
      <w:r w:rsidRPr="000047FB">
        <w:rPr>
          <w:rFonts w:ascii="Verdana" w:hAnsi="Verdana" w:eastAsia="Calibri" w:cs="Calibri"/>
          <w:sz w:val="18"/>
          <w:szCs w:val="18"/>
          <w:lang w:val="nl-NL"/>
        </w:rPr>
        <w:t>nationale veiligheid en internationale samenwerking.</w:t>
      </w:r>
    </w:p>
    <w:p w:rsidRPr="000047FB" w:rsidR="004D2B3B" w:rsidP="00460324" w:rsidRDefault="004D2B3B">
      <w:pPr>
        <w:ind w:left="426"/>
        <w:rPr>
          <w:rFonts w:ascii="Verdana" w:hAnsi="Verdana" w:eastAsia="Calibri" w:cs="Calibri"/>
          <w:sz w:val="18"/>
          <w:szCs w:val="18"/>
          <w:lang w:val="nl-NL"/>
        </w:rPr>
      </w:pPr>
    </w:p>
    <w:p w:rsidRPr="000047FB" w:rsidR="004D2B3B" w:rsidP="00460324" w:rsidRDefault="004D2B3B">
      <w:pPr>
        <w:rPr>
          <w:rFonts w:ascii="Verdana" w:hAnsi="Verdana" w:eastAsia="Calibri" w:cs="Calibri"/>
          <w:sz w:val="18"/>
          <w:szCs w:val="18"/>
          <w:u w:val="single"/>
          <w:lang w:val="nl-NL"/>
        </w:rPr>
      </w:pPr>
      <w:r w:rsidRPr="000047FB">
        <w:rPr>
          <w:rFonts w:ascii="Verdana" w:hAnsi="Verdana" w:eastAsia="Calibri" w:cs="Calibri"/>
          <w:sz w:val="18"/>
          <w:szCs w:val="18"/>
          <w:u w:val="single"/>
          <w:lang w:val="nl-NL"/>
        </w:rPr>
        <w:lastRenderedPageBreak/>
        <w:t xml:space="preserve">Oprichting </w:t>
      </w:r>
      <w:r w:rsidR="003D164E">
        <w:rPr>
          <w:rFonts w:ascii="Verdana" w:hAnsi="Verdana" w:eastAsia="Calibri" w:cs="Calibri"/>
          <w:sz w:val="18"/>
          <w:szCs w:val="18"/>
          <w:u w:val="single"/>
          <w:lang w:val="nl-NL"/>
        </w:rPr>
        <w:t>‘Space Security Center’</w:t>
      </w:r>
    </w:p>
    <w:p w:rsidRPr="000047FB" w:rsidR="004D2B3B" w:rsidP="00460324" w:rsidRDefault="004D2B3B">
      <w:pPr>
        <w:rPr>
          <w:rFonts w:ascii="Verdana" w:hAnsi="Verdana" w:eastAsia="Calibri" w:cs="Calibri"/>
          <w:sz w:val="18"/>
          <w:szCs w:val="18"/>
          <w:u w:val="single"/>
          <w:lang w:val="nl-NL"/>
        </w:rPr>
      </w:pPr>
      <w:r w:rsidRPr="000047FB">
        <w:rPr>
          <w:rFonts w:ascii="Verdana" w:hAnsi="Verdana" w:eastAsia="Calibri" w:cs="Calibri"/>
          <w:sz w:val="18"/>
          <w:szCs w:val="18"/>
          <w:lang w:val="nl-NL"/>
        </w:rPr>
        <w:t xml:space="preserve">Om de kennisopbouw van die veiligheidsaspecten van ruimtevaart binnen het </w:t>
      </w:r>
      <w:r w:rsidR="00B370BE">
        <w:rPr>
          <w:rFonts w:ascii="Verdana" w:hAnsi="Verdana" w:eastAsia="Calibri" w:cs="Calibri"/>
          <w:sz w:val="18"/>
          <w:szCs w:val="18"/>
          <w:lang w:val="nl-NL"/>
        </w:rPr>
        <w:t>m</w:t>
      </w:r>
      <w:r w:rsidRPr="000047FB">
        <w:rPr>
          <w:rFonts w:ascii="Verdana" w:hAnsi="Verdana" w:eastAsia="Calibri" w:cs="Calibri"/>
          <w:sz w:val="18"/>
          <w:szCs w:val="18"/>
          <w:lang w:val="nl-NL"/>
        </w:rPr>
        <w:t>inisterie van Defens</w:t>
      </w:r>
      <w:r w:rsidRPr="000047FB" w:rsidR="00BD2B7F">
        <w:rPr>
          <w:rFonts w:ascii="Verdana" w:hAnsi="Verdana" w:eastAsia="Calibri" w:cs="Calibri"/>
          <w:sz w:val="18"/>
          <w:szCs w:val="18"/>
          <w:lang w:val="nl-NL"/>
        </w:rPr>
        <w:t>ie te verankeren, is</w:t>
      </w:r>
      <w:r w:rsidR="00B4174B">
        <w:rPr>
          <w:rFonts w:ascii="Verdana" w:hAnsi="Verdana" w:eastAsia="Calibri" w:cs="Calibri"/>
          <w:sz w:val="18"/>
          <w:szCs w:val="18"/>
          <w:lang w:val="nl-NL"/>
        </w:rPr>
        <w:t xml:space="preserve"> in 2015 het “Space Security Center”</w:t>
      </w:r>
      <w:r w:rsidRPr="000047FB">
        <w:rPr>
          <w:rFonts w:ascii="Verdana" w:hAnsi="Verdana" w:eastAsia="Calibri" w:cs="Calibri"/>
          <w:sz w:val="18"/>
          <w:szCs w:val="18"/>
          <w:lang w:val="nl-NL"/>
        </w:rPr>
        <w:t xml:space="preserve"> opgericht dat</w:t>
      </w:r>
      <w:r w:rsidRPr="000047FB" w:rsidR="00D908C3">
        <w:rPr>
          <w:rFonts w:ascii="Verdana" w:hAnsi="Verdana" w:eastAsia="Calibri" w:cs="Calibri"/>
          <w:sz w:val="18"/>
          <w:szCs w:val="18"/>
          <w:lang w:val="nl-NL"/>
        </w:rPr>
        <w:t xml:space="preserve"> </w:t>
      </w:r>
      <w:r w:rsidRPr="000047FB">
        <w:rPr>
          <w:rFonts w:ascii="Verdana" w:hAnsi="Verdana" w:eastAsia="Calibri" w:cs="Calibri"/>
          <w:sz w:val="18"/>
          <w:szCs w:val="18"/>
          <w:lang w:val="nl-NL"/>
        </w:rPr>
        <w:t xml:space="preserve">bijdraagt aan </w:t>
      </w:r>
      <w:r w:rsidR="003D164E">
        <w:rPr>
          <w:rFonts w:ascii="Verdana" w:hAnsi="Verdana" w:eastAsia="Calibri" w:cs="Calibri"/>
          <w:sz w:val="18"/>
          <w:szCs w:val="18"/>
          <w:lang w:val="nl-NL"/>
        </w:rPr>
        <w:t>– voor het m</w:t>
      </w:r>
      <w:r w:rsidR="00A067B6">
        <w:rPr>
          <w:rFonts w:ascii="Verdana" w:hAnsi="Verdana" w:eastAsia="Calibri" w:cs="Calibri"/>
          <w:sz w:val="18"/>
          <w:szCs w:val="18"/>
          <w:lang w:val="nl-NL"/>
        </w:rPr>
        <w:t xml:space="preserve">inisterie van Defensie - relevante kennisopbouw, verspreiding van kennis en </w:t>
      </w:r>
      <w:r w:rsidRPr="000047FB">
        <w:rPr>
          <w:rFonts w:ascii="Verdana" w:hAnsi="Verdana" w:eastAsia="Calibri" w:cs="Calibri"/>
          <w:sz w:val="18"/>
          <w:szCs w:val="18"/>
          <w:lang w:val="nl-NL"/>
        </w:rPr>
        <w:t xml:space="preserve">organisatorische borging van ruimtevaart-gerelateerde ontwikkelingen. Voorts </w:t>
      </w:r>
      <w:r w:rsidR="003D164E">
        <w:rPr>
          <w:rFonts w:ascii="Verdana" w:hAnsi="Verdana" w:eastAsia="Calibri" w:cs="Calibri"/>
          <w:sz w:val="18"/>
          <w:szCs w:val="18"/>
          <w:lang w:val="nl-NL"/>
        </w:rPr>
        <w:t>draagt het ‘Space Security Center’</w:t>
      </w:r>
      <w:r w:rsidRPr="000047FB">
        <w:rPr>
          <w:rFonts w:ascii="Verdana" w:hAnsi="Verdana" w:eastAsia="Calibri" w:cs="Calibri"/>
          <w:sz w:val="18"/>
          <w:szCs w:val="18"/>
          <w:lang w:val="nl-NL"/>
        </w:rPr>
        <w:t xml:space="preserve"> bij aan het onderzoek naar de wijze waarop data over zonneactiviteit en </w:t>
      </w:r>
      <w:r w:rsidRPr="000047FB" w:rsidR="00BD2B7F">
        <w:rPr>
          <w:rFonts w:ascii="Verdana" w:hAnsi="Verdana" w:eastAsia="Calibri" w:cs="Calibri"/>
          <w:sz w:val="18"/>
          <w:szCs w:val="18"/>
          <w:lang w:val="nl-NL"/>
        </w:rPr>
        <w:t xml:space="preserve">de </w:t>
      </w:r>
      <w:r w:rsidRPr="000047FB">
        <w:rPr>
          <w:rFonts w:ascii="Verdana" w:hAnsi="Verdana" w:eastAsia="Calibri" w:cs="Calibri"/>
          <w:sz w:val="18"/>
          <w:szCs w:val="18"/>
          <w:lang w:val="nl-NL"/>
        </w:rPr>
        <w:t>activiteit</w:t>
      </w:r>
      <w:r w:rsidRPr="000047FB" w:rsidR="00BD2B7F">
        <w:rPr>
          <w:rFonts w:ascii="Verdana" w:hAnsi="Verdana" w:eastAsia="Calibri" w:cs="Calibri"/>
          <w:sz w:val="18"/>
          <w:szCs w:val="18"/>
          <w:lang w:val="nl-NL"/>
        </w:rPr>
        <w:t>en</w:t>
      </w:r>
      <w:r w:rsidRPr="000047FB">
        <w:rPr>
          <w:rFonts w:ascii="Verdana" w:hAnsi="Verdana" w:eastAsia="Calibri" w:cs="Calibri"/>
          <w:sz w:val="18"/>
          <w:szCs w:val="18"/>
          <w:lang w:val="nl-NL"/>
        </w:rPr>
        <w:t xml:space="preserve"> van satellieten vertaald kan worden naar bruikbare informatie voor militaire eenheden.</w:t>
      </w:r>
    </w:p>
    <w:p w:rsidRPr="000047FB" w:rsidR="004D2B3B" w:rsidP="00460324" w:rsidRDefault="004D2B3B">
      <w:pPr>
        <w:ind w:left="426"/>
        <w:rPr>
          <w:rFonts w:ascii="Verdana" w:hAnsi="Verdana" w:eastAsia="Calibri" w:cs="Calibri"/>
          <w:sz w:val="18"/>
          <w:szCs w:val="18"/>
          <w:u w:val="single"/>
          <w:lang w:val="nl-NL"/>
        </w:rPr>
      </w:pPr>
    </w:p>
    <w:p w:rsidRPr="000047FB" w:rsidR="004D2B3B" w:rsidP="00460324" w:rsidRDefault="00D16E00">
      <w:pPr>
        <w:rPr>
          <w:rFonts w:ascii="Verdana" w:hAnsi="Verdana" w:eastAsia="Calibri" w:cs="Calibri"/>
          <w:sz w:val="18"/>
          <w:szCs w:val="18"/>
          <w:u w:val="single"/>
          <w:lang w:val="nl-NL"/>
        </w:rPr>
      </w:pPr>
      <w:r>
        <w:rPr>
          <w:rFonts w:ascii="Verdana" w:hAnsi="Verdana" w:eastAsia="Calibri" w:cs="Calibri"/>
          <w:sz w:val="18"/>
          <w:szCs w:val="18"/>
          <w:u w:val="single"/>
          <w:lang w:val="nl-NL"/>
        </w:rPr>
        <w:t>Maatregelen voor extreme zonneact</w:t>
      </w:r>
      <w:r w:rsidR="00983442">
        <w:rPr>
          <w:rFonts w:ascii="Verdana" w:hAnsi="Verdana" w:eastAsia="Calibri" w:cs="Calibri"/>
          <w:sz w:val="18"/>
          <w:szCs w:val="18"/>
          <w:u w:val="single"/>
          <w:lang w:val="nl-NL"/>
        </w:rPr>
        <w:t>i</w:t>
      </w:r>
      <w:r>
        <w:rPr>
          <w:rFonts w:ascii="Verdana" w:hAnsi="Verdana" w:eastAsia="Calibri" w:cs="Calibri"/>
          <w:sz w:val="18"/>
          <w:szCs w:val="18"/>
          <w:u w:val="single"/>
          <w:lang w:val="nl-NL"/>
        </w:rPr>
        <w:t>viteit</w:t>
      </w:r>
    </w:p>
    <w:p w:rsidRPr="000047FB" w:rsidR="004D2B3B" w:rsidP="00460324" w:rsidRDefault="004D2B3B">
      <w:pPr>
        <w:rPr>
          <w:rFonts w:ascii="Verdana" w:hAnsi="Verdana" w:eastAsia="Calibri" w:cs="Calibri"/>
          <w:sz w:val="18"/>
          <w:szCs w:val="18"/>
          <w:lang w:val="nl-NL"/>
        </w:rPr>
      </w:pPr>
      <w:r w:rsidRPr="000047FB">
        <w:rPr>
          <w:rFonts w:ascii="Verdana" w:hAnsi="Verdana" w:eastAsia="Calibri" w:cs="Calibri"/>
          <w:sz w:val="18"/>
          <w:szCs w:val="18"/>
          <w:lang w:val="nl-NL"/>
        </w:rPr>
        <w:t xml:space="preserve">Extreme zonneactiviteit (zonnestormen, zonnevlammen) kan een negatieve invloed hebben op de beschikbaarheid van satellietdiensten zoals GPS, Galileo en </w:t>
      </w:r>
      <w:r w:rsidR="00BC1DE6">
        <w:rPr>
          <w:rFonts w:ascii="Verdana" w:hAnsi="Verdana" w:eastAsia="Calibri" w:cs="Calibri"/>
          <w:sz w:val="18"/>
          <w:szCs w:val="18"/>
          <w:lang w:val="nl-NL"/>
        </w:rPr>
        <w:t>tele</w:t>
      </w:r>
      <w:r w:rsidRPr="000047FB">
        <w:rPr>
          <w:rFonts w:ascii="Verdana" w:hAnsi="Verdana" w:eastAsia="Calibri" w:cs="Calibri"/>
          <w:sz w:val="18"/>
          <w:szCs w:val="18"/>
          <w:lang w:val="nl-NL"/>
        </w:rPr>
        <w:t xml:space="preserve">communicatie. Bovendien kan een zonnevlam </w:t>
      </w:r>
      <w:r w:rsidR="00BC1DE6">
        <w:rPr>
          <w:rFonts w:ascii="Verdana" w:hAnsi="Verdana" w:eastAsia="Calibri" w:cs="Calibri"/>
          <w:sz w:val="18"/>
          <w:szCs w:val="18"/>
          <w:lang w:val="nl-NL"/>
        </w:rPr>
        <w:t>ook op A</w:t>
      </w:r>
      <w:r w:rsidR="00843131">
        <w:rPr>
          <w:rFonts w:ascii="Verdana" w:hAnsi="Verdana" w:eastAsia="Calibri" w:cs="Calibri"/>
          <w:sz w:val="18"/>
          <w:szCs w:val="18"/>
          <w:lang w:val="nl-NL"/>
        </w:rPr>
        <w:t xml:space="preserve">arde </w:t>
      </w:r>
      <w:r w:rsidRPr="000047FB">
        <w:rPr>
          <w:rFonts w:ascii="Verdana" w:hAnsi="Verdana" w:eastAsia="Calibri" w:cs="Calibri"/>
          <w:sz w:val="18"/>
          <w:szCs w:val="18"/>
          <w:lang w:val="nl-NL"/>
        </w:rPr>
        <w:t>leiden tot grootschalige uitval van vitale, soms ook grensoverschrijdende</w:t>
      </w:r>
      <w:r w:rsidR="00893D51">
        <w:rPr>
          <w:rFonts w:ascii="Verdana" w:hAnsi="Verdana" w:eastAsia="Calibri" w:cs="Calibri"/>
          <w:sz w:val="18"/>
          <w:szCs w:val="18"/>
          <w:lang w:val="nl-NL"/>
        </w:rPr>
        <w:t>,</w:t>
      </w:r>
      <w:r w:rsidRPr="000047FB" w:rsidR="00D908C3">
        <w:rPr>
          <w:rFonts w:ascii="Verdana" w:hAnsi="Verdana" w:eastAsia="Calibri" w:cs="Calibri"/>
          <w:sz w:val="18"/>
          <w:szCs w:val="18"/>
          <w:lang w:val="nl-NL"/>
        </w:rPr>
        <w:t xml:space="preserve"> </w:t>
      </w:r>
      <w:r w:rsidRPr="000047FB">
        <w:rPr>
          <w:rFonts w:ascii="Verdana" w:hAnsi="Verdana" w:eastAsia="Calibri" w:cs="Calibri"/>
          <w:sz w:val="18"/>
          <w:szCs w:val="18"/>
          <w:lang w:val="nl-NL"/>
        </w:rPr>
        <w:t>infrastructuren zoals het elektriciteitsnetwerk in Nederland en de ons omringende landen, met grote maatschappelijke en economische sc</w:t>
      </w:r>
      <w:r w:rsidRPr="000047FB" w:rsidR="00BD2B7F">
        <w:rPr>
          <w:rFonts w:ascii="Verdana" w:hAnsi="Verdana" w:eastAsia="Calibri" w:cs="Calibri"/>
          <w:sz w:val="18"/>
          <w:szCs w:val="18"/>
          <w:lang w:val="nl-NL"/>
        </w:rPr>
        <w:t xml:space="preserve">hade tot gevolg. </w:t>
      </w:r>
      <w:r w:rsidR="003D164E">
        <w:rPr>
          <w:rFonts w:ascii="Verdana" w:hAnsi="Verdana" w:eastAsia="Calibri" w:cs="Calibri"/>
          <w:sz w:val="18"/>
          <w:szCs w:val="18"/>
          <w:lang w:val="nl-NL"/>
        </w:rPr>
        <w:t>Het m</w:t>
      </w:r>
      <w:r w:rsidRPr="000047FB" w:rsidR="00CF33E1">
        <w:rPr>
          <w:rFonts w:ascii="Verdana" w:hAnsi="Verdana" w:eastAsia="Calibri" w:cs="Calibri"/>
          <w:sz w:val="18"/>
          <w:szCs w:val="18"/>
          <w:lang w:val="nl-NL"/>
        </w:rPr>
        <w:t xml:space="preserve">inisterie van IenM voert in opdracht van het kabinet een project uit om te komen tot </w:t>
      </w:r>
      <w:r w:rsidR="00D16E00">
        <w:rPr>
          <w:rFonts w:ascii="Verdana" w:hAnsi="Verdana" w:eastAsia="Calibri" w:cs="Calibri"/>
          <w:sz w:val="18"/>
          <w:szCs w:val="18"/>
          <w:lang w:val="nl-NL"/>
        </w:rPr>
        <w:t xml:space="preserve">meer besef </w:t>
      </w:r>
      <w:r w:rsidR="00893D51">
        <w:rPr>
          <w:rFonts w:ascii="Verdana" w:hAnsi="Verdana" w:eastAsia="Calibri" w:cs="Calibri"/>
          <w:sz w:val="18"/>
          <w:szCs w:val="18"/>
          <w:lang w:val="nl-NL"/>
        </w:rPr>
        <w:t xml:space="preserve">van de risico’s van dit fenomeen. Tevens wordt </w:t>
      </w:r>
      <w:r w:rsidRPr="000047FB" w:rsidR="00CF33E1">
        <w:rPr>
          <w:rFonts w:ascii="Verdana" w:hAnsi="Verdana" w:eastAsia="Calibri" w:cs="Calibri"/>
          <w:sz w:val="18"/>
          <w:szCs w:val="18"/>
          <w:lang w:val="nl-NL"/>
        </w:rPr>
        <w:t>een waarschuwingssysteem voor extreme zonneactiviteit</w:t>
      </w:r>
      <w:r w:rsidR="00893D51">
        <w:rPr>
          <w:rFonts w:ascii="Verdana" w:hAnsi="Verdana" w:eastAsia="Calibri" w:cs="Calibri"/>
          <w:sz w:val="18"/>
          <w:szCs w:val="18"/>
          <w:lang w:val="nl-NL"/>
        </w:rPr>
        <w:t xml:space="preserve"> opgezet</w:t>
      </w:r>
      <w:r w:rsidRPr="000047FB" w:rsidR="00CF33E1">
        <w:rPr>
          <w:rFonts w:ascii="Verdana" w:hAnsi="Verdana" w:eastAsia="Calibri" w:cs="Calibri"/>
          <w:sz w:val="18"/>
          <w:szCs w:val="18"/>
          <w:lang w:val="nl-NL"/>
        </w:rPr>
        <w:t>. Het KNMI ontwikkelt daartoe samen met de</w:t>
      </w:r>
      <w:r w:rsidRPr="000047FB" w:rsidR="00BD2B7F">
        <w:rPr>
          <w:rFonts w:ascii="Verdana" w:hAnsi="Verdana" w:eastAsia="Calibri" w:cs="Calibri"/>
          <w:sz w:val="18"/>
          <w:szCs w:val="18"/>
          <w:lang w:val="nl-NL"/>
        </w:rPr>
        <w:t xml:space="preserve"> Gezamenlijke</w:t>
      </w:r>
      <w:r w:rsidRPr="000047FB">
        <w:rPr>
          <w:rFonts w:ascii="Verdana" w:hAnsi="Verdana" w:eastAsia="Calibri" w:cs="Calibri"/>
          <w:sz w:val="18"/>
          <w:szCs w:val="18"/>
          <w:lang w:val="nl-NL"/>
        </w:rPr>
        <w:t xml:space="preserve"> Meteorologische Groep van Defen</w:t>
      </w:r>
      <w:r w:rsidR="00B4174B">
        <w:rPr>
          <w:rFonts w:ascii="Verdana" w:hAnsi="Verdana" w:eastAsia="Calibri" w:cs="Calibri"/>
          <w:sz w:val="18"/>
          <w:szCs w:val="18"/>
          <w:lang w:val="nl-NL"/>
        </w:rPr>
        <w:t>sie en het “Space Security Center”</w:t>
      </w:r>
      <w:r w:rsidRPr="000047FB">
        <w:rPr>
          <w:rFonts w:ascii="Verdana" w:hAnsi="Verdana" w:eastAsia="Calibri" w:cs="Calibri"/>
          <w:sz w:val="18"/>
          <w:szCs w:val="18"/>
          <w:lang w:val="nl-NL"/>
        </w:rPr>
        <w:t xml:space="preserve"> </w:t>
      </w:r>
      <w:r w:rsidRPr="000047FB" w:rsidR="00CF33E1">
        <w:rPr>
          <w:rFonts w:ascii="Verdana" w:hAnsi="Verdana" w:eastAsia="Calibri" w:cs="Calibri"/>
          <w:sz w:val="18"/>
          <w:szCs w:val="18"/>
          <w:lang w:val="nl-NL"/>
        </w:rPr>
        <w:t xml:space="preserve">een </w:t>
      </w:r>
      <w:r w:rsidRPr="000047FB">
        <w:rPr>
          <w:rFonts w:ascii="Verdana" w:hAnsi="Verdana" w:eastAsia="Calibri" w:cs="Calibri"/>
          <w:sz w:val="18"/>
          <w:szCs w:val="18"/>
          <w:lang w:val="nl-NL"/>
        </w:rPr>
        <w:t>ruimteweerbericht (“space weather forecasting service”). Het doel van deze service is om civiele en militaire partijen tijdig te waarschuwen voor de (mogelijk) schadelijke gevolgen van extreme zonneactiviteit voor vitale infrastructuur, communicatie- en informatienetwerken. In het kader van ESA en de EU wordt ook samengewerkt om kennis te ontwikkelen over deze risico’s en om te bezien hoe de potentiële gevolgen te voorkomen en/of te beperken</w:t>
      </w:r>
      <w:r w:rsidR="00843131">
        <w:rPr>
          <w:rFonts w:ascii="Verdana" w:hAnsi="Verdana" w:eastAsia="Calibri" w:cs="Calibri"/>
          <w:sz w:val="18"/>
          <w:szCs w:val="18"/>
          <w:lang w:val="nl-NL"/>
        </w:rPr>
        <w:t xml:space="preserve"> zijn</w:t>
      </w:r>
      <w:r w:rsidRPr="000047FB">
        <w:rPr>
          <w:rFonts w:ascii="Verdana" w:hAnsi="Verdana" w:eastAsia="Calibri" w:cs="Calibri"/>
          <w:sz w:val="18"/>
          <w:szCs w:val="18"/>
          <w:lang w:val="nl-NL"/>
        </w:rPr>
        <w:t>.</w:t>
      </w:r>
    </w:p>
    <w:p w:rsidR="004D2B3B" w:rsidP="00460324" w:rsidRDefault="004D2B3B">
      <w:pPr>
        <w:ind w:left="426"/>
        <w:rPr>
          <w:rFonts w:ascii="Verdana" w:hAnsi="Verdana" w:eastAsia="Calibri" w:cs="Calibri"/>
          <w:sz w:val="18"/>
          <w:szCs w:val="18"/>
          <w:lang w:val="nl-NL"/>
        </w:rPr>
      </w:pPr>
    </w:p>
    <w:p w:rsidR="00587E02" w:rsidP="00460324" w:rsidRDefault="00587E02">
      <w:pPr>
        <w:pBdr>
          <w:top w:val="single" w:color="auto" w:sz="4" w:space="1"/>
          <w:left w:val="single" w:color="auto" w:sz="4" w:space="4"/>
          <w:bottom w:val="single" w:color="auto" w:sz="4" w:space="1"/>
          <w:right w:val="single" w:color="auto" w:sz="4" w:space="4"/>
        </w:pBdr>
        <w:ind w:left="425"/>
        <w:rPr>
          <w:rFonts w:ascii="Verdana" w:hAnsi="Verdana"/>
          <w:color w:val="333333"/>
          <w:sz w:val="18"/>
          <w:szCs w:val="18"/>
          <w:lang w:val="nl-NL" w:eastAsia="nl-NL"/>
        </w:rPr>
      </w:pPr>
      <w:r w:rsidRPr="00181F6A">
        <w:rPr>
          <w:rFonts w:ascii="Verdana" w:hAnsi="Verdana"/>
          <w:b/>
          <w:color w:val="333333"/>
          <w:sz w:val="18"/>
          <w:szCs w:val="18"/>
          <w:lang w:val="nl-NL" w:eastAsia="nl-NL"/>
        </w:rPr>
        <w:t>Satelliet ziet Ionosfeerstormen</w:t>
      </w:r>
      <w:r w:rsidR="00886ED4">
        <w:rPr>
          <w:rFonts w:ascii="Verdana" w:hAnsi="Verdana"/>
          <w:color w:val="333333"/>
          <w:sz w:val="18"/>
          <w:szCs w:val="18"/>
          <w:lang w:val="nl-NL" w:eastAsia="nl-NL"/>
        </w:rPr>
        <w:t xml:space="preserve"> (artikel van ESA)</w:t>
      </w:r>
    </w:p>
    <w:p w:rsidR="00181F6A" w:rsidP="00460324" w:rsidRDefault="00181F6A">
      <w:pPr>
        <w:pBdr>
          <w:top w:val="single" w:color="auto" w:sz="4" w:space="1"/>
          <w:left w:val="single" w:color="auto" w:sz="4" w:space="4"/>
          <w:bottom w:val="single" w:color="auto" w:sz="4" w:space="1"/>
          <w:right w:val="single" w:color="auto" w:sz="4" w:space="4"/>
        </w:pBdr>
        <w:ind w:left="425"/>
        <w:rPr>
          <w:rFonts w:ascii="Verdana" w:hAnsi="Verdana"/>
          <w:color w:val="333333"/>
          <w:sz w:val="18"/>
          <w:szCs w:val="18"/>
          <w:lang w:val="nl-NL" w:eastAsia="nl-NL"/>
        </w:rPr>
      </w:pPr>
    </w:p>
    <w:p w:rsidRPr="00EC54EB" w:rsidR="00EC54EB" w:rsidP="00460324" w:rsidRDefault="00886ED4">
      <w:pPr>
        <w:pBdr>
          <w:top w:val="single" w:color="auto" w:sz="4" w:space="1"/>
          <w:left w:val="single" w:color="auto" w:sz="4" w:space="4"/>
          <w:bottom w:val="single" w:color="auto" w:sz="4" w:space="1"/>
          <w:right w:val="single" w:color="auto" w:sz="4" w:space="4"/>
        </w:pBdr>
        <w:ind w:left="425"/>
        <w:rPr>
          <w:rFonts w:ascii="Verdana" w:hAnsi="Verdana" w:cs="Times New Roman"/>
          <w:color w:val="333333"/>
          <w:sz w:val="27"/>
          <w:szCs w:val="27"/>
          <w:lang w:val="nl-NL" w:eastAsia="nl-NL"/>
        </w:rPr>
      </w:pPr>
      <w:r>
        <w:rPr>
          <w:rFonts w:ascii="Verdana" w:hAnsi="Verdana"/>
          <w:color w:val="333333"/>
          <w:sz w:val="18"/>
          <w:szCs w:val="18"/>
          <w:lang w:val="nl-NL" w:eastAsia="nl-NL"/>
        </w:rPr>
        <w:t>“Swarm”-satellieten</w:t>
      </w:r>
      <w:r w:rsidRPr="00EC54EB" w:rsidR="00EC54EB">
        <w:rPr>
          <w:rFonts w:ascii="Verdana" w:hAnsi="Verdana"/>
          <w:color w:val="333333"/>
          <w:sz w:val="18"/>
          <w:szCs w:val="18"/>
          <w:lang w:val="nl-NL" w:eastAsia="nl-NL"/>
        </w:rPr>
        <w:t xml:space="preserve"> zijn bedoeld om het </w:t>
      </w:r>
      <w:r w:rsidR="00A067B6">
        <w:rPr>
          <w:rFonts w:ascii="Verdana" w:hAnsi="Verdana"/>
          <w:color w:val="333333"/>
          <w:sz w:val="18"/>
          <w:szCs w:val="18"/>
          <w:lang w:val="nl-NL" w:eastAsia="nl-NL"/>
        </w:rPr>
        <w:t>aardmagnetis</w:t>
      </w:r>
      <w:r w:rsidRPr="00EC54EB" w:rsidR="00EC54EB">
        <w:rPr>
          <w:rFonts w:ascii="Verdana" w:hAnsi="Verdana"/>
          <w:color w:val="333333"/>
          <w:sz w:val="18"/>
          <w:szCs w:val="18"/>
          <w:lang w:val="nl-NL" w:eastAsia="nl-NL"/>
        </w:rPr>
        <w:t>ch veld nauwkeurig in kaart te brengen, maar blijken onverwacht ook een prima detector voor stormen in de ionosfeer. Zo zorgt de ruimtevaart weer eens voor een nuttige verrassing</w:t>
      </w:r>
      <w:r w:rsidRPr="00EC54EB" w:rsidR="00EC54EB">
        <w:rPr>
          <w:rFonts w:ascii="Verdana" w:hAnsi="Verdana"/>
          <w:color w:val="333333"/>
          <w:sz w:val="27"/>
          <w:szCs w:val="27"/>
          <w:lang w:val="nl-NL" w:eastAsia="nl-NL"/>
        </w:rPr>
        <w:t>.</w:t>
      </w:r>
    </w:p>
    <w:p w:rsidRPr="00EC54EB" w:rsidR="00EC54EB" w:rsidP="00460324" w:rsidRDefault="00EC54EB">
      <w:pPr>
        <w:pBdr>
          <w:top w:val="single" w:color="auto" w:sz="4" w:space="1"/>
          <w:left w:val="single" w:color="auto" w:sz="4" w:space="4"/>
          <w:bottom w:val="single" w:color="auto" w:sz="4" w:space="1"/>
          <w:right w:val="single" w:color="auto" w:sz="4" w:space="4"/>
        </w:pBdr>
        <w:ind w:left="425"/>
        <w:rPr>
          <w:rFonts w:ascii="Verdana" w:hAnsi="Verdana" w:cs="Helvetica"/>
          <w:color w:val="333333"/>
          <w:sz w:val="18"/>
          <w:szCs w:val="18"/>
          <w:lang w:val="nl-NL" w:eastAsia="nl-NL"/>
        </w:rPr>
      </w:pPr>
      <w:r w:rsidRPr="00EC54EB">
        <w:rPr>
          <w:rFonts w:ascii="Verdana" w:hAnsi="Verdana" w:cs="Helvetica"/>
          <w:color w:val="333333"/>
          <w:sz w:val="18"/>
          <w:szCs w:val="18"/>
          <w:lang w:val="nl-NL" w:eastAsia="nl-NL"/>
        </w:rPr>
        <w:t xml:space="preserve">De zwerm satellieten is drie stuks groot, het gaat om de </w:t>
      </w:r>
      <w:r w:rsidRPr="00886ED4" w:rsidR="00886ED4">
        <w:rPr>
          <w:rFonts w:ascii="Verdana" w:hAnsi="Verdana" w:cs="Helvetica"/>
          <w:color w:val="333333"/>
          <w:sz w:val="18"/>
          <w:szCs w:val="18"/>
          <w:lang w:val="nl-NL" w:eastAsia="nl-NL"/>
        </w:rPr>
        <w:t>“</w:t>
      </w:r>
      <w:hyperlink w:tgtFrame="_blank" w:history="1" r:id="rId11">
        <w:r w:rsidRPr="00886ED4">
          <w:rPr>
            <w:rStyle w:val="Hyperlink"/>
            <w:rFonts w:ascii="Verdana" w:hAnsi="Verdana" w:cs="Helvetica"/>
            <w:color w:val="auto"/>
            <w:sz w:val="18"/>
            <w:szCs w:val="18"/>
            <w:u w:val="none"/>
            <w:lang w:val="nl-NL" w:eastAsia="nl-NL"/>
          </w:rPr>
          <w:t>Magnetic Field Mission Swarm</w:t>
        </w:r>
        <w:r w:rsidRPr="00886ED4" w:rsidR="00886ED4">
          <w:rPr>
            <w:rStyle w:val="Hyperlink"/>
            <w:rFonts w:ascii="Verdana" w:hAnsi="Verdana" w:cs="Helvetica"/>
            <w:color w:val="auto"/>
            <w:sz w:val="18"/>
            <w:szCs w:val="18"/>
            <w:u w:val="none"/>
            <w:lang w:val="nl-NL" w:eastAsia="nl-NL"/>
          </w:rPr>
          <w:t>”</w:t>
        </w:r>
        <w:r w:rsidRPr="00886ED4">
          <w:rPr>
            <w:rStyle w:val="Hyperlink"/>
            <w:rFonts w:ascii="Verdana" w:hAnsi="Verdana" w:cs="Helvetica"/>
            <w:color w:val="auto"/>
            <w:sz w:val="18"/>
            <w:szCs w:val="18"/>
            <w:u w:val="none"/>
            <w:lang w:val="nl-NL" w:eastAsia="nl-NL"/>
          </w:rPr>
          <w:t xml:space="preserve"> van de Europese ruimtevaartorganisatie ESA</w:t>
        </w:r>
      </w:hyperlink>
      <w:r w:rsidRPr="00886ED4">
        <w:rPr>
          <w:rFonts w:ascii="Verdana" w:hAnsi="Verdana" w:cs="Helvetica"/>
          <w:sz w:val="18"/>
          <w:szCs w:val="18"/>
          <w:u w:val="single"/>
          <w:lang w:val="nl-NL" w:eastAsia="nl-NL"/>
        </w:rPr>
        <w:t>.</w:t>
      </w:r>
      <w:r w:rsidRPr="004F7A97">
        <w:rPr>
          <w:rFonts w:ascii="Verdana" w:hAnsi="Verdana" w:cs="Helvetica"/>
          <w:sz w:val="18"/>
          <w:szCs w:val="18"/>
          <w:lang w:val="nl-NL" w:eastAsia="nl-NL"/>
        </w:rPr>
        <w:t xml:space="preserve"> </w:t>
      </w:r>
      <w:r w:rsidRPr="00EC54EB">
        <w:rPr>
          <w:rFonts w:ascii="Verdana" w:hAnsi="Verdana" w:cs="Helvetica"/>
          <w:color w:val="333333"/>
          <w:sz w:val="18"/>
          <w:szCs w:val="18"/>
          <w:lang w:val="nl-NL" w:eastAsia="nl-NL"/>
        </w:rPr>
        <w:t>Ze zijn bedoeld om meer inzicht te krijgen in het magnetische veld van de aarde. Dit veld, dat wordt veroorzaakt door de ‘dynamo’ in het binnenste van de aarde, blijkt af te zwakken, de metingen zouden meer inzicht moeten geven in de processen die daaraan ten grondslag liggen. Door met z’n drieën als zwerm te opereren en gaandeweg op verschillende hoogte rond de aarde te cirkelen, tussen de 300 en 530 km boven het aardoppervlak, verandert de hoek waaronder ze het magneetveld meten.</w:t>
      </w:r>
    </w:p>
    <w:p w:rsidRPr="00EC54EB" w:rsidR="00EC54EB" w:rsidP="00460324" w:rsidRDefault="00EC54EB">
      <w:pPr>
        <w:pBdr>
          <w:top w:val="single" w:color="auto" w:sz="4" w:space="1"/>
          <w:left w:val="single" w:color="auto" w:sz="4" w:space="4"/>
          <w:bottom w:val="single" w:color="auto" w:sz="4" w:space="1"/>
          <w:right w:val="single" w:color="auto" w:sz="4" w:space="4"/>
        </w:pBdr>
        <w:ind w:left="425"/>
        <w:rPr>
          <w:rFonts w:ascii="Verdana" w:hAnsi="Verdana" w:cs="Helvetica"/>
          <w:color w:val="333333"/>
          <w:sz w:val="18"/>
          <w:szCs w:val="18"/>
          <w:lang w:val="nl-NL" w:eastAsia="nl-NL"/>
        </w:rPr>
      </w:pPr>
      <w:r w:rsidRPr="00EC54EB">
        <w:rPr>
          <w:rFonts w:ascii="Verdana" w:hAnsi="Verdana" w:cs="Helvetica"/>
          <w:color w:val="333333"/>
          <w:sz w:val="18"/>
          <w:szCs w:val="18"/>
          <w:lang w:val="nl-NL" w:eastAsia="nl-NL"/>
        </w:rPr>
        <w:t>Sinds de lancering in 2013 zijn de satellieten getroffen door 166 blackouts, vooral wanneer ze zich boven de evenaar bevonden. Zo’n blackout betekent dat de satelliet geen GPS-signaal meer ontvangt en dus niet weet waar hij zich bevindt. Nu blijkt dat die blackouts worden veroorzaakt door stormen in de ionosfeer, het buitenste gedeelte van de atmosfeer waar zonnestraling alle aanwezige moleculen ioniseert.</w:t>
      </w:r>
    </w:p>
    <w:p w:rsidRPr="00EC54EB" w:rsidR="00EC54EB" w:rsidP="00460324" w:rsidRDefault="00EC54EB">
      <w:pPr>
        <w:pBdr>
          <w:top w:val="single" w:color="auto" w:sz="4" w:space="1"/>
          <w:left w:val="single" w:color="auto" w:sz="4" w:space="4"/>
          <w:bottom w:val="single" w:color="auto" w:sz="4" w:space="1"/>
          <w:right w:val="single" w:color="auto" w:sz="4" w:space="4"/>
        </w:pBdr>
        <w:ind w:left="425"/>
        <w:rPr>
          <w:rFonts w:ascii="Helvetica" w:hAnsi="Helvetica" w:cs="Helvetica"/>
          <w:color w:val="333333"/>
          <w:sz w:val="18"/>
          <w:szCs w:val="18"/>
          <w:lang w:val="nl-NL" w:eastAsia="nl-NL"/>
        </w:rPr>
      </w:pPr>
      <w:r w:rsidRPr="00EC54EB">
        <w:rPr>
          <w:rFonts w:ascii="Verdana" w:hAnsi="Verdana" w:cs="Helvetica"/>
          <w:color w:val="333333"/>
          <w:sz w:val="18"/>
          <w:szCs w:val="18"/>
          <w:lang w:val="nl-NL" w:eastAsia="nl-NL"/>
        </w:rPr>
        <w:t xml:space="preserve">Dat stormen in de ionosfeer het GPS-signaal verstoren is al veel langer bekend, en tot op heden voor lief genomen. Maar de ESA satellietzwerm, die zich precies in de ionosfeer bevinden, blijkt nu dus een prima detector om meer over die stormen te weten te komen, aldus Prof. Claudia Stolle in het tijdschrift </w:t>
      </w:r>
      <w:hyperlink w:history="1" r:id="rId12">
        <w:r w:rsidRPr="004F7A97">
          <w:rPr>
            <w:rStyle w:val="Hyperlink"/>
            <w:rFonts w:ascii="Verdana" w:hAnsi="Verdana" w:cs="Helvetica"/>
            <w:i/>
            <w:iCs/>
            <w:color w:val="auto"/>
            <w:sz w:val="18"/>
            <w:szCs w:val="18"/>
            <w:lang w:val="nl-NL" w:eastAsia="nl-NL"/>
          </w:rPr>
          <w:t>Space Journal</w:t>
        </w:r>
      </w:hyperlink>
      <w:r w:rsidRPr="00EC54EB">
        <w:rPr>
          <w:rFonts w:ascii="Verdana" w:hAnsi="Verdana" w:cs="Helvetica"/>
          <w:i/>
          <w:iCs/>
          <w:color w:val="333333"/>
          <w:sz w:val="18"/>
          <w:szCs w:val="18"/>
          <w:lang w:val="nl-NL" w:eastAsia="nl-NL"/>
        </w:rPr>
        <w:t xml:space="preserve"> (5 oktober 2016)</w:t>
      </w:r>
      <w:r w:rsidRPr="00EC54EB">
        <w:rPr>
          <w:rFonts w:ascii="Verdana" w:hAnsi="Verdana" w:cs="Helvetica"/>
          <w:color w:val="333333"/>
          <w:sz w:val="18"/>
          <w:szCs w:val="18"/>
          <w:lang w:val="nl-NL" w:eastAsia="nl-NL"/>
        </w:rPr>
        <w:t xml:space="preserve">. Zij is van het GeoForschungsZentrum Potsdam in Duitsland en wetenschappelijk medewerker van het </w:t>
      </w:r>
      <w:r w:rsidR="00BC1DE6">
        <w:rPr>
          <w:rFonts w:ascii="Verdana" w:hAnsi="Verdana" w:cs="Helvetica"/>
          <w:color w:val="333333"/>
          <w:sz w:val="18"/>
          <w:szCs w:val="18"/>
          <w:lang w:val="nl-NL" w:eastAsia="nl-NL"/>
        </w:rPr>
        <w:t xml:space="preserve">ESA </w:t>
      </w:r>
      <w:r w:rsidRPr="00EC54EB">
        <w:rPr>
          <w:rFonts w:ascii="Verdana" w:hAnsi="Verdana" w:cs="Helvetica"/>
          <w:color w:val="333333"/>
          <w:sz w:val="18"/>
          <w:szCs w:val="18"/>
          <w:lang w:val="nl-NL" w:eastAsia="nl-NL"/>
        </w:rPr>
        <w:t>Swarm-project.</w:t>
      </w:r>
    </w:p>
    <w:p w:rsidR="008816DE" w:rsidP="00460324" w:rsidRDefault="008816DE">
      <w:pPr>
        <w:spacing w:line="276" w:lineRule="auto"/>
        <w:rPr>
          <w:rFonts w:ascii="Verdana" w:hAnsi="Verdana" w:eastAsia="Calibri" w:cs="Calibri"/>
          <w:sz w:val="18"/>
          <w:szCs w:val="18"/>
          <w:u w:val="single"/>
          <w:lang w:val="nl-NL"/>
        </w:rPr>
      </w:pPr>
    </w:p>
    <w:p w:rsidRPr="000047FB" w:rsidR="004D2B3B" w:rsidP="00460324" w:rsidRDefault="004D2B3B">
      <w:pPr>
        <w:rPr>
          <w:rFonts w:ascii="Verdana" w:hAnsi="Verdana" w:eastAsia="Calibri" w:cs="Calibri"/>
          <w:sz w:val="18"/>
          <w:szCs w:val="18"/>
          <w:u w:val="single"/>
          <w:lang w:val="nl-NL"/>
        </w:rPr>
      </w:pPr>
      <w:r w:rsidRPr="000047FB">
        <w:rPr>
          <w:rFonts w:ascii="Verdana" w:hAnsi="Verdana" w:eastAsia="Calibri" w:cs="Calibri"/>
          <w:sz w:val="18"/>
          <w:szCs w:val="18"/>
          <w:u w:val="single"/>
          <w:lang w:val="nl-NL"/>
        </w:rPr>
        <w:t>Innovatieve satelliettoepassingen ter ondersteuning van nationale veiligheid</w:t>
      </w:r>
    </w:p>
    <w:p w:rsidRPr="000047FB" w:rsidR="004D2B3B" w:rsidP="00460324" w:rsidRDefault="004D2B3B">
      <w:pPr>
        <w:rPr>
          <w:rFonts w:ascii="Verdana" w:hAnsi="Verdana" w:eastAsia="Calibri" w:cs="Calibri"/>
          <w:sz w:val="18"/>
          <w:szCs w:val="18"/>
          <w:lang w:val="nl-NL"/>
        </w:rPr>
      </w:pPr>
      <w:r w:rsidRPr="000047FB">
        <w:rPr>
          <w:rFonts w:ascii="Verdana" w:hAnsi="Verdana" w:eastAsia="Calibri" w:cs="Calibri"/>
          <w:sz w:val="18"/>
          <w:szCs w:val="18"/>
          <w:lang w:val="nl-NL"/>
        </w:rPr>
        <w:t>Vanuit d</w:t>
      </w:r>
      <w:r w:rsidR="00BC1DE6">
        <w:rPr>
          <w:rFonts w:ascii="Verdana" w:hAnsi="Verdana" w:eastAsia="Calibri" w:cs="Calibri"/>
          <w:sz w:val="18"/>
          <w:szCs w:val="18"/>
          <w:lang w:val="nl-NL"/>
        </w:rPr>
        <w:t xml:space="preserve">e ruimte kan steeds makkelijker </w:t>
      </w:r>
      <w:r w:rsidRPr="000047FB">
        <w:rPr>
          <w:rFonts w:ascii="Verdana" w:hAnsi="Verdana" w:eastAsia="Calibri" w:cs="Calibri"/>
          <w:sz w:val="18"/>
          <w:szCs w:val="18"/>
          <w:lang w:val="nl-NL"/>
        </w:rPr>
        <w:t>steeds meer informatie verzameld worden die vanaf de grond of vanuit de lucht moeilijk of op minder efficiënte wijze te verkrijgen is. Dergelijke informatie is relevant voor de nationale veiligheid en vormt een belangrijk element in de besluitvorming over deelname aan militaire missies. Innovatieve satelliettoep</w:t>
      </w:r>
      <w:r w:rsidR="00BC1DE6">
        <w:rPr>
          <w:rFonts w:ascii="Verdana" w:hAnsi="Verdana" w:eastAsia="Calibri" w:cs="Calibri"/>
          <w:sz w:val="18"/>
          <w:szCs w:val="18"/>
          <w:lang w:val="nl-NL"/>
        </w:rPr>
        <w:t>assingen worden vanwege de</w:t>
      </w:r>
      <w:r w:rsidRPr="000047FB">
        <w:rPr>
          <w:rFonts w:ascii="Verdana" w:hAnsi="Verdana" w:eastAsia="Calibri" w:cs="Calibri"/>
          <w:sz w:val="18"/>
          <w:szCs w:val="18"/>
          <w:lang w:val="nl-NL"/>
        </w:rPr>
        <w:t xml:space="preserve"> afnemende kosten van ruimtevaarttechnologie bovendien </w:t>
      </w:r>
      <w:r w:rsidRPr="000047FB" w:rsidR="00BD2B7F">
        <w:rPr>
          <w:rFonts w:ascii="Verdana" w:hAnsi="Verdana" w:eastAsia="Calibri" w:cs="Calibri"/>
          <w:sz w:val="18"/>
          <w:szCs w:val="18"/>
          <w:lang w:val="nl-NL"/>
        </w:rPr>
        <w:t>steeds aantrekkelijker. Ook komen</w:t>
      </w:r>
      <w:r w:rsidRPr="000047FB">
        <w:rPr>
          <w:rFonts w:ascii="Verdana" w:hAnsi="Verdana" w:eastAsia="Calibri" w:cs="Calibri"/>
          <w:sz w:val="18"/>
          <w:szCs w:val="18"/>
          <w:lang w:val="nl-NL"/>
        </w:rPr>
        <w:t xml:space="preserve"> steeds meer hoogwaardige satellietdata vrij beschikbaar voor gebruik (bijv. de satellietdata uit het EU-programma </w:t>
      </w:r>
      <w:r w:rsidRPr="000047FB">
        <w:rPr>
          <w:rFonts w:ascii="Verdana" w:hAnsi="Verdana" w:eastAsia="Calibri" w:cs="Calibri"/>
          <w:sz w:val="18"/>
          <w:szCs w:val="18"/>
          <w:lang w:val="nl-NL"/>
        </w:rPr>
        <w:lastRenderedPageBreak/>
        <w:t xml:space="preserve">‘Copernicus’). Nederland beschikt over een innovatief ruimtevaartcluster van overheid, universiteiten en bedrijven. Nederland is sterk in de ontwikkeling van nano-satellieten met specifiek ontworpen sensoren. Deze ontwikkelingen dragen bij aan de internationale concurrentiepositie van Nederland in deze sector. </w:t>
      </w:r>
      <w:r w:rsidR="00587E02">
        <w:rPr>
          <w:rFonts w:ascii="Verdana" w:hAnsi="Verdana" w:eastAsia="Calibri" w:cs="Calibri"/>
          <w:sz w:val="18"/>
          <w:szCs w:val="18"/>
          <w:lang w:val="nl-NL"/>
        </w:rPr>
        <w:t>Het m</w:t>
      </w:r>
      <w:r w:rsidR="00BC1DE6">
        <w:rPr>
          <w:rFonts w:ascii="Verdana" w:hAnsi="Verdana" w:eastAsia="Calibri" w:cs="Calibri"/>
          <w:sz w:val="18"/>
          <w:szCs w:val="18"/>
          <w:lang w:val="nl-NL"/>
        </w:rPr>
        <w:t xml:space="preserve">inisterie van </w:t>
      </w:r>
      <w:r w:rsidRPr="000047FB">
        <w:rPr>
          <w:rFonts w:ascii="Verdana" w:hAnsi="Verdana" w:eastAsia="Calibri" w:cs="Calibri"/>
          <w:sz w:val="18"/>
          <w:szCs w:val="18"/>
          <w:lang w:val="nl-NL"/>
        </w:rPr>
        <w:t>Defensie zoekt actief aansluiting bij het Nederlandse ruimtevaartcluster om, in nauwe same</w:t>
      </w:r>
      <w:r w:rsidR="00587E02">
        <w:rPr>
          <w:rFonts w:ascii="Verdana" w:hAnsi="Verdana" w:eastAsia="Calibri" w:cs="Calibri"/>
          <w:sz w:val="18"/>
          <w:szCs w:val="18"/>
          <w:lang w:val="nl-NL"/>
        </w:rPr>
        <w:t>nwerking en afstemming met het m</w:t>
      </w:r>
      <w:r w:rsidRPr="000047FB">
        <w:rPr>
          <w:rFonts w:ascii="Verdana" w:hAnsi="Verdana" w:eastAsia="Calibri" w:cs="Calibri"/>
          <w:sz w:val="18"/>
          <w:szCs w:val="18"/>
          <w:lang w:val="nl-NL"/>
        </w:rPr>
        <w:t xml:space="preserve">inisterie van Veiligheid en Justitie, innovatieve satelliettoepassingen te ontwikkelen ter ondersteuning van de nationale veiligheid. </w:t>
      </w:r>
    </w:p>
    <w:p w:rsidR="004D2B3B" w:rsidP="00460324" w:rsidRDefault="004D2B3B">
      <w:pPr>
        <w:ind w:left="426"/>
        <w:rPr>
          <w:rFonts w:ascii="Verdana" w:hAnsi="Verdana" w:eastAsia="Calibri" w:cs="Calibri"/>
          <w:sz w:val="18"/>
          <w:szCs w:val="18"/>
          <w:lang w:val="nl-NL"/>
        </w:rPr>
      </w:pPr>
    </w:p>
    <w:p w:rsidRPr="000047FB" w:rsidR="00C11F8D" w:rsidP="00460324" w:rsidRDefault="00C11F8D">
      <w:pPr>
        <w:rPr>
          <w:rFonts w:ascii="Verdana" w:hAnsi="Verdana"/>
          <w:bCs/>
          <w:iCs/>
          <w:sz w:val="18"/>
          <w:szCs w:val="18"/>
          <w:u w:val="single"/>
          <w:lang w:val="nl-NL"/>
        </w:rPr>
      </w:pPr>
      <w:r w:rsidRPr="000047FB">
        <w:rPr>
          <w:rFonts w:ascii="Verdana" w:hAnsi="Verdana"/>
          <w:bCs/>
          <w:iCs/>
          <w:sz w:val="18"/>
          <w:szCs w:val="18"/>
          <w:u w:val="single"/>
          <w:lang w:val="nl-NL"/>
        </w:rPr>
        <w:t>Innovatieprogramma Satelliettoepassingen voor Veiligheid en Justitie</w:t>
      </w:r>
    </w:p>
    <w:p w:rsidRPr="000047FB" w:rsidR="00C11F8D" w:rsidP="00460324" w:rsidRDefault="00587E02">
      <w:pPr>
        <w:rPr>
          <w:rFonts w:ascii="Verdana" w:hAnsi="Verdana"/>
          <w:sz w:val="18"/>
          <w:szCs w:val="18"/>
          <w:lang w:val="nl-NL"/>
        </w:rPr>
      </w:pPr>
      <w:r>
        <w:rPr>
          <w:rFonts w:ascii="Verdana" w:hAnsi="Verdana"/>
          <w:sz w:val="18"/>
          <w:szCs w:val="18"/>
          <w:lang w:val="nl-NL"/>
        </w:rPr>
        <w:t>In september 2015 is het m</w:t>
      </w:r>
      <w:r w:rsidRPr="000047FB" w:rsidR="00C11F8D">
        <w:rPr>
          <w:rFonts w:ascii="Verdana" w:hAnsi="Verdana"/>
          <w:sz w:val="18"/>
          <w:szCs w:val="18"/>
          <w:lang w:val="nl-NL"/>
        </w:rPr>
        <w:t xml:space="preserve">inisterie van Veiligheid en Justitie (VenJ) het </w:t>
      </w:r>
      <w:r w:rsidRPr="000047FB" w:rsidR="00C11F8D">
        <w:rPr>
          <w:rFonts w:ascii="Verdana" w:hAnsi="Verdana"/>
          <w:i/>
          <w:iCs/>
          <w:sz w:val="18"/>
          <w:szCs w:val="18"/>
          <w:lang w:val="nl-NL"/>
        </w:rPr>
        <w:t xml:space="preserve">innovatieprogramma Satelliettoepassingen voor VenJ </w:t>
      </w:r>
      <w:r w:rsidRPr="000047FB" w:rsidR="00C11F8D">
        <w:rPr>
          <w:rFonts w:ascii="Verdana" w:hAnsi="Verdana"/>
          <w:sz w:val="18"/>
          <w:szCs w:val="18"/>
          <w:lang w:val="nl-NL"/>
        </w:rPr>
        <w:t xml:space="preserve">gestart. Het </w:t>
      </w:r>
      <w:r>
        <w:rPr>
          <w:rFonts w:ascii="Verdana" w:hAnsi="Verdana"/>
          <w:sz w:val="18"/>
          <w:szCs w:val="18"/>
          <w:lang w:val="nl-NL"/>
        </w:rPr>
        <w:t>m</w:t>
      </w:r>
      <w:r w:rsidRPr="000047FB" w:rsidR="00C11F8D">
        <w:rPr>
          <w:rFonts w:ascii="Verdana" w:hAnsi="Verdana"/>
          <w:sz w:val="18"/>
          <w:szCs w:val="18"/>
          <w:lang w:val="nl-NL"/>
        </w:rPr>
        <w:t>inisterie van Veiligheid en Justitie voert dit programma uit in een zogenaamde triple helix samenwerking met externe partners zo</w:t>
      </w:r>
      <w:r w:rsidR="00A067B6">
        <w:rPr>
          <w:rFonts w:ascii="Verdana" w:hAnsi="Verdana"/>
          <w:sz w:val="18"/>
          <w:szCs w:val="18"/>
          <w:lang w:val="nl-NL"/>
        </w:rPr>
        <w:t>als het NSO</w:t>
      </w:r>
      <w:r w:rsidRPr="000047FB" w:rsidR="00C11F8D">
        <w:rPr>
          <w:rFonts w:ascii="Verdana" w:hAnsi="Verdana"/>
          <w:sz w:val="18"/>
          <w:szCs w:val="18"/>
          <w:lang w:val="nl-NL"/>
        </w:rPr>
        <w:t>, TNO en The Hague Security Delta. Daarnaast zijn verschillende onderdelen van VenJ in de rol van eindgebruiker betrokken bij het innovatieprogramma.</w:t>
      </w:r>
      <w:r w:rsidR="00C11F8D">
        <w:rPr>
          <w:rFonts w:ascii="Verdana" w:hAnsi="Verdana"/>
          <w:sz w:val="18"/>
          <w:szCs w:val="18"/>
          <w:lang w:val="nl-NL"/>
        </w:rPr>
        <w:t xml:space="preserve"> Ook uitvoeringsorganisaties van de ministeries van Defensie, Financiën, Infrastructuur en Milieu en Sociale Zaken en Werkgelegenheid hebben zich aangesloten bij onderdelen van dit programma.</w:t>
      </w:r>
    </w:p>
    <w:p w:rsidR="00C11F8D" w:rsidP="00460324" w:rsidRDefault="00C11F8D">
      <w:pPr>
        <w:ind w:left="426"/>
        <w:rPr>
          <w:rFonts w:ascii="Verdana" w:hAnsi="Verdana" w:eastAsia="Calibri" w:cs="Calibri"/>
          <w:sz w:val="18"/>
          <w:szCs w:val="18"/>
          <w:lang w:val="nl-NL"/>
        </w:rPr>
      </w:pPr>
    </w:p>
    <w:p w:rsidRPr="000047FB" w:rsidR="00C11F8D" w:rsidP="00460324" w:rsidRDefault="00C11F8D">
      <w:pPr>
        <w:rPr>
          <w:rFonts w:ascii="Verdana" w:hAnsi="Verdana"/>
          <w:sz w:val="18"/>
          <w:szCs w:val="18"/>
          <w:lang w:val="nl-NL"/>
        </w:rPr>
      </w:pPr>
      <w:r>
        <w:rPr>
          <w:rFonts w:ascii="Verdana" w:hAnsi="Verdana"/>
          <w:sz w:val="18"/>
          <w:szCs w:val="18"/>
          <w:lang w:val="nl-NL"/>
        </w:rPr>
        <w:t>Doel is primair</w:t>
      </w:r>
      <w:r w:rsidRPr="000047FB">
        <w:rPr>
          <w:rFonts w:ascii="Verdana" w:hAnsi="Verdana"/>
          <w:sz w:val="18"/>
          <w:szCs w:val="18"/>
          <w:lang w:val="nl-NL"/>
        </w:rPr>
        <w:t xml:space="preserve"> om via publiek-private samenwerking innovatieve producten en diensten gebaseerd op satelliettechnologie te ontwikkelen en te implementeren binnen het domein van Veiligheid en Justitie. Daarnaast wil het ministerie ervaring op doen met de inzet van nieuwe technologie. In dit programma is voorts ook nadrukkelijk aandacht voor de risico’s van afhankelijkheid van satelliettechnologie en de bescherming van de persoonlijke levenssfeer.</w:t>
      </w:r>
    </w:p>
    <w:p w:rsidR="00C11F8D" w:rsidP="003A7671" w:rsidRDefault="00C11F8D">
      <w:pPr>
        <w:ind w:left="426"/>
        <w:rPr>
          <w:rFonts w:ascii="Verdana" w:hAnsi="Verdana"/>
          <w:sz w:val="18"/>
          <w:szCs w:val="18"/>
          <w:lang w:val="nl-NL"/>
        </w:rPr>
      </w:pPr>
    </w:p>
    <w:p w:rsidRPr="000047FB" w:rsidR="00C11F8D" w:rsidP="00460324" w:rsidRDefault="00C11F8D">
      <w:pPr>
        <w:rPr>
          <w:rFonts w:ascii="Verdana" w:hAnsi="Verdana"/>
          <w:sz w:val="18"/>
          <w:szCs w:val="18"/>
          <w:lang w:val="nl-NL"/>
        </w:rPr>
      </w:pPr>
      <w:r>
        <w:rPr>
          <w:rFonts w:ascii="Verdana" w:hAnsi="Verdana"/>
          <w:sz w:val="18"/>
          <w:szCs w:val="18"/>
          <w:lang w:val="nl-NL"/>
        </w:rPr>
        <w:t>Door het ontwikkelen en agenderen</w:t>
      </w:r>
      <w:r w:rsidRPr="000047FB">
        <w:rPr>
          <w:rFonts w:ascii="Verdana" w:hAnsi="Verdana"/>
          <w:sz w:val="18"/>
          <w:szCs w:val="18"/>
          <w:lang w:val="nl-NL"/>
        </w:rPr>
        <w:t xml:space="preserve"> van een </w:t>
      </w:r>
      <w:r>
        <w:rPr>
          <w:rFonts w:ascii="Verdana" w:hAnsi="Verdana"/>
          <w:sz w:val="18"/>
          <w:szCs w:val="18"/>
          <w:lang w:val="nl-NL"/>
        </w:rPr>
        <w:t xml:space="preserve">bottom-up, departementsbreed, </w:t>
      </w:r>
      <w:r w:rsidRPr="000047FB">
        <w:rPr>
          <w:rFonts w:ascii="Verdana" w:hAnsi="Verdana"/>
          <w:sz w:val="18"/>
          <w:szCs w:val="18"/>
          <w:lang w:val="nl-NL"/>
        </w:rPr>
        <w:t xml:space="preserve">vraag-gestuurd programma heeft VenJ het initiatief genomen om zich te profileren als innovatie inkoper die actief gebruik van satelliettechnologie nastreeft. </w:t>
      </w:r>
      <w:r w:rsidR="00587E02">
        <w:rPr>
          <w:rFonts w:ascii="Verdana" w:hAnsi="Verdana"/>
          <w:sz w:val="18"/>
          <w:szCs w:val="18"/>
          <w:lang w:val="nl-NL"/>
        </w:rPr>
        <w:t>Daarnaast zal</w:t>
      </w:r>
      <w:r w:rsidRPr="000047FB">
        <w:rPr>
          <w:rFonts w:ascii="Verdana" w:hAnsi="Verdana"/>
          <w:sz w:val="18"/>
          <w:szCs w:val="18"/>
          <w:lang w:val="nl-NL"/>
        </w:rPr>
        <w:t xml:space="preserve"> de ontwikkeling en inzet van satelliett</w:t>
      </w:r>
      <w:r w:rsidR="00587E02">
        <w:rPr>
          <w:rFonts w:ascii="Verdana" w:hAnsi="Verdana"/>
          <w:sz w:val="18"/>
          <w:szCs w:val="18"/>
          <w:lang w:val="nl-NL"/>
        </w:rPr>
        <w:t xml:space="preserve">oepassingen naar verwachting </w:t>
      </w:r>
      <w:r w:rsidRPr="000047FB">
        <w:rPr>
          <w:rFonts w:ascii="Verdana" w:hAnsi="Verdana"/>
          <w:sz w:val="18"/>
          <w:szCs w:val="18"/>
          <w:lang w:val="nl-NL"/>
        </w:rPr>
        <w:t xml:space="preserve">leiden tot een </w:t>
      </w:r>
      <w:r>
        <w:rPr>
          <w:rFonts w:ascii="Verdana" w:hAnsi="Verdana"/>
          <w:sz w:val="18"/>
          <w:szCs w:val="18"/>
          <w:lang w:val="nl-NL"/>
        </w:rPr>
        <w:t xml:space="preserve">verbeter, </w:t>
      </w:r>
      <w:r w:rsidRPr="000047FB">
        <w:rPr>
          <w:rFonts w:ascii="Verdana" w:hAnsi="Verdana"/>
          <w:sz w:val="18"/>
          <w:szCs w:val="18"/>
          <w:lang w:val="nl-NL"/>
        </w:rPr>
        <w:t xml:space="preserve">efficiëntie- </w:t>
      </w:r>
      <w:r>
        <w:rPr>
          <w:rFonts w:ascii="Verdana" w:hAnsi="Verdana"/>
          <w:sz w:val="18"/>
          <w:szCs w:val="18"/>
          <w:lang w:val="nl-NL"/>
        </w:rPr>
        <w:t>en effectiviteitsslag voor VenJ. Er wordt ervaring opgedaan met innovatiegerichte inkoop. Tevens wordt</w:t>
      </w:r>
      <w:r w:rsidRPr="000047FB">
        <w:rPr>
          <w:rFonts w:ascii="Verdana" w:hAnsi="Verdana"/>
          <w:sz w:val="18"/>
          <w:szCs w:val="18"/>
          <w:lang w:val="nl-NL"/>
        </w:rPr>
        <w:t xml:space="preserve"> de downstream sector in satellietdata-</w:t>
      </w:r>
      <w:r>
        <w:rPr>
          <w:rFonts w:ascii="Verdana" w:hAnsi="Verdana"/>
          <w:sz w:val="18"/>
          <w:szCs w:val="18"/>
          <w:lang w:val="nl-NL"/>
        </w:rPr>
        <w:t xml:space="preserve"> en technologietoepassingen </w:t>
      </w:r>
      <w:r w:rsidRPr="000047FB">
        <w:rPr>
          <w:rFonts w:ascii="Verdana" w:hAnsi="Verdana"/>
          <w:sz w:val="18"/>
          <w:szCs w:val="18"/>
          <w:lang w:val="nl-NL"/>
        </w:rPr>
        <w:t xml:space="preserve">verder gestimuleerd, hetgeen is geïdentificeerd als één van de beleidsdoelstellingen van Nederlandse overheid inzake ruimtevaart. </w:t>
      </w:r>
    </w:p>
    <w:p w:rsidRPr="000047FB" w:rsidR="00C11F8D" w:rsidP="00460324" w:rsidRDefault="00C11F8D">
      <w:pPr>
        <w:rPr>
          <w:rFonts w:ascii="Verdana" w:hAnsi="Verdana"/>
          <w:sz w:val="18"/>
          <w:szCs w:val="18"/>
          <w:lang w:val="nl-NL"/>
        </w:rPr>
      </w:pPr>
      <w:r w:rsidRPr="000047FB">
        <w:rPr>
          <w:rFonts w:ascii="Verdana" w:hAnsi="Verdana"/>
          <w:sz w:val="18"/>
          <w:szCs w:val="18"/>
          <w:lang w:val="nl-NL"/>
        </w:rPr>
        <w:t xml:space="preserve">Tot slot past het innovatieprogramma binnen de doelstelling uit de nota Ruimtevaartbeleid 2014-2020 om een groter aandeel te verwerven in de groeiende mondiale markt voor satellietdiensten. </w:t>
      </w:r>
    </w:p>
    <w:p w:rsidR="00C11F8D" w:rsidP="00460324" w:rsidRDefault="00C11F8D">
      <w:pPr>
        <w:ind w:left="426"/>
        <w:rPr>
          <w:rFonts w:ascii="Verdana" w:hAnsi="Verdana" w:eastAsia="Calibri" w:cs="Calibri"/>
          <w:sz w:val="18"/>
          <w:szCs w:val="18"/>
          <w:lang w:val="nl-NL"/>
        </w:rPr>
      </w:pPr>
    </w:p>
    <w:p w:rsidRPr="000047FB" w:rsidR="00C11F8D" w:rsidP="00460324" w:rsidRDefault="00C11F8D">
      <w:pPr>
        <w:rPr>
          <w:rFonts w:ascii="Verdana" w:hAnsi="Verdana" w:eastAsia="Calibri" w:cs="Calibri"/>
          <w:sz w:val="18"/>
          <w:szCs w:val="18"/>
          <w:u w:val="single"/>
          <w:lang w:val="nl-NL"/>
        </w:rPr>
      </w:pPr>
      <w:r w:rsidRPr="000047FB">
        <w:rPr>
          <w:rFonts w:ascii="Verdana" w:hAnsi="Verdana" w:eastAsia="Calibri" w:cs="Calibri"/>
          <w:sz w:val="18"/>
          <w:szCs w:val="18"/>
          <w:u w:val="single"/>
          <w:lang w:val="nl-NL"/>
        </w:rPr>
        <w:t>Internationale samenwerking</w:t>
      </w:r>
    </w:p>
    <w:p w:rsidRPr="000047FB" w:rsidR="00C11F8D" w:rsidP="00460324" w:rsidRDefault="00587E02">
      <w:pPr>
        <w:rPr>
          <w:rFonts w:ascii="Verdana" w:hAnsi="Verdana" w:eastAsia="Calibri" w:cs="Calibri"/>
          <w:sz w:val="18"/>
          <w:szCs w:val="18"/>
          <w:lang w:val="nl-NL"/>
        </w:rPr>
      </w:pPr>
      <w:r>
        <w:rPr>
          <w:rFonts w:ascii="Verdana" w:hAnsi="Verdana" w:eastAsia="Calibri" w:cs="Calibri"/>
          <w:sz w:val="18"/>
          <w:szCs w:val="18"/>
          <w:lang w:val="nl-NL"/>
        </w:rPr>
        <w:t>Het m</w:t>
      </w:r>
      <w:r w:rsidRPr="000047FB" w:rsidR="00C11F8D">
        <w:rPr>
          <w:rFonts w:ascii="Verdana" w:hAnsi="Verdana" w:eastAsia="Calibri" w:cs="Calibri"/>
          <w:sz w:val="18"/>
          <w:szCs w:val="18"/>
          <w:lang w:val="nl-NL"/>
        </w:rPr>
        <w:t xml:space="preserve">inisterie van Defensie is in 2013 een strategische, meerjarige samenwerking aangegaan met Noorwegen op het gebied van het militair gebruik van de ruimte (op basis van het zgn. ‘SMART’ </w:t>
      </w:r>
      <w:r w:rsidRPr="000047FB" w:rsidR="00C11F8D">
        <w:rPr>
          <w:rFonts w:ascii="Verdana" w:hAnsi="Verdana" w:eastAsia="Calibri" w:cs="Calibri"/>
          <w:i/>
          <w:sz w:val="18"/>
          <w:szCs w:val="18"/>
          <w:lang w:val="nl-NL"/>
        </w:rPr>
        <w:t>Technical Agreement</w:t>
      </w:r>
      <w:r w:rsidRPr="000047FB" w:rsidR="00C11F8D">
        <w:rPr>
          <w:rFonts w:ascii="Verdana" w:hAnsi="Verdana" w:eastAsia="Calibri" w:cs="Calibri"/>
          <w:sz w:val="18"/>
          <w:szCs w:val="18"/>
          <w:lang w:val="nl-NL"/>
        </w:rPr>
        <w:t>). Het onderzoek betreft de mogelijkheden om kwetsbaarheden in het gebruik van GPS en SATCOM te mitigeren, onderzoek naar een beter gebruik van ruimtevaartdata, met name op het vlak van geo-intelligence, kennisopbouw op het vlak van ruimteweer, Space Object Tracking en conceptontwikkeling voor een gezamenlijke militaire satelliet. De huidige samenwerking met Noorwegen loopt eind 2016 af. Momenteel wordt de mogelijkheid onderzocht om het programma te continueren, verder uit te diepen en te concretiseren. Voorts vindt samenwerking met Duitsland plaats en zijn verkennende gesprekken met Italië gevoerd.</w:t>
      </w:r>
    </w:p>
    <w:p w:rsidR="00C11F8D" w:rsidP="00460324" w:rsidRDefault="00C11F8D">
      <w:pPr>
        <w:ind w:left="426"/>
        <w:rPr>
          <w:rFonts w:ascii="Verdana" w:hAnsi="Verdana" w:eastAsia="Calibri" w:cs="Calibri"/>
          <w:sz w:val="18"/>
          <w:szCs w:val="18"/>
          <w:lang w:val="nl-NL"/>
        </w:rPr>
      </w:pPr>
    </w:p>
    <w:p w:rsidRPr="00460324" w:rsidR="00DA2C5D" w:rsidP="00460324" w:rsidRDefault="001B1641">
      <w:pPr>
        <w:rPr>
          <w:rFonts w:ascii="Verdana" w:hAnsi="Verdana"/>
          <w:sz w:val="18"/>
          <w:szCs w:val="18"/>
          <w:u w:val="single"/>
          <w:lang w:val="en-GB"/>
        </w:rPr>
      </w:pPr>
      <w:r w:rsidRPr="00460324">
        <w:rPr>
          <w:rFonts w:ascii="Verdana" w:hAnsi="Verdana"/>
          <w:sz w:val="18"/>
          <w:szCs w:val="18"/>
          <w:u w:val="single"/>
          <w:lang w:val="en-GB"/>
        </w:rPr>
        <w:t>Overheids</w:t>
      </w:r>
      <w:r w:rsidRPr="00460324" w:rsidR="00DA2C5D">
        <w:rPr>
          <w:rFonts w:ascii="Verdana" w:hAnsi="Verdana"/>
          <w:sz w:val="18"/>
          <w:szCs w:val="18"/>
          <w:u w:val="single"/>
          <w:lang w:val="en-GB"/>
        </w:rPr>
        <w:t>communicatie</w:t>
      </w:r>
      <w:r w:rsidRPr="00460324" w:rsidR="000D2110">
        <w:rPr>
          <w:rFonts w:ascii="Verdana" w:hAnsi="Verdana"/>
          <w:sz w:val="18"/>
          <w:szCs w:val="18"/>
          <w:u w:val="single"/>
          <w:lang w:val="en-GB"/>
        </w:rPr>
        <w:t xml:space="preserve"> via satellieten</w:t>
      </w:r>
      <w:r w:rsidRPr="00460324" w:rsidR="00DA2C5D">
        <w:rPr>
          <w:rFonts w:ascii="Verdana" w:hAnsi="Verdana"/>
          <w:sz w:val="18"/>
          <w:szCs w:val="18"/>
          <w:u w:val="single"/>
          <w:lang w:val="en-GB"/>
        </w:rPr>
        <w:t xml:space="preserve">: Public Regulated Service (PRS) en </w:t>
      </w:r>
      <w:r w:rsidRPr="00460324">
        <w:rPr>
          <w:rFonts w:ascii="Verdana" w:hAnsi="Verdana"/>
          <w:sz w:val="18"/>
          <w:szCs w:val="18"/>
          <w:u w:val="single"/>
          <w:lang w:val="en-GB"/>
        </w:rPr>
        <w:t>Govern</w:t>
      </w:r>
      <w:r w:rsidRPr="00460324" w:rsidR="00DA2C5D">
        <w:rPr>
          <w:rFonts w:ascii="Verdana" w:hAnsi="Verdana"/>
          <w:sz w:val="18"/>
          <w:szCs w:val="18"/>
          <w:u w:val="single"/>
          <w:lang w:val="en-GB"/>
        </w:rPr>
        <w:t>ment</w:t>
      </w:r>
      <w:r w:rsidRPr="00460324">
        <w:rPr>
          <w:rFonts w:ascii="Verdana" w:hAnsi="Verdana"/>
          <w:sz w:val="18"/>
          <w:szCs w:val="18"/>
          <w:u w:val="single"/>
          <w:lang w:val="en-GB"/>
        </w:rPr>
        <w:t>al</w:t>
      </w:r>
      <w:r w:rsidRPr="00460324" w:rsidR="00DA2C5D">
        <w:rPr>
          <w:rFonts w:ascii="Verdana" w:hAnsi="Verdana"/>
          <w:sz w:val="18"/>
          <w:szCs w:val="18"/>
          <w:u w:val="single"/>
          <w:lang w:val="en-GB"/>
        </w:rPr>
        <w:t xml:space="preserve"> Satellite Communication (GOVSATCOM)</w:t>
      </w:r>
    </w:p>
    <w:p w:rsidR="00893D51" w:rsidP="00460324" w:rsidRDefault="00DA2C5D">
      <w:pPr>
        <w:rPr>
          <w:rFonts w:ascii="Verdana" w:hAnsi="Verdana"/>
          <w:sz w:val="18"/>
          <w:szCs w:val="18"/>
          <w:lang w:val="nl-NL"/>
        </w:rPr>
      </w:pPr>
      <w:r w:rsidRPr="00C11F8D">
        <w:rPr>
          <w:rFonts w:ascii="Verdana" w:hAnsi="Verdana"/>
          <w:sz w:val="18"/>
          <w:szCs w:val="18"/>
          <w:lang w:val="nl-NL"/>
        </w:rPr>
        <w:t>Het Europese programma voor satellietnavigatie Galileo zal een aantal diensten leveren, waaronder</w:t>
      </w:r>
      <w:r w:rsidRPr="00C11F8D">
        <w:rPr>
          <w:rFonts w:ascii="Verdana" w:hAnsi="Verdana"/>
          <w:b/>
          <w:sz w:val="18"/>
          <w:szCs w:val="18"/>
          <w:lang w:val="nl-NL"/>
        </w:rPr>
        <w:t xml:space="preserve"> </w:t>
      </w:r>
      <w:r w:rsidRPr="00C11F8D">
        <w:rPr>
          <w:rFonts w:ascii="Verdana" w:hAnsi="Verdana"/>
          <w:sz w:val="18"/>
          <w:szCs w:val="18"/>
          <w:lang w:val="nl-NL"/>
        </w:rPr>
        <w:t>de P</w:t>
      </w:r>
      <w:r w:rsidRPr="00C11F8D" w:rsidR="00C11F8D">
        <w:rPr>
          <w:rFonts w:ascii="Verdana" w:hAnsi="Verdana"/>
          <w:sz w:val="18"/>
          <w:szCs w:val="18"/>
          <w:lang w:val="nl-NL"/>
        </w:rPr>
        <w:t xml:space="preserve">ublic Regulated Service (PRS). </w:t>
      </w:r>
      <w:r w:rsidRPr="00C11F8D">
        <w:rPr>
          <w:rFonts w:ascii="Verdana" w:hAnsi="Verdana"/>
          <w:sz w:val="18"/>
          <w:szCs w:val="18"/>
          <w:lang w:val="nl-NL"/>
        </w:rPr>
        <w:t xml:space="preserve">Bij deze dienst gaat het om een versleuteld navigatiesignaal voor geautoriseerde </w:t>
      </w:r>
      <w:r w:rsidR="003A27DC">
        <w:rPr>
          <w:rFonts w:ascii="Verdana" w:hAnsi="Verdana"/>
          <w:sz w:val="18"/>
          <w:szCs w:val="18"/>
          <w:lang w:val="nl-NL"/>
        </w:rPr>
        <w:t>overheidsdiensten en veiligheid-</w:t>
      </w:r>
      <w:r w:rsidRPr="00C11F8D">
        <w:rPr>
          <w:rFonts w:ascii="Verdana" w:hAnsi="Verdana"/>
          <w:sz w:val="18"/>
          <w:szCs w:val="18"/>
          <w:lang w:val="nl-NL"/>
        </w:rPr>
        <w:t xml:space="preserve">kritische toepassingen die een hoge mate van continuïteit vereisen. </w:t>
      </w:r>
      <w:r w:rsidRPr="001B1641">
        <w:rPr>
          <w:rFonts w:ascii="Verdana" w:hAnsi="Verdana"/>
          <w:sz w:val="18"/>
          <w:szCs w:val="18"/>
          <w:lang w:val="nl-NL"/>
        </w:rPr>
        <w:t xml:space="preserve">Het is een signaal dat zeer moeilijk te verstoren is en meer kans heeft te blijven functioneren als de gebruikelijke navigatiesystemen uitvallen. </w:t>
      </w:r>
      <w:r w:rsidRPr="00F07F5B">
        <w:rPr>
          <w:rFonts w:ascii="Verdana" w:hAnsi="Verdana"/>
          <w:sz w:val="18"/>
          <w:szCs w:val="18"/>
          <w:lang w:val="nl-NL"/>
        </w:rPr>
        <w:t>Concrete toepa</w:t>
      </w:r>
      <w:r w:rsidR="003F5B68">
        <w:rPr>
          <w:rFonts w:ascii="Verdana" w:hAnsi="Verdana"/>
          <w:sz w:val="18"/>
          <w:szCs w:val="18"/>
          <w:lang w:val="nl-NL"/>
        </w:rPr>
        <w:t>ssingen zijn: rampenbestrijdingsdiensten</w:t>
      </w:r>
      <w:r w:rsidRPr="00F07F5B">
        <w:rPr>
          <w:rFonts w:ascii="Verdana" w:hAnsi="Verdana"/>
          <w:sz w:val="18"/>
          <w:szCs w:val="18"/>
          <w:lang w:val="nl-NL"/>
        </w:rPr>
        <w:t xml:space="preserve"> en politie. De PRS kan in Nederland alleen worden gebruikt als de Nederlandse overheid een bevoegde autoriteit opricht die onder meer het beheer en de toegang tot PRS regelt. </w:t>
      </w:r>
      <w:r w:rsidRPr="001B1641">
        <w:rPr>
          <w:rFonts w:ascii="Verdana" w:hAnsi="Verdana"/>
          <w:sz w:val="18"/>
          <w:szCs w:val="18"/>
          <w:lang w:val="nl-NL"/>
        </w:rPr>
        <w:t>De voorwaarden waaraan deze autoriteit moet voldoen staan omsc</w:t>
      </w:r>
      <w:r w:rsidR="00893D51">
        <w:rPr>
          <w:rFonts w:ascii="Verdana" w:hAnsi="Verdana"/>
          <w:sz w:val="18"/>
          <w:szCs w:val="18"/>
          <w:lang w:val="nl-NL"/>
        </w:rPr>
        <w:t xml:space="preserve">hreven in besluit </w:t>
      </w:r>
      <w:r w:rsidR="00893D51">
        <w:rPr>
          <w:rFonts w:ascii="Verdana" w:hAnsi="Verdana"/>
          <w:sz w:val="18"/>
          <w:szCs w:val="18"/>
          <w:lang w:val="nl-NL"/>
        </w:rPr>
        <w:lastRenderedPageBreak/>
        <w:t>1104/2011/EU. Het ministerie van IenM</w:t>
      </w:r>
      <w:r w:rsidRPr="001B1641">
        <w:rPr>
          <w:rFonts w:ascii="Verdana" w:hAnsi="Verdana"/>
          <w:sz w:val="18"/>
          <w:szCs w:val="18"/>
          <w:lang w:val="nl-NL"/>
        </w:rPr>
        <w:t xml:space="preserve"> onderzoekt momenteel welke nationale juridische</w:t>
      </w:r>
      <w:r w:rsidR="00C11F8D">
        <w:rPr>
          <w:rFonts w:ascii="Verdana" w:hAnsi="Verdana"/>
          <w:sz w:val="18"/>
          <w:szCs w:val="18"/>
          <w:lang w:val="nl-NL"/>
        </w:rPr>
        <w:t xml:space="preserve"> basis aanwezig</w:t>
      </w:r>
      <w:r w:rsidRPr="001B1641">
        <w:rPr>
          <w:rFonts w:ascii="Verdana" w:hAnsi="Verdana"/>
          <w:sz w:val="18"/>
          <w:szCs w:val="18"/>
          <w:lang w:val="nl-NL"/>
        </w:rPr>
        <w:t xml:space="preserve"> of nodig is, voor het inrichten van een bevoegde PRS autoriteit en voor het regelen van toegang tot de PRS-dienst. </w:t>
      </w:r>
      <w:r w:rsidR="00893D51">
        <w:rPr>
          <w:rFonts w:ascii="Verdana" w:hAnsi="Verdana"/>
          <w:sz w:val="18"/>
          <w:szCs w:val="18"/>
          <w:lang w:val="nl-NL"/>
        </w:rPr>
        <w:t xml:space="preserve">Tevens wordt een beheersfunctie voor PRS ingericht. </w:t>
      </w:r>
    </w:p>
    <w:p w:rsidRPr="001B1641" w:rsidR="00DA2C5D" w:rsidP="00460324" w:rsidRDefault="00DA2C5D">
      <w:pPr>
        <w:rPr>
          <w:rFonts w:ascii="Verdana" w:hAnsi="Verdana"/>
          <w:sz w:val="18"/>
          <w:szCs w:val="18"/>
          <w:lang w:val="nl-NL"/>
        </w:rPr>
      </w:pPr>
      <w:r w:rsidRPr="001B1641">
        <w:rPr>
          <w:rFonts w:ascii="Verdana" w:hAnsi="Verdana"/>
          <w:sz w:val="18"/>
          <w:szCs w:val="18"/>
          <w:lang w:val="nl-NL"/>
        </w:rPr>
        <w:t xml:space="preserve">Daarnaast werkt de Europese Commissie samen met het Europese Defensie Agentschap </w:t>
      </w:r>
      <w:r w:rsidR="00587E02">
        <w:rPr>
          <w:rFonts w:ascii="Verdana" w:hAnsi="Verdana"/>
          <w:sz w:val="18"/>
          <w:szCs w:val="18"/>
          <w:lang w:val="nl-NL"/>
        </w:rPr>
        <w:t xml:space="preserve">(EDA) </w:t>
      </w:r>
      <w:r w:rsidRPr="001B1641">
        <w:rPr>
          <w:rFonts w:ascii="Verdana" w:hAnsi="Verdana"/>
          <w:sz w:val="18"/>
          <w:szCs w:val="18"/>
          <w:lang w:val="nl-NL"/>
        </w:rPr>
        <w:t xml:space="preserve">en ESA aan </w:t>
      </w:r>
      <w:r w:rsidR="001B1641">
        <w:rPr>
          <w:rFonts w:ascii="Verdana" w:hAnsi="Verdana"/>
          <w:sz w:val="18"/>
          <w:szCs w:val="18"/>
          <w:lang w:val="nl-NL"/>
        </w:rPr>
        <w:t xml:space="preserve">het </w:t>
      </w:r>
      <w:r w:rsidR="00181F6A">
        <w:rPr>
          <w:rFonts w:ascii="Verdana" w:hAnsi="Verdana"/>
          <w:sz w:val="18"/>
          <w:szCs w:val="18"/>
          <w:lang w:val="nl-NL"/>
        </w:rPr>
        <w:t xml:space="preserve">zogenaamde </w:t>
      </w:r>
      <w:r w:rsidRPr="001B1641">
        <w:rPr>
          <w:rFonts w:ascii="Verdana" w:hAnsi="Verdana"/>
          <w:sz w:val="18"/>
          <w:szCs w:val="18"/>
          <w:lang w:val="nl-NL"/>
        </w:rPr>
        <w:t>GOVSATCOM</w:t>
      </w:r>
      <w:r w:rsidR="001B1641">
        <w:rPr>
          <w:rFonts w:ascii="Verdana" w:hAnsi="Verdana"/>
          <w:sz w:val="18"/>
          <w:szCs w:val="18"/>
          <w:lang w:val="nl-NL"/>
        </w:rPr>
        <w:t>-initiatief</w:t>
      </w:r>
      <w:r w:rsidRPr="001B1641">
        <w:rPr>
          <w:rFonts w:ascii="Verdana" w:hAnsi="Verdana"/>
          <w:sz w:val="18"/>
          <w:szCs w:val="18"/>
          <w:lang w:val="nl-NL"/>
        </w:rPr>
        <w:t>. Daarbij wordt</w:t>
      </w:r>
      <w:r w:rsidR="001B1641">
        <w:rPr>
          <w:rFonts w:ascii="Verdana" w:hAnsi="Verdana"/>
          <w:sz w:val="18"/>
          <w:szCs w:val="18"/>
          <w:lang w:val="nl-NL"/>
        </w:rPr>
        <w:t xml:space="preserve"> het mogelijk gemaakt dat</w:t>
      </w:r>
      <w:r w:rsidRPr="001B1641">
        <w:rPr>
          <w:rFonts w:ascii="Verdana" w:hAnsi="Verdana"/>
          <w:sz w:val="18"/>
          <w:szCs w:val="18"/>
          <w:lang w:val="nl-NL"/>
        </w:rPr>
        <w:t xml:space="preserve"> de bestaande Europese militair</w:t>
      </w:r>
      <w:r w:rsidR="001B1641">
        <w:rPr>
          <w:rFonts w:ascii="Verdana" w:hAnsi="Verdana"/>
          <w:sz w:val="18"/>
          <w:szCs w:val="18"/>
          <w:lang w:val="nl-NL"/>
        </w:rPr>
        <w:t>e telecommunicatiecapaciteit mede</w:t>
      </w:r>
      <w:r w:rsidRPr="001B1641">
        <w:rPr>
          <w:rFonts w:ascii="Verdana" w:hAnsi="Verdana"/>
          <w:sz w:val="18"/>
          <w:szCs w:val="18"/>
          <w:lang w:val="nl-NL"/>
        </w:rPr>
        <w:t xml:space="preserve"> </w:t>
      </w:r>
      <w:r w:rsidR="000D2110">
        <w:rPr>
          <w:rFonts w:ascii="Verdana" w:hAnsi="Verdana"/>
          <w:sz w:val="18"/>
          <w:szCs w:val="18"/>
          <w:lang w:val="nl-NL"/>
        </w:rPr>
        <w:t xml:space="preserve">kan worden </w:t>
      </w:r>
      <w:r w:rsidRPr="001B1641">
        <w:rPr>
          <w:rFonts w:ascii="Verdana" w:hAnsi="Verdana"/>
          <w:sz w:val="18"/>
          <w:szCs w:val="18"/>
          <w:lang w:val="nl-NL"/>
        </w:rPr>
        <w:t>aangewend voor vertrouwelijke over</w:t>
      </w:r>
      <w:r w:rsidR="00587E02">
        <w:rPr>
          <w:rFonts w:ascii="Verdana" w:hAnsi="Verdana"/>
          <w:sz w:val="18"/>
          <w:szCs w:val="18"/>
          <w:lang w:val="nl-NL"/>
        </w:rPr>
        <w:t>heidscommunicatie</w:t>
      </w:r>
      <w:r w:rsidRPr="001B1641">
        <w:rPr>
          <w:rFonts w:ascii="Verdana" w:hAnsi="Verdana"/>
          <w:sz w:val="18"/>
          <w:szCs w:val="18"/>
          <w:lang w:val="nl-NL"/>
        </w:rPr>
        <w:t>diensten.</w:t>
      </w:r>
    </w:p>
    <w:p w:rsidR="003B101C" w:rsidP="003A7671" w:rsidRDefault="003B101C">
      <w:pPr>
        <w:pStyle w:val="Lijstalinea"/>
        <w:ind w:left="426" w:hanging="426"/>
        <w:rPr>
          <w:rFonts w:ascii="Verdana" w:hAnsi="Verdana"/>
          <w:sz w:val="18"/>
          <w:szCs w:val="18"/>
          <w:lang w:val="nl-NL"/>
        </w:rPr>
      </w:pPr>
    </w:p>
    <w:p w:rsidRPr="000047FB" w:rsidR="0043482B" w:rsidRDefault="0043482B">
      <w:pPr>
        <w:pStyle w:val="Lijstalinea"/>
        <w:ind w:left="426" w:hanging="426"/>
        <w:rPr>
          <w:rFonts w:ascii="Verdana" w:hAnsi="Verdana"/>
          <w:sz w:val="18"/>
          <w:szCs w:val="18"/>
          <w:lang w:val="nl-NL"/>
        </w:rPr>
      </w:pPr>
    </w:p>
    <w:p w:rsidRPr="000047FB" w:rsidR="003B101C" w:rsidRDefault="003B101C">
      <w:pPr>
        <w:pStyle w:val="Lijstalinea"/>
        <w:numPr>
          <w:ilvl w:val="0"/>
          <w:numId w:val="1"/>
        </w:numPr>
        <w:ind w:left="426" w:hanging="426"/>
        <w:rPr>
          <w:rFonts w:ascii="Verdana" w:hAnsi="Verdana"/>
          <w:sz w:val="18"/>
          <w:szCs w:val="18"/>
          <w:u w:val="single"/>
          <w:lang w:val="nl-NL"/>
        </w:rPr>
      </w:pPr>
      <w:r w:rsidRPr="000047FB">
        <w:rPr>
          <w:rFonts w:ascii="Verdana" w:hAnsi="Verdana"/>
          <w:sz w:val="18"/>
          <w:szCs w:val="18"/>
          <w:u w:val="single"/>
          <w:lang w:val="nl-NL"/>
        </w:rPr>
        <w:t>Interna</w:t>
      </w:r>
      <w:r w:rsidRPr="000047FB" w:rsidR="004E39D0">
        <w:rPr>
          <w:rFonts w:ascii="Verdana" w:hAnsi="Verdana"/>
          <w:sz w:val="18"/>
          <w:szCs w:val="18"/>
          <w:u w:val="single"/>
          <w:lang w:val="nl-NL"/>
        </w:rPr>
        <w:t xml:space="preserve">tionale positionering van de Nederlandse </w:t>
      </w:r>
      <w:r w:rsidRPr="000047FB">
        <w:rPr>
          <w:rFonts w:ascii="Verdana" w:hAnsi="Verdana"/>
          <w:sz w:val="18"/>
          <w:szCs w:val="18"/>
          <w:u w:val="single"/>
          <w:lang w:val="nl-NL"/>
        </w:rPr>
        <w:t>ruimtevaart</w:t>
      </w:r>
    </w:p>
    <w:p w:rsidR="006F2287" w:rsidRDefault="006F2287">
      <w:pPr>
        <w:pStyle w:val="Lijstalinea"/>
        <w:ind w:left="852" w:hanging="426"/>
        <w:rPr>
          <w:rFonts w:ascii="Verdana" w:hAnsi="Verdana"/>
          <w:sz w:val="18"/>
          <w:szCs w:val="18"/>
          <w:lang w:val="nl-NL"/>
        </w:rPr>
      </w:pPr>
    </w:p>
    <w:p w:rsidRPr="000047FB" w:rsidR="00B87F62" w:rsidP="00460324" w:rsidRDefault="00B87F62">
      <w:pPr>
        <w:rPr>
          <w:rFonts w:ascii="Verdana" w:hAnsi="Verdana"/>
          <w:sz w:val="18"/>
          <w:szCs w:val="18"/>
          <w:lang w:val="nl-NL"/>
        </w:rPr>
      </w:pPr>
      <w:r w:rsidRPr="000047FB">
        <w:rPr>
          <w:rFonts w:ascii="Verdana" w:hAnsi="Verdana"/>
          <w:sz w:val="18"/>
          <w:szCs w:val="18"/>
          <w:lang w:val="nl-NL"/>
        </w:rPr>
        <w:t xml:space="preserve">Nieuwe commerciële partijen </w:t>
      </w:r>
      <w:r w:rsidR="009251D5">
        <w:rPr>
          <w:rFonts w:ascii="Verdana" w:hAnsi="Verdana"/>
          <w:sz w:val="18"/>
          <w:szCs w:val="18"/>
          <w:lang w:val="nl-NL"/>
        </w:rPr>
        <w:t>melden zich b</w:t>
      </w:r>
      <w:r w:rsidRPr="000047FB">
        <w:rPr>
          <w:rFonts w:ascii="Verdana" w:hAnsi="Verdana"/>
          <w:sz w:val="18"/>
          <w:szCs w:val="18"/>
          <w:lang w:val="nl-NL"/>
        </w:rPr>
        <w:t>in</w:t>
      </w:r>
      <w:r w:rsidR="009251D5">
        <w:rPr>
          <w:rFonts w:ascii="Verdana" w:hAnsi="Verdana"/>
          <w:sz w:val="18"/>
          <w:szCs w:val="18"/>
          <w:lang w:val="nl-NL"/>
        </w:rPr>
        <w:t>nen</w:t>
      </w:r>
      <w:r w:rsidRPr="000047FB">
        <w:rPr>
          <w:rFonts w:ascii="Verdana" w:hAnsi="Verdana"/>
          <w:sz w:val="18"/>
          <w:szCs w:val="18"/>
          <w:lang w:val="nl-NL"/>
        </w:rPr>
        <w:t xml:space="preserve"> de ruimtevaartsector met de ambitie om constellaties van satellieten in de ruimte te brengen. Dit onder andere om de ontvangst van internet</w:t>
      </w:r>
      <w:r w:rsidR="009251D5">
        <w:rPr>
          <w:rFonts w:ascii="Verdana" w:hAnsi="Verdana"/>
          <w:sz w:val="18"/>
          <w:szCs w:val="18"/>
          <w:lang w:val="nl-NL"/>
        </w:rPr>
        <w:t xml:space="preserve"> te verbeteren</w:t>
      </w:r>
      <w:r w:rsidRPr="000047FB">
        <w:rPr>
          <w:rFonts w:ascii="Verdana" w:hAnsi="Verdana"/>
          <w:sz w:val="18"/>
          <w:szCs w:val="18"/>
          <w:lang w:val="nl-NL"/>
        </w:rPr>
        <w:t xml:space="preserve"> in ver</w:t>
      </w:r>
      <w:r w:rsidR="00181F6A">
        <w:rPr>
          <w:rFonts w:ascii="Verdana" w:hAnsi="Verdana"/>
          <w:sz w:val="18"/>
          <w:szCs w:val="18"/>
          <w:lang w:val="nl-NL"/>
        </w:rPr>
        <w:t>af gelegen gebieden op A</w:t>
      </w:r>
      <w:r w:rsidR="00C11F8D">
        <w:rPr>
          <w:rFonts w:ascii="Verdana" w:hAnsi="Verdana"/>
          <w:sz w:val="18"/>
          <w:szCs w:val="18"/>
          <w:lang w:val="nl-NL"/>
        </w:rPr>
        <w:t>arde. He</w:t>
      </w:r>
      <w:r w:rsidRPr="000047FB">
        <w:rPr>
          <w:rFonts w:ascii="Verdana" w:hAnsi="Verdana"/>
          <w:sz w:val="18"/>
          <w:szCs w:val="18"/>
          <w:lang w:val="nl-NL"/>
        </w:rPr>
        <w:t>t biedt kansen voor bedrijven in Nederland</w:t>
      </w:r>
      <w:r w:rsidR="009251D5">
        <w:rPr>
          <w:rFonts w:ascii="Verdana" w:hAnsi="Verdana"/>
          <w:sz w:val="18"/>
          <w:szCs w:val="18"/>
          <w:lang w:val="nl-NL"/>
        </w:rPr>
        <w:t>, zoals de bedrijven die complete satellieten/</w:t>
      </w:r>
      <w:r w:rsidR="00181F6A">
        <w:rPr>
          <w:rFonts w:ascii="Verdana" w:hAnsi="Verdana"/>
          <w:sz w:val="18"/>
          <w:szCs w:val="18"/>
          <w:lang w:val="nl-NL"/>
        </w:rPr>
        <w:t>”</w:t>
      </w:r>
      <w:r w:rsidR="009251D5">
        <w:rPr>
          <w:rFonts w:ascii="Verdana" w:hAnsi="Verdana"/>
          <w:sz w:val="18"/>
          <w:szCs w:val="18"/>
          <w:lang w:val="nl-NL"/>
        </w:rPr>
        <w:t>cubesats</w:t>
      </w:r>
      <w:r w:rsidR="00181F6A">
        <w:rPr>
          <w:rFonts w:ascii="Verdana" w:hAnsi="Verdana"/>
          <w:sz w:val="18"/>
          <w:szCs w:val="18"/>
          <w:lang w:val="nl-NL"/>
        </w:rPr>
        <w:t>”</w:t>
      </w:r>
      <w:r w:rsidR="009251D5">
        <w:rPr>
          <w:rFonts w:ascii="Verdana" w:hAnsi="Verdana"/>
          <w:sz w:val="18"/>
          <w:szCs w:val="18"/>
          <w:lang w:val="nl-NL"/>
        </w:rPr>
        <w:t xml:space="preserve"> leveren of die onderdelen leveren voor satellieten, zoals satellietinstrumenten en/of zonnepanelen</w:t>
      </w:r>
      <w:r w:rsidRPr="000047FB">
        <w:rPr>
          <w:rFonts w:ascii="Verdana" w:hAnsi="Verdana"/>
          <w:sz w:val="18"/>
          <w:szCs w:val="18"/>
          <w:lang w:val="nl-NL"/>
        </w:rPr>
        <w:t>.</w:t>
      </w:r>
    </w:p>
    <w:p w:rsidRPr="000047FB" w:rsidR="00B87F62" w:rsidP="003A7671" w:rsidRDefault="00B87F62">
      <w:pPr>
        <w:pStyle w:val="Lijstalinea"/>
        <w:ind w:left="852" w:hanging="426"/>
        <w:rPr>
          <w:rFonts w:ascii="Verdana" w:hAnsi="Verdana"/>
          <w:sz w:val="18"/>
          <w:szCs w:val="18"/>
          <w:lang w:val="nl-NL"/>
        </w:rPr>
      </w:pPr>
    </w:p>
    <w:p w:rsidR="0043482B" w:rsidP="00460324" w:rsidRDefault="00104579">
      <w:pPr>
        <w:rPr>
          <w:rFonts w:ascii="Verdana" w:hAnsi="Verdana"/>
          <w:sz w:val="18"/>
          <w:szCs w:val="18"/>
          <w:lang w:val="nl-NL"/>
        </w:rPr>
      </w:pPr>
      <w:r w:rsidRPr="000047FB">
        <w:rPr>
          <w:rFonts w:ascii="Verdana" w:hAnsi="Verdana"/>
          <w:sz w:val="18"/>
          <w:szCs w:val="18"/>
          <w:lang w:val="nl-NL"/>
        </w:rPr>
        <w:t>I</w:t>
      </w:r>
      <w:r w:rsidRPr="000047FB" w:rsidR="006F2287">
        <w:rPr>
          <w:rFonts w:ascii="Verdana" w:hAnsi="Verdana"/>
          <w:sz w:val="18"/>
          <w:szCs w:val="18"/>
          <w:lang w:val="nl-NL"/>
        </w:rPr>
        <w:t>n de</w:t>
      </w:r>
      <w:r w:rsidRPr="000047FB" w:rsidR="00D908C3">
        <w:rPr>
          <w:rFonts w:ascii="Verdana" w:hAnsi="Verdana"/>
          <w:sz w:val="18"/>
          <w:szCs w:val="18"/>
          <w:lang w:val="nl-NL"/>
        </w:rPr>
        <w:t xml:space="preserve"> </w:t>
      </w:r>
      <w:r w:rsidRPr="000047FB">
        <w:rPr>
          <w:rFonts w:ascii="Verdana" w:hAnsi="Verdana"/>
          <w:sz w:val="18"/>
          <w:szCs w:val="18"/>
          <w:lang w:val="nl-NL"/>
        </w:rPr>
        <w:t>nota Ruimtevaartbeleid 2014-2020</w:t>
      </w:r>
      <w:r w:rsidRPr="000047FB" w:rsidR="006F2287">
        <w:rPr>
          <w:rFonts w:ascii="Verdana" w:hAnsi="Verdana"/>
          <w:sz w:val="18"/>
          <w:szCs w:val="18"/>
          <w:lang w:val="nl-NL"/>
        </w:rPr>
        <w:t xml:space="preserve"> van </w:t>
      </w:r>
      <w:r w:rsidRPr="000047FB" w:rsidR="005876CE">
        <w:rPr>
          <w:rFonts w:ascii="Verdana" w:hAnsi="Verdana"/>
          <w:sz w:val="18"/>
          <w:szCs w:val="18"/>
          <w:lang w:val="nl-NL"/>
        </w:rPr>
        <w:t xml:space="preserve">11 </w:t>
      </w:r>
      <w:r w:rsidRPr="000047FB" w:rsidR="006F2287">
        <w:rPr>
          <w:rFonts w:ascii="Verdana" w:hAnsi="Verdana"/>
          <w:sz w:val="18"/>
          <w:szCs w:val="18"/>
          <w:lang w:val="nl-NL"/>
        </w:rPr>
        <w:t xml:space="preserve">september 2014 is </w:t>
      </w:r>
      <w:r w:rsidRPr="000047FB">
        <w:rPr>
          <w:rFonts w:ascii="Verdana" w:hAnsi="Verdana"/>
          <w:sz w:val="18"/>
          <w:szCs w:val="18"/>
          <w:lang w:val="nl-NL"/>
        </w:rPr>
        <w:t xml:space="preserve">gesteld dat </w:t>
      </w:r>
      <w:r w:rsidRPr="000047FB" w:rsidR="006F2287">
        <w:rPr>
          <w:rFonts w:ascii="Verdana" w:hAnsi="Verdana"/>
          <w:sz w:val="18"/>
          <w:szCs w:val="18"/>
          <w:lang w:val="nl-NL"/>
        </w:rPr>
        <w:t>het voor Nederlandse bedrijven, die hun goederen of diensten willen leveren aan afnemers in markten van derde landen</w:t>
      </w:r>
      <w:r w:rsidRPr="000047FB">
        <w:rPr>
          <w:rFonts w:ascii="Verdana" w:hAnsi="Verdana"/>
          <w:sz w:val="18"/>
          <w:szCs w:val="18"/>
          <w:lang w:val="nl-NL"/>
        </w:rPr>
        <w:t>, doorgaans</w:t>
      </w:r>
      <w:r w:rsidRPr="000047FB" w:rsidR="006F2287">
        <w:rPr>
          <w:rFonts w:ascii="Verdana" w:hAnsi="Verdana"/>
          <w:sz w:val="18"/>
          <w:szCs w:val="18"/>
          <w:lang w:val="nl-NL"/>
        </w:rPr>
        <w:t xml:space="preserve"> lastig</w:t>
      </w:r>
      <w:r w:rsidRPr="000047FB">
        <w:rPr>
          <w:rFonts w:ascii="Verdana" w:hAnsi="Verdana"/>
          <w:sz w:val="18"/>
          <w:szCs w:val="18"/>
          <w:lang w:val="nl-NL"/>
        </w:rPr>
        <w:t xml:space="preserve"> is</w:t>
      </w:r>
      <w:r w:rsidRPr="000047FB" w:rsidR="006F2287">
        <w:rPr>
          <w:rFonts w:ascii="Verdana" w:hAnsi="Verdana"/>
          <w:sz w:val="18"/>
          <w:szCs w:val="18"/>
          <w:lang w:val="nl-NL"/>
        </w:rPr>
        <w:t xml:space="preserve"> om toegang te verkrijgen</w:t>
      </w:r>
      <w:r w:rsidRPr="000047FB">
        <w:rPr>
          <w:rFonts w:ascii="Verdana" w:hAnsi="Verdana"/>
          <w:sz w:val="18"/>
          <w:szCs w:val="18"/>
          <w:lang w:val="nl-NL"/>
        </w:rPr>
        <w:t xml:space="preserve"> tot die markten</w:t>
      </w:r>
      <w:r w:rsidRPr="000047FB" w:rsidR="006F2287">
        <w:rPr>
          <w:rFonts w:ascii="Verdana" w:hAnsi="Verdana"/>
          <w:sz w:val="18"/>
          <w:szCs w:val="18"/>
          <w:lang w:val="nl-NL"/>
        </w:rPr>
        <w:t xml:space="preserve">. </w:t>
      </w:r>
      <w:r w:rsidRPr="000047FB">
        <w:rPr>
          <w:rFonts w:ascii="Verdana" w:hAnsi="Verdana"/>
          <w:sz w:val="18"/>
          <w:szCs w:val="18"/>
          <w:lang w:val="nl-NL"/>
        </w:rPr>
        <w:t>Hetzelfde geldt voor onderzoeksinstellingen die beogen een samenwerkingsver</w:t>
      </w:r>
      <w:r w:rsidR="00B87F62">
        <w:rPr>
          <w:rFonts w:ascii="Verdana" w:hAnsi="Verdana"/>
          <w:sz w:val="18"/>
          <w:szCs w:val="18"/>
          <w:lang w:val="nl-NL"/>
        </w:rPr>
        <w:t>band aan te gaan met gelijkaardige kennisinstelling</w:t>
      </w:r>
      <w:r w:rsidRPr="000047FB">
        <w:rPr>
          <w:rFonts w:ascii="Verdana" w:hAnsi="Verdana"/>
          <w:sz w:val="18"/>
          <w:szCs w:val="18"/>
          <w:lang w:val="nl-NL"/>
        </w:rPr>
        <w:t xml:space="preserve">en in derde landen. </w:t>
      </w:r>
      <w:r w:rsidR="00A067B6">
        <w:rPr>
          <w:rFonts w:ascii="Verdana" w:hAnsi="Verdana"/>
          <w:sz w:val="18"/>
          <w:szCs w:val="18"/>
          <w:lang w:val="nl-NL"/>
        </w:rPr>
        <w:t xml:space="preserve">De reden hiervoor is </w:t>
      </w:r>
      <w:r w:rsidRPr="000047FB" w:rsidR="006F2287">
        <w:rPr>
          <w:rFonts w:ascii="Verdana" w:hAnsi="Verdana"/>
          <w:sz w:val="18"/>
          <w:szCs w:val="18"/>
          <w:lang w:val="nl-NL"/>
        </w:rPr>
        <w:t>dat de markten voor ruimtevaart in deze landen sterk door overheden gedomineerd worden en als strategisch worden geclassificeerd. Het impliceert dat ondersteuning van de Nederlandse overheid</w:t>
      </w:r>
      <w:r w:rsidRPr="000047FB">
        <w:rPr>
          <w:rFonts w:ascii="Verdana" w:hAnsi="Verdana"/>
          <w:sz w:val="18"/>
          <w:szCs w:val="18"/>
          <w:lang w:val="nl-NL"/>
        </w:rPr>
        <w:t xml:space="preserve">, in het bijzonder van het </w:t>
      </w:r>
      <w:r w:rsidR="00A067B6">
        <w:rPr>
          <w:rFonts w:ascii="Verdana" w:hAnsi="Verdana"/>
          <w:sz w:val="18"/>
          <w:szCs w:val="18"/>
          <w:lang w:val="nl-NL"/>
        </w:rPr>
        <w:t>NSO</w:t>
      </w:r>
      <w:r w:rsidRPr="000047FB">
        <w:rPr>
          <w:rFonts w:ascii="Verdana" w:hAnsi="Verdana"/>
          <w:sz w:val="18"/>
          <w:szCs w:val="18"/>
          <w:lang w:val="nl-NL"/>
        </w:rPr>
        <w:t>,</w:t>
      </w:r>
      <w:r w:rsidRPr="000047FB" w:rsidR="006F2287">
        <w:rPr>
          <w:rFonts w:ascii="Verdana" w:hAnsi="Verdana"/>
          <w:sz w:val="18"/>
          <w:szCs w:val="18"/>
          <w:lang w:val="nl-NL"/>
        </w:rPr>
        <w:t xml:space="preserve"> nodig is om toegang tot deze markten te verkrijgen. </w:t>
      </w:r>
    </w:p>
    <w:p w:rsidR="0043482B" w:rsidP="00460324" w:rsidRDefault="0043482B">
      <w:pPr>
        <w:rPr>
          <w:rFonts w:ascii="Verdana" w:hAnsi="Verdana"/>
          <w:sz w:val="18"/>
          <w:szCs w:val="18"/>
          <w:lang w:val="nl-NL"/>
        </w:rPr>
      </w:pPr>
    </w:p>
    <w:p w:rsidRPr="000047FB" w:rsidR="00104579" w:rsidP="00460324" w:rsidRDefault="006F2287">
      <w:pPr>
        <w:rPr>
          <w:rFonts w:ascii="Verdana" w:hAnsi="Verdana"/>
          <w:sz w:val="18"/>
          <w:szCs w:val="18"/>
          <w:lang w:val="nl-NL"/>
        </w:rPr>
      </w:pPr>
      <w:r w:rsidRPr="000047FB">
        <w:rPr>
          <w:rFonts w:ascii="Verdana" w:hAnsi="Verdana"/>
          <w:sz w:val="18"/>
          <w:szCs w:val="18"/>
          <w:lang w:val="nl-NL"/>
        </w:rPr>
        <w:t xml:space="preserve">De betreffende Nederlandse bedrijven kunnen een beroep doen op de </w:t>
      </w:r>
      <w:r w:rsidRPr="000047FB" w:rsidR="007B3726">
        <w:rPr>
          <w:rFonts w:ascii="Verdana" w:hAnsi="Verdana"/>
          <w:sz w:val="18"/>
          <w:szCs w:val="18"/>
          <w:lang w:val="nl-NL"/>
        </w:rPr>
        <w:t>Nederlandse overheid</w:t>
      </w:r>
      <w:r w:rsidRPr="000047FB" w:rsidR="00A63850">
        <w:rPr>
          <w:rFonts w:ascii="Verdana" w:hAnsi="Verdana"/>
          <w:sz w:val="18"/>
          <w:szCs w:val="18"/>
          <w:lang w:val="nl-NL"/>
        </w:rPr>
        <w:t xml:space="preserve"> voor</w:t>
      </w:r>
      <w:r w:rsidRPr="000047FB" w:rsidR="007B3726">
        <w:rPr>
          <w:rFonts w:ascii="Verdana" w:hAnsi="Verdana"/>
          <w:sz w:val="18"/>
          <w:szCs w:val="18"/>
          <w:lang w:val="nl-NL"/>
        </w:rPr>
        <w:t>:</w:t>
      </w:r>
      <w:r w:rsidR="005E3062">
        <w:rPr>
          <w:rFonts w:ascii="Verdana" w:hAnsi="Verdana"/>
          <w:sz w:val="18"/>
          <w:szCs w:val="18"/>
          <w:lang w:val="nl-NL"/>
        </w:rPr>
        <w:t xml:space="preserve"> </w:t>
      </w:r>
    </w:p>
    <w:p w:rsidRPr="000047FB" w:rsidR="00104579" w:rsidRDefault="00104579">
      <w:pPr>
        <w:pStyle w:val="Lijstalinea"/>
        <w:numPr>
          <w:ilvl w:val="0"/>
          <w:numId w:val="9"/>
        </w:numPr>
        <w:rPr>
          <w:rFonts w:ascii="Verdana" w:hAnsi="Verdana"/>
          <w:sz w:val="18"/>
          <w:szCs w:val="18"/>
          <w:lang w:val="nl-NL"/>
        </w:rPr>
      </w:pPr>
      <w:r w:rsidRPr="000047FB">
        <w:rPr>
          <w:rFonts w:ascii="Verdana" w:hAnsi="Verdana"/>
          <w:sz w:val="18"/>
          <w:szCs w:val="18"/>
          <w:lang w:val="nl-NL"/>
        </w:rPr>
        <w:t xml:space="preserve">assistentie van </w:t>
      </w:r>
      <w:r w:rsidRPr="000047FB" w:rsidR="006F2287">
        <w:rPr>
          <w:rFonts w:ascii="Verdana" w:hAnsi="Verdana"/>
          <w:sz w:val="18"/>
          <w:szCs w:val="18"/>
          <w:lang w:val="nl-NL"/>
        </w:rPr>
        <w:t>ambassades</w:t>
      </w:r>
      <w:r w:rsidRPr="000047FB" w:rsidR="003F6E0A">
        <w:rPr>
          <w:rFonts w:ascii="Verdana" w:hAnsi="Verdana"/>
          <w:sz w:val="18"/>
          <w:szCs w:val="18"/>
          <w:lang w:val="nl-NL"/>
        </w:rPr>
        <w:t>/consulaten-generaal</w:t>
      </w:r>
      <w:r w:rsidR="00886ED4">
        <w:rPr>
          <w:rFonts w:ascii="Verdana" w:hAnsi="Verdana"/>
          <w:sz w:val="18"/>
          <w:szCs w:val="18"/>
          <w:lang w:val="nl-NL"/>
        </w:rPr>
        <w:t xml:space="preserve"> van onder andere de Innovatie-attachés</w:t>
      </w:r>
      <w:r w:rsidR="0043482B">
        <w:rPr>
          <w:rFonts w:ascii="Verdana" w:hAnsi="Verdana"/>
          <w:sz w:val="18"/>
          <w:szCs w:val="18"/>
          <w:lang w:val="nl-NL"/>
        </w:rPr>
        <w:t>;</w:t>
      </w:r>
      <w:r w:rsidRPr="000047FB" w:rsidR="006F2287">
        <w:rPr>
          <w:rFonts w:ascii="Verdana" w:hAnsi="Verdana"/>
          <w:sz w:val="18"/>
          <w:szCs w:val="18"/>
          <w:lang w:val="nl-NL"/>
        </w:rPr>
        <w:t xml:space="preserve"> </w:t>
      </w:r>
    </w:p>
    <w:p w:rsidRPr="000047FB" w:rsidR="00104579" w:rsidRDefault="00104579">
      <w:pPr>
        <w:pStyle w:val="Lijstalinea"/>
        <w:numPr>
          <w:ilvl w:val="0"/>
          <w:numId w:val="9"/>
        </w:numPr>
        <w:rPr>
          <w:rFonts w:ascii="Verdana" w:hAnsi="Verdana"/>
          <w:sz w:val="18"/>
          <w:szCs w:val="18"/>
          <w:lang w:val="nl-NL"/>
        </w:rPr>
      </w:pPr>
      <w:r w:rsidRPr="000047FB">
        <w:rPr>
          <w:rFonts w:ascii="Verdana" w:hAnsi="Verdana"/>
          <w:sz w:val="18"/>
          <w:szCs w:val="18"/>
          <w:lang w:val="nl-NL"/>
        </w:rPr>
        <w:t xml:space="preserve">assistentie van </w:t>
      </w:r>
      <w:r w:rsidRPr="000047FB" w:rsidR="003F6E0A">
        <w:rPr>
          <w:rFonts w:ascii="Verdana" w:hAnsi="Verdana"/>
          <w:sz w:val="18"/>
          <w:szCs w:val="18"/>
          <w:lang w:val="nl-NL"/>
        </w:rPr>
        <w:t xml:space="preserve">het </w:t>
      </w:r>
      <w:r w:rsidRPr="000047FB">
        <w:rPr>
          <w:rFonts w:ascii="Verdana" w:hAnsi="Verdana"/>
          <w:sz w:val="18"/>
          <w:szCs w:val="18"/>
          <w:lang w:val="nl-NL"/>
        </w:rPr>
        <w:t>NSO</w:t>
      </w:r>
      <w:r w:rsidR="0043482B">
        <w:rPr>
          <w:rFonts w:ascii="Verdana" w:hAnsi="Verdana"/>
          <w:sz w:val="18"/>
          <w:szCs w:val="18"/>
          <w:lang w:val="nl-NL"/>
        </w:rPr>
        <w:t>;</w:t>
      </w:r>
    </w:p>
    <w:p w:rsidRPr="000047FB" w:rsidR="007C4B96" w:rsidRDefault="007C4B96">
      <w:pPr>
        <w:pStyle w:val="Lijstalinea"/>
        <w:numPr>
          <w:ilvl w:val="0"/>
          <w:numId w:val="9"/>
        </w:numPr>
        <w:rPr>
          <w:rFonts w:ascii="Verdana" w:hAnsi="Verdana"/>
          <w:sz w:val="18"/>
          <w:szCs w:val="18"/>
          <w:lang w:val="nl-NL"/>
        </w:rPr>
      </w:pPr>
      <w:r w:rsidRPr="000047FB">
        <w:rPr>
          <w:rFonts w:ascii="Verdana" w:hAnsi="Verdana"/>
          <w:sz w:val="18"/>
          <w:szCs w:val="18"/>
          <w:lang w:val="nl-NL"/>
        </w:rPr>
        <w:t>p</w:t>
      </w:r>
      <w:r w:rsidR="00886ED4">
        <w:rPr>
          <w:rFonts w:ascii="Verdana" w:hAnsi="Verdana"/>
          <w:sz w:val="18"/>
          <w:szCs w:val="18"/>
          <w:lang w:val="nl-NL"/>
        </w:rPr>
        <w:t xml:space="preserve">articipatie in </w:t>
      </w:r>
      <w:r w:rsidRPr="000047FB" w:rsidR="00104579">
        <w:rPr>
          <w:rFonts w:ascii="Verdana" w:hAnsi="Verdana"/>
          <w:sz w:val="18"/>
          <w:szCs w:val="18"/>
          <w:lang w:val="nl-NL"/>
        </w:rPr>
        <w:t>missies van Nederlandse bewindspersonen, RVO en/of het NSO</w:t>
      </w:r>
      <w:r w:rsidR="0043482B">
        <w:rPr>
          <w:rFonts w:ascii="Verdana" w:hAnsi="Verdana"/>
          <w:sz w:val="18"/>
          <w:szCs w:val="18"/>
          <w:lang w:val="nl-NL"/>
        </w:rPr>
        <w:t>;</w:t>
      </w:r>
    </w:p>
    <w:p w:rsidRPr="000047FB" w:rsidR="003F6E0A" w:rsidRDefault="007C4B96">
      <w:pPr>
        <w:pStyle w:val="Lijstalinea"/>
        <w:numPr>
          <w:ilvl w:val="0"/>
          <w:numId w:val="9"/>
        </w:numPr>
        <w:rPr>
          <w:rFonts w:ascii="Verdana" w:hAnsi="Verdana"/>
          <w:sz w:val="18"/>
          <w:szCs w:val="18"/>
          <w:lang w:val="nl-NL"/>
        </w:rPr>
      </w:pPr>
      <w:r w:rsidRPr="000047FB">
        <w:rPr>
          <w:rFonts w:ascii="Verdana" w:hAnsi="Verdana"/>
          <w:sz w:val="18"/>
          <w:szCs w:val="18"/>
          <w:lang w:val="nl-NL"/>
        </w:rPr>
        <w:t xml:space="preserve">gebruik maken van </w:t>
      </w:r>
      <w:r w:rsidRPr="000047FB" w:rsidR="003F6E0A">
        <w:rPr>
          <w:rFonts w:ascii="Verdana" w:hAnsi="Verdana"/>
          <w:sz w:val="18"/>
          <w:szCs w:val="18"/>
          <w:lang w:val="nl-NL"/>
        </w:rPr>
        <w:t>het</w:t>
      </w:r>
      <w:r w:rsidRPr="000047FB" w:rsidR="006F2287">
        <w:rPr>
          <w:rFonts w:ascii="Verdana" w:hAnsi="Verdana"/>
          <w:sz w:val="18"/>
          <w:szCs w:val="18"/>
          <w:lang w:val="nl-NL"/>
        </w:rPr>
        <w:t xml:space="preserve"> </w:t>
      </w:r>
      <w:r w:rsidR="00AB2682">
        <w:rPr>
          <w:rFonts w:ascii="Verdana" w:hAnsi="Verdana"/>
          <w:sz w:val="18"/>
          <w:szCs w:val="18"/>
          <w:lang w:val="nl-NL"/>
        </w:rPr>
        <w:t>RVO-</w:t>
      </w:r>
      <w:r w:rsidRPr="000047FB" w:rsidR="003F6E0A">
        <w:rPr>
          <w:rFonts w:ascii="Verdana" w:hAnsi="Verdana"/>
          <w:sz w:val="18"/>
          <w:szCs w:val="18"/>
          <w:lang w:val="nl-NL"/>
        </w:rPr>
        <w:t>instrumentarium voor handelspromotie</w:t>
      </w:r>
      <w:r w:rsidRPr="000047FB" w:rsidR="006F2287">
        <w:rPr>
          <w:rFonts w:ascii="Verdana" w:hAnsi="Verdana"/>
          <w:sz w:val="18"/>
          <w:szCs w:val="18"/>
          <w:lang w:val="nl-NL"/>
        </w:rPr>
        <w:t>.</w:t>
      </w:r>
      <w:r w:rsidRPr="000047FB" w:rsidR="003F6E0A">
        <w:rPr>
          <w:rFonts w:ascii="Verdana" w:hAnsi="Verdana"/>
          <w:sz w:val="18"/>
          <w:szCs w:val="18"/>
          <w:lang w:val="nl-NL"/>
        </w:rPr>
        <w:t xml:space="preserve"> </w:t>
      </w:r>
    </w:p>
    <w:p w:rsidRPr="000047FB" w:rsidR="00104579" w:rsidRDefault="00104579">
      <w:pPr>
        <w:ind w:left="426"/>
        <w:rPr>
          <w:rFonts w:ascii="Verdana" w:hAnsi="Verdana"/>
          <w:sz w:val="18"/>
          <w:szCs w:val="18"/>
          <w:lang w:val="nl-NL"/>
        </w:rPr>
      </w:pPr>
    </w:p>
    <w:p w:rsidRPr="00460324" w:rsidR="003B101C" w:rsidP="00460324" w:rsidRDefault="007B3726">
      <w:pPr>
        <w:rPr>
          <w:rFonts w:ascii="Verdana" w:hAnsi="Verdana"/>
          <w:sz w:val="18"/>
          <w:szCs w:val="18"/>
          <w:lang w:val="nl-NL"/>
        </w:rPr>
      </w:pPr>
      <w:r w:rsidRPr="00460324">
        <w:rPr>
          <w:rFonts w:ascii="Verdana" w:hAnsi="Verdana"/>
          <w:sz w:val="18"/>
          <w:szCs w:val="18"/>
          <w:lang w:val="nl-NL"/>
        </w:rPr>
        <w:t xml:space="preserve">Het </w:t>
      </w:r>
      <w:r w:rsidRPr="00460324" w:rsidR="003F6E0A">
        <w:rPr>
          <w:rFonts w:ascii="Verdana" w:hAnsi="Verdana"/>
          <w:sz w:val="18"/>
          <w:szCs w:val="18"/>
          <w:lang w:val="nl-NL"/>
        </w:rPr>
        <w:t>NSO heeft een profileringsplan opgesteld voor de Nederlandse ruimtevaartsector onder de naam NL Space. Dit sluit aan op soortgeli</w:t>
      </w:r>
      <w:r w:rsidRPr="00460324" w:rsidR="007C4B96">
        <w:rPr>
          <w:rFonts w:ascii="Verdana" w:hAnsi="Verdana"/>
          <w:sz w:val="18"/>
          <w:szCs w:val="18"/>
          <w:lang w:val="nl-NL"/>
        </w:rPr>
        <w:t>jke acties</w:t>
      </w:r>
      <w:r w:rsidRPr="00460324" w:rsidR="003F6E0A">
        <w:rPr>
          <w:rFonts w:ascii="Verdana" w:hAnsi="Verdana"/>
          <w:sz w:val="18"/>
          <w:szCs w:val="18"/>
          <w:lang w:val="nl-NL"/>
        </w:rPr>
        <w:t xml:space="preserve"> zoals </w:t>
      </w:r>
      <w:r w:rsidRPr="00460324" w:rsidR="007C4B96">
        <w:rPr>
          <w:rFonts w:ascii="Verdana" w:hAnsi="Verdana"/>
          <w:sz w:val="18"/>
          <w:szCs w:val="18"/>
          <w:lang w:val="nl-NL"/>
        </w:rPr>
        <w:t xml:space="preserve">het opzetten van </w:t>
      </w:r>
      <w:r w:rsidRPr="00460324" w:rsidR="003F6E0A">
        <w:rPr>
          <w:rFonts w:ascii="Verdana" w:hAnsi="Verdana"/>
          <w:sz w:val="18"/>
          <w:szCs w:val="18"/>
          <w:lang w:val="nl-NL"/>
        </w:rPr>
        <w:t>Holland Brand</w:t>
      </w:r>
      <w:r w:rsidRPr="00460324" w:rsidR="007C4B96">
        <w:rPr>
          <w:rFonts w:ascii="Verdana" w:hAnsi="Verdana"/>
          <w:sz w:val="18"/>
          <w:szCs w:val="18"/>
          <w:lang w:val="nl-NL"/>
        </w:rPr>
        <w:t>ing en Holland High Tech. Verder ondersteunt NSO</w:t>
      </w:r>
      <w:r w:rsidRPr="00460324" w:rsidR="00723312">
        <w:rPr>
          <w:rFonts w:ascii="Verdana" w:hAnsi="Verdana"/>
          <w:sz w:val="18"/>
          <w:szCs w:val="18"/>
          <w:lang w:val="nl-NL"/>
        </w:rPr>
        <w:t xml:space="preserve"> </w:t>
      </w:r>
      <w:r w:rsidRPr="00460324" w:rsidR="003F6E0A">
        <w:rPr>
          <w:rFonts w:ascii="Verdana" w:hAnsi="Verdana"/>
          <w:sz w:val="18"/>
          <w:szCs w:val="18"/>
          <w:lang w:val="nl-NL"/>
        </w:rPr>
        <w:t xml:space="preserve">missies </w:t>
      </w:r>
      <w:r w:rsidRPr="00460324" w:rsidR="007C4B96">
        <w:rPr>
          <w:rFonts w:ascii="Verdana" w:hAnsi="Verdana"/>
          <w:sz w:val="18"/>
          <w:szCs w:val="18"/>
          <w:lang w:val="nl-NL"/>
        </w:rPr>
        <w:t xml:space="preserve">en </w:t>
      </w:r>
      <w:r w:rsidRPr="00460324" w:rsidR="003F6E0A">
        <w:rPr>
          <w:rFonts w:ascii="Verdana" w:hAnsi="Verdana"/>
          <w:sz w:val="18"/>
          <w:szCs w:val="18"/>
          <w:lang w:val="nl-NL"/>
        </w:rPr>
        <w:t>benut</w:t>
      </w:r>
      <w:r w:rsidRPr="00460324" w:rsidR="007C4B96">
        <w:rPr>
          <w:rFonts w:ascii="Verdana" w:hAnsi="Verdana"/>
          <w:sz w:val="18"/>
          <w:szCs w:val="18"/>
          <w:lang w:val="nl-NL"/>
        </w:rPr>
        <w:t xml:space="preserve"> technologiebeurzen</w:t>
      </w:r>
      <w:r w:rsidRPr="00460324" w:rsidR="003F6E0A">
        <w:rPr>
          <w:rFonts w:ascii="Verdana" w:hAnsi="Verdana"/>
          <w:sz w:val="18"/>
          <w:szCs w:val="18"/>
          <w:lang w:val="nl-NL"/>
        </w:rPr>
        <w:t>, zoals de Hannover Messe</w:t>
      </w:r>
      <w:r w:rsidRPr="00460324" w:rsidR="007C4B96">
        <w:rPr>
          <w:rFonts w:ascii="Verdana" w:hAnsi="Verdana"/>
          <w:sz w:val="18"/>
          <w:szCs w:val="18"/>
          <w:lang w:val="nl-NL"/>
        </w:rPr>
        <w:t xml:space="preserve">, of </w:t>
      </w:r>
      <w:r w:rsidRPr="00460324" w:rsidR="00C11F8D">
        <w:rPr>
          <w:rFonts w:ascii="Verdana" w:hAnsi="Verdana"/>
          <w:sz w:val="18"/>
          <w:szCs w:val="18"/>
          <w:lang w:val="nl-NL"/>
        </w:rPr>
        <w:t xml:space="preserve">de </w:t>
      </w:r>
      <w:r w:rsidRPr="00460324" w:rsidR="007C4B96">
        <w:rPr>
          <w:rFonts w:ascii="Verdana" w:hAnsi="Verdana"/>
          <w:sz w:val="18"/>
          <w:szCs w:val="18"/>
          <w:lang w:val="nl-NL"/>
        </w:rPr>
        <w:t>meer gespecialiseerde lucht- en ruimtevaartbeurzen (Le Bourget/ Farnborough)</w:t>
      </w:r>
      <w:r w:rsidRPr="00460324" w:rsidR="003F6E0A">
        <w:rPr>
          <w:rFonts w:ascii="Verdana" w:hAnsi="Verdana"/>
          <w:sz w:val="18"/>
          <w:szCs w:val="18"/>
          <w:lang w:val="nl-NL"/>
        </w:rPr>
        <w:t>.</w:t>
      </w:r>
    </w:p>
    <w:p w:rsidRPr="00460324" w:rsidR="00723312" w:rsidP="00460324" w:rsidRDefault="00723312">
      <w:pPr>
        <w:rPr>
          <w:rFonts w:ascii="Verdana" w:hAnsi="Verdana"/>
          <w:sz w:val="18"/>
          <w:szCs w:val="18"/>
          <w:lang w:val="nl-NL"/>
        </w:rPr>
      </w:pPr>
      <w:r w:rsidRPr="00460324">
        <w:rPr>
          <w:rFonts w:ascii="Verdana" w:hAnsi="Verdana"/>
          <w:sz w:val="18"/>
          <w:szCs w:val="18"/>
          <w:lang w:val="nl-NL"/>
        </w:rPr>
        <w:t xml:space="preserve">NSO adviseert en assisteert bij het werven van orders in het kader van Europese ruimtevaartprogramma’s, zoals Copernicus en Galileo. </w:t>
      </w:r>
    </w:p>
    <w:p w:rsidRPr="00460324" w:rsidR="00723312" w:rsidP="00460324" w:rsidRDefault="00723312">
      <w:pPr>
        <w:rPr>
          <w:rFonts w:ascii="Verdana" w:hAnsi="Verdana"/>
          <w:sz w:val="18"/>
          <w:szCs w:val="18"/>
          <w:lang w:val="nl-NL"/>
        </w:rPr>
      </w:pPr>
      <w:r w:rsidRPr="00460324">
        <w:rPr>
          <w:rFonts w:ascii="Verdana" w:hAnsi="Verdana"/>
          <w:sz w:val="18"/>
          <w:szCs w:val="18"/>
          <w:lang w:val="nl-NL"/>
        </w:rPr>
        <w:t>Het RVO begeleidt bedrijven en kennis-instellingen bij het inschrijven op ruimtevaartprojecten in het kader van het EU-onderzoeks- en innovatieprogramma Horizon 2020.</w:t>
      </w:r>
    </w:p>
    <w:p w:rsidRPr="000047FB" w:rsidR="003B101C" w:rsidP="00460324" w:rsidRDefault="00342E58">
      <w:pPr>
        <w:pStyle w:val="Lijstalinea"/>
        <w:ind w:left="0"/>
        <w:rPr>
          <w:rFonts w:ascii="Verdana" w:hAnsi="Verdana"/>
          <w:sz w:val="18"/>
          <w:szCs w:val="18"/>
          <w:lang w:val="nl-NL"/>
        </w:rPr>
      </w:pPr>
      <w:r w:rsidRPr="000047FB">
        <w:rPr>
          <w:rFonts w:ascii="Verdana" w:hAnsi="Verdana"/>
          <w:sz w:val="18"/>
          <w:szCs w:val="18"/>
          <w:lang w:val="nl-NL"/>
        </w:rPr>
        <w:t xml:space="preserve">Bij de ondersteuningsactiviteiten voor het werven van orders vanuit derde landen worden de activiteiten met name gericht op landen waarvan wordt ingeschat dat Nederlandse bedrijven </w:t>
      </w:r>
      <w:r w:rsidRPr="000047FB" w:rsidR="007C4B96">
        <w:rPr>
          <w:rFonts w:ascii="Verdana" w:hAnsi="Verdana"/>
          <w:sz w:val="18"/>
          <w:szCs w:val="18"/>
          <w:lang w:val="nl-NL"/>
        </w:rPr>
        <w:t xml:space="preserve">of kennisinstellingen </w:t>
      </w:r>
      <w:r w:rsidRPr="000047FB">
        <w:rPr>
          <w:rFonts w:ascii="Verdana" w:hAnsi="Verdana"/>
          <w:sz w:val="18"/>
          <w:szCs w:val="18"/>
          <w:lang w:val="nl-NL"/>
        </w:rPr>
        <w:t xml:space="preserve">daar </w:t>
      </w:r>
      <w:r w:rsidRPr="000047FB" w:rsidR="005876CE">
        <w:rPr>
          <w:rFonts w:ascii="Verdana" w:hAnsi="Verdana"/>
          <w:sz w:val="18"/>
          <w:szCs w:val="18"/>
          <w:lang w:val="nl-NL"/>
        </w:rPr>
        <w:t xml:space="preserve">reële </w:t>
      </w:r>
      <w:r w:rsidRPr="000047FB" w:rsidR="007C4B96">
        <w:rPr>
          <w:rFonts w:ascii="Verdana" w:hAnsi="Verdana"/>
          <w:sz w:val="18"/>
          <w:szCs w:val="18"/>
          <w:lang w:val="nl-NL"/>
        </w:rPr>
        <w:t>kansen hebben, zoals</w:t>
      </w:r>
      <w:r w:rsidRPr="000047FB">
        <w:rPr>
          <w:rFonts w:ascii="Verdana" w:hAnsi="Verdana"/>
          <w:sz w:val="18"/>
          <w:szCs w:val="18"/>
          <w:lang w:val="nl-NL"/>
        </w:rPr>
        <w:t xml:space="preserve"> Brazili</w:t>
      </w:r>
      <w:r w:rsidRPr="000047FB" w:rsidR="00A63850">
        <w:rPr>
          <w:rFonts w:ascii="Verdana" w:hAnsi="Verdana"/>
          <w:sz w:val="18"/>
          <w:szCs w:val="18"/>
          <w:lang w:val="nl-NL"/>
        </w:rPr>
        <w:t>ë, China, Kazachstan, Vietnam en</w:t>
      </w:r>
      <w:r w:rsidRPr="000047FB">
        <w:rPr>
          <w:rFonts w:ascii="Verdana" w:hAnsi="Verdana"/>
          <w:sz w:val="18"/>
          <w:szCs w:val="18"/>
          <w:lang w:val="nl-NL"/>
        </w:rPr>
        <w:t xml:space="preserve"> de VS.</w:t>
      </w:r>
      <w:r w:rsidRPr="000047FB" w:rsidR="005876CE">
        <w:rPr>
          <w:rFonts w:ascii="Verdana" w:hAnsi="Verdana"/>
          <w:sz w:val="18"/>
          <w:szCs w:val="18"/>
          <w:lang w:val="nl-NL"/>
        </w:rPr>
        <w:t xml:space="preserve"> Met enkele van deze landen zijn </w:t>
      </w:r>
      <w:r w:rsidRPr="000047FB" w:rsidR="007C4B96">
        <w:rPr>
          <w:rFonts w:ascii="Verdana" w:hAnsi="Verdana"/>
          <w:sz w:val="18"/>
          <w:szCs w:val="18"/>
          <w:lang w:val="nl-NL"/>
        </w:rPr>
        <w:t>samenwerkingsovereenkomsten</w:t>
      </w:r>
      <w:r w:rsidRPr="000047FB" w:rsidR="005876CE">
        <w:rPr>
          <w:rFonts w:ascii="Verdana" w:hAnsi="Verdana"/>
          <w:sz w:val="18"/>
          <w:szCs w:val="18"/>
          <w:lang w:val="nl-NL"/>
        </w:rPr>
        <w:t xml:space="preserve"> afgesloten om</w:t>
      </w:r>
      <w:r w:rsidRPr="000047FB" w:rsidR="007C4B96">
        <w:rPr>
          <w:rFonts w:ascii="Verdana" w:hAnsi="Verdana"/>
          <w:sz w:val="18"/>
          <w:szCs w:val="18"/>
          <w:lang w:val="nl-NL"/>
        </w:rPr>
        <w:t xml:space="preserve"> de onderlinge samenwerking te bevorderen en het zakendoen te faciliter</w:t>
      </w:r>
      <w:r w:rsidRPr="000047FB" w:rsidR="005876CE">
        <w:rPr>
          <w:rFonts w:ascii="Verdana" w:hAnsi="Verdana"/>
          <w:sz w:val="18"/>
          <w:szCs w:val="18"/>
          <w:lang w:val="nl-NL"/>
        </w:rPr>
        <w:t>en.</w:t>
      </w:r>
    </w:p>
    <w:p w:rsidRPr="000047FB" w:rsidR="00342E58" w:rsidP="003A7671" w:rsidRDefault="00342E58">
      <w:pPr>
        <w:pStyle w:val="Lijstalinea"/>
        <w:ind w:left="426" w:hanging="426"/>
        <w:rPr>
          <w:rFonts w:ascii="Verdana" w:hAnsi="Verdana"/>
          <w:sz w:val="18"/>
          <w:szCs w:val="18"/>
          <w:lang w:val="nl-NL"/>
        </w:rPr>
      </w:pPr>
    </w:p>
    <w:p w:rsidRPr="000047FB" w:rsidR="00342E58" w:rsidP="00460324" w:rsidRDefault="00342E58">
      <w:pPr>
        <w:pStyle w:val="Lijstalinea"/>
        <w:ind w:left="0"/>
        <w:rPr>
          <w:rFonts w:ascii="Verdana" w:hAnsi="Verdana"/>
          <w:sz w:val="18"/>
          <w:szCs w:val="18"/>
          <w:lang w:val="nl-NL"/>
        </w:rPr>
      </w:pPr>
      <w:r w:rsidRPr="000047FB">
        <w:rPr>
          <w:rFonts w:ascii="Verdana" w:hAnsi="Verdana"/>
          <w:sz w:val="18"/>
          <w:szCs w:val="18"/>
          <w:lang w:val="nl-NL"/>
        </w:rPr>
        <w:t>Uiteraard wordt ook ingezet op de acquisitie van nieuwe bedrijvigheid/investeringen in Nederland door</w:t>
      </w:r>
      <w:r w:rsidR="0043482B">
        <w:rPr>
          <w:rFonts w:ascii="Verdana" w:hAnsi="Verdana"/>
          <w:sz w:val="18"/>
          <w:szCs w:val="18"/>
          <w:lang w:val="nl-NL"/>
        </w:rPr>
        <w:t xml:space="preserve"> </w:t>
      </w:r>
      <w:r w:rsidRPr="000047FB">
        <w:rPr>
          <w:rFonts w:ascii="Verdana" w:hAnsi="Verdana"/>
          <w:sz w:val="18"/>
          <w:szCs w:val="18"/>
          <w:lang w:val="nl-NL"/>
        </w:rPr>
        <w:t>bedrijven van buite</w:t>
      </w:r>
      <w:r w:rsidR="00AB2682">
        <w:rPr>
          <w:rFonts w:ascii="Verdana" w:hAnsi="Verdana"/>
          <w:sz w:val="18"/>
          <w:szCs w:val="18"/>
          <w:lang w:val="nl-NL"/>
        </w:rPr>
        <w:t>nlandse origine. R</w:t>
      </w:r>
      <w:r w:rsidRPr="000047FB">
        <w:rPr>
          <w:rFonts w:ascii="Verdana" w:hAnsi="Verdana"/>
          <w:sz w:val="18"/>
          <w:szCs w:val="18"/>
          <w:lang w:val="nl-NL"/>
        </w:rPr>
        <w:t xml:space="preserve">ecent </w:t>
      </w:r>
      <w:r w:rsidR="00AB2682">
        <w:rPr>
          <w:rFonts w:ascii="Verdana" w:hAnsi="Verdana"/>
          <w:sz w:val="18"/>
          <w:szCs w:val="18"/>
          <w:lang w:val="nl-NL"/>
        </w:rPr>
        <w:t xml:space="preserve">hebben </w:t>
      </w:r>
      <w:r w:rsidR="00723312">
        <w:rPr>
          <w:rFonts w:ascii="Verdana" w:hAnsi="Verdana"/>
          <w:sz w:val="18"/>
          <w:szCs w:val="18"/>
          <w:lang w:val="nl-NL"/>
        </w:rPr>
        <w:t>meerdere</w:t>
      </w:r>
      <w:r w:rsidRPr="000047FB">
        <w:rPr>
          <w:rFonts w:ascii="Verdana" w:hAnsi="Verdana"/>
          <w:sz w:val="18"/>
          <w:szCs w:val="18"/>
          <w:lang w:val="nl-NL"/>
        </w:rPr>
        <w:t xml:space="preserve"> </w:t>
      </w:r>
      <w:r w:rsidRPr="000047FB" w:rsidR="00B02A41">
        <w:rPr>
          <w:rFonts w:ascii="Verdana" w:hAnsi="Verdana"/>
          <w:sz w:val="18"/>
          <w:szCs w:val="18"/>
          <w:lang w:val="nl-NL"/>
        </w:rPr>
        <w:t>Amerikaanse satelliet</w:t>
      </w:r>
      <w:r w:rsidRPr="000047FB">
        <w:rPr>
          <w:rFonts w:ascii="Verdana" w:hAnsi="Verdana"/>
          <w:sz w:val="18"/>
          <w:szCs w:val="18"/>
          <w:lang w:val="nl-NL"/>
        </w:rPr>
        <w:t xml:space="preserve">bedrijven </w:t>
      </w:r>
      <w:r w:rsidRPr="000047FB" w:rsidR="00B02A41">
        <w:rPr>
          <w:rFonts w:ascii="Verdana" w:hAnsi="Verdana"/>
          <w:sz w:val="18"/>
          <w:szCs w:val="18"/>
          <w:lang w:val="nl-NL"/>
        </w:rPr>
        <w:t xml:space="preserve">zich </w:t>
      </w:r>
      <w:r w:rsidRPr="000047FB">
        <w:rPr>
          <w:rFonts w:ascii="Verdana" w:hAnsi="Verdana"/>
          <w:sz w:val="18"/>
          <w:szCs w:val="18"/>
          <w:lang w:val="nl-NL"/>
        </w:rPr>
        <w:t>gemeld voor vestiging in Nederland</w:t>
      </w:r>
      <w:r w:rsidR="00AB2682">
        <w:rPr>
          <w:rFonts w:ascii="Verdana" w:hAnsi="Verdana"/>
          <w:sz w:val="18"/>
          <w:szCs w:val="18"/>
          <w:lang w:val="nl-NL"/>
        </w:rPr>
        <w:t>. Dit</w:t>
      </w:r>
      <w:r w:rsidRPr="000047FB" w:rsidR="009572A3">
        <w:rPr>
          <w:rFonts w:ascii="Verdana" w:hAnsi="Verdana"/>
          <w:sz w:val="18"/>
          <w:szCs w:val="18"/>
          <w:lang w:val="nl-NL"/>
        </w:rPr>
        <w:t xml:space="preserve"> </w:t>
      </w:r>
      <w:r w:rsidRPr="000047FB" w:rsidR="00B02A41">
        <w:rPr>
          <w:rFonts w:ascii="Verdana" w:hAnsi="Verdana"/>
          <w:sz w:val="18"/>
          <w:szCs w:val="18"/>
          <w:lang w:val="nl-NL"/>
        </w:rPr>
        <w:t>van</w:t>
      </w:r>
      <w:r w:rsidRPr="000047FB" w:rsidR="009572A3">
        <w:rPr>
          <w:rFonts w:ascii="Verdana" w:hAnsi="Verdana"/>
          <w:sz w:val="18"/>
          <w:szCs w:val="18"/>
          <w:lang w:val="nl-NL"/>
        </w:rPr>
        <w:t>wege</w:t>
      </w:r>
      <w:r w:rsidRPr="000047FB" w:rsidR="00B02A41">
        <w:rPr>
          <w:rFonts w:ascii="Verdana" w:hAnsi="Verdana"/>
          <w:sz w:val="18"/>
          <w:szCs w:val="18"/>
          <w:lang w:val="nl-NL"/>
        </w:rPr>
        <w:t xml:space="preserve"> de</w:t>
      </w:r>
      <w:r w:rsidRPr="000047FB" w:rsidR="00136CF0">
        <w:rPr>
          <w:rFonts w:ascii="Verdana" w:hAnsi="Verdana"/>
          <w:sz w:val="18"/>
          <w:szCs w:val="18"/>
          <w:lang w:val="nl-NL"/>
        </w:rPr>
        <w:t xml:space="preserve"> flexibiliteit, snelheid en</w:t>
      </w:r>
      <w:r w:rsidRPr="000047FB" w:rsidR="00B02A41">
        <w:rPr>
          <w:rFonts w:ascii="Verdana" w:hAnsi="Verdana"/>
          <w:sz w:val="18"/>
          <w:szCs w:val="18"/>
          <w:lang w:val="nl-NL"/>
        </w:rPr>
        <w:t xml:space="preserve"> kennis </w:t>
      </w:r>
      <w:r w:rsidRPr="000047FB" w:rsidR="00136CF0">
        <w:rPr>
          <w:rFonts w:ascii="Verdana" w:hAnsi="Verdana"/>
          <w:sz w:val="18"/>
          <w:szCs w:val="18"/>
          <w:lang w:val="nl-NL"/>
        </w:rPr>
        <w:t>van</w:t>
      </w:r>
      <w:r w:rsidRPr="000047FB" w:rsidR="00B02A41">
        <w:rPr>
          <w:rFonts w:ascii="Verdana" w:hAnsi="Verdana"/>
          <w:sz w:val="18"/>
          <w:szCs w:val="18"/>
          <w:lang w:val="nl-NL"/>
        </w:rPr>
        <w:t xml:space="preserve"> het </w:t>
      </w:r>
      <w:r w:rsidR="00C11F8D">
        <w:rPr>
          <w:rFonts w:ascii="Verdana" w:hAnsi="Verdana"/>
          <w:sz w:val="18"/>
          <w:szCs w:val="18"/>
          <w:lang w:val="nl-NL"/>
        </w:rPr>
        <w:t>EZ-</w:t>
      </w:r>
      <w:r w:rsidRPr="000047FB" w:rsidR="00B02A41">
        <w:rPr>
          <w:rFonts w:ascii="Verdana" w:hAnsi="Verdana"/>
          <w:sz w:val="18"/>
          <w:szCs w:val="18"/>
          <w:lang w:val="nl-NL"/>
        </w:rPr>
        <w:t xml:space="preserve">Agentschap Telecom (AT) te Groningen om </w:t>
      </w:r>
      <w:r w:rsidRPr="000047FB" w:rsidR="00136CF0">
        <w:rPr>
          <w:rFonts w:ascii="Verdana" w:hAnsi="Verdana"/>
          <w:sz w:val="18"/>
          <w:szCs w:val="18"/>
          <w:lang w:val="nl-NL"/>
        </w:rPr>
        <w:t>internationale frequentierechten te reserveren voor satellietcommunicatie</w:t>
      </w:r>
      <w:r w:rsidR="00AB2682">
        <w:rPr>
          <w:rFonts w:ascii="Verdana" w:hAnsi="Verdana"/>
          <w:sz w:val="18"/>
          <w:szCs w:val="18"/>
          <w:lang w:val="nl-NL"/>
        </w:rPr>
        <w:t xml:space="preserve"> en vanwege de goede samenwerking </w:t>
      </w:r>
      <w:r w:rsidR="00B87F62">
        <w:rPr>
          <w:rFonts w:ascii="Verdana" w:hAnsi="Verdana"/>
          <w:sz w:val="18"/>
          <w:szCs w:val="18"/>
          <w:lang w:val="nl-NL"/>
        </w:rPr>
        <w:t>in deze met het</w:t>
      </w:r>
      <w:r w:rsidR="00AB2682">
        <w:rPr>
          <w:rFonts w:ascii="Verdana" w:hAnsi="Verdana"/>
          <w:sz w:val="18"/>
          <w:szCs w:val="18"/>
          <w:lang w:val="nl-NL"/>
        </w:rPr>
        <w:t xml:space="preserve"> NSO en het N</w:t>
      </w:r>
      <w:r w:rsidR="00B87F62">
        <w:rPr>
          <w:rFonts w:ascii="Verdana" w:hAnsi="Verdana"/>
          <w:sz w:val="18"/>
          <w:szCs w:val="18"/>
          <w:lang w:val="nl-NL"/>
        </w:rPr>
        <w:t>etherlands Foreign Investment Agency (</w:t>
      </w:r>
      <w:r w:rsidR="00C11F8D">
        <w:rPr>
          <w:rFonts w:ascii="Verdana" w:hAnsi="Verdana"/>
          <w:sz w:val="18"/>
          <w:szCs w:val="18"/>
          <w:lang w:val="nl-NL"/>
        </w:rPr>
        <w:t>RVO-</w:t>
      </w:r>
      <w:r w:rsidR="00B87F62">
        <w:rPr>
          <w:rFonts w:ascii="Verdana" w:hAnsi="Verdana"/>
          <w:sz w:val="18"/>
          <w:szCs w:val="18"/>
          <w:lang w:val="nl-NL"/>
        </w:rPr>
        <w:t>N</w:t>
      </w:r>
      <w:r w:rsidR="00AB2682">
        <w:rPr>
          <w:rFonts w:ascii="Verdana" w:hAnsi="Verdana"/>
          <w:sz w:val="18"/>
          <w:szCs w:val="18"/>
          <w:lang w:val="nl-NL"/>
        </w:rPr>
        <w:t>FIA</w:t>
      </w:r>
      <w:r w:rsidR="00B87F62">
        <w:rPr>
          <w:rFonts w:ascii="Verdana" w:hAnsi="Verdana"/>
          <w:sz w:val="18"/>
          <w:szCs w:val="18"/>
          <w:lang w:val="nl-NL"/>
        </w:rPr>
        <w:t>)</w:t>
      </w:r>
      <w:r w:rsidRPr="000047FB" w:rsidR="00B02A41">
        <w:rPr>
          <w:rFonts w:ascii="Verdana" w:hAnsi="Verdana"/>
          <w:sz w:val="18"/>
          <w:szCs w:val="18"/>
          <w:lang w:val="nl-NL"/>
        </w:rPr>
        <w:t>. Met het A</w:t>
      </w:r>
      <w:r w:rsidRPr="000047FB" w:rsidR="004F699E">
        <w:rPr>
          <w:rFonts w:ascii="Verdana" w:hAnsi="Verdana"/>
          <w:sz w:val="18"/>
          <w:szCs w:val="18"/>
          <w:lang w:val="nl-NL"/>
        </w:rPr>
        <w:t>T is afgesproken dat het AT zijn</w:t>
      </w:r>
      <w:r w:rsidRPr="000047FB" w:rsidR="00B02A41">
        <w:rPr>
          <w:rFonts w:ascii="Verdana" w:hAnsi="Verdana"/>
          <w:sz w:val="18"/>
          <w:szCs w:val="18"/>
          <w:lang w:val="nl-NL"/>
        </w:rPr>
        <w:t xml:space="preserve"> diensten aan deze bedrijven </w:t>
      </w:r>
      <w:r w:rsidRPr="000047FB" w:rsidR="005876CE">
        <w:rPr>
          <w:rFonts w:ascii="Verdana" w:hAnsi="Verdana"/>
          <w:sz w:val="18"/>
          <w:szCs w:val="18"/>
          <w:lang w:val="nl-NL"/>
        </w:rPr>
        <w:t xml:space="preserve">kan leveren </w:t>
      </w:r>
      <w:r w:rsidRPr="000047FB" w:rsidR="004F699E">
        <w:rPr>
          <w:rFonts w:ascii="Verdana" w:hAnsi="Verdana"/>
          <w:sz w:val="18"/>
          <w:szCs w:val="18"/>
          <w:lang w:val="nl-NL"/>
        </w:rPr>
        <w:t xml:space="preserve">mits deze bedrijven concrete economische activiteiten </w:t>
      </w:r>
      <w:r w:rsidR="00C11F8D">
        <w:rPr>
          <w:rFonts w:ascii="Verdana" w:hAnsi="Verdana"/>
          <w:sz w:val="18"/>
          <w:szCs w:val="18"/>
          <w:lang w:val="nl-NL"/>
        </w:rPr>
        <w:t xml:space="preserve">gaan </w:t>
      </w:r>
      <w:r w:rsidRPr="000047FB" w:rsidR="004F699E">
        <w:rPr>
          <w:rFonts w:ascii="Verdana" w:hAnsi="Verdana"/>
          <w:sz w:val="18"/>
          <w:szCs w:val="18"/>
          <w:lang w:val="nl-NL"/>
        </w:rPr>
        <w:t xml:space="preserve">ontplooien </w:t>
      </w:r>
      <w:r w:rsidRPr="000047FB" w:rsidR="00B02A41">
        <w:rPr>
          <w:rFonts w:ascii="Verdana" w:hAnsi="Verdana"/>
          <w:sz w:val="18"/>
          <w:szCs w:val="18"/>
          <w:lang w:val="nl-NL"/>
        </w:rPr>
        <w:t xml:space="preserve">in Nederland. Zo heeft een VS-bedrijf zich </w:t>
      </w:r>
      <w:r w:rsidRPr="000047FB" w:rsidR="004F699E">
        <w:rPr>
          <w:rFonts w:ascii="Verdana" w:hAnsi="Verdana"/>
          <w:sz w:val="18"/>
          <w:szCs w:val="18"/>
          <w:lang w:val="nl-NL"/>
        </w:rPr>
        <w:t>recentelijk</w:t>
      </w:r>
      <w:r w:rsidRPr="000047FB" w:rsidR="005876CE">
        <w:rPr>
          <w:rFonts w:ascii="Verdana" w:hAnsi="Verdana"/>
          <w:sz w:val="18"/>
          <w:szCs w:val="18"/>
          <w:lang w:val="nl-NL"/>
        </w:rPr>
        <w:t xml:space="preserve"> </w:t>
      </w:r>
      <w:r w:rsidRPr="000047FB" w:rsidR="00B02A41">
        <w:rPr>
          <w:rFonts w:ascii="Verdana" w:hAnsi="Verdana"/>
          <w:sz w:val="18"/>
          <w:szCs w:val="18"/>
          <w:lang w:val="nl-NL"/>
        </w:rPr>
        <w:t xml:space="preserve">gevestigd in Delft en Amsterdam. </w:t>
      </w:r>
      <w:r w:rsidRPr="000047FB" w:rsidR="00925D7B">
        <w:rPr>
          <w:rFonts w:ascii="Verdana" w:hAnsi="Verdana"/>
          <w:sz w:val="18"/>
          <w:szCs w:val="18"/>
          <w:lang w:val="nl-NL"/>
        </w:rPr>
        <w:t xml:space="preserve">Een tweede </w:t>
      </w:r>
      <w:r w:rsidRPr="000047FB" w:rsidR="00925D7B">
        <w:rPr>
          <w:rFonts w:ascii="Verdana" w:hAnsi="Verdana"/>
          <w:sz w:val="18"/>
          <w:szCs w:val="18"/>
          <w:lang w:val="nl-NL"/>
        </w:rPr>
        <w:lastRenderedPageBreak/>
        <w:t>satelliet-te</w:t>
      </w:r>
      <w:r w:rsidR="00C11F8D">
        <w:rPr>
          <w:rFonts w:ascii="Verdana" w:hAnsi="Verdana"/>
          <w:sz w:val="18"/>
          <w:szCs w:val="18"/>
          <w:lang w:val="nl-NL"/>
        </w:rPr>
        <w:t>lecommunicatiebedrijf</w:t>
      </w:r>
      <w:r w:rsidRPr="000047FB" w:rsidR="00925D7B">
        <w:rPr>
          <w:rFonts w:ascii="Verdana" w:hAnsi="Verdana"/>
          <w:sz w:val="18"/>
          <w:szCs w:val="18"/>
          <w:lang w:val="nl-NL"/>
        </w:rPr>
        <w:t xml:space="preserve"> gaat zich in Noordwijk vestigen. </w:t>
      </w:r>
      <w:r w:rsidR="008C1EA4">
        <w:rPr>
          <w:rFonts w:ascii="Verdana" w:hAnsi="Verdana"/>
          <w:sz w:val="18"/>
          <w:szCs w:val="18"/>
          <w:lang w:val="nl-NL"/>
        </w:rPr>
        <w:t>Twee andere Telecom Providers</w:t>
      </w:r>
      <w:r w:rsidRPr="000047FB" w:rsidR="00B02A41">
        <w:rPr>
          <w:rFonts w:ascii="Verdana" w:hAnsi="Verdana"/>
          <w:sz w:val="18"/>
          <w:szCs w:val="18"/>
          <w:lang w:val="nl-NL"/>
        </w:rPr>
        <w:t xml:space="preserve"> lijken dit voorbeeld spoedig te gaan volgen. De aanwezigheid van</w:t>
      </w:r>
      <w:r w:rsidRPr="000047FB" w:rsidR="005876CE">
        <w:rPr>
          <w:rFonts w:ascii="Verdana" w:hAnsi="Verdana"/>
          <w:sz w:val="18"/>
          <w:szCs w:val="18"/>
          <w:lang w:val="nl-NL"/>
        </w:rPr>
        <w:t xml:space="preserve"> ESTEC te Noordwijk blijkt </w:t>
      </w:r>
      <w:r w:rsidRPr="000047FB" w:rsidR="00687BA6">
        <w:rPr>
          <w:rFonts w:ascii="Verdana" w:hAnsi="Verdana"/>
          <w:sz w:val="18"/>
          <w:szCs w:val="18"/>
          <w:lang w:val="nl-NL"/>
        </w:rPr>
        <w:t>mede</w:t>
      </w:r>
      <w:r w:rsidRPr="000047FB" w:rsidR="00B02A41">
        <w:rPr>
          <w:rFonts w:ascii="Verdana" w:hAnsi="Verdana"/>
          <w:sz w:val="18"/>
          <w:szCs w:val="18"/>
          <w:lang w:val="nl-NL"/>
        </w:rPr>
        <w:t xml:space="preserve"> een belangrijk argument te zijn voor deze bedrijven om te kiezen voor vestiging in Nederland.</w:t>
      </w:r>
      <w:r w:rsidRPr="000047FB" w:rsidR="004F7FB1">
        <w:rPr>
          <w:rFonts w:ascii="Verdana" w:hAnsi="Verdana"/>
          <w:sz w:val="18"/>
          <w:szCs w:val="18"/>
          <w:lang w:val="nl-NL"/>
        </w:rPr>
        <w:t xml:space="preserve"> </w:t>
      </w:r>
      <w:r w:rsidRPr="000047FB" w:rsidR="004F699E">
        <w:rPr>
          <w:rFonts w:ascii="Verdana" w:hAnsi="Verdana"/>
          <w:sz w:val="18"/>
          <w:szCs w:val="18"/>
          <w:lang w:val="nl-NL"/>
        </w:rPr>
        <w:t>Ook wordt vestiging in Nederland aantrekkelijk bevonden van</w:t>
      </w:r>
      <w:r w:rsidRPr="000047FB" w:rsidR="00925D7B">
        <w:rPr>
          <w:rFonts w:ascii="Verdana" w:hAnsi="Verdana"/>
          <w:sz w:val="18"/>
          <w:szCs w:val="18"/>
          <w:lang w:val="nl-NL"/>
        </w:rPr>
        <w:t>wege</w:t>
      </w:r>
      <w:r w:rsidRPr="000047FB" w:rsidR="004F699E">
        <w:rPr>
          <w:rFonts w:ascii="Verdana" w:hAnsi="Verdana"/>
          <w:sz w:val="18"/>
          <w:szCs w:val="18"/>
          <w:lang w:val="nl-NL"/>
        </w:rPr>
        <w:t xml:space="preserve"> de hoog opgeleide bevolking, die goed Engels spreekt.</w:t>
      </w:r>
      <w:r w:rsidRPr="000047FB" w:rsidR="00925D7B">
        <w:rPr>
          <w:rFonts w:ascii="Verdana" w:hAnsi="Verdana"/>
          <w:sz w:val="18"/>
          <w:szCs w:val="18"/>
          <w:lang w:val="nl-NL"/>
        </w:rPr>
        <w:t xml:space="preserve"> Daarnaast wordt de Nederlandse ruimtevaartwetgeving als argument genoemd. Voorts wordt de laagdrempeligheid bij de overheidsorganisaties genoemd en de korte lijnen tussen de verschillende voor hen relevante overheidsorganen.</w:t>
      </w:r>
      <w:r w:rsidR="00AB2682">
        <w:rPr>
          <w:rFonts w:ascii="Verdana" w:hAnsi="Verdana"/>
          <w:sz w:val="18"/>
          <w:szCs w:val="18"/>
          <w:lang w:val="nl-NL"/>
        </w:rPr>
        <w:t xml:space="preserve"> </w:t>
      </w:r>
      <w:r w:rsidRPr="000047FB" w:rsidR="004F7FB1">
        <w:rPr>
          <w:rFonts w:ascii="Verdana" w:hAnsi="Verdana"/>
          <w:sz w:val="18"/>
          <w:szCs w:val="18"/>
          <w:lang w:val="nl-NL"/>
        </w:rPr>
        <w:t>Het NFIA</w:t>
      </w:r>
      <w:r w:rsidRPr="000047FB" w:rsidR="005876CE">
        <w:rPr>
          <w:rFonts w:ascii="Verdana" w:hAnsi="Verdana"/>
          <w:sz w:val="18"/>
          <w:szCs w:val="18"/>
          <w:lang w:val="nl-NL"/>
        </w:rPr>
        <w:t>,</w:t>
      </w:r>
      <w:r w:rsidRPr="000047FB" w:rsidR="004F7FB1">
        <w:rPr>
          <w:rFonts w:ascii="Verdana" w:hAnsi="Verdana"/>
          <w:sz w:val="18"/>
          <w:szCs w:val="18"/>
          <w:lang w:val="nl-NL"/>
        </w:rPr>
        <w:t xml:space="preserve"> NSO </w:t>
      </w:r>
      <w:r w:rsidRPr="000047FB" w:rsidR="005876CE">
        <w:rPr>
          <w:rFonts w:ascii="Verdana" w:hAnsi="Verdana"/>
          <w:sz w:val="18"/>
          <w:szCs w:val="18"/>
          <w:lang w:val="nl-NL"/>
        </w:rPr>
        <w:t xml:space="preserve">en AT </w:t>
      </w:r>
      <w:r w:rsidR="00AB2682">
        <w:rPr>
          <w:rFonts w:ascii="Verdana" w:hAnsi="Verdana"/>
          <w:sz w:val="18"/>
          <w:szCs w:val="18"/>
          <w:lang w:val="nl-NL"/>
        </w:rPr>
        <w:t>blijv</w:t>
      </w:r>
      <w:r w:rsidRPr="000047FB" w:rsidR="004F699E">
        <w:rPr>
          <w:rFonts w:ascii="Verdana" w:hAnsi="Verdana"/>
          <w:sz w:val="18"/>
          <w:szCs w:val="18"/>
          <w:lang w:val="nl-NL"/>
        </w:rPr>
        <w:t xml:space="preserve">en </w:t>
      </w:r>
      <w:r w:rsidR="008C1EA4">
        <w:rPr>
          <w:rFonts w:ascii="Verdana" w:hAnsi="Verdana"/>
          <w:sz w:val="18"/>
          <w:szCs w:val="18"/>
          <w:lang w:val="nl-NL"/>
        </w:rPr>
        <w:t xml:space="preserve">dan ook </w:t>
      </w:r>
      <w:r w:rsidRPr="000047FB" w:rsidR="004F699E">
        <w:rPr>
          <w:rFonts w:ascii="Verdana" w:hAnsi="Verdana"/>
          <w:sz w:val="18"/>
          <w:szCs w:val="18"/>
          <w:lang w:val="nl-NL"/>
        </w:rPr>
        <w:t>nauw samen</w:t>
      </w:r>
      <w:r w:rsidR="00AB2682">
        <w:rPr>
          <w:rFonts w:ascii="Verdana" w:hAnsi="Verdana"/>
          <w:sz w:val="18"/>
          <w:szCs w:val="18"/>
          <w:lang w:val="nl-NL"/>
        </w:rPr>
        <w:t>werken</w:t>
      </w:r>
      <w:r w:rsidRPr="000047FB" w:rsidR="004F699E">
        <w:rPr>
          <w:rFonts w:ascii="Verdana" w:hAnsi="Verdana"/>
          <w:sz w:val="18"/>
          <w:szCs w:val="18"/>
          <w:lang w:val="nl-NL"/>
        </w:rPr>
        <w:t xml:space="preserve"> om </w:t>
      </w:r>
      <w:r w:rsidR="008C1EA4">
        <w:rPr>
          <w:rFonts w:ascii="Verdana" w:hAnsi="Verdana"/>
          <w:sz w:val="18"/>
          <w:szCs w:val="18"/>
          <w:lang w:val="nl-NL"/>
        </w:rPr>
        <w:t>nog meer</w:t>
      </w:r>
      <w:r w:rsidRPr="000047FB" w:rsidR="004F699E">
        <w:rPr>
          <w:rFonts w:ascii="Verdana" w:hAnsi="Verdana"/>
          <w:sz w:val="18"/>
          <w:szCs w:val="18"/>
          <w:lang w:val="nl-NL"/>
        </w:rPr>
        <w:t xml:space="preserve"> bedrijven te interesseren </w:t>
      </w:r>
      <w:r w:rsidR="00565D7C">
        <w:rPr>
          <w:rFonts w:ascii="Verdana" w:hAnsi="Verdana"/>
          <w:sz w:val="18"/>
          <w:szCs w:val="18"/>
          <w:lang w:val="nl-NL"/>
        </w:rPr>
        <w:t>voor vestiging in Nederland</w:t>
      </w:r>
      <w:r w:rsidRPr="000047FB" w:rsidR="004F7FB1">
        <w:rPr>
          <w:rFonts w:ascii="Verdana" w:hAnsi="Verdana"/>
          <w:sz w:val="18"/>
          <w:szCs w:val="18"/>
          <w:lang w:val="nl-NL"/>
        </w:rPr>
        <w:t>.</w:t>
      </w:r>
    </w:p>
    <w:p w:rsidR="00342E58" w:rsidP="003A7671" w:rsidRDefault="00342E58">
      <w:pPr>
        <w:pStyle w:val="Lijstalinea"/>
        <w:ind w:left="426" w:hanging="426"/>
        <w:rPr>
          <w:rFonts w:ascii="Verdana" w:hAnsi="Verdana"/>
          <w:sz w:val="18"/>
          <w:szCs w:val="18"/>
          <w:lang w:val="nl-NL"/>
        </w:rPr>
      </w:pPr>
    </w:p>
    <w:p w:rsidRPr="000047FB" w:rsidR="0043482B" w:rsidRDefault="0043482B">
      <w:pPr>
        <w:pStyle w:val="Lijstalinea"/>
        <w:ind w:left="426" w:hanging="426"/>
        <w:rPr>
          <w:rFonts w:ascii="Verdana" w:hAnsi="Verdana"/>
          <w:sz w:val="18"/>
          <w:szCs w:val="18"/>
          <w:lang w:val="nl-NL"/>
        </w:rPr>
      </w:pPr>
    </w:p>
    <w:p w:rsidRPr="000047FB" w:rsidR="00805976" w:rsidRDefault="00805976">
      <w:pPr>
        <w:pStyle w:val="Lijstalinea"/>
        <w:numPr>
          <w:ilvl w:val="0"/>
          <w:numId w:val="1"/>
        </w:numPr>
        <w:ind w:left="426" w:hanging="426"/>
        <w:rPr>
          <w:rFonts w:ascii="Verdana" w:hAnsi="Verdana"/>
          <w:sz w:val="18"/>
          <w:szCs w:val="18"/>
          <w:u w:val="single"/>
          <w:lang w:val="nl-NL"/>
        </w:rPr>
      </w:pPr>
      <w:r w:rsidRPr="000047FB">
        <w:rPr>
          <w:rFonts w:ascii="Verdana" w:hAnsi="Verdana"/>
          <w:sz w:val="18"/>
          <w:szCs w:val="18"/>
          <w:u w:val="single"/>
          <w:lang w:val="nl-NL"/>
        </w:rPr>
        <w:t>Samenwerking tussen ruimtevaartpartijen in Nederland</w:t>
      </w:r>
    </w:p>
    <w:p w:rsidRPr="000047FB" w:rsidR="00805976" w:rsidRDefault="00805976">
      <w:pPr>
        <w:rPr>
          <w:rFonts w:ascii="Verdana" w:hAnsi="Verdana"/>
          <w:sz w:val="18"/>
          <w:szCs w:val="18"/>
          <w:u w:val="single"/>
          <w:lang w:val="nl-NL"/>
        </w:rPr>
      </w:pPr>
    </w:p>
    <w:p w:rsidRPr="00460324" w:rsidR="00805976" w:rsidP="00460324" w:rsidRDefault="00805976">
      <w:pPr>
        <w:rPr>
          <w:rFonts w:ascii="Verdana" w:hAnsi="Verdana"/>
          <w:sz w:val="18"/>
          <w:szCs w:val="18"/>
          <w:lang w:val="nl-NL"/>
        </w:rPr>
      </w:pPr>
      <w:r w:rsidRPr="00460324">
        <w:rPr>
          <w:rFonts w:ascii="Verdana" w:hAnsi="Verdana"/>
          <w:sz w:val="18"/>
          <w:szCs w:val="18"/>
          <w:lang w:val="nl-NL"/>
        </w:rPr>
        <w:t xml:space="preserve">In de afgelopen jaren is bij de </w:t>
      </w:r>
      <w:r w:rsidRPr="00460324" w:rsidR="00316B2A">
        <w:rPr>
          <w:rFonts w:ascii="Verdana" w:hAnsi="Verdana"/>
          <w:sz w:val="18"/>
          <w:szCs w:val="18"/>
          <w:lang w:val="nl-NL"/>
        </w:rPr>
        <w:t>actoren in de ruimtevaart</w:t>
      </w:r>
      <w:r w:rsidRPr="00460324">
        <w:rPr>
          <w:rFonts w:ascii="Verdana" w:hAnsi="Verdana"/>
          <w:sz w:val="18"/>
          <w:szCs w:val="18"/>
          <w:lang w:val="nl-NL"/>
        </w:rPr>
        <w:t xml:space="preserve">sector sterk aangedrongen op goede onderlinge samenwerking. Op het gebied van ruimtevaart kan Nederland Europees en mondiaal een serieuze speler zijn, mits de krachten gebundeld worden. </w:t>
      </w:r>
    </w:p>
    <w:p w:rsidRPr="00460324" w:rsidR="00805976" w:rsidP="00460324" w:rsidRDefault="00805976">
      <w:pPr>
        <w:rPr>
          <w:rFonts w:ascii="Verdana" w:hAnsi="Verdana"/>
          <w:sz w:val="18"/>
          <w:szCs w:val="18"/>
          <w:lang w:val="nl-NL"/>
        </w:rPr>
      </w:pPr>
      <w:r w:rsidRPr="00460324">
        <w:rPr>
          <w:rFonts w:ascii="Verdana" w:hAnsi="Verdana"/>
          <w:sz w:val="18"/>
          <w:szCs w:val="18"/>
          <w:lang w:val="nl-NL"/>
        </w:rPr>
        <w:t xml:space="preserve">Met alle Nederlandse kennis en kunde in gebundelde vorm is Nederland in staat een rol van betekenis te spelen op internationaal niveau, zeker in specifieke nichemarkten. </w:t>
      </w:r>
    </w:p>
    <w:p w:rsidR="00805976" w:rsidP="003A7671" w:rsidRDefault="00805976">
      <w:pPr>
        <w:pStyle w:val="Lijstalinea"/>
        <w:ind w:left="426"/>
        <w:rPr>
          <w:rFonts w:ascii="Verdana" w:hAnsi="Verdana"/>
          <w:sz w:val="18"/>
          <w:szCs w:val="18"/>
          <w:lang w:val="nl-NL"/>
        </w:rPr>
      </w:pPr>
    </w:p>
    <w:p w:rsidRPr="00460324" w:rsidR="00805976" w:rsidP="00460324" w:rsidRDefault="00805976">
      <w:pPr>
        <w:rPr>
          <w:rFonts w:ascii="Verdana" w:hAnsi="Verdana"/>
          <w:sz w:val="18"/>
          <w:szCs w:val="18"/>
          <w:lang w:val="nl-NL"/>
        </w:rPr>
      </w:pPr>
      <w:r w:rsidRPr="00460324">
        <w:rPr>
          <w:rFonts w:ascii="Verdana" w:hAnsi="Verdana"/>
          <w:sz w:val="18"/>
          <w:szCs w:val="18"/>
          <w:lang w:val="nl-NL"/>
        </w:rPr>
        <w:t xml:space="preserve">Inmiddels krijgt de samenwerking tussen ruimtevaartactoren </w:t>
      </w:r>
      <w:r w:rsidRPr="00460324" w:rsidR="00316B2A">
        <w:rPr>
          <w:rFonts w:ascii="Verdana" w:hAnsi="Verdana"/>
          <w:sz w:val="18"/>
          <w:szCs w:val="18"/>
          <w:lang w:val="nl-NL"/>
        </w:rPr>
        <w:t xml:space="preserve">daadwerkelijk </w:t>
      </w:r>
      <w:r w:rsidRPr="00460324">
        <w:rPr>
          <w:rFonts w:ascii="Verdana" w:hAnsi="Verdana"/>
          <w:sz w:val="18"/>
          <w:szCs w:val="18"/>
          <w:lang w:val="nl-NL"/>
        </w:rPr>
        <w:t>vorm:</w:t>
      </w:r>
    </w:p>
    <w:p w:rsidRPr="000047FB" w:rsidR="00805976" w:rsidP="003A7671" w:rsidRDefault="00805976">
      <w:pPr>
        <w:pStyle w:val="Lijstalinea"/>
        <w:numPr>
          <w:ilvl w:val="0"/>
          <w:numId w:val="5"/>
        </w:numPr>
        <w:rPr>
          <w:rFonts w:ascii="Verdana" w:hAnsi="Verdana"/>
          <w:sz w:val="18"/>
          <w:szCs w:val="18"/>
          <w:lang w:val="nl-NL"/>
        </w:rPr>
      </w:pPr>
      <w:r w:rsidRPr="000047FB">
        <w:rPr>
          <w:rFonts w:ascii="Verdana" w:hAnsi="Verdana"/>
          <w:sz w:val="18"/>
          <w:szCs w:val="18"/>
          <w:lang w:val="nl-NL"/>
        </w:rPr>
        <w:t>De bedrijven, die vooral onderdelen maken voor draagraketten, satellieten en grondstations (de “upstream”-sector), zijn verenigd in SpaceNed.</w:t>
      </w:r>
    </w:p>
    <w:p w:rsidR="00805976" w:rsidRDefault="00805976">
      <w:pPr>
        <w:pStyle w:val="Lijstalinea"/>
        <w:numPr>
          <w:ilvl w:val="0"/>
          <w:numId w:val="5"/>
        </w:numPr>
        <w:rPr>
          <w:rFonts w:ascii="Verdana" w:hAnsi="Verdana"/>
          <w:sz w:val="18"/>
          <w:szCs w:val="18"/>
          <w:lang w:val="nl-NL"/>
        </w:rPr>
      </w:pPr>
      <w:r w:rsidRPr="000047FB">
        <w:rPr>
          <w:rFonts w:ascii="Verdana" w:hAnsi="Verdana"/>
          <w:sz w:val="18"/>
          <w:szCs w:val="18"/>
          <w:lang w:val="nl-NL"/>
        </w:rPr>
        <w:t xml:space="preserve">Een groot deel van de bedrijven die zich richten op de be-/verwerking van satellietdata </w:t>
      </w:r>
      <w:r w:rsidR="00316B2A">
        <w:rPr>
          <w:rFonts w:ascii="Verdana" w:hAnsi="Verdana"/>
          <w:sz w:val="18"/>
          <w:szCs w:val="18"/>
          <w:lang w:val="nl-NL"/>
        </w:rPr>
        <w:t xml:space="preserve">(de “downstream”-sector) </w:t>
      </w:r>
      <w:r w:rsidRPr="000047FB">
        <w:rPr>
          <w:rFonts w:ascii="Verdana" w:hAnsi="Verdana"/>
          <w:sz w:val="18"/>
          <w:szCs w:val="18"/>
          <w:lang w:val="nl-NL"/>
        </w:rPr>
        <w:t xml:space="preserve">hebben zich in januari </w:t>
      </w:r>
      <w:r>
        <w:rPr>
          <w:rFonts w:ascii="Verdana" w:hAnsi="Verdana"/>
          <w:sz w:val="18"/>
          <w:szCs w:val="18"/>
          <w:lang w:val="nl-NL"/>
        </w:rPr>
        <w:t>2016 verenigd in de</w:t>
      </w:r>
      <w:r w:rsidRPr="000047FB">
        <w:rPr>
          <w:rFonts w:ascii="Verdana" w:hAnsi="Verdana"/>
          <w:sz w:val="18"/>
          <w:szCs w:val="18"/>
          <w:lang w:val="nl-NL"/>
        </w:rPr>
        <w:t xml:space="preserve"> samenwerkings</w:t>
      </w:r>
      <w:r w:rsidR="00316B2A">
        <w:rPr>
          <w:rFonts w:ascii="Verdana" w:hAnsi="Verdana"/>
          <w:sz w:val="18"/>
          <w:szCs w:val="18"/>
          <w:lang w:val="nl-NL"/>
        </w:rPr>
        <w:t>-</w:t>
      </w:r>
      <w:r w:rsidRPr="000047FB">
        <w:rPr>
          <w:rFonts w:ascii="Verdana" w:hAnsi="Verdana"/>
          <w:sz w:val="18"/>
          <w:szCs w:val="18"/>
          <w:lang w:val="nl-NL"/>
        </w:rPr>
        <w:t xml:space="preserve">organisatie NEVASCO. Deze organisatie stelt zich ten doel om de commerciële activiteiten van haar leden te professionaliseren en samen te werken bij het verwerven van </w:t>
      </w:r>
      <w:r>
        <w:rPr>
          <w:rFonts w:ascii="Verdana" w:hAnsi="Verdana"/>
          <w:sz w:val="18"/>
          <w:szCs w:val="18"/>
          <w:lang w:val="nl-NL"/>
        </w:rPr>
        <w:t>(</w:t>
      </w:r>
      <w:r w:rsidRPr="000047FB">
        <w:rPr>
          <w:rFonts w:ascii="Verdana" w:hAnsi="Verdana"/>
          <w:sz w:val="18"/>
          <w:szCs w:val="18"/>
          <w:lang w:val="nl-NL"/>
        </w:rPr>
        <w:t>export</w:t>
      </w:r>
      <w:r>
        <w:rPr>
          <w:rFonts w:ascii="Verdana" w:hAnsi="Verdana"/>
          <w:sz w:val="18"/>
          <w:szCs w:val="18"/>
          <w:lang w:val="nl-NL"/>
        </w:rPr>
        <w:t>-)</w:t>
      </w:r>
      <w:r w:rsidRPr="000047FB">
        <w:rPr>
          <w:rFonts w:ascii="Verdana" w:hAnsi="Verdana"/>
          <w:sz w:val="18"/>
          <w:szCs w:val="18"/>
          <w:lang w:val="nl-NL"/>
        </w:rPr>
        <w:t>opdrachten.</w:t>
      </w:r>
    </w:p>
    <w:p w:rsidRPr="000047FB" w:rsidR="00805976" w:rsidRDefault="00805976">
      <w:pPr>
        <w:pStyle w:val="Lijstalinea"/>
        <w:numPr>
          <w:ilvl w:val="0"/>
          <w:numId w:val="5"/>
        </w:numPr>
        <w:rPr>
          <w:rFonts w:ascii="Verdana" w:hAnsi="Verdana"/>
          <w:sz w:val="18"/>
          <w:szCs w:val="18"/>
          <w:lang w:val="nl-NL"/>
        </w:rPr>
      </w:pPr>
      <w:r>
        <w:rPr>
          <w:rFonts w:ascii="Verdana" w:hAnsi="Verdana"/>
          <w:sz w:val="18"/>
          <w:szCs w:val="18"/>
          <w:lang w:val="nl-NL"/>
        </w:rPr>
        <w:t>NSO, SpaceNed en NEVASCO werken samen onder de vlag van NL-Space om de Nederlandse ruimtevaartsector op markten buiten Nederland te promoten.</w:t>
      </w:r>
    </w:p>
    <w:p w:rsidRPr="000047FB" w:rsidR="00805976" w:rsidRDefault="00805976">
      <w:pPr>
        <w:pStyle w:val="Lijstalinea"/>
        <w:numPr>
          <w:ilvl w:val="0"/>
          <w:numId w:val="5"/>
        </w:numPr>
        <w:rPr>
          <w:rFonts w:ascii="Verdana" w:hAnsi="Verdana"/>
          <w:sz w:val="18"/>
          <w:szCs w:val="18"/>
          <w:lang w:val="nl-NL"/>
        </w:rPr>
      </w:pPr>
      <w:r w:rsidRPr="000047FB">
        <w:rPr>
          <w:rFonts w:ascii="Verdana" w:hAnsi="Verdana"/>
          <w:sz w:val="18"/>
          <w:szCs w:val="18"/>
          <w:lang w:val="nl-NL"/>
        </w:rPr>
        <w:t>Bij de Technische Universiteit Delft is in mei 2015 het TU Delft Space Institute opgericht. Dit instituut bundelt alle onderzoeksinspanningen binnen de diverse faculteiten van de TU Delft die gerelateerd zijn aan ruimtevaart. Het betreft onderzoek met betrekking tot robotica-ontwikkeling, sensortoepassingen, big dataverwerking en andere gebieden.</w:t>
      </w:r>
    </w:p>
    <w:p w:rsidRPr="000047FB" w:rsidR="00805976" w:rsidRDefault="00805976">
      <w:pPr>
        <w:pStyle w:val="Lijstalinea"/>
        <w:numPr>
          <w:ilvl w:val="0"/>
          <w:numId w:val="5"/>
        </w:numPr>
        <w:rPr>
          <w:rFonts w:ascii="Verdana" w:hAnsi="Verdana"/>
          <w:sz w:val="18"/>
          <w:szCs w:val="18"/>
          <w:lang w:val="nl-NL"/>
        </w:rPr>
      </w:pPr>
      <w:r>
        <w:rPr>
          <w:rFonts w:ascii="Verdana" w:hAnsi="Verdana"/>
          <w:sz w:val="18"/>
          <w:szCs w:val="18"/>
          <w:lang w:val="nl-NL"/>
        </w:rPr>
        <w:t>Ook via het zogenaamde roadmap</w:t>
      </w:r>
      <w:r w:rsidRPr="000047FB">
        <w:rPr>
          <w:rFonts w:ascii="Verdana" w:hAnsi="Verdana"/>
          <w:sz w:val="18"/>
          <w:szCs w:val="18"/>
          <w:lang w:val="nl-NL"/>
        </w:rPr>
        <w:t>proces van het NSO worden onderzoekers en ondernemers gestimuleerd om gezamenlijk te komen tot keuzes teneinde die gebieden te identificeren waar enerzijds een toekomstige vraag is en waar anderzijds Nederlandse onderzoekers en bedrijven in de komende jaren een betekenisvolle niche zouden kunnen behouden</w:t>
      </w:r>
      <w:r>
        <w:rPr>
          <w:rFonts w:ascii="Verdana" w:hAnsi="Verdana"/>
          <w:sz w:val="18"/>
          <w:szCs w:val="18"/>
          <w:lang w:val="nl-NL"/>
        </w:rPr>
        <w:t xml:space="preserve"> of verwerven</w:t>
      </w:r>
      <w:r w:rsidRPr="000047FB">
        <w:rPr>
          <w:rFonts w:ascii="Verdana" w:hAnsi="Verdana"/>
          <w:sz w:val="18"/>
          <w:szCs w:val="18"/>
          <w:lang w:val="nl-NL"/>
        </w:rPr>
        <w:t>.</w:t>
      </w:r>
    </w:p>
    <w:p w:rsidRPr="000047FB" w:rsidR="00805976" w:rsidRDefault="00805976">
      <w:pPr>
        <w:pStyle w:val="Lijstalinea"/>
        <w:numPr>
          <w:ilvl w:val="0"/>
          <w:numId w:val="5"/>
        </w:numPr>
        <w:rPr>
          <w:rFonts w:ascii="Verdana" w:hAnsi="Verdana"/>
          <w:sz w:val="18"/>
          <w:szCs w:val="18"/>
          <w:lang w:val="nl-NL"/>
        </w:rPr>
      </w:pPr>
      <w:r w:rsidRPr="000047FB">
        <w:rPr>
          <w:rFonts w:ascii="Verdana" w:hAnsi="Verdana"/>
          <w:sz w:val="18"/>
          <w:szCs w:val="18"/>
          <w:lang w:val="nl-NL"/>
        </w:rPr>
        <w:t xml:space="preserve">De ministeries betrokken bij ruimtevaart hebben de onderlinge samenwerking geïntensifieerd: de Interdepartementale Commissie Ruimtevaart (ICR) is in 2014 gereactiveerd. Daarin werken de </w:t>
      </w:r>
      <w:r>
        <w:rPr>
          <w:rFonts w:ascii="Verdana" w:hAnsi="Verdana"/>
          <w:sz w:val="18"/>
          <w:szCs w:val="18"/>
          <w:lang w:val="nl-NL"/>
        </w:rPr>
        <w:t>m</w:t>
      </w:r>
      <w:r w:rsidRPr="000047FB">
        <w:rPr>
          <w:rFonts w:ascii="Verdana" w:hAnsi="Verdana"/>
          <w:sz w:val="18"/>
          <w:szCs w:val="18"/>
          <w:lang w:val="nl-NL"/>
        </w:rPr>
        <w:t>inisteries van Buitenlandse Zaken, Defensie, Infrastructuur en Milieu, Onderwijs, Wetenschap en Cultuur en Veiligheid en Justitie nauw met elkaar samen</w:t>
      </w:r>
      <w:r>
        <w:rPr>
          <w:rFonts w:ascii="Verdana" w:hAnsi="Verdana"/>
          <w:sz w:val="18"/>
          <w:szCs w:val="18"/>
          <w:lang w:val="nl-NL"/>
        </w:rPr>
        <w:t xml:space="preserve"> onder voorzitterschap van het m</w:t>
      </w:r>
      <w:r w:rsidRPr="000047FB">
        <w:rPr>
          <w:rFonts w:ascii="Verdana" w:hAnsi="Verdana"/>
          <w:sz w:val="18"/>
          <w:szCs w:val="18"/>
          <w:lang w:val="nl-NL"/>
        </w:rPr>
        <w:t>inisterie van Economische Zaken. De inzet is ook andere ministeries en overheidsinstellingen te betrekken bij deze samenwerking (zie ook paragraaf 12). Daarbij is het beleid ook gericht op betere benutting van satellietdata door overheden bij hun beleidsontwikkeli</w:t>
      </w:r>
      <w:r>
        <w:rPr>
          <w:rFonts w:ascii="Verdana" w:hAnsi="Verdana"/>
          <w:sz w:val="18"/>
          <w:szCs w:val="18"/>
          <w:lang w:val="nl-NL"/>
        </w:rPr>
        <w:t>ng</w:t>
      </w:r>
      <w:r w:rsidRPr="000047FB">
        <w:rPr>
          <w:rFonts w:ascii="Verdana" w:hAnsi="Verdana"/>
          <w:sz w:val="18"/>
          <w:szCs w:val="18"/>
          <w:lang w:val="nl-NL"/>
        </w:rPr>
        <w:t xml:space="preserve"> en</w:t>
      </w:r>
      <w:r>
        <w:rPr>
          <w:rFonts w:ascii="Verdana" w:hAnsi="Verdana"/>
          <w:sz w:val="18"/>
          <w:szCs w:val="18"/>
          <w:lang w:val="nl-NL"/>
        </w:rPr>
        <w:t xml:space="preserve"> </w:t>
      </w:r>
      <w:r w:rsidRPr="000047FB">
        <w:rPr>
          <w:rFonts w:ascii="Verdana" w:hAnsi="Verdana"/>
          <w:sz w:val="18"/>
          <w:szCs w:val="18"/>
          <w:lang w:val="nl-NL"/>
        </w:rPr>
        <w:t>–uitvoering, teneinde deze processen efficiënter en goedkoper te maken.</w:t>
      </w:r>
    </w:p>
    <w:p w:rsidRPr="000047FB" w:rsidR="00805976" w:rsidRDefault="00805976">
      <w:pPr>
        <w:pStyle w:val="Lijstalinea"/>
        <w:numPr>
          <w:ilvl w:val="0"/>
          <w:numId w:val="5"/>
        </w:numPr>
        <w:rPr>
          <w:rFonts w:ascii="Verdana" w:hAnsi="Verdana"/>
          <w:sz w:val="18"/>
          <w:szCs w:val="18"/>
          <w:lang w:val="nl-NL"/>
        </w:rPr>
      </w:pPr>
      <w:r w:rsidRPr="000047FB">
        <w:rPr>
          <w:rFonts w:ascii="Verdana" w:hAnsi="Verdana"/>
          <w:sz w:val="18"/>
          <w:szCs w:val="18"/>
          <w:lang w:val="nl-NL"/>
        </w:rPr>
        <w:t xml:space="preserve">Het beleid blijft erop gericht om Nederlandse partijen </w:t>
      </w:r>
      <w:r>
        <w:rPr>
          <w:rFonts w:ascii="Verdana" w:hAnsi="Verdana"/>
          <w:sz w:val="18"/>
          <w:szCs w:val="18"/>
          <w:lang w:val="nl-NL"/>
        </w:rPr>
        <w:t xml:space="preserve">- </w:t>
      </w:r>
      <w:r w:rsidRPr="000047FB">
        <w:rPr>
          <w:rFonts w:ascii="Verdana" w:hAnsi="Verdana"/>
          <w:sz w:val="18"/>
          <w:szCs w:val="18"/>
          <w:lang w:val="nl-NL"/>
        </w:rPr>
        <w:t xml:space="preserve">actief in de ruimtevaart </w:t>
      </w:r>
      <w:r>
        <w:rPr>
          <w:rFonts w:ascii="Verdana" w:hAnsi="Verdana"/>
          <w:sz w:val="18"/>
          <w:szCs w:val="18"/>
          <w:lang w:val="nl-NL"/>
        </w:rPr>
        <w:t xml:space="preserve">- </w:t>
      </w:r>
      <w:r w:rsidRPr="000047FB">
        <w:rPr>
          <w:rFonts w:ascii="Verdana" w:hAnsi="Verdana"/>
          <w:sz w:val="18"/>
          <w:szCs w:val="18"/>
          <w:lang w:val="nl-NL"/>
        </w:rPr>
        <w:t>zoveel mogelijk te laten samenwerken bij de verdere ontplooiing van hun activiteiten in en buiten Nederland.</w:t>
      </w:r>
    </w:p>
    <w:p w:rsidR="00805976" w:rsidRDefault="00805976">
      <w:pPr>
        <w:rPr>
          <w:rFonts w:ascii="Verdana" w:hAnsi="Verdana"/>
          <w:sz w:val="18"/>
          <w:szCs w:val="18"/>
          <w:u w:val="single"/>
          <w:lang w:val="nl-NL"/>
        </w:rPr>
      </w:pPr>
    </w:p>
    <w:p w:rsidRPr="00805976" w:rsidR="0014431B" w:rsidRDefault="0014431B">
      <w:pPr>
        <w:rPr>
          <w:rFonts w:ascii="Verdana" w:hAnsi="Verdana"/>
          <w:sz w:val="18"/>
          <w:szCs w:val="18"/>
          <w:u w:val="single"/>
          <w:lang w:val="nl-NL"/>
        </w:rPr>
      </w:pPr>
    </w:p>
    <w:p w:rsidRPr="000047FB" w:rsidR="003B101C" w:rsidRDefault="003B101C">
      <w:pPr>
        <w:pStyle w:val="Lijstalinea"/>
        <w:numPr>
          <w:ilvl w:val="0"/>
          <w:numId w:val="1"/>
        </w:numPr>
        <w:ind w:left="426" w:hanging="426"/>
        <w:rPr>
          <w:rFonts w:ascii="Verdana" w:hAnsi="Verdana"/>
          <w:sz w:val="18"/>
          <w:szCs w:val="18"/>
          <w:u w:val="single"/>
          <w:lang w:val="nl-NL"/>
        </w:rPr>
      </w:pPr>
      <w:r w:rsidRPr="000047FB">
        <w:rPr>
          <w:rFonts w:ascii="Verdana" w:hAnsi="Verdana"/>
          <w:sz w:val="18"/>
          <w:szCs w:val="18"/>
          <w:u w:val="single"/>
          <w:lang w:val="nl-NL"/>
        </w:rPr>
        <w:t>Positie ESTEC; komst G</w:t>
      </w:r>
      <w:r w:rsidRPr="000047FB" w:rsidR="005876CE">
        <w:rPr>
          <w:rFonts w:ascii="Verdana" w:hAnsi="Verdana"/>
          <w:sz w:val="18"/>
          <w:szCs w:val="18"/>
          <w:u w:val="single"/>
          <w:lang w:val="nl-NL"/>
        </w:rPr>
        <w:t xml:space="preserve">alileo </w:t>
      </w:r>
      <w:r w:rsidRPr="000047FB">
        <w:rPr>
          <w:rFonts w:ascii="Verdana" w:hAnsi="Verdana"/>
          <w:sz w:val="18"/>
          <w:szCs w:val="18"/>
          <w:u w:val="single"/>
          <w:lang w:val="nl-NL"/>
        </w:rPr>
        <w:t>R</w:t>
      </w:r>
      <w:r w:rsidRPr="000047FB" w:rsidR="005876CE">
        <w:rPr>
          <w:rFonts w:ascii="Verdana" w:hAnsi="Verdana"/>
          <w:sz w:val="18"/>
          <w:szCs w:val="18"/>
          <w:u w:val="single"/>
          <w:lang w:val="nl-NL"/>
        </w:rPr>
        <w:t xml:space="preserve">eference </w:t>
      </w:r>
      <w:r w:rsidRPr="000047FB">
        <w:rPr>
          <w:rFonts w:ascii="Verdana" w:hAnsi="Verdana"/>
          <w:sz w:val="18"/>
          <w:szCs w:val="18"/>
          <w:u w:val="single"/>
          <w:lang w:val="nl-NL"/>
        </w:rPr>
        <w:t>C</w:t>
      </w:r>
      <w:r w:rsidRPr="000047FB" w:rsidR="005876CE">
        <w:rPr>
          <w:rFonts w:ascii="Verdana" w:hAnsi="Verdana"/>
          <w:sz w:val="18"/>
          <w:szCs w:val="18"/>
          <w:u w:val="single"/>
          <w:lang w:val="nl-NL"/>
        </w:rPr>
        <w:t>enter (GRC) te Noordwijk</w:t>
      </w:r>
    </w:p>
    <w:p w:rsidRPr="000047FB" w:rsidR="00A63850" w:rsidRDefault="00A63850">
      <w:pPr>
        <w:pStyle w:val="Lijstalinea"/>
        <w:ind w:left="426"/>
        <w:rPr>
          <w:rFonts w:ascii="Verdana" w:hAnsi="Verdana"/>
          <w:sz w:val="18"/>
          <w:szCs w:val="18"/>
          <w:lang w:val="nl-NL"/>
        </w:rPr>
      </w:pPr>
    </w:p>
    <w:p w:rsidRPr="000047FB" w:rsidR="00570D9A" w:rsidP="00460324" w:rsidRDefault="00570D9A">
      <w:pPr>
        <w:rPr>
          <w:rFonts w:ascii="Verdana" w:hAnsi="Verdana"/>
          <w:sz w:val="18"/>
          <w:szCs w:val="18"/>
          <w:lang w:val="nl-NL"/>
        </w:rPr>
      </w:pPr>
      <w:r w:rsidRPr="00460324">
        <w:rPr>
          <w:rFonts w:ascii="Verdana" w:hAnsi="Verdana"/>
          <w:b/>
          <w:sz w:val="18"/>
          <w:szCs w:val="18"/>
          <w:lang w:val="nl-NL"/>
        </w:rPr>
        <w:t>Beleidsdoel</w:t>
      </w:r>
      <w:r w:rsidRPr="000047FB">
        <w:rPr>
          <w:rFonts w:ascii="Verdana" w:hAnsi="Verdana"/>
          <w:sz w:val="18"/>
          <w:szCs w:val="18"/>
          <w:lang w:val="nl-NL"/>
        </w:rPr>
        <w:t>: Het behouden en versterken van de ESA-vestiging te Noordwijk (ESTEC), alsmede het verder intensiveren van de samenwerking tussen ESTEC, de Nederlandse kennisinstellingen en het Nederlandse bedrijfsleven.</w:t>
      </w:r>
      <w:r w:rsidR="00DF078F">
        <w:rPr>
          <w:rFonts w:ascii="Verdana" w:hAnsi="Verdana"/>
          <w:sz w:val="18"/>
          <w:szCs w:val="18"/>
          <w:lang w:val="nl-NL"/>
        </w:rPr>
        <w:t xml:space="preserve"> Dit is en blijft een cruciale pijler van het ruimtevaartbeleid.</w:t>
      </w:r>
    </w:p>
    <w:p w:rsidR="00570D9A" w:rsidP="003A7671" w:rsidRDefault="00570D9A">
      <w:pPr>
        <w:pStyle w:val="Lijstalinea"/>
        <w:ind w:left="426"/>
        <w:rPr>
          <w:rFonts w:ascii="Verdana" w:hAnsi="Verdana"/>
          <w:sz w:val="18"/>
          <w:szCs w:val="18"/>
          <w:lang w:val="nl-NL"/>
        </w:rPr>
      </w:pPr>
    </w:p>
    <w:p w:rsidRPr="00460324" w:rsidR="003B101C" w:rsidP="00460324" w:rsidRDefault="00687BA6">
      <w:pPr>
        <w:rPr>
          <w:rFonts w:ascii="Verdana" w:hAnsi="Verdana"/>
          <w:sz w:val="18"/>
          <w:szCs w:val="18"/>
          <w:lang w:val="nl-NL"/>
        </w:rPr>
      </w:pPr>
      <w:r w:rsidRPr="00460324">
        <w:rPr>
          <w:rFonts w:ascii="Verdana" w:hAnsi="Verdana"/>
          <w:sz w:val="18"/>
          <w:szCs w:val="18"/>
          <w:lang w:val="nl-NL"/>
        </w:rPr>
        <w:lastRenderedPageBreak/>
        <w:t>De Europese ruimtevaartorganisatie ESA, met een hoofdkwartie</w:t>
      </w:r>
      <w:r w:rsidRPr="00460324" w:rsidR="00D2238E">
        <w:rPr>
          <w:rFonts w:ascii="Verdana" w:hAnsi="Verdana"/>
          <w:sz w:val="18"/>
          <w:szCs w:val="18"/>
          <w:lang w:val="nl-NL"/>
        </w:rPr>
        <w:t>r</w:t>
      </w:r>
      <w:r w:rsidRPr="00460324">
        <w:rPr>
          <w:rFonts w:ascii="Verdana" w:hAnsi="Verdana"/>
          <w:sz w:val="18"/>
          <w:szCs w:val="18"/>
          <w:lang w:val="nl-NL"/>
        </w:rPr>
        <w:t xml:space="preserve"> in Parijs, heeft 22 lidstaten en vestigingen in een aantal van deze lidstaten. Veruit de grootste </w:t>
      </w:r>
      <w:r w:rsidRPr="00460324" w:rsidR="00621910">
        <w:rPr>
          <w:rFonts w:ascii="Verdana" w:hAnsi="Verdana"/>
          <w:sz w:val="18"/>
          <w:szCs w:val="18"/>
          <w:lang w:val="nl-NL"/>
        </w:rPr>
        <w:t>vestiging is te vinden in</w:t>
      </w:r>
      <w:r w:rsidRPr="00460324">
        <w:rPr>
          <w:rFonts w:ascii="Verdana" w:hAnsi="Verdana"/>
          <w:sz w:val="18"/>
          <w:szCs w:val="18"/>
          <w:lang w:val="nl-NL"/>
        </w:rPr>
        <w:t xml:space="preserve"> Noordwijk. Deze ESA-vestiging (ESTEC) vormt het technologisch hart van ESA. Daar werkt ruim de helft van het ESA personeel en worden meer dan de helft van de ESA-programma’s vorm gegeven. Ook worden in </w:t>
      </w:r>
      <w:r w:rsidR="00181F6A">
        <w:rPr>
          <w:rFonts w:ascii="Verdana" w:hAnsi="Verdana"/>
          <w:sz w:val="18"/>
          <w:szCs w:val="18"/>
          <w:lang w:val="nl-NL"/>
        </w:rPr>
        <w:t>Noordwijk</w:t>
      </w:r>
      <w:r w:rsidRPr="00460324">
        <w:rPr>
          <w:rFonts w:ascii="Verdana" w:hAnsi="Verdana"/>
          <w:sz w:val="18"/>
          <w:szCs w:val="18"/>
          <w:lang w:val="nl-NL"/>
        </w:rPr>
        <w:t xml:space="preserve"> ESA-satellieten en ruimtevoertuigen uitvoerig getest alvorens ze bloot te stellen aan de krachten van een lancering en van de ruimte. In totaal werken </w:t>
      </w:r>
      <w:r w:rsidRPr="00460324" w:rsidR="00DF078F">
        <w:rPr>
          <w:rFonts w:ascii="Verdana" w:hAnsi="Verdana"/>
          <w:sz w:val="18"/>
          <w:szCs w:val="18"/>
          <w:lang w:val="nl-NL"/>
        </w:rPr>
        <w:t xml:space="preserve">nu </w:t>
      </w:r>
      <w:r w:rsidR="00BC2BAF">
        <w:rPr>
          <w:rFonts w:ascii="Verdana" w:hAnsi="Verdana"/>
          <w:sz w:val="18"/>
          <w:szCs w:val="18"/>
          <w:lang w:val="nl-NL"/>
        </w:rPr>
        <w:t>ongeveer 270</w:t>
      </w:r>
      <w:r w:rsidRPr="00460324">
        <w:rPr>
          <w:rFonts w:ascii="Verdana" w:hAnsi="Verdana"/>
          <w:sz w:val="18"/>
          <w:szCs w:val="18"/>
          <w:lang w:val="nl-NL"/>
        </w:rPr>
        <w:t xml:space="preserve">0 mensen bij ESTEC </w:t>
      </w:r>
      <w:r w:rsidRPr="00460324" w:rsidR="00DF078F">
        <w:rPr>
          <w:rFonts w:ascii="Verdana" w:hAnsi="Verdana"/>
          <w:sz w:val="18"/>
          <w:szCs w:val="18"/>
          <w:lang w:val="nl-NL"/>
        </w:rPr>
        <w:t>i</w:t>
      </w:r>
      <w:r w:rsidR="00181F6A">
        <w:rPr>
          <w:rFonts w:ascii="Verdana" w:hAnsi="Verdana"/>
          <w:sz w:val="18"/>
          <w:szCs w:val="18"/>
          <w:lang w:val="nl-NL"/>
        </w:rPr>
        <w:t xml:space="preserve">n Noordwijk (opgave ESTEC; </w:t>
      </w:r>
      <w:r w:rsidRPr="00460324" w:rsidR="00DF078F">
        <w:rPr>
          <w:rFonts w:ascii="Verdana" w:hAnsi="Verdana"/>
          <w:sz w:val="18"/>
          <w:szCs w:val="18"/>
          <w:lang w:val="nl-NL"/>
        </w:rPr>
        <w:t>oktober 2016), voor een groot</w:t>
      </w:r>
      <w:r w:rsidRPr="00460324">
        <w:rPr>
          <w:rFonts w:ascii="Verdana" w:hAnsi="Verdana"/>
          <w:sz w:val="18"/>
          <w:szCs w:val="18"/>
          <w:lang w:val="nl-NL"/>
        </w:rPr>
        <w:t xml:space="preserve"> deel academisch gevormd. Het is </w:t>
      </w:r>
      <w:r w:rsidRPr="00460324" w:rsidR="00723312">
        <w:rPr>
          <w:rFonts w:ascii="Verdana" w:hAnsi="Verdana"/>
          <w:sz w:val="18"/>
          <w:szCs w:val="18"/>
          <w:lang w:val="nl-NL"/>
        </w:rPr>
        <w:t xml:space="preserve">qua personeelssterkte </w:t>
      </w:r>
      <w:r w:rsidRPr="00460324">
        <w:rPr>
          <w:rFonts w:ascii="Verdana" w:hAnsi="Verdana"/>
          <w:sz w:val="18"/>
          <w:szCs w:val="18"/>
          <w:lang w:val="nl-NL"/>
        </w:rPr>
        <w:t xml:space="preserve">het vierde </w:t>
      </w:r>
      <w:r w:rsidRPr="00460324" w:rsidR="00723312">
        <w:rPr>
          <w:rFonts w:ascii="Verdana" w:hAnsi="Verdana"/>
          <w:sz w:val="18"/>
          <w:szCs w:val="18"/>
          <w:lang w:val="nl-NL"/>
        </w:rPr>
        <w:t xml:space="preserve">kennis en </w:t>
      </w:r>
      <w:r w:rsidRPr="00460324">
        <w:rPr>
          <w:rFonts w:ascii="Verdana" w:hAnsi="Verdana"/>
          <w:sz w:val="18"/>
          <w:szCs w:val="18"/>
          <w:lang w:val="nl-NL"/>
        </w:rPr>
        <w:t>onderzoek</w:t>
      </w:r>
      <w:r w:rsidRPr="00460324" w:rsidR="00723312">
        <w:rPr>
          <w:rFonts w:ascii="Verdana" w:hAnsi="Verdana"/>
          <w:sz w:val="18"/>
          <w:szCs w:val="18"/>
          <w:lang w:val="nl-NL"/>
        </w:rPr>
        <w:t>sinstituut</w:t>
      </w:r>
      <w:r w:rsidRPr="00460324">
        <w:rPr>
          <w:rFonts w:ascii="Verdana" w:hAnsi="Verdana"/>
          <w:sz w:val="18"/>
          <w:szCs w:val="18"/>
          <w:lang w:val="nl-NL"/>
        </w:rPr>
        <w:t xml:space="preserve"> in Nederland</w:t>
      </w:r>
      <w:r w:rsidRPr="00460324" w:rsidR="00723312">
        <w:rPr>
          <w:rFonts w:ascii="Verdana" w:hAnsi="Verdana"/>
          <w:sz w:val="18"/>
          <w:szCs w:val="18"/>
          <w:lang w:val="nl-NL"/>
        </w:rPr>
        <w:t xml:space="preserve"> (na ASML, Philips en TNO)</w:t>
      </w:r>
      <w:r w:rsidRPr="00460324">
        <w:rPr>
          <w:rFonts w:ascii="Verdana" w:hAnsi="Verdana"/>
          <w:sz w:val="18"/>
          <w:szCs w:val="18"/>
          <w:lang w:val="nl-NL"/>
        </w:rPr>
        <w:t>.</w:t>
      </w:r>
    </w:p>
    <w:p w:rsidR="00DF078F" w:rsidP="00BC2BAF" w:rsidRDefault="00DF078F">
      <w:pPr>
        <w:rPr>
          <w:rFonts w:ascii="Verdana" w:hAnsi="Verdana"/>
          <w:sz w:val="18"/>
          <w:szCs w:val="18"/>
          <w:lang w:val="nl-NL"/>
        </w:rPr>
      </w:pPr>
    </w:p>
    <w:p w:rsidR="00BC2BAF" w:rsidP="00BC2BAF" w:rsidRDefault="00BC2BAF">
      <w:pPr>
        <w:rPr>
          <w:rFonts w:ascii="Verdana" w:hAnsi="Verdana"/>
          <w:sz w:val="18"/>
          <w:szCs w:val="18"/>
          <w:lang w:val="nl-NL"/>
        </w:rPr>
      </w:pPr>
      <w:r w:rsidRPr="00460324">
        <w:rPr>
          <w:rFonts w:ascii="Verdana" w:hAnsi="Verdana"/>
          <w:sz w:val="18"/>
          <w:szCs w:val="18"/>
          <w:lang w:val="nl-NL"/>
        </w:rPr>
        <w:t>Veel bedrijven in Noordwijk, Leiden, Warmond, Den Haag en Delft zijn actief in de ruimtevaart. Datzelfde geldt voor TNO in Delft en de Technische Universiteit Delft.</w:t>
      </w:r>
      <w:r>
        <w:rPr>
          <w:rFonts w:ascii="Verdana" w:hAnsi="Verdana"/>
          <w:sz w:val="18"/>
          <w:szCs w:val="18"/>
          <w:lang w:val="nl-NL"/>
        </w:rPr>
        <w:t xml:space="preserve"> </w:t>
      </w:r>
      <w:r w:rsidRPr="00460324">
        <w:rPr>
          <w:rFonts w:ascii="Verdana" w:hAnsi="Verdana"/>
          <w:sz w:val="18"/>
          <w:szCs w:val="18"/>
          <w:lang w:val="nl-NL"/>
        </w:rPr>
        <w:t>Samen met ESTEC vormen ze de basis van een belangrijk cluster van kennis en kunde op het gebied van ruimtevaart en benutting van satellieten. De bouw van een nieuwe vergader- en conferentiecentrum</w:t>
      </w:r>
      <w:r>
        <w:rPr>
          <w:rFonts w:ascii="Verdana" w:hAnsi="Verdana"/>
          <w:sz w:val="18"/>
          <w:szCs w:val="18"/>
          <w:lang w:val="nl-NL"/>
        </w:rPr>
        <w:t xml:space="preserve"> en de nieuwbouw van de GRC passen</w:t>
      </w:r>
      <w:r w:rsidRPr="00460324">
        <w:rPr>
          <w:rFonts w:ascii="Verdana" w:hAnsi="Verdana"/>
          <w:sz w:val="18"/>
          <w:szCs w:val="18"/>
          <w:lang w:val="nl-NL"/>
        </w:rPr>
        <w:t xml:space="preserve"> in het streven van overheden (Rijk, provincie en gemeenten in de Bollenstreek) om rond ESTEC een “Space”-Campus te ontwikkelen. </w:t>
      </w:r>
    </w:p>
    <w:p w:rsidR="00BC2BAF" w:rsidP="00BC2BAF" w:rsidRDefault="00BC2BAF">
      <w:pPr>
        <w:rPr>
          <w:rFonts w:ascii="Verdana" w:hAnsi="Verdana"/>
          <w:sz w:val="18"/>
          <w:szCs w:val="18"/>
          <w:lang w:val="nl-NL"/>
        </w:rPr>
      </w:pPr>
      <w:r>
        <w:rPr>
          <w:rFonts w:ascii="Verdana" w:hAnsi="Verdana"/>
          <w:sz w:val="18"/>
          <w:szCs w:val="18"/>
          <w:lang w:val="nl-NL"/>
        </w:rPr>
        <w:t>Uiteraard zijn buiten de strook Bollenstreek-Delft ook tientallen bedrijven en kenniscentra te vinden actief in de ruimtevaart.</w:t>
      </w:r>
    </w:p>
    <w:p w:rsidR="00BC2BAF" w:rsidP="00BC2BAF" w:rsidRDefault="00BC2BAF">
      <w:pPr>
        <w:rPr>
          <w:rFonts w:ascii="Verdana" w:hAnsi="Verdana"/>
          <w:sz w:val="18"/>
          <w:szCs w:val="18"/>
          <w:lang w:val="nl-NL"/>
        </w:rPr>
      </w:pPr>
    </w:p>
    <w:p w:rsidRPr="00460324" w:rsidR="00BC2BAF" w:rsidP="00BC2BAF" w:rsidRDefault="00BC2BAF">
      <w:pPr>
        <w:rPr>
          <w:rFonts w:ascii="Verdana" w:hAnsi="Verdana"/>
          <w:sz w:val="18"/>
          <w:szCs w:val="18"/>
          <w:lang w:val="nl-NL"/>
        </w:rPr>
      </w:pPr>
      <w:r w:rsidRPr="00460324">
        <w:rPr>
          <w:rFonts w:ascii="Verdana" w:hAnsi="Verdana"/>
          <w:sz w:val="18"/>
          <w:szCs w:val="18"/>
          <w:lang w:val="nl-NL"/>
        </w:rPr>
        <w:t xml:space="preserve">Nederland zal de follow-up van de 10 aanbevelingen van het ESTEC-White Paper van het Topteam HTSM voortzetten. Zo wordt samen met ESTEC gewerkt aan de bekendheid van ESTEC via “Open Dagen” en zogenaamde “Stakeholderdinners” met mensen die van belang zijn voor de ruimtevaart. Ook zijn er diverse contacten opgezet met Nederlandse universiteiten, hogescholen en kennisinstellingen. Via gerichte werkconferenties zijn Nederlandse bedrijven, ook van buiten de ruimtevaartsector, geïnformeerd over de kansen die ESTEC kan bieden onder andere via benutting van de aanwezige testfaciliteiten op momenten dat die niet benut worden voor ESA-programma’s. Tevens blijft de overheid via het ESA-Business Incubation Center (BIC) te Noordwijk bevorderen dat nieuwe commerciële kansen ontstaan voor startende onderneming in ruimtevaart-gerelateerde activiteiten. </w:t>
      </w:r>
    </w:p>
    <w:p w:rsidR="00BC2BAF" w:rsidP="00460324" w:rsidRDefault="00BC2BAF">
      <w:pPr>
        <w:rPr>
          <w:rFonts w:ascii="Verdana" w:hAnsi="Verdana"/>
          <w:sz w:val="18"/>
          <w:szCs w:val="18"/>
          <w:lang w:val="nl-NL"/>
        </w:rPr>
      </w:pPr>
    </w:p>
    <w:p w:rsidRPr="00460324" w:rsidR="00570D9A" w:rsidP="00460324" w:rsidRDefault="00371384">
      <w:pPr>
        <w:rPr>
          <w:rFonts w:ascii="Verdana" w:hAnsi="Verdana"/>
          <w:sz w:val="18"/>
          <w:szCs w:val="18"/>
          <w:lang w:val="nl-NL"/>
        </w:rPr>
      </w:pPr>
      <w:r>
        <w:rPr>
          <w:rFonts w:ascii="Verdana" w:hAnsi="Verdana"/>
          <w:sz w:val="18"/>
          <w:szCs w:val="18"/>
          <w:lang w:val="nl-NL"/>
        </w:rPr>
        <w:t>Bij ESTEC is</w:t>
      </w:r>
      <w:r w:rsidRPr="00460324" w:rsidR="00570D9A">
        <w:rPr>
          <w:rFonts w:ascii="Verdana" w:hAnsi="Verdana"/>
          <w:sz w:val="18"/>
          <w:szCs w:val="18"/>
          <w:lang w:val="nl-NL"/>
        </w:rPr>
        <w:t xml:space="preserve"> behoefte aan extra conferentie- en vergaderfaciliteiten ten behoeve van ESA-activiteiten op het terrein van ESTEC.</w:t>
      </w:r>
      <w:r w:rsidRPr="00460324" w:rsidR="0020694C">
        <w:rPr>
          <w:rFonts w:ascii="Verdana" w:hAnsi="Verdana"/>
          <w:sz w:val="18"/>
          <w:szCs w:val="18"/>
          <w:lang w:val="nl-NL"/>
        </w:rPr>
        <w:t xml:space="preserve"> Nu wordt uitgeweken naar andere ESA-vestigingen</w:t>
      </w:r>
      <w:r w:rsidRPr="00460324" w:rsidR="00921380">
        <w:rPr>
          <w:rFonts w:ascii="Verdana" w:hAnsi="Verdana"/>
          <w:sz w:val="18"/>
          <w:szCs w:val="18"/>
          <w:lang w:val="nl-NL"/>
        </w:rPr>
        <w:t>. Daardoor l</w:t>
      </w:r>
      <w:r w:rsidR="00BC2BAF">
        <w:rPr>
          <w:rFonts w:ascii="Verdana" w:hAnsi="Verdana"/>
          <w:sz w:val="18"/>
          <w:szCs w:val="18"/>
          <w:lang w:val="nl-NL"/>
        </w:rPr>
        <w:t xml:space="preserve">oopt Nederland </w:t>
      </w:r>
      <w:r w:rsidRPr="00460324" w:rsidR="00921380">
        <w:rPr>
          <w:rFonts w:ascii="Verdana" w:hAnsi="Verdana"/>
          <w:sz w:val="18"/>
          <w:szCs w:val="18"/>
          <w:lang w:val="nl-NL"/>
        </w:rPr>
        <w:t xml:space="preserve">internationale bezoekers en hotelovernachtingen mis in Noordwijk en omgeving. </w:t>
      </w:r>
      <w:r>
        <w:rPr>
          <w:rFonts w:ascii="Verdana" w:hAnsi="Verdana"/>
          <w:sz w:val="18"/>
          <w:szCs w:val="18"/>
          <w:lang w:val="nl-NL"/>
        </w:rPr>
        <w:t>Het ministerie van EZ zal i</w:t>
      </w:r>
      <w:r w:rsidRPr="00460324" w:rsidR="00570D9A">
        <w:rPr>
          <w:rFonts w:ascii="Verdana" w:hAnsi="Verdana"/>
          <w:sz w:val="18"/>
          <w:szCs w:val="18"/>
          <w:lang w:val="nl-NL"/>
        </w:rPr>
        <w:t>n overleg</w:t>
      </w:r>
      <w:r w:rsidR="00BC2BAF">
        <w:rPr>
          <w:rFonts w:ascii="Verdana" w:hAnsi="Verdana"/>
          <w:sz w:val="18"/>
          <w:szCs w:val="18"/>
          <w:lang w:val="nl-NL"/>
        </w:rPr>
        <w:t xml:space="preserve"> treden</w:t>
      </w:r>
      <w:r w:rsidRPr="00460324" w:rsidR="00570D9A">
        <w:rPr>
          <w:rFonts w:ascii="Verdana" w:hAnsi="Verdana"/>
          <w:sz w:val="18"/>
          <w:szCs w:val="18"/>
          <w:lang w:val="nl-NL"/>
        </w:rPr>
        <w:t xml:space="preserve"> met </w:t>
      </w:r>
      <w:r>
        <w:rPr>
          <w:rFonts w:ascii="Verdana" w:hAnsi="Verdana"/>
          <w:sz w:val="18"/>
          <w:szCs w:val="18"/>
          <w:lang w:val="nl-NL"/>
        </w:rPr>
        <w:t xml:space="preserve">ESTEC, </w:t>
      </w:r>
      <w:r w:rsidRPr="00460324" w:rsidR="00570D9A">
        <w:rPr>
          <w:rFonts w:ascii="Verdana" w:hAnsi="Verdana"/>
          <w:sz w:val="18"/>
          <w:szCs w:val="18"/>
          <w:lang w:val="nl-NL"/>
        </w:rPr>
        <w:t xml:space="preserve">de provincie Zuid-Holland en de gemeente Noordwijk om </w:t>
      </w:r>
      <w:r>
        <w:rPr>
          <w:rFonts w:ascii="Verdana" w:hAnsi="Verdana"/>
          <w:sz w:val="18"/>
          <w:szCs w:val="18"/>
          <w:lang w:val="nl-NL"/>
        </w:rPr>
        <w:t xml:space="preserve">te bezien of, en zo ja hoe, </w:t>
      </w:r>
      <w:r w:rsidR="00BC2BAF">
        <w:rPr>
          <w:rFonts w:ascii="Verdana" w:hAnsi="Verdana"/>
          <w:sz w:val="18"/>
          <w:szCs w:val="18"/>
          <w:lang w:val="nl-NL"/>
        </w:rPr>
        <w:t>kan worden voorzien in deze behoefte. Dit zal worden gerelateerd aan de ambities van het White Paper ESTEC en die van de “Space”-campus Noordwijk.</w:t>
      </w:r>
    </w:p>
    <w:p w:rsidR="00A323DD" w:rsidP="003A7671" w:rsidRDefault="00A323DD">
      <w:pPr>
        <w:pStyle w:val="Lijstalinea"/>
        <w:ind w:left="426"/>
        <w:rPr>
          <w:rFonts w:ascii="Verdana" w:hAnsi="Verdana"/>
          <w:sz w:val="18"/>
          <w:szCs w:val="18"/>
          <w:lang w:val="nl-NL"/>
        </w:rPr>
      </w:pPr>
    </w:p>
    <w:p w:rsidRPr="00460324" w:rsidR="008A0E2F" w:rsidP="00460324" w:rsidRDefault="00EE095B">
      <w:pPr>
        <w:rPr>
          <w:rFonts w:ascii="Verdana" w:hAnsi="Verdana"/>
          <w:sz w:val="18"/>
          <w:szCs w:val="18"/>
          <w:lang w:val="nl-NL"/>
        </w:rPr>
      </w:pPr>
      <w:r w:rsidRPr="00460324">
        <w:rPr>
          <w:rFonts w:ascii="Verdana" w:hAnsi="Verdana"/>
          <w:sz w:val="18"/>
          <w:szCs w:val="18"/>
          <w:lang w:val="nl-NL"/>
        </w:rPr>
        <w:t>Bij ESA-ESTEC i</w:t>
      </w:r>
      <w:r w:rsidRPr="00460324" w:rsidR="00687BA6">
        <w:rPr>
          <w:rFonts w:ascii="Verdana" w:hAnsi="Verdana"/>
          <w:sz w:val="18"/>
          <w:szCs w:val="18"/>
          <w:lang w:val="nl-NL"/>
        </w:rPr>
        <w:t xml:space="preserve">n Noordwijk is ook het Galileo-navigatieprogramma ontwikkeld voor de Europese Unie. Mede door </w:t>
      </w:r>
      <w:r w:rsidRPr="00460324">
        <w:rPr>
          <w:rFonts w:ascii="Verdana" w:hAnsi="Verdana"/>
          <w:sz w:val="18"/>
          <w:szCs w:val="18"/>
          <w:lang w:val="nl-NL"/>
        </w:rPr>
        <w:t xml:space="preserve">de </w:t>
      </w:r>
      <w:r w:rsidRPr="00460324" w:rsidR="00A067B6">
        <w:rPr>
          <w:rFonts w:ascii="Verdana" w:hAnsi="Verdana"/>
          <w:sz w:val="18"/>
          <w:szCs w:val="18"/>
          <w:lang w:val="nl-NL"/>
        </w:rPr>
        <w:t>aanwezige kennis bij ESTEC</w:t>
      </w:r>
      <w:r w:rsidRPr="00460324" w:rsidR="00EC0FEA">
        <w:rPr>
          <w:rFonts w:ascii="Verdana" w:hAnsi="Verdana"/>
          <w:sz w:val="18"/>
          <w:szCs w:val="18"/>
          <w:lang w:val="nl-NL"/>
        </w:rPr>
        <w:t xml:space="preserve"> heeft de Europese Comm</w:t>
      </w:r>
      <w:r w:rsidRPr="00460324" w:rsidR="00B661D4">
        <w:rPr>
          <w:rFonts w:ascii="Verdana" w:hAnsi="Verdana"/>
          <w:sz w:val="18"/>
          <w:szCs w:val="18"/>
          <w:lang w:val="nl-NL"/>
        </w:rPr>
        <w:t>i</w:t>
      </w:r>
      <w:r w:rsidRPr="00460324" w:rsidR="00EC0FEA">
        <w:rPr>
          <w:rFonts w:ascii="Verdana" w:hAnsi="Verdana"/>
          <w:sz w:val="18"/>
          <w:szCs w:val="18"/>
          <w:lang w:val="nl-NL"/>
        </w:rPr>
        <w:t xml:space="preserve">ssie besloten om het nieuwe Galileo Reference Center </w:t>
      </w:r>
      <w:r w:rsidRPr="00460324" w:rsidR="008A0E2F">
        <w:rPr>
          <w:rFonts w:ascii="Verdana" w:hAnsi="Verdana"/>
          <w:sz w:val="18"/>
          <w:szCs w:val="18"/>
          <w:lang w:val="nl-NL"/>
        </w:rPr>
        <w:t xml:space="preserve">(GRC) </w:t>
      </w:r>
      <w:r w:rsidRPr="00460324" w:rsidR="00A067B6">
        <w:rPr>
          <w:rFonts w:ascii="Verdana" w:hAnsi="Verdana"/>
          <w:sz w:val="18"/>
          <w:szCs w:val="18"/>
          <w:lang w:val="nl-NL"/>
        </w:rPr>
        <w:t xml:space="preserve">in Noordwijk </w:t>
      </w:r>
      <w:r w:rsidRPr="00460324" w:rsidR="00EC0FEA">
        <w:rPr>
          <w:rFonts w:ascii="Verdana" w:hAnsi="Verdana"/>
          <w:sz w:val="18"/>
          <w:szCs w:val="18"/>
          <w:lang w:val="nl-NL"/>
        </w:rPr>
        <w:t xml:space="preserve">te vestigen. Met de bouw ervan is inmiddels een aanvang gemaakt. </w:t>
      </w:r>
      <w:r w:rsidRPr="00460324" w:rsidR="008A0E2F">
        <w:rPr>
          <w:rFonts w:ascii="Verdana" w:hAnsi="Verdana"/>
          <w:sz w:val="18"/>
          <w:szCs w:val="18"/>
          <w:lang w:val="nl-NL"/>
        </w:rPr>
        <w:t xml:space="preserve">Deze bouw is mogelijk gemaakt door een financiële bijdrage van het </w:t>
      </w:r>
      <w:r w:rsidRPr="00460324" w:rsidR="008259C1">
        <w:rPr>
          <w:rFonts w:ascii="Verdana" w:hAnsi="Verdana"/>
          <w:sz w:val="18"/>
          <w:szCs w:val="18"/>
          <w:lang w:val="nl-NL"/>
        </w:rPr>
        <w:t>m</w:t>
      </w:r>
      <w:r w:rsidRPr="00460324" w:rsidR="008A0E2F">
        <w:rPr>
          <w:rFonts w:ascii="Verdana" w:hAnsi="Verdana"/>
          <w:sz w:val="18"/>
          <w:szCs w:val="18"/>
          <w:lang w:val="nl-NL"/>
        </w:rPr>
        <w:t>inist</w:t>
      </w:r>
      <w:r w:rsidRPr="00460324" w:rsidR="008259C1">
        <w:rPr>
          <w:rFonts w:ascii="Verdana" w:hAnsi="Verdana"/>
          <w:sz w:val="18"/>
          <w:szCs w:val="18"/>
          <w:lang w:val="nl-NL"/>
        </w:rPr>
        <w:t>erie van IenM</w:t>
      </w:r>
      <w:r w:rsidRPr="00460324" w:rsidR="008A0E2F">
        <w:rPr>
          <w:rFonts w:ascii="Verdana" w:hAnsi="Verdana"/>
          <w:sz w:val="18"/>
          <w:szCs w:val="18"/>
          <w:lang w:val="nl-NL"/>
        </w:rPr>
        <w:t xml:space="preserve">. </w:t>
      </w:r>
      <w:r w:rsidRPr="00460324" w:rsidR="00EC0FEA">
        <w:rPr>
          <w:rFonts w:ascii="Verdana" w:hAnsi="Verdana"/>
          <w:sz w:val="18"/>
          <w:szCs w:val="18"/>
          <w:lang w:val="nl-NL"/>
        </w:rPr>
        <w:t>N</w:t>
      </w:r>
      <w:r w:rsidRPr="00460324" w:rsidR="00B661D4">
        <w:rPr>
          <w:rFonts w:ascii="Verdana" w:hAnsi="Verdana"/>
          <w:sz w:val="18"/>
          <w:szCs w:val="18"/>
          <w:lang w:val="nl-NL"/>
        </w:rPr>
        <w:t>aar verwachting kan het nieuwe c</w:t>
      </w:r>
      <w:r w:rsidRPr="00460324" w:rsidR="00EC0FEA">
        <w:rPr>
          <w:rFonts w:ascii="Verdana" w:hAnsi="Verdana"/>
          <w:sz w:val="18"/>
          <w:szCs w:val="18"/>
          <w:lang w:val="nl-NL"/>
        </w:rPr>
        <w:t xml:space="preserve">entrum halverwege 2017 </w:t>
      </w:r>
      <w:r w:rsidRPr="00460324" w:rsidR="008A0E2F">
        <w:rPr>
          <w:rFonts w:ascii="Verdana" w:hAnsi="Verdana"/>
          <w:sz w:val="18"/>
          <w:szCs w:val="18"/>
          <w:lang w:val="nl-NL"/>
        </w:rPr>
        <w:t>van start gaa</w:t>
      </w:r>
      <w:r w:rsidRPr="00460324" w:rsidR="00EC0FEA">
        <w:rPr>
          <w:rFonts w:ascii="Verdana" w:hAnsi="Verdana"/>
          <w:sz w:val="18"/>
          <w:szCs w:val="18"/>
          <w:lang w:val="nl-NL"/>
        </w:rPr>
        <w:t xml:space="preserve">n. </w:t>
      </w:r>
      <w:r w:rsidRPr="00460324" w:rsidR="00B5638B">
        <w:rPr>
          <w:rFonts w:ascii="Verdana" w:hAnsi="Verdana"/>
          <w:sz w:val="18"/>
          <w:szCs w:val="18"/>
          <w:lang w:val="nl-NL"/>
        </w:rPr>
        <w:t>De inzet is dat</w:t>
      </w:r>
      <w:r w:rsidRPr="00460324" w:rsidR="008A0E2F">
        <w:rPr>
          <w:rFonts w:ascii="Verdana" w:hAnsi="Verdana"/>
          <w:sz w:val="18"/>
          <w:szCs w:val="18"/>
          <w:lang w:val="nl-NL"/>
        </w:rPr>
        <w:t xml:space="preserve"> dit nieuwe centrum nieuwe commerciële activiteiten </w:t>
      </w:r>
      <w:r w:rsidRPr="00460324" w:rsidR="00926BDD">
        <w:rPr>
          <w:rFonts w:ascii="Verdana" w:hAnsi="Verdana"/>
          <w:sz w:val="18"/>
          <w:szCs w:val="18"/>
          <w:lang w:val="nl-NL"/>
        </w:rPr>
        <w:t>zal aantrekken in</w:t>
      </w:r>
      <w:r w:rsidRPr="00460324" w:rsidR="008A0E2F">
        <w:rPr>
          <w:rFonts w:ascii="Verdana" w:hAnsi="Verdana"/>
          <w:sz w:val="18"/>
          <w:szCs w:val="18"/>
          <w:lang w:val="nl-NL"/>
        </w:rPr>
        <w:t xml:space="preserve"> Noordwijk en omgeving</w:t>
      </w:r>
      <w:r w:rsidRPr="00460324" w:rsidR="00B5638B">
        <w:rPr>
          <w:rFonts w:ascii="Verdana" w:hAnsi="Verdana"/>
          <w:sz w:val="18"/>
          <w:szCs w:val="18"/>
          <w:lang w:val="nl-NL"/>
        </w:rPr>
        <w:t>,</w:t>
      </w:r>
      <w:r w:rsidRPr="00460324" w:rsidR="008A0E2F">
        <w:rPr>
          <w:rFonts w:ascii="Verdana" w:hAnsi="Verdana"/>
          <w:sz w:val="18"/>
          <w:szCs w:val="18"/>
          <w:lang w:val="nl-NL"/>
        </w:rPr>
        <w:t xml:space="preserve"> die pro</w:t>
      </w:r>
      <w:r w:rsidRPr="00460324" w:rsidR="00B5638B">
        <w:rPr>
          <w:rFonts w:ascii="Verdana" w:hAnsi="Verdana"/>
          <w:sz w:val="18"/>
          <w:szCs w:val="18"/>
          <w:lang w:val="nl-NL"/>
        </w:rPr>
        <w:t>ducten/diensten leveren aan dit</w:t>
      </w:r>
      <w:r w:rsidRPr="00460324" w:rsidR="008A0E2F">
        <w:rPr>
          <w:rFonts w:ascii="Verdana" w:hAnsi="Verdana"/>
          <w:sz w:val="18"/>
          <w:szCs w:val="18"/>
          <w:lang w:val="nl-NL"/>
        </w:rPr>
        <w:t xml:space="preserve"> GRC</w:t>
      </w:r>
      <w:r w:rsidR="00181F6A">
        <w:rPr>
          <w:rFonts w:ascii="Verdana" w:hAnsi="Verdana"/>
          <w:sz w:val="18"/>
          <w:szCs w:val="18"/>
          <w:lang w:val="nl-NL"/>
        </w:rPr>
        <w:t xml:space="preserve"> en/of aan ESTEC</w:t>
      </w:r>
      <w:r w:rsidRPr="00460324" w:rsidR="008A0E2F">
        <w:rPr>
          <w:rFonts w:ascii="Verdana" w:hAnsi="Verdana"/>
          <w:sz w:val="18"/>
          <w:szCs w:val="18"/>
          <w:lang w:val="nl-NL"/>
        </w:rPr>
        <w:t>.</w:t>
      </w:r>
    </w:p>
    <w:p w:rsidR="005908BB" w:rsidP="003A7671" w:rsidRDefault="005908BB">
      <w:pPr>
        <w:rPr>
          <w:rFonts w:ascii="Verdana" w:hAnsi="Verdana"/>
          <w:sz w:val="18"/>
          <w:szCs w:val="18"/>
          <w:lang w:val="nl-NL"/>
        </w:rPr>
      </w:pPr>
    </w:p>
    <w:p w:rsidRPr="000047FB" w:rsidR="0043482B" w:rsidRDefault="0043482B">
      <w:pPr>
        <w:rPr>
          <w:rFonts w:ascii="Verdana" w:hAnsi="Verdana"/>
          <w:sz w:val="18"/>
          <w:szCs w:val="18"/>
          <w:lang w:val="nl-NL"/>
        </w:rPr>
      </w:pPr>
    </w:p>
    <w:p w:rsidRPr="000047FB" w:rsidR="003B101C" w:rsidRDefault="00857AAE">
      <w:pPr>
        <w:pStyle w:val="Lijstalinea"/>
        <w:numPr>
          <w:ilvl w:val="0"/>
          <w:numId w:val="1"/>
        </w:numPr>
        <w:ind w:left="426" w:hanging="426"/>
        <w:rPr>
          <w:rFonts w:ascii="Verdana" w:hAnsi="Verdana"/>
          <w:sz w:val="18"/>
          <w:szCs w:val="18"/>
          <w:u w:val="single"/>
          <w:lang w:val="nl-NL"/>
        </w:rPr>
      </w:pPr>
      <w:r w:rsidRPr="000047FB">
        <w:rPr>
          <w:rFonts w:ascii="Verdana" w:hAnsi="Verdana"/>
          <w:sz w:val="18"/>
          <w:szCs w:val="18"/>
          <w:u w:val="single"/>
          <w:lang w:val="nl-NL"/>
        </w:rPr>
        <w:t>Inzet tijdens de ESA Ministersconferentie op 1 en 2 december</w:t>
      </w:r>
      <w:r w:rsidR="00BD287C">
        <w:rPr>
          <w:rFonts w:ascii="Verdana" w:hAnsi="Verdana"/>
          <w:sz w:val="18"/>
          <w:szCs w:val="18"/>
          <w:u w:val="single"/>
          <w:lang w:val="nl-NL"/>
        </w:rPr>
        <w:t xml:space="preserve"> 2016</w:t>
      </w:r>
      <w:r w:rsidRPr="000047FB">
        <w:rPr>
          <w:rFonts w:ascii="Verdana" w:hAnsi="Verdana"/>
          <w:sz w:val="18"/>
          <w:szCs w:val="18"/>
          <w:u w:val="single"/>
          <w:lang w:val="nl-NL"/>
        </w:rPr>
        <w:t xml:space="preserve"> te Luzern/Zwitserland</w:t>
      </w:r>
    </w:p>
    <w:p w:rsidR="003B101C" w:rsidRDefault="003B101C">
      <w:pPr>
        <w:ind w:left="852" w:hanging="426"/>
        <w:rPr>
          <w:rFonts w:ascii="Verdana" w:hAnsi="Verdana"/>
          <w:sz w:val="18"/>
          <w:szCs w:val="18"/>
          <w:lang w:val="nl-NL"/>
        </w:rPr>
      </w:pPr>
    </w:p>
    <w:p w:rsidRPr="00694F22" w:rsidR="00694F22" w:rsidP="00460324" w:rsidRDefault="00694F22">
      <w:pPr>
        <w:rPr>
          <w:rFonts w:ascii="Verdana" w:hAnsi="Verdana"/>
          <w:i/>
          <w:sz w:val="18"/>
          <w:szCs w:val="18"/>
          <w:lang w:val="nl-NL"/>
        </w:rPr>
      </w:pPr>
      <w:r>
        <w:rPr>
          <w:rFonts w:ascii="Verdana" w:hAnsi="Verdana"/>
          <w:i/>
          <w:sz w:val="18"/>
          <w:szCs w:val="18"/>
          <w:lang w:val="nl-NL"/>
        </w:rPr>
        <w:t>Algemeen</w:t>
      </w:r>
    </w:p>
    <w:p w:rsidR="005C1850" w:rsidP="00460324" w:rsidRDefault="00B0749D">
      <w:pPr>
        <w:rPr>
          <w:rFonts w:ascii="Verdana" w:hAnsi="Verdana"/>
          <w:sz w:val="18"/>
          <w:szCs w:val="18"/>
          <w:lang w:val="nl-NL"/>
        </w:rPr>
      </w:pPr>
      <w:r>
        <w:rPr>
          <w:rFonts w:ascii="Verdana" w:hAnsi="Verdana"/>
          <w:sz w:val="18"/>
          <w:szCs w:val="18"/>
          <w:lang w:val="nl-NL"/>
        </w:rPr>
        <w:t>Nederlandse middelen bestemd voor Europese ruimtevaartprogramma’s worden in hoofdzaak geïnvesteerd in programma</w:t>
      </w:r>
      <w:r w:rsidR="003F5B68">
        <w:rPr>
          <w:rFonts w:ascii="Verdana" w:hAnsi="Verdana"/>
          <w:sz w:val="18"/>
          <w:szCs w:val="18"/>
          <w:lang w:val="nl-NL"/>
        </w:rPr>
        <w:t>’s van ESA, de EU en</w:t>
      </w:r>
      <w:r w:rsidR="00D80107">
        <w:rPr>
          <w:rFonts w:ascii="Verdana" w:hAnsi="Verdana"/>
          <w:sz w:val="18"/>
          <w:szCs w:val="18"/>
          <w:lang w:val="nl-NL"/>
        </w:rPr>
        <w:t xml:space="preserve"> EUMETSAT</w:t>
      </w:r>
      <w:r>
        <w:rPr>
          <w:rFonts w:ascii="Verdana" w:hAnsi="Verdana"/>
          <w:sz w:val="18"/>
          <w:szCs w:val="18"/>
          <w:lang w:val="nl-NL"/>
        </w:rPr>
        <w:t xml:space="preserve">. Daarnaast is een bescheiden bedrag gereserveerd voor nationaal flankerend beleid. </w:t>
      </w:r>
    </w:p>
    <w:p w:rsidR="005C1850" w:rsidP="00460324" w:rsidRDefault="005C1850">
      <w:pPr>
        <w:rPr>
          <w:rFonts w:ascii="Verdana" w:hAnsi="Verdana"/>
          <w:sz w:val="18"/>
          <w:szCs w:val="18"/>
          <w:lang w:val="nl-NL"/>
        </w:rPr>
      </w:pPr>
    </w:p>
    <w:p w:rsidR="005C1850" w:rsidP="00460324" w:rsidRDefault="00B0749D">
      <w:pPr>
        <w:rPr>
          <w:rFonts w:ascii="Verdana" w:hAnsi="Verdana"/>
          <w:sz w:val="18"/>
          <w:szCs w:val="18"/>
          <w:lang w:val="nl-NL"/>
        </w:rPr>
      </w:pPr>
      <w:r>
        <w:rPr>
          <w:rFonts w:ascii="Verdana" w:hAnsi="Verdana"/>
          <w:sz w:val="18"/>
          <w:szCs w:val="18"/>
          <w:lang w:val="nl-NL"/>
        </w:rPr>
        <w:lastRenderedPageBreak/>
        <w:t xml:space="preserve">De bijdragen voor de EU-programma’s Copernicus, Galileo en Horizon-2020/Ruimtevaart lopen via de EU-begroting. De bijdrage voor de programma’s van EURATOM (circa € 10 miljoen/jaar) loopt via de begroting van het ministerie van IenM. </w:t>
      </w:r>
    </w:p>
    <w:p w:rsidR="005C1850" w:rsidP="00460324" w:rsidRDefault="005C1850">
      <w:pPr>
        <w:rPr>
          <w:rFonts w:ascii="Verdana" w:hAnsi="Verdana"/>
          <w:sz w:val="18"/>
          <w:szCs w:val="18"/>
          <w:lang w:val="nl-NL"/>
        </w:rPr>
      </w:pPr>
    </w:p>
    <w:p w:rsidR="00694F22" w:rsidP="00460324" w:rsidRDefault="005C1850">
      <w:pPr>
        <w:rPr>
          <w:rFonts w:ascii="Verdana" w:hAnsi="Verdana"/>
          <w:sz w:val="18"/>
          <w:szCs w:val="18"/>
          <w:lang w:val="nl-NL"/>
        </w:rPr>
      </w:pPr>
      <w:r>
        <w:rPr>
          <w:rFonts w:ascii="Verdana" w:hAnsi="Verdana"/>
          <w:sz w:val="18"/>
          <w:szCs w:val="18"/>
          <w:lang w:val="nl-NL"/>
        </w:rPr>
        <w:t>De interdepartementale Stuurgroep NSO onder leiding van het ministerie van EZ heeft NSO om advies gevraagd over de inzet van middelen voor de komende ESA-Ministers Conferentie. Het NSO heeft inmiddels zijn advies uitgebracht (zie bijlage 8)</w:t>
      </w:r>
      <w:r w:rsidR="0086290F">
        <w:rPr>
          <w:rFonts w:ascii="Verdana" w:hAnsi="Verdana"/>
          <w:sz w:val="18"/>
          <w:szCs w:val="18"/>
          <w:lang w:val="nl-NL"/>
        </w:rPr>
        <w:t xml:space="preserve"> ove</w:t>
      </w:r>
      <w:r>
        <w:rPr>
          <w:rFonts w:ascii="Verdana" w:hAnsi="Verdana"/>
          <w:sz w:val="18"/>
          <w:szCs w:val="18"/>
          <w:lang w:val="nl-NL"/>
        </w:rPr>
        <w:t>r de aanwending van ruimtevaart</w:t>
      </w:r>
      <w:r w:rsidR="0086290F">
        <w:rPr>
          <w:rFonts w:ascii="Verdana" w:hAnsi="Verdana"/>
          <w:sz w:val="18"/>
          <w:szCs w:val="18"/>
          <w:lang w:val="nl-NL"/>
        </w:rPr>
        <w:t>middelen voor ESA-programma’s en voor het nationaal flankerend beleid (zie bijlage 8).</w:t>
      </w:r>
    </w:p>
    <w:p w:rsidR="00694F22" w:rsidP="00B0749D" w:rsidRDefault="00694F22">
      <w:pPr>
        <w:ind w:left="426"/>
        <w:rPr>
          <w:rFonts w:ascii="Verdana" w:hAnsi="Verdana"/>
          <w:sz w:val="18"/>
          <w:szCs w:val="18"/>
          <w:lang w:val="nl-NL"/>
        </w:rPr>
      </w:pPr>
    </w:p>
    <w:p w:rsidRPr="00694F22" w:rsidR="00694F22" w:rsidP="00460324" w:rsidRDefault="00694F22">
      <w:pPr>
        <w:rPr>
          <w:rFonts w:ascii="Verdana" w:hAnsi="Verdana"/>
          <w:i/>
          <w:sz w:val="18"/>
          <w:szCs w:val="18"/>
          <w:lang w:val="nl-NL"/>
        </w:rPr>
      </w:pPr>
      <w:r>
        <w:rPr>
          <w:rFonts w:ascii="Verdana" w:hAnsi="Verdana"/>
          <w:i/>
          <w:sz w:val="18"/>
          <w:szCs w:val="18"/>
          <w:lang w:val="nl-NL"/>
        </w:rPr>
        <w:t>Verplichte ESA-programma’s</w:t>
      </w:r>
    </w:p>
    <w:p w:rsidR="00B0749D" w:rsidP="00460324" w:rsidRDefault="00B0749D">
      <w:pPr>
        <w:rPr>
          <w:rFonts w:ascii="Verdana" w:hAnsi="Verdana"/>
          <w:sz w:val="18"/>
          <w:szCs w:val="18"/>
          <w:lang w:val="nl-NL"/>
        </w:rPr>
      </w:pPr>
      <w:r>
        <w:rPr>
          <w:rFonts w:ascii="Verdana" w:hAnsi="Verdana"/>
          <w:sz w:val="18"/>
          <w:szCs w:val="18"/>
          <w:lang w:val="nl-NL"/>
        </w:rPr>
        <w:t>De bijdragen voor de programma</w:t>
      </w:r>
      <w:r w:rsidR="00694F22">
        <w:rPr>
          <w:rFonts w:ascii="Verdana" w:hAnsi="Verdana"/>
          <w:sz w:val="18"/>
          <w:szCs w:val="18"/>
          <w:lang w:val="nl-NL"/>
        </w:rPr>
        <w:t>’</w:t>
      </w:r>
      <w:r>
        <w:rPr>
          <w:rFonts w:ascii="Verdana" w:hAnsi="Verdana"/>
          <w:sz w:val="18"/>
          <w:szCs w:val="18"/>
          <w:lang w:val="nl-NL"/>
        </w:rPr>
        <w:t xml:space="preserve">s </w:t>
      </w:r>
      <w:r w:rsidR="00694F22">
        <w:rPr>
          <w:rFonts w:ascii="Verdana" w:hAnsi="Verdana"/>
          <w:sz w:val="18"/>
          <w:szCs w:val="18"/>
          <w:lang w:val="nl-NL"/>
        </w:rPr>
        <w:t xml:space="preserve">van ESA </w:t>
      </w:r>
      <w:r>
        <w:rPr>
          <w:rFonts w:ascii="Verdana" w:hAnsi="Verdana"/>
          <w:sz w:val="18"/>
          <w:szCs w:val="18"/>
          <w:lang w:val="nl-NL"/>
        </w:rPr>
        <w:t>worden hoofdzakelijk uit de begrotingen van de ministeries van EZ</w:t>
      </w:r>
      <w:r w:rsidR="00694F22">
        <w:rPr>
          <w:rFonts w:ascii="Verdana" w:hAnsi="Verdana"/>
          <w:sz w:val="18"/>
          <w:szCs w:val="18"/>
          <w:lang w:val="nl-NL"/>
        </w:rPr>
        <w:t xml:space="preserve"> en van OCW</w:t>
      </w:r>
      <w:r>
        <w:rPr>
          <w:rFonts w:ascii="Verdana" w:hAnsi="Verdana"/>
          <w:sz w:val="18"/>
          <w:szCs w:val="18"/>
          <w:lang w:val="nl-NL"/>
        </w:rPr>
        <w:t xml:space="preserve"> beschikbaar gesteld.</w:t>
      </w:r>
    </w:p>
    <w:p w:rsidR="00B0749D" w:rsidP="00460324" w:rsidRDefault="00694F22">
      <w:pPr>
        <w:rPr>
          <w:rFonts w:ascii="Verdana" w:hAnsi="Verdana"/>
          <w:sz w:val="18"/>
          <w:szCs w:val="18"/>
          <w:lang w:val="nl-NL"/>
        </w:rPr>
      </w:pPr>
      <w:r>
        <w:rPr>
          <w:rFonts w:ascii="Verdana" w:hAnsi="Verdana"/>
          <w:sz w:val="18"/>
          <w:szCs w:val="18"/>
          <w:lang w:val="nl-NL"/>
        </w:rPr>
        <w:t xml:space="preserve">Het betreft onder andere </w:t>
      </w:r>
      <w:r w:rsidR="0066664A">
        <w:rPr>
          <w:rFonts w:ascii="Verdana" w:hAnsi="Verdana"/>
          <w:sz w:val="18"/>
          <w:szCs w:val="18"/>
          <w:lang w:val="nl-NL"/>
        </w:rPr>
        <w:t xml:space="preserve">de </w:t>
      </w:r>
      <w:r w:rsidR="00B0749D">
        <w:rPr>
          <w:rFonts w:ascii="Verdana" w:hAnsi="Verdana"/>
          <w:sz w:val="18"/>
          <w:szCs w:val="18"/>
          <w:lang w:val="nl-NL"/>
        </w:rPr>
        <w:t>bijdrage</w:t>
      </w:r>
      <w:r>
        <w:rPr>
          <w:rFonts w:ascii="Verdana" w:hAnsi="Verdana"/>
          <w:sz w:val="18"/>
          <w:szCs w:val="18"/>
          <w:lang w:val="nl-NL"/>
        </w:rPr>
        <w:t>n</w:t>
      </w:r>
      <w:r w:rsidR="00B0749D">
        <w:rPr>
          <w:rFonts w:ascii="Verdana" w:hAnsi="Verdana"/>
          <w:sz w:val="18"/>
          <w:szCs w:val="18"/>
          <w:lang w:val="nl-NL"/>
        </w:rPr>
        <w:t xml:space="preserve"> die Nederland verplicht is te voldoen op basis van het lid</w:t>
      </w:r>
      <w:r w:rsidR="0066664A">
        <w:rPr>
          <w:rFonts w:ascii="Verdana" w:hAnsi="Verdana"/>
          <w:sz w:val="18"/>
          <w:szCs w:val="18"/>
          <w:lang w:val="nl-NL"/>
        </w:rPr>
        <w:t xml:space="preserve">maatschap </w:t>
      </w:r>
      <w:r w:rsidR="00B0749D">
        <w:rPr>
          <w:rFonts w:ascii="Verdana" w:hAnsi="Verdana"/>
          <w:sz w:val="18"/>
          <w:szCs w:val="18"/>
          <w:lang w:val="nl-NL"/>
        </w:rPr>
        <w:t xml:space="preserve">van ESA. </w:t>
      </w:r>
      <w:r w:rsidR="0017704A">
        <w:rPr>
          <w:rFonts w:ascii="Verdana" w:hAnsi="Verdana"/>
          <w:sz w:val="18"/>
          <w:szCs w:val="18"/>
          <w:lang w:val="nl-NL"/>
        </w:rPr>
        <w:t>Dat betreft bijdragen voor het A</w:t>
      </w:r>
      <w:r w:rsidR="00B0749D">
        <w:rPr>
          <w:rFonts w:ascii="Verdana" w:hAnsi="Verdana"/>
          <w:sz w:val="18"/>
          <w:szCs w:val="18"/>
          <w:lang w:val="nl-NL"/>
        </w:rPr>
        <w:t>lgemene programma</w:t>
      </w:r>
      <w:r w:rsidR="0066664A">
        <w:rPr>
          <w:rFonts w:ascii="Verdana" w:hAnsi="Verdana"/>
          <w:sz w:val="18"/>
          <w:szCs w:val="18"/>
          <w:lang w:val="nl-NL"/>
        </w:rPr>
        <w:t>-activiteiten</w:t>
      </w:r>
      <w:r w:rsidR="00B0749D">
        <w:rPr>
          <w:rFonts w:ascii="Verdana" w:hAnsi="Verdana"/>
          <w:sz w:val="18"/>
          <w:szCs w:val="18"/>
          <w:lang w:val="nl-NL"/>
        </w:rPr>
        <w:t xml:space="preserve"> van ESA</w:t>
      </w:r>
      <w:r w:rsidR="0066664A">
        <w:rPr>
          <w:rFonts w:ascii="Verdana" w:hAnsi="Verdana"/>
          <w:sz w:val="18"/>
          <w:szCs w:val="18"/>
          <w:lang w:val="nl-NL"/>
        </w:rPr>
        <w:t xml:space="preserve"> (jaarlijks circa € 19 miljoen</w:t>
      </w:r>
      <w:r>
        <w:rPr>
          <w:rFonts w:ascii="Verdana" w:hAnsi="Verdana"/>
          <w:sz w:val="18"/>
          <w:szCs w:val="18"/>
          <w:lang w:val="nl-NL"/>
        </w:rPr>
        <w:t xml:space="preserve"> van</w:t>
      </w:r>
      <w:r w:rsidR="0066664A">
        <w:rPr>
          <w:rFonts w:ascii="Verdana" w:hAnsi="Verdana"/>
          <w:sz w:val="18"/>
          <w:szCs w:val="18"/>
          <w:lang w:val="nl-NL"/>
        </w:rPr>
        <w:t xml:space="preserve"> de begroting van EZ) en voor het Wetenschapsprogramma (jaarlijks circa € 23,5 </w:t>
      </w:r>
      <w:r>
        <w:rPr>
          <w:rFonts w:ascii="Verdana" w:hAnsi="Verdana"/>
          <w:sz w:val="18"/>
          <w:szCs w:val="18"/>
          <w:lang w:val="nl-NL"/>
        </w:rPr>
        <w:t>miljoen van</w:t>
      </w:r>
      <w:r w:rsidR="0066664A">
        <w:rPr>
          <w:rFonts w:ascii="Verdana" w:hAnsi="Verdana"/>
          <w:sz w:val="18"/>
          <w:szCs w:val="18"/>
          <w:lang w:val="nl-NL"/>
        </w:rPr>
        <w:t xml:space="preserve"> de begroting van OCW).</w:t>
      </w:r>
      <w:r w:rsidR="0017704A">
        <w:rPr>
          <w:rFonts w:ascii="Verdana" w:hAnsi="Verdana"/>
          <w:sz w:val="18"/>
          <w:szCs w:val="18"/>
          <w:lang w:val="nl-NL"/>
        </w:rPr>
        <w:t xml:space="preserve"> De hoogte van deze bijdragen is per lidstaat bepaald op</w:t>
      </w:r>
      <w:r w:rsidR="00D80107">
        <w:rPr>
          <w:rFonts w:ascii="Verdana" w:hAnsi="Verdana"/>
          <w:sz w:val="18"/>
          <w:szCs w:val="18"/>
          <w:lang w:val="nl-NL"/>
        </w:rPr>
        <w:t xml:space="preserve"> basis van</w:t>
      </w:r>
      <w:r w:rsidR="0017704A">
        <w:rPr>
          <w:rFonts w:ascii="Verdana" w:hAnsi="Verdana"/>
          <w:sz w:val="18"/>
          <w:szCs w:val="18"/>
          <w:lang w:val="nl-NL"/>
        </w:rPr>
        <w:t xml:space="preserve"> het relatieve aandeel van de lidstaat in het totale ESA bruto nationale product (BNP)</w:t>
      </w:r>
      <w:r w:rsidR="00926BDD">
        <w:rPr>
          <w:rFonts w:ascii="Verdana" w:hAnsi="Verdana"/>
          <w:sz w:val="18"/>
          <w:szCs w:val="18"/>
          <w:lang w:val="nl-NL"/>
        </w:rPr>
        <w:t xml:space="preserve"> van alle ESA-lidstaten samen</w:t>
      </w:r>
      <w:r w:rsidR="0017704A">
        <w:rPr>
          <w:rFonts w:ascii="Verdana" w:hAnsi="Verdana"/>
          <w:sz w:val="18"/>
          <w:szCs w:val="18"/>
          <w:lang w:val="nl-NL"/>
        </w:rPr>
        <w:t>.</w:t>
      </w:r>
    </w:p>
    <w:p w:rsidR="0017704A" w:rsidP="003A7671" w:rsidRDefault="0017704A">
      <w:pPr>
        <w:ind w:left="426"/>
        <w:rPr>
          <w:rFonts w:ascii="Verdana" w:hAnsi="Verdana"/>
          <w:sz w:val="18"/>
          <w:szCs w:val="18"/>
          <w:lang w:val="nl-NL"/>
        </w:rPr>
      </w:pPr>
    </w:p>
    <w:p w:rsidR="006735AD" w:rsidP="00460324" w:rsidRDefault="006735AD">
      <w:pPr>
        <w:rPr>
          <w:rFonts w:ascii="Verdana" w:hAnsi="Verdana"/>
          <w:sz w:val="18"/>
          <w:szCs w:val="18"/>
          <w:lang w:val="nl-NL"/>
        </w:rPr>
      </w:pPr>
      <w:r>
        <w:rPr>
          <w:rFonts w:ascii="Verdana" w:hAnsi="Verdana"/>
          <w:sz w:val="18"/>
          <w:szCs w:val="18"/>
          <w:lang w:val="nl-NL"/>
        </w:rPr>
        <w:t xml:space="preserve">Wat betreft de </w:t>
      </w:r>
      <w:r w:rsidR="0017704A">
        <w:rPr>
          <w:rFonts w:ascii="Verdana" w:hAnsi="Verdana"/>
          <w:sz w:val="18"/>
          <w:szCs w:val="18"/>
          <w:lang w:val="nl-NL"/>
        </w:rPr>
        <w:t>begrote omvang van de verplichte programma’s</w:t>
      </w:r>
      <w:r>
        <w:rPr>
          <w:rFonts w:ascii="Verdana" w:hAnsi="Verdana"/>
          <w:sz w:val="18"/>
          <w:szCs w:val="18"/>
          <w:lang w:val="nl-NL"/>
        </w:rPr>
        <w:t xml:space="preserve"> zal de ESA Ministersconferentie een besluit moeten nemen over het al dan niet compenseren van de inflatie</w:t>
      </w:r>
      <w:r w:rsidR="00694F22">
        <w:rPr>
          <w:rFonts w:ascii="Verdana" w:hAnsi="Verdana"/>
          <w:sz w:val="18"/>
          <w:szCs w:val="18"/>
          <w:lang w:val="nl-NL"/>
        </w:rPr>
        <w:t xml:space="preserve"> voor de komende begrotingsperiode 2017-2021</w:t>
      </w:r>
      <w:r>
        <w:rPr>
          <w:rFonts w:ascii="Verdana" w:hAnsi="Verdana"/>
          <w:sz w:val="18"/>
          <w:szCs w:val="18"/>
          <w:lang w:val="nl-NL"/>
        </w:rPr>
        <w:t>.</w:t>
      </w:r>
      <w:r w:rsidR="0017704A">
        <w:rPr>
          <w:rFonts w:ascii="Verdana" w:hAnsi="Verdana"/>
          <w:sz w:val="18"/>
          <w:szCs w:val="18"/>
          <w:lang w:val="nl-NL"/>
        </w:rPr>
        <w:t xml:space="preserve"> </w:t>
      </w:r>
      <w:r>
        <w:rPr>
          <w:rFonts w:ascii="Verdana" w:hAnsi="Verdana"/>
          <w:sz w:val="18"/>
          <w:szCs w:val="18"/>
          <w:lang w:val="nl-NL"/>
        </w:rPr>
        <w:t xml:space="preserve">In 2012 is besloten geen inflatiecorrectie toe te kennen (nominale nulgroei) voor het </w:t>
      </w:r>
      <w:r w:rsidR="0017704A">
        <w:rPr>
          <w:rFonts w:ascii="Verdana" w:hAnsi="Verdana"/>
          <w:sz w:val="18"/>
          <w:szCs w:val="18"/>
          <w:lang w:val="nl-NL"/>
        </w:rPr>
        <w:t>A</w:t>
      </w:r>
      <w:r>
        <w:rPr>
          <w:rFonts w:ascii="Verdana" w:hAnsi="Verdana"/>
          <w:sz w:val="18"/>
          <w:szCs w:val="18"/>
          <w:lang w:val="nl-NL"/>
        </w:rPr>
        <w:t>lgemene programma en voor het Wetenschapsprogramma</w:t>
      </w:r>
      <w:r w:rsidR="00694F22">
        <w:rPr>
          <w:rFonts w:ascii="Verdana" w:hAnsi="Verdana"/>
          <w:sz w:val="18"/>
          <w:szCs w:val="18"/>
          <w:lang w:val="nl-NL"/>
        </w:rPr>
        <w:t xml:space="preserve"> gedurende de periode 2013-2016</w:t>
      </w:r>
      <w:r>
        <w:rPr>
          <w:rFonts w:ascii="Verdana" w:hAnsi="Verdana"/>
          <w:sz w:val="18"/>
          <w:szCs w:val="18"/>
          <w:lang w:val="nl-NL"/>
        </w:rPr>
        <w:t>. Vanwege de inflatie betekent dit in feite een reële teruggang in de beschikbare middelen. Vanwege het belang dat Nederland hecht aan het Wetenschapsprogramma en aan ESTEC (deel g</w:t>
      </w:r>
      <w:r w:rsidR="0017704A">
        <w:rPr>
          <w:rFonts w:ascii="Verdana" w:hAnsi="Verdana"/>
          <w:sz w:val="18"/>
          <w:szCs w:val="18"/>
          <w:lang w:val="nl-NL"/>
        </w:rPr>
        <w:t>efinancierd uit het A</w:t>
      </w:r>
      <w:r>
        <w:rPr>
          <w:rFonts w:ascii="Verdana" w:hAnsi="Verdana"/>
          <w:sz w:val="18"/>
          <w:szCs w:val="18"/>
          <w:lang w:val="nl-NL"/>
        </w:rPr>
        <w:t xml:space="preserve">lgemene programma) heeft </w:t>
      </w:r>
      <w:r w:rsidR="0017704A">
        <w:rPr>
          <w:rFonts w:ascii="Verdana" w:hAnsi="Verdana"/>
          <w:sz w:val="18"/>
          <w:szCs w:val="18"/>
          <w:lang w:val="nl-NL"/>
        </w:rPr>
        <w:t xml:space="preserve">Nederland </w:t>
      </w:r>
      <w:r>
        <w:rPr>
          <w:rFonts w:ascii="Verdana" w:hAnsi="Verdana"/>
          <w:sz w:val="18"/>
          <w:szCs w:val="18"/>
          <w:lang w:val="nl-NL"/>
        </w:rPr>
        <w:t>steeds ingezet op het compenseren van de inflatie (reële nulgroei).</w:t>
      </w:r>
      <w:r w:rsidR="00694F22">
        <w:rPr>
          <w:rFonts w:ascii="Verdana" w:hAnsi="Verdana"/>
          <w:sz w:val="18"/>
          <w:szCs w:val="18"/>
          <w:lang w:val="nl-NL"/>
        </w:rPr>
        <w:t xml:space="preserve"> D</w:t>
      </w:r>
      <w:r w:rsidR="0017704A">
        <w:rPr>
          <w:rFonts w:ascii="Verdana" w:hAnsi="Verdana"/>
          <w:sz w:val="18"/>
          <w:szCs w:val="18"/>
          <w:lang w:val="nl-NL"/>
        </w:rPr>
        <w:t>at word</w:t>
      </w:r>
      <w:r w:rsidR="00694F22">
        <w:rPr>
          <w:rFonts w:ascii="Verdana" w:hAnsi="Verdana"/>
          <w:sz w:val="18"/>
          <w:szCs w:val="18"/>
          <w:lang w:val="nl-NL"/>
        </w:rPr>
        <w:t xml:space="preserve">t ook nu weer de inzet van Nederland. Gezien het feit dat </w:t>
      </w:r>
      <w:r w:rsidR="000B3B1D">
        <w:rPr>
          <w:rFonts w:ascii="Verdana" w:hAnsi="Verdana"/>
          <w:sz w:val="18"/>
          <w:szCs w:val="18"/>
          <w:lang w:val="nl-NL"/>
        </w:rPr>
        <w:t>grote lidstaten als Duitsland,</w:t>
      </w:r>
      <w:r w:rsidR="00694F22">
        <w:rPr>
          <w:rFonts w:ascii="Verdana" w:hAnsi="Verdana"/>
          <w:sz w:val="18"/>
          <w:szCs w:val="18"/>
          <w:lang w:val="nl-NL"/>
        </w:rPr>
        <w:t xml:space="preserve"> Frankrijk </w:t>
      </w:r>
      <w:r w:rsidR="000B3B1D">
        <w:rPr>
          <w:rFonts w:ascii="Verdana" w:hAnsi="Verdana"/>
          <w:sz w:val="18"/>
          <w:szCs w:val="18"/>
          <w:lang w:val="nl-NL"/>
        </w:rPr>
        <w:t xml:space="preserve">en het Verenigd Koninkrijk </w:t>
      </w:r>
      <w:r w:rsidR="00694F22">
        <w:rPr>
          <w:rFonts w:ascii="Verdana" w:hAnsi="Verdana"/>
          <w:sz w:val="18"/>
          <w:szCs w:val="18"/>
          <w:lang w:val="nl-NL"/>
        </w:rPr>
        <w:t>opteren voor voortzetting van de no</w:t>
      </w:r>
      <w:r w:rsidR="000B3B1D">
        <w:rPr>
          <w:rFonts w:ascii="Verdana" w:hAnsi="Verdana"/>
          <w:sz w:val="18"/>
          <w:szCs w:val="18"/>
          <w:lang w:val="nl-NL"/>
        </w:rPr>
        <w:t xml:space="preserve">minale nulgroei is </w:t>
      </w:r>
      <w:r w:rsidR="00926BDD">
        <w:rPr>
          <w:rFonts w:ascii="Verdana" w:hAnsi="Verdana"/>
          <w:sz w:val="18"/>
          <w:szCs w:val="18"/>
          <w:lang w:val="nl-NL"/>
        </w:rPr>
        <w:t>in dit stadium nog niet te zeggen of de ministers tijdens de ESA Ministersconferentie wel/niet zullen besluiten om een</w:t>
      </w:r>
      <w:r w:rsidR="00694F22">
        <w:rPr>
          <w:rFonts w:ascii="Verdana" w:hAnsi="Verdana"/>
          <w:sz w:val="18"/>
          <w:szCs w:val="18"/>
          <w:lang w:val="nl-NL"/>
        </w:rPr>
        <w:t xml:space="preserve"> inflatiecorrectie toe te passen op deze programma’s</w:t>
      </w:r>
      <w:r w:rsidR="006528F5">
        <w:rPr>
          <w:rFonts w:ascii="Verdana" w:hAnsi="Verdana"/>
          <w:sz w:val="18"/>
          <w:szCs w:val="18"/>
          <w:lang w:val="nl-NL"/>
        </w:rPr>
        <w:t>.</w:t>
      </w:r>
    </w:p>
    <w:p w:rsidR="00694F22" w:rsidP="003A7671" w:rsidRDefault="00694F22">
      <w:pPr>
        <w:ind w:left="426"/>
        <w:rPr>
          <w:rFonts w:ascii="Verdana" w:hAnsi="Verdana"/>
          <w:sz w:val="18"/>
          <w:szCs w:val="18"/>
          <w:lang w:val="nl-NL"/>
        </w:rPr>
      </w:pPr>
    </w:p>
    <w:p w:rsidRPr="00694F22" w:rsidR="00694F22" w:rsidP="00460324" w:rsidRDefault="00694F22">
      <w:pPr>
        <w:rPr>
          <w:rFonts w:ascii="Verdana" w:hAnsi="Verdana"/>
          <w:i/>
          <w:sz w:val="18"/>
          <w:szCs w:val="18"/>
          <w:lang w:val="nl-NL"/>
        </w:rPr>
      </w:pPr>
      <w:r>
        <w:rPr>
          <w:rFonts w:ascii="Verdana" w:hAnsi="Verdana"/>
          <w:i/>
          <w:sz w:val="18"/>
          <w:szCs w:val="18"/>
          <w:lang w:val="nl-NL"/>
        </w:rPr>
        <w:t>Optionele programma’s</w:t>
      </w:r>
    </w:p>
    <w:p w:rsidR="00694F22" w:rsidP="00460324" w:rsidRDefault="00694F22">
      <w:pPr>
        <w:rPr>
          <w:rFonts w:ascii="Verdana" w:hAnsi="Verdana"/>
          <w:sz w:val="18"/>
          <w:szCs w:val="18"/>
          <w:lang w:val="nl-NL"/>
        </w:rPr>
      </w:pPr>
      <w:r>
        <w:rPr>
          <w:rFonts w:ascii="Verdana" w:hAnsi="Verdana"/>
          <w:sz w:val="18"/>
          <w:szCs w:val="18"/>
          <w:lang w:val="nl-NL"/>
        </w:rPr>
        <w:t xml:space="preserve">Naast de verplichte programma’s kunnen lidstaten ervoor kiezen om in te schrijven op optionele ruimtevaartprogramma’s van ESA. </w:t>
      </w:r>
      <w:r w:rsidR="0017704A">
        <w:rPr>
          <w:rFonts w:ascii="Verdana" w:hAnsi="Verdana"/>
          <w:sz w:val="18"/>
          <w:szCs w:val="18"/>
          <w:lang w:val="nl-NL"/>
        </w:rPr>
        <w:t>Circa driekwart van de ESA-begrotingsmiddelen zijn bestemd voor deze programma’s. Lidstaten kunnen zelf kiezen in welke programma</w:t>
      </w:r>
      <w:r w:rsidR="0086290F">
        <w:rPr>
          <w:rFonts w:ascii="Verdana" w:hAnsi="Verdana"/>
          <w:sz w:val="18"/>
          <w:szCs w:val="18"/>
          <w:lang w:val="nl-NL"/>
        </w:rPr>
        <w:t>’s</w:t>
      </w:r>
      <w:r w:rsidR="0017704A">
        <w:rPr>
          <w:rFonts w:ascii="Verdana" w:hAnsi="Verdana"/>
          <w:sz w:val="18"/>
          <w:szCs w:val="18"/>
          <w:lang w:val="nl-NL"/>
        </w:rPr>
        <w:t xml:space="preserve"> ze willen investeren (en participeren) en in welke mate. Bij dit laatste worden lidstaten geacht in te schrijven naar rato van hun BNP-aandeel. Nederland zit daar meestal ruim onder en is selectief wat betreft het aantal programma’s waarop wordt ingeschreven. Daa</w:t>
      </w:r>
      <w:r w:rsidR="00C916EF">
        <w:rPr>
          <w:rFonts w:ascii="Verdana" w:hAnsi="Verdana"/>
          <w:sz w:val="18"/>
          <w:szCs w:val="18"/>
          <w:lang w:val="nl-NL"/>
        </w:rPr>
        <w:t>rbij is</w:t>
      </w:r>
      <w:r w:rsidR="0017704A">
        <w:rPr>
          <w:rFonts w:ascii="Verdana" w:hAnsi="Verdana"/>
          <w:sz w:val="18"/>
          <w:szCs w:val="18"/>
          <w:lang w:val="nl-NL"/>
        </w:rPr>
        <w:t xml:space="preserve"> leidend voor de Nederlandse inzet: het</w:t>
      </w:r>
      <w:r w:rsidR="00C916EF">
        <w:rPr>
          <w:rFonts w:ascii="Verdana" w:hAnsi="Verdana"/>
          <w:sz w:val="18"/>
          <w:szCs w:val="18"/>
          <w:lang w:val="nl-NL"/>
        </w:rPr>
        <w:t xml:space="preserve"> algemene</w:t>
      </w:r>
      <w:r w:rsidR="0017704A">
        <w:rPr>
          <w:rFonts w:ascii="Verdana" w:hAnsi="Verdana"/>
          <w:sz w:val="18"/>
          <w:szCs w:val="18"/>
          <w:lang w:val="nl-NL"/>
        </w:rPr>
        <w:t xml:space="preserve"> belang van het programma, alsmede </w:t>
      </w:r>
      <w:r w:rsidR="00C916EF">
        <w:rPr>
          <w:rFonts w:ascii="Verdana" w:hAnsi="Verdana"/>
          <w:sz w:val="18"/>
          <w:szCs w:val="18"/>
          <w:lang w:val="nl-NL"/>
        </w:rPr>
        <w:t>het belang voor</w:t>
      </w:r>
      <w:r w:rsidR="0017704A">
        <w:rPr>
          <w:rFonts w:ascii="Verdana" w:hAnsi="Verdana"/>
          <w:sz w:val="18"/>
          <w:szCs w:val="18"/>
          <w:lang w:val="nl-NL"/>
        </w:rPr>
        <w:t xml:space="preserve"> het Nederland</w:t>
      </w:r>
      <w:r w:rsidR="00316B2A">
        <w:rPr>
          <w:rFonts w:ascii="Verdana" w:hAnsi="Verdana"/>
          <w:sz w:val="18"/>
          <w:szCs w:val="18"/>
          <w:lang w:val="nl-NL"/>
        </w:rPr>
        <w:t xml:space="preserve">se bedrijfsleven, </w:t>
      </w:r>
      <w:r w:rsidR="0017704A">
        <w:rPr>
          <w:rFonts w:ascii="Verdana" w:hAnsi="Verdana"/>
          <w:sz w:val="18"/>
          <w:szCs w:val="18"/>
          <w:lang w:val="nl-NL"/>
        </w:rPr>
        <w:t>kennisinstellingen</w:t>
      </w:r>
      <w:r w:rsidR="00316B2A">
        <w:rPr>
          <w:rFonts w:ascii="Verdana" w:hAnsi="Verdana"/>
          <w:sz w:val="18"/>
          <w:szCs w:val="18"/>
          <w:lang w:val="nl-NL"/>
        </w:rPr>
        <w:t xml:space="preserve"> en wetenschap</w:t>
      </w:r>
      <w:r w:rsidR="006528F5">
        <w:rPr>
          <w:rFonts w:ascii="Verdana" w:hAnsi="Verdana"/>
          <w:sz w:val="18"/>
          <w:szCs w:val="18"/>
          <w:lang w:val="nl-NL"/>
        </w:rPr>
        <w:t>. In een enkel geval spelen bredere</w:t>
      </w:r>
      <w:r w:rsidR="0017704A">
        <w:rPr>
          <w:rFonts w:ascii="Verdana" w:hAnsi="Verdana"/>
          <w:sz w:val="18"/>
          <w:szCs w:val="18"/>
          <w:lang w:val="nl-NL"/>
        </w:rPr>
        <w:t xml:space="preserve"> overwegingen een rol. Dat </w:t>
      </w:r>
      <w:r w:rsidR="000B3B1D">
        <w:rPr>
          <w:rFonts w:ascii="Verdana" w:hAnsi="Verdana"/>
          <w:sz w:val="18"/>
          <w:szCs w:val="18"/>
          <w:lang w:val="nl-NL"/>
        </w:rPr>
        <w:t xml:space="preserve">laatste </w:t>
      </w:r>
      <w:r w:rsidR="0017704A">
        <w:rPr>
          <w:rFonts w:ascii="Verdana" w:hAnsi="Verdana"/>
          <w:sz w:val="18"/>
          <w:szCs w:val="18"/>
          <w:lang w:val="nl-NL"/>
        </w:rPr>
        <w:t>betreft met name de bijdrage voor het Europese aandeel in het International S</w:t>
      </w:r>
      <w:r w:rsidR="00C916EF">
        <w:rPr>
          <w:rFonts w:ascii="Verdana" w:hAnsi="Verdana"/>
          <w:sz w:val="18"/>
          <w:szCs w:val="18"/>
          <w:lang w:val="nl-NL"/>
        </w:rPr>
        <w:t>pace S</w:t>
      </w:r>
      <w:r w:rsidR="0017704A">
        <w:rPr>
          <w:rFonts w:ascii="Verdana" w:hAnsi="Verdana"/>
          <w:sz w:val="18"/>
          <w:szCs w:val="18"/>
          <w:lang w:val="nl-NL"/>
        </w:rPr>
        <w:t>tation.</w:t>
      </w:r>
      <w:r w:rsidR="00C916EF">
        <w:rPr>
          <w:rFonts w:ascii="Verdana" w:hAnsi="Verdana"/>
          <w:sz w:val="18"/>
          <w:szCs w:val="18"/>
          <w:lang w:val="nl-NL"/>
        </w:rPr>
        <w:t xml:space="preserve"> Daaraan wordt gehecht vanwege de unieke samenwerking tussen de VS, Rusland, Europa, Canada en Japan.</w:t>
      </w:r>
      <w:r w:rsidR="0078413A">
        <w:rPr>
          <w:rFonts w:ascii="Verdana" w:hAnsi="Verdana"/>
          <w:sz w:val="18"/>
          <w:szCs w:val="18"/>
          <w:lang w:val="nl-NL"/>
        </w:rPr>
        <w:t xml:space="preserve"> Nederland beschouwt</w:t>
      </w:r>
      <w:r w:rsidR="00C916EF">
        <w:rPr>
          <w:rFonts w:ascii="Verdana" w:hAnsi="Verdana"/>
          <w:sz w:val="18"/>
          <w:szCs w:val="18"/>
          <w:lang w:val="nl-NL"/>
        </w:rPr>
        <w:t xml:space="preserve"> </w:t>
      </w:r>
      <w:r w:rsidR="0078413A">
        <w:rPr>
          <w:rFonts w:ascii="Verdana" w:hAnsi="Verdana"/>
          <w:sz w:val="18"/>
          <w:szCs w:val="18"/>
          <w:lang w:val="nl-NL"/>
        </w:rPr>
        <w:t>deze vorm van internationale samenwerking als waardevol</w:t>
      </w:r>
      <w:r w:rsidR="00520F7B">
        <w:rPr>
          <w:rFonts w:ascii="Verdana" w:hAnsi="Verdana"/>
          <w:sz w:val="18"/>
          <w:szCs w:val="18"/>
          <w:lang w:val="nl-NL"/>
        </w:rPr>
        <w:t>, zeker ook</w:t>
      </w:r>
      <w:r w:rsidR="0078413A">
        <w:rPr>
          <w:rFonts w:ascii="Verdana" w:hAnsi="Verdana"/>
          <w:sz w:val="18"/>
          <w:szCs w:val="18"/>
          <w:lang w:val="nl-NL"/>
        </w:rPr>
        <w:t xml:space="preserve"> i</w:t>
      </w:r>
      <w:r w:rsidR="00C916EF">
        <w:rPr>
          <w:rFonts w:ascii="Verdana" w:hAnsi="Verdana"/>
          <w:sz w:val="18"/>
          <w:szCs w:val="18"/>
          <w:lang w:val="nl-NL"/>
        </w:rPr>
        <w:t xml:space="preserve">n tijden van </w:t>
      </w:r>
      <w:r w:rsidR="0078413A">
        <w:rPr>
          <w:rFonts w:ascii="Verdana" w:hAnsi="Verdana"/>
          <w:sz w:val="18"/>
          <w:szCs w:val="18"/>
          <w:lang w:val="nl-NL"/>
        </w:rPr>
        <w:t>internationale spanningen</w:t>
      </w:r>
      <w:r w:rsidR="00C916EF">
        <w:rPr>
          <w:rFonts w:ascii="Verdana" w:hAnsi="Verdana"/>
          <w:sz w:val="18"/>
          <w:szCs w:val="18"/>
          <w:lang w:val="nl-NL"/>
        </w:rPr>
        <w:t>.</w:t>
      </w:r>
    </w:p>
    <w:p w:rsidR="0017704A" w:rsidP="003A7671" w:rsidRDefault="0017704A">
      <w:pPr>
        <w:ind w:left="426"/>
        <w:rPr>
          <w:rFonts w:ascii="Verdana" w:hAnsi="Verdana"/>
          <w:sz w:val="18"/>
          <w:szCs w:val="18"/>
          <w:lang w:val="nl-NL"/>
        </w:rPr>
      </w:pPr>
    </w:p>
    <w:p w:rsidR="00922B4C" w:rsidP="00460324" w:rsidRDefault="00922B4C">
      <w:pPr>
        <w:rPr>
          <w:rFonts w:ascii="Verdana" w:hAnsi="Verdana"/>
          <w:sz w:val="18"/>
          <w:szCs w:val="18"/>
          <w:lang w:val="nl-NL"/>
        </w:rPr>
      </w:pPr>
      <w:r>
        <w:rPr>
          <w:rFonts w:ascii="Verdana" w:hAnsi="Verdana"/>
          <w:sz w:val="18"/>
          <w:szCs w:val="18"/>
          <w:lang w:val="nl-NL"/>
        </w:rPr>
        <w:t>Tijdens de ESA-Ministersconferenties</w:t>
      </w:r>
      <w:r w:rsidR="000D4E55">
        <w:rPr>
          <w:rFonts w:ascii="Verdana" w:hAnsi="Verdana"/>
          <w:sz w:val="18"/>
          <w:szCs w:val="18"/>
          <w:lang w:val="nl-NL"/>
        </w:rPr>
        <w:t xml:space="preserve"> van 2012 en 2014</w:t>
      </w:r>
      <w:r>
        <w:rPr>
          <w:rFonts w:ascii="Verdana" w:hAnsi="Verdana"/>
          <w:sz w:val="18"/>
          <w:szCs w:val="18"/>
          <w:lang w:val="nl-NL"/>
        </w:rPr>
        <w:t xml:space="preserve"> heeft Nederland </w:t>
      </w:r>
      <w:r w:rsidR="000D4E55">
        <w:rPr>
          <w:rFonts w:ascii="Verdana" w:hAnsi="Verdana"/>
          <w:sz w:val="18"/>
          <w:szCs w:val="18"/>
          <w:lang w:val="nl-NL"/>
        </w:rPr>
        <w:t xml:space="preserve">behoorlijk ingeschreven </w:t>
      </w:r>
      <w:r w:rsidR="00C916EF">
        <w:rPr>
          <w:rFonts w:ascii="Verdana" w:hAnsi="Verdana"/>
          <w:sz w:val="18"/>
          <w:szCs w:val="18"/>
          <w:lang w:val="nl-NL"/>
        </w:rPr>
        <w:t>op</w:t>
      </w:r>
      <w:r w:rsidR="0066664A">
        <w:rPr>
          <w:rFonts w:ascii="Verdana" w:hAnsi="Verdana"/>
          <w:sz w:val="18"/>
          <w:szCs w:val="18"/>
          <w:lang w:val="nl-NL"/>
        </w:rPr>
        <w:t xml:space="preserve"> een aantal </w:t>
      </w:r>
      <w:r w:rsidR="000D4E55">
        <w:rPr>
          <w:rFonts w:ascii="Verdana" w:hAnsi="Verdana"/>
          <w:sz w:val="18"/>
          <w:szCs w:val="18"/>
          <w:lang w:val="nl-NL"/>
        </w:rPr>
        <w:t>optionele ESA</w:t>
      </w:r>
      <w:r w:rsidR="00C916EF">
        <w:rPr>
          <w:rFonts w:ascii="Verdana" w:hAnsi="Verdana"/>
          <w:sz w:val="18"/>
          <w:szCs w:val="18"/>
          <w:lang w:val="nl-NL"/>
        </w:rPr>
        <w:t>-programma’s. Daartoe zijn voor een deel</w:t>
      </w:r>
      <w:r w:rsidR="000D4E55">
        <w:rPr>
          <w:rFonts w:ascii="Verdana" w:hAnsi="Verdana"/>
          <w:sz w:val="18"/>
          <w:szCs w:val="18"/>
          <w:lang w:val="nl-NL"/>
        </w:rPr>
        <w:t xml:space="preserve"> middelen ingeschreven op langer lopende programma’s die gereserveerd stonden op de EZ-begroting voor de periode 2017-2019. Dit impliceert dat er voor de komende ESA-Ministersconferentie minder begrotingsruimte resteert dan kon worde</w:t>
      </w:r>
      <w:r w:rsidR="00C916EF">
        <w:rPr>
          <w:rFonts w:ascii="Verdana" w:hAnsi="Verdana"/>
          <w:sz w:val="18"/>
          <w:szCs w:val="18"/>
          <w:lang w:val="nl-NL"/>
        </w:rPr>
        <w:t>n ingezet tijdens</w:t>
      </w:r>
      <w:r w:rsidR="000D4E55">
        <w:rPr>
          <w:rFonts w:ascii="Verdana" w:hAnsi="Verdana"/>
          <w:sz w:val="18"/>
          <w:szCs w:val="18"/>
          <w:lang w:val="nl-NL"/>
        </w:rPr>
        <w:t xml:space="preserve"> ESA-Ministersconferenties</w:t>
      </w:r>
      <w:r w:rsidR="00C916EF">
        <w:rPr>
          <w:rFonts w:ascii="Verdana" w:hAnsi="Verdana"/>
          <w:sz w:val="18"/>
          <w:szCs w:val="18"/>
          <w:lang w:val="nl-NL"/>
        </w:rPr>
        <w:t xml:space="preserve"> van 2012 en 2014</w:t>
      </w:r>
      <w:r w:rsidR="000D4E55">
        <w:rPr>
          <w:rFonts w:ascii="Verdana" w:hAnsi="Verdana"/>
          <w:sz w:val="18"/>
          <w:szCs w:val="18"/>
          <w:lang w:val="nl-NL"/>
        </w:rPr>
        <w:t xml:space="preserve">. Voor enkele langer lopende programma’s kan </w:t>
      </w:r>
      <w:r w:rsidR="00C916EF">
        <w:rPr>
          <w:rFonts w:ascii="Verdana" w:hAnsi="Verdana"/>
          <w:sz w:val="18"/>
          <w:szCs w:val="18"/>
          <w:lang w:val="nl-NL"/>
        </w:rPr>
        <w:t xml:space="preserve">nu </w:t>
      </w:r>
      <w:r w:rsidR="000D4E55">
        <w:rPr>
          <w:rFonts w:ascii="Verdana" w:hAnsi="Verdana"/>
          <w:sz w:val="18"/>
          <w:szCs w:val="18"/>
          <w:lang w:val="nl-NL"/>
        </w:rPr>
        <w:t>in beperkte mate een beroep worden gedaan op toekomstige begrotingsruimte.</w:t>
      </w:r>
      <w:r w:rsidR="0067791F">
        <w:rPr>
          <w:rFonts w:ascii="Verdana" w:hAnsi="Verdana"/>
          <w:sz w:val="18"/>
          <w:szCs w:val="18"/>
          <w:lang w:val="nl-NL"/>
        </w:rPr>
        <w:t xml:space="preserve"> In totaal heeft Nederland </w:t>
      </w:r>
      <w:r w:rsidR="00371384">
        <w:rPr>
          <w:rFonts w:ascii="Verdana" w:hAnsi="Verdana"/>
          <w:sz w:val="18"/>
          <w:szCs w:val="18"/>
          <w:lang w:val="nl-NL"/>
        </w:rPr>
        <w:t xml:space="preserve"> € 96</w:t>
      </w:r>
      <w:r w:rsidR="003F5B68">
        <w:rPr>
          <w:rFonts w:ascii="Verdana" w:hAnsi="Verdana"/>
          <w:sz w:val="18"/>
          <w:szCs w:val="18"/>
          <w:lang w:val="nl-NL"/>
        </w:rPr>
        <w:t xml:space="preserve">,8 </w:t>
      </w:r>
      <w:r w:rsidR="0067791F">
        <w:rPr>
          <w:rFonts w:ascii="Verdana" w:hAnsi="Verdana"/>
          <w:sz w:val="18"/>
          <w:szCs w:val="18"/>
          <w:lang w:val="nl-NL"/>
        </w:rPr>
        <w:t>miljoen beschikbaar voor nieuwe inschrijvingen in ESA-</w:t>
      </w:r>
      <w:r w:rsidR="00316B2A">
        <w:rPr>
          <w:rFonts w:ascii="Verdana" w:hAnsi="Verdana"/>
          <w:sz w:val="18"/>
          <w:szCs w:val="18"/>
          <w:lang w:val="nl-NL"/>
        </w:rPr>
        <w:t xml:space="preserve">optionele </w:t>
      </w:r>
      <w:r w:rsidR="0067791F">
        <w:rPr>
          <w:rFonts w:ascii="Verdana" w:hAnsi="Verdana"/>
          <w:sz w:val="18"/>
          <w:szCs w:val="18"/>
          <w:lang w:val="nl-NL"/>
        </w:rPr>
        <w:t>programma’s</w:t>
      </w:r>
      <w:r w:rsidR="003F5B68">
        <w:rPr>
          <w:rFonts w:ascii="Verdana" w:hAnsi="Verdana"/>
          <w:sz w:val="18"/>
          <w:szCs w:val="18"/>
          <w:lang w:val="nl-NL"/>
        </w:rPr>
        <w:t xml:space="preserve"> (inclusief de reservering voor nieuwbouw op ESTEC).</w:t>
      </w:r>
    </w:p>
    <w:p w:rsidR="006735AD" w:rsidP="003A7671" w:rsidRDefault="006735AD">
      <w:pPr>
        <w:ind w:left="426"/>
        <w:rPr>
          <w:rFonts w:ascii="Verdana" w:hAnsi="Verdana"/>
          <w:sz w:val="18"/>
          <w:szCs w:val="18"/>
          <w:lang w:val="nl-NL"/>
        </w:rPr>
      </w:pPr>
    </w:p>
    <w:p w:rsidR="006735AD" w:rsidP="00460324" w:rsidRDefault="006735AD">
      <w:pPr>
        <w:rPr>
          <w:rFonts w:ascii="Verdana" w:hAnsi="Verdana"/>
          <w:sz w:val="18"/>
          <w:szCs w:val="18"/>
          <w:lang w:val="nl-NL"/>
        </w:rPr>
      </w:pPr>
      <w:r>
        <w:rPr>
          <w:rFonts w:ascii="Verdana" w:hAnsi="Verdana"/>
          <w:sz w:val="18"/>
          <w:szCs w:val="18"/>
          <w:lang w:val="nl-NL"/>
        </w:rPr>
        <w:t xml:space="preserve">Voor de </w:t>
      </w:r>
      <w:r w:rsidR="0086299C">
        <w:rPr>
          <w:rFonts w:ascii="Verdana" w:hAnsi="Verdana"/>
          <w:sz w:val="18"/>
          <w:szCs w:val="18"/>
          <w:lang w:val="nl-NL"/>
        </w:rPr>
        <w:t>komende ESA Ministersconferentie is Nederland voornemens in te schrijven op de volgende optionele ESA-ruimtevaartprogramma’s:</w:t>
      </w:r>
    </w:p>
    <w:p w:rsidRPr="00460324" w:rsidR="00D51B32" w:rsidP="00460324" w:rsidRDefault="0086299C">
      <w:pPr>
        <w:pStyle w:val="Lijstalinea"/>
        <w:numPr>
          <w:ilvl w:val="0"/>
          <w:numId w:val="20"/>
        </w:numPr>
        <w:ind w:left="283" w:hanging="283"/>
        <w:rPr>
          <w:rFonts w:ascii="Verdana" w:hAnsi="Verdana"/>
          <w:sz w:val="18"/>
          <w:szCs w:val="18"/>
          <w:u w:val="single"/>
          <w:lang w:val="nl-NL"/>
        </w:rPr>
      </w:pPr>
      <w:r w:rsidRPr="00460324">
        <w:rPr>
          <w:rFonts w:ascii="Verdana" w:hAnsi="Verdana"/>
          <w:sz w:val="18"/>
          <w:szCs w:val="18"/>
          <w:u w:val="single"/>
          <w:lang w:val="nl-NL"/>
        </w:rPr>
        <w:t>Aardobservatie:</w:t>
      </w:r>
    </w:p>
    <w:p w:rsidR="0086299C" w:rsidP="00460324" w:rsidRDefault="00D51B32">
      <w:pPr>
        <w:ind w:left="283"/>
        <w:rPr>
          <w:rFonts w:ascii="Verdana" w:hAnsi="Verdana"/>
          <w:sz w:val="18"/>
          <w:szCs w:val="18"/>
          <w:lang w:val="nl-NL"/>
        </w:rPr>
      </w:pPr>
      <w:r w:rsidRPr="00D51B32">
        <w:rPr>
          <w:rFonts w:ascii="Verdana" w:hAnsi="Verdana"/>
          <w:sz w:val="18"/>
          <w:szCs w:val="18"/>
          <w:lang w:val="nl-NL"/>
        </w:rPr>
        <w:t>Hier zal Nederland € 2</w:t>
      </w:r>
      <w:r>
        <w:rPr>
          <w:rFonts w:ascii="Verdana" w:hAnsi="Verdana"/>
          <w:sz w:val="18"/>
          <w:szCs w:val="18"/>
          <w:lang w:val="nl-NL"/>
        </w:rPr>
        <w:t>6</w:t>
      </w:r>
      <w:r w:rsidRPr="00D51B32">
        <w:rPr>
          <w:rFonts w:ascii="Verdana" w:hAnsi="Verdana"/>
          <w:sz w:val="18"/>
          <w:szCs w:val="18"/>
          <w:lang w:val="nl-NL"/>
        </w:rPr>
        <w:t xml:space="preserve"> miljoen op inschrij</w:t>
      </w:r>
      <w:r w:rsidR="00316B2A">
        <w:rPr>
          <w:rFonts w:ascii="Verdana" w:hAnsi="Verdana"/>
          <w:sz w:val="18"/>
          <w:szCs w:val="18"/>
          <w:lang w:val="nl-NL"/>
        </w:rPr>
        <w:t>ven, waarvan € 21</w:t>
      </w:r>
      <w:r>
        <w:rPr>
          <w:rFonts w:ascii="Verdana" w:hAnsi="Verdana"/>
          <w:sz w:val="18"/>
          <w:szCs w:val="18"/>
          <w:lang w:val="nl-NL"/>
        </w:rPr>
        <w:t xml:space="preserve"> miljoen voor het Earth Observation En</w:t>
      </w:r>
      <w:r w:rsidR="00316B2A">
        <w:rPr>
          <w:rFonts w:ascii="Verdana" w:hAnsi="Verdana"/>
          <w:sz w:val="18"/>
          <w:szCs w:val="18"/>
          <w:lang w:val="nl-NL"/>
        </w:rPr>
        <w:t>velope Programme (EOEP-5) en € 5</w:t>
      </w:r>
      <w:r>
        <w:rPr>
          <w:rFonts w:ascii="Verdana" w:hAnsi="Verdana"/>
          <w:sz w:val="18"/>
          <w:szCs w:val="18"/>
          <w:lang w:val="nl-NL"/>
        </w:rPr>
        <w:t xml:space="preserve"> miljoen op twee Earth Watch-programma’s.</w:t>
      </w:r>
      <w:r w:rsidR="008816DE">
        <w:rPr>
          <w:rFonts w:ascii="Verdana" w:hAnsi="Verdana"/>
          <w:sz w:val="18"/>
          <w:szCs w:val="18"/>
          <w:lang w:val="nl-NL"/>
        </w:rPr>
        <w:t xml:space="preserve"> </w:t>
      </w:r>
      <w:r>
        <w:rPr>
          <w:rFonts w:ascii="Verdana" w:hAnsi="Verdana"/>
          <w:sz w:val="18"/>
          <w:szCs w:val="18"/>
          <w:lang w:val="nl-NL"/>
        </w:rPr>
        <w:t xml:space="preserve">Het EOEP-programma is al jarenlang een prioriteit voor Nederland vanwege alle informatie die via aardobservatiesatellieten wordt verzameld over de aarde en de aardatmosfeer. Nederlandse bedrijven (industrie en dataverwerkers) en kennisinstellingen, alsmede de wetenschap halen profijt uit de missies van dit programma. Dit betreft zowel wetenschappelijke als meer operationele missies. </w:t>
      </w:r>
    </w:p>
    <w:p w:rsidR="00F4054B" w:rsidP="00460324" w:rsidRDefault="00F4054B">
      <w:pPr>
        <w:ind w:left="283"/>
        <w:rPr>
          <w:rFonts w:ascii="Verdana" w:hAnsi="Verdana"/>
          <w:sz w:val="18"/>
          <w:szCs w:val="18"/>
          <w:lang w:val="nl-NL"/>
        </w:rPr>
      </w:pPr>
      <w:r>
        <w:rPr>
          <w:rFonts w:ascii="Verdana" w:hAnsi="Verdana"/>
          <w:sz w:val="18"/>
          <w:szCs w:val="18"/>
          <w:lang w:val="nl-NL"/>
        </w:rPr>
        <w:t xml:space="preserve">Eén van de Earth Watch-programma’s betreft wetenschappelijk </w:t>
      </w:r>
      <w:r w:rsidR="004C7704">
        <w:rPr>
          <w:rFonts w:ascii="Verdana" w:hAnsi="Verdana"/>
          <w:sz w:val="18"/>
          <w:szCs w:val="18"/>
          <w:lang w:val="nl-NL"/>
        </w:rPr>
        <w:t>gebruik van satellietdata om voor lange tijd de ontwikkelingen in</w:t>
      </w:r>
      <w:r>
        <w:rPr>
          <w:rFonts w:ascii="Verdana" w:hAnsi="Verdana"/>
          <w:sz w:val="18"/>
          <w:szCs w:val="18"/>
          <w:lang w:val="nl-NL"/>
        </w:rPr>
        <w:t xml:space="preserve"> het klimaat</w:t>
      </w:r>
      <w:r w:rsidR="004C7704">
        <w:rPr>
          <w:rFonts w:ascii="Verdana" w:hAnsi="Verdana"/>
          <w:sz w:val="18"/>
          <w:szCs w:val="18"/>
          <w:lang w:val="nl-NL"/>
        </w:rPr>
        <w:t xml:space="preserve"> te monitoren</w:t>
      </w:r>
      <w:r>
        <w:rPr>
          <w:rFonts w:ascii="Verdana" w:hAnsi="Verdana"/>
          <w:sz w:val="18"/>
          <w:szCs w:val="18"/>
          <w:lang w:val="nl-NL"/>
        </w:rPr>
        <w:t>. Het andere Earth Watch-programma dat Nederlandse steun verdient is gericht op het toegankelijk maken voor bedrijven en kennisinstellingen van de markt voor aardobservatie diensten via PPP-constructies.</w:t>
      </w:r>
    </w:p>
    <w:p w:rsidRPr="00460324" w:rsidR="00DC13A2" w:rsidP="00460324" w:rsidRDefault="00DC13A2">
      <w:pPr>
        <w:pStyle w:val="Lijstalinea"/>
        <w:numPr>
          <w:ilvl w:val="0"/>
          <w:numId w:val="20"/>
        </w:numPr>
        <w:ind w:left="283" w:hanging="283"/>
        <w:rPr>
          <w:rFonts w:ascii="Verdana" w:hAnsi="Verdana"/>
          <w:sz w:val="18"/>
          <w:szCs w:val="18"/>
          <w:u w:val="single"/>
          <w:lang w:val="nl-NL"/>
        </w:rPr>
      </w:pPr>
      <w:r w:rsidRPr="00460324">
        <w:rPr>
          <w:rFonts w:ascii="Verdana" w:hAnsi="Verdana"/>
          <w:sz w:val="18"/>
          <w:szCs w:val="18"/>
          <w:u w:val="single"/>
          <w:lang w:val="nl-NL"/>
        </w:rPr>
        <w:t>Draagraketten</w:t>
      </w:r>
      <w:r w:rsidRPr="00460324" w:rsidR="00316B2A">
        <w:rPr>
          <w:rFonts w:ascii="Verdana" w:hAnsi="Verdana"/>
          <w:sz w:val="18"/>
          <w:szCs w:val="18"/>
          <w:u w:val="single"/>
          <w:lang w:val="nl-NL"/>
        </w:rPr>
        <w:t>/lanceerders</w:t>
      </w:r>
      <w:r w:rsidRPr="00460324">
        <w:rPr>
          <w:rFonts w:ascii="Verdana" w:hAnsi="Verdana"/>
          <w:sz w:val="18"/>
          <w:szCs w:val="18"/>
          <w:u w:val="single"/>
          <w:lang w:val="nl-NL"/>
        </w:rPr>
        <w:t>:</w:t>
      </w:r>
    </w:p>
    <w:p w:rsidR="00DC13A2" w:rsidP="00460324" w:rsidRDefault="00316B2A">
      <w:pPr>
        <w:ind w:left="283"/>
        <w:rPr>
          <w:rFonts w:ascii="Verdana" w:hAnsi="Verdana"/>
          <w:sz w:val="18"/>
          <w:szCs w:val="18"/>
          <w:lang w:val="nl-NL"/>
        </w:rPr>
      </w:pPr>
      <w:r>
        <w:rPr>
          <w:rFonts w:ascii="Verdana" w:hAnsi="Verdana"/>
          <w:sz w:val="18"/>
          <w:szCs w:val="18"/>
          <w:lang w:val="nl-NL"/>
        </w:rPr>
        <w:t xml:space="preserve">In 2014 heeft Nederland </w:t>
      </w:r>
      <w:r w:rsidRPr="00DC13A2" w:rsidR="00DC13A2">
        <w:rPr>
          <w:rFonts w:ascii="Verdana" w:hAnsi="Verdana"/>
          <w:sz w:val="18"/>
          <w:szCs w:val="18"/>
          <w:lang w:val="nl-NL"/>
        </w:rPr>
        <w:t xml:space="preserve">een aanzienlijk bedrag beschikbaar gesteld voor de ontwikkeling van de nieuwe Ariane-6 draagraket. Dit om Nederlandse industrieën in staat te stellen te participeren in de ontwikkeling en productie van deze nieuwe loot van de Europese familie van draagraketten. Het is de bedoeling dat de Ariane-6 de huidige Ariane-5 gaat vervangen en in staat zal zijn de concurrentie aan te gaan met draagraketten uit onder andere de VS. Dit keer zal Nederland een bescheiden bedrag inschrijven van </w:t>
      </w:r>
      <w:r w:rsidR="000B3B1D">
        <w:rPr>
          <w:rFonts w:ascii="Verdana" w:hAnsi="Verdana"/>
          <w:sz w:val="18"/>
          <w:szCs w:val="18"/>
          <w:lang w:val="nl-NL"/>
        </w:rPr>
        <w:t xml:space="preserve">€ </w:t>
      </w:r>
      <w:r w:rsidRPr="00DC13A2" w:rsidR="00DC13A2">
        <w:rPr>
          <w:rFonts w:ascii="Verdana" w:hAnsi="Verdana"/>
          <w:sz w:val="18"/>
          <w:szCs w:val="18"/>
          <w:lang w:val="nl-NL"/>
        </w:rPr>
        <w:t xml:space="preserve">12,8 miljoen voor enkele kleine programma’s. Drie van deze programma’s hebben onder andere van doen met het onderhoud van ESA-productiemiddelen, die benut worden door Nederlandse bedrijven betrokken bij de productie van draagrakketten. € 4 miljoen is bestemd voor een programma waarbij onderzoek gedaan wordt naar </w:t>
      </w:r>
      <w:r w:rsidR="000B3B1D">
        <w:rPr>
          <w:rFonts w:ascii="Verdana" w:hAnsi="Verdana"/>
          <w:sz w:val="18"/>
          <w:szCs w:val="18"/>
          <w:lang w:val="nl-NL"/>
        </w:rPr>
        <w:t xml:space="preserve">de ontwikkeling van </w:t>
      </w:r>
      <w:r w:rsidRPr="00DC13A2" w:rsidR="00DC13A2">
        <w:rPr>
          <w:rFonts w:ascii="Verdana" w:hAnsi="Verdana"/>
          <w:sz w:val="18"/>
          <w:szCs w:val="18"/>
          <w:lang w:val="nl-NL"/>
        </w:rPr>
        <w:t>toekomstige draagraketten, inclusief het hergebru</w:t>
      </w:r>
      <w:r w:rsidR="000B3B1D">
        <w:rPr>
          <w:rFonts w:ascii="Verdana" w:hAnsi="Verdana"/>
          <w:sz w:val="18"/>
          <w:szCs w:val="18"/>
          <w:lang w:val="nl-NL"/>
        </w:rPr>
        <w:t>ik van delen daarvan</w:t>
      </w:r>
      <w:r w:rsidRPr="00DC13A2" w:rsidR="00DC13A2">
        <w:rPr>
          <w:rFonts w:ascii="Verdana" w:hAnsi="Verdana"/>
          <w:sz w:val="18"/>
          <w:szCs w:val="18"/>
          <w:lang w:val="nl-NL"/>
        </w:rPr>
        <w:t>.</w:t>
      </w:r>
    </w:p>
    <w:p w:rsidRPr="00460324" w:rsidR="00DC13A2" w:rsidP="00460324" w:rsidRDefault="00DC13A2">
      <w:pPr>
        <w:pStyle w:val="Lijstalinea"/>
        <w:numPr>
          <w:ilvl w:val="0"/>
          <w:numId w:val="20"/>
        </w:numPr>
        <w:ind w:left="283" w:hanging="283"/>
        <w:rPr>
          <w:rFonts w:ascii="Verdana" w:hAnsi="Verdana"/>
          <w:sz w:val="18"/>
          <w:szCs w:val="18"/>
          <w:u w:val="single"/>
          <w:lang w:val="nl-NL"/>
        </w:rPr>
      </w:pPr>
      <w:r w:rsidRPr="00460324">
        <w:rPr>
          <w:rFonts w:ascii="Verdana" w:hAnsi="Verdana"/>
          <w:sz w:val="18"/>
          <w:szCs w:val="18"/>
          <w:u w:val="single"/>
          <w:lang w:val="nl-NL"/>
        </w:rPr>
        <w:t>Exploratie:</w:t>
      </w:r>
    </w:p>
    <w:p w:rsidR="00DC13A2" w:rsidP="00460324" w:rsidRDefault="002C75D3">
      <w:pPr>
        <w:ind w:left="283"/>
        <w:rPr>
          <w:rFonts w:ascii="Verdana" w:hAnsi="Verdana"/>
          <w:sz w:val="18"/>
          <w:szCs w:val="18"/>
          <w:lang w:val="nl-NL"/>
        </w:rPr>
      </w:pPr>
      <w:r>
        <w:rPr>
          <w:rFonts w:ascii="Verdana" w:hAnsi="Verdana"/>
          <w:sz w:val="18"/>
          <w:szCs w:val="18"/>
          <w:lang w:val="nl-NL"/>
        </w:rPr>
        <w:t>Naar verwachting zal de ESA Ministersconferentie het besluit nemen om het Europese aandeel in het International Space Station</w:t>
      </w:r>
      <w:r w:rsidR="006528F5">
        <w:rPr>
          <w:rFonts w:ascii="Verdana" w:hAnsi="Verdana"/>
          <w:sz w:val="18"/>
          <w:szCs w:val="18"/>
          <w:lang w:val="nl-NL"/>
        </w:rPr>
        <w:t xml:space="preserve"> (ISS)</w:t>
      </w:r>
      <w:r>
        <w:rPr>
          <w:rFonts w:ascii="Verdana" w:hAnsi="Verdana"/>
          <w:sz w:val="18"/>
          <w:szCs w:val="18"/>
          <w:lang w:val="nl-NL"/>
        </w:rPr>
        <w:t xml:space="preserve"> te verlengen tot 2024. De andere ISS-partners (VS, Japan, Rusland en Canada) besloten al eerder </w:t>
      </w:r>
      <w:r w:rsidR="00371384">
        <w:rPr>
          <w:rFonts w:ascii="Verdana" w:hAnsi="Verdana"/>
          <w:sz w:val="18"/>
          <w:szCs w:val="18"/>
          <w:lang w:val="nl-NL"/>
        </w:rPr>
        <w:t xml:space="preserve">hiertoe. </w:t>
      </w:r>
      <w:r w:rsidR="006528F5">
        <w:rPr>
          <w:rFonts w:ascii="Verdana" w:hAnsi="Verdana"/>
          <w:sz w:val="18"/>
          <w:szCs w:val="18"/>
          <w:lang w:val="nl-NL"/>
        </w:rPr>
        <w:t>Om de verlenging van de missie te bekostigen heeft ESA aan Nederland gevraagd om € 24 miljoen in te schrijven op het ISS-programma. Nederland is voornemens</w:t>
      </w:r>
      <w:r w:rsidR="00371384">
        <w:rPr>
          <w:rFonts w:ascii="Verdana" w:hAnsi="Verdana"/>
          <w:sz w:val="18"/>
          <w:szCs w:val="18"/>
          <w:lang w:val="nl-NL"/>
        </w:rPr>
        <w:t xml:space="preserve"> om</w:t>
      </w:r>
      <w:r w:rsidR="00F50A0F">
        <w:rPr>
          <w:rFonts w:ascii="Verdana" w:hAnsi="Verdana"/>
          <w:sz w:val="18"/>
          <w:szCs w:val="18"/>
          <w:lang w:val="nl-NL"/>
        </w:rPr>
        <w:t xml:space="preserve"> </w:t>
      </w:r>
      <w:r w:rsidR="00371384">
        <w:rPr>
          <w:rFonts w:ascii="Verdana" w:hAnsi="Verdana"/>
          <w:sz w:val="18"/>
          <w:szCs w:val="18"/>
          <w:lang w:val="nl-NL"/>
        </w:rPr>
        <w:t>€ 14</w:t>
      </w:r>
      <w:r>
        <w:rPr>
          <w:rFonts w:ascii="Verdana" w:hAnsi="Verdana"/>
          <w:sz w:val="18"/>
          <w:szCs w:val="18"/>
          <w:lang w:val="nl-NL"/>
        </w:rPr>
        <w:t xml:space="preserve"> miljoen bij te dragen aan dit programma </w:t>
      </w:r>
    </w:p>
    <w:p w:rsidRPr="00460324" w:rsidR="00DC13A2" w:rsidP="00460324" w:rsidRDefault="000B3B1D">
      <w:pPr>
        <w:pStyle w:val="Lijstalinea"/>
        <w:numPr>
          <w:ilvl w:val="0"/>
          <w:numId w:val="20"/>
        </w:numPr>
        <w:ind w:left="283" w:hanging="283"/>
        <w:rPr>
          <w:rFonts w:ascii="Verdana" w:hAnsi="Verdana"/>
          <w:sz w:val="18"/>
          <w:szCs w:val="18"/>
          <w:u w:val="single"/>
          <w:lang w:val="nl-NL"/>
        </w:rPr>
      </w:pPr>
      <w:r w:rsidRPr="00460324">
        <w:rPr>
          <w:rFonts w:ascii="Verdana" w:hAnsi="Verdana"/>
          <w:sz w:val="18"/>
          <w:szCs w:val="18"/>
          <w:u w:val="single"/>
          <w:lang w:val="nl-NL"/>
        </w:rPr>
        <w:t xml:space="preserve">Telecommunicatie </w:t>
      </w:r>
      <w:r w:rsidRPr="00460324" w:rsidR="003C60A2">
        <w:rPr>
          <w:rFonts w:ascii="Verdana" w:hAnsi="Verdana"/>
          <w:sz w:val="18"/>
          <w:szCs w:val="18"/>
          <w:u w:val="single"/>
          <w:lang w:val="nl-NL"/>
        </w:rPr>
        <w:t>en geïntegreerde toepassingen:</w:t>
      </w:r>
    </w:p>
    <w:p w:rsidR="00732856" w:rsidP="00460324" w:rsidRDefault="000B3B1D">
      <w:pPr>
        <w:ind w:left="283"/>
        <w:rPr>
          <w:rFonts w:ascii="Verdana" w:hAnsi="Verdana"/>
          <w:sz w:val="18"/>
          <w:szCs w:val="18"/>
          <w:lang w:val="nl-NL"/>
        </w:rPr>
      </w:pPr>
      <w:r>
        <w:rPr>
          <w:rFonts w:ascii="Verdana" w:hAnsi="Verdana"/>
          <w:sz w:val="18"/>
          <w:szCs w:val="18"/>
          <w:lang w:val="nl-NL"/>
        </w:rPr>
        <w:t xml:space="preserve">Het Telecommunicatie-programma van ESA bestaat uit een 30-tal onderdelen. Nederland is actief in een beperkt aantal daarvan om Nederlandse bedrijven en kennisinstellingen gericht te ondersteunen bij het </w:t>
      </w:r>
      <w:r w:rsidR="003C60A2">
        <w:rPr>
          <w:rFonts w:ascii="Verdana" w:hAnsi="Verdana"/>
          <w:sz w:val="18"/>
          <w:szCs w:val="18"/>
          <w:lang w:val="nl-NL"/>
        </w:rPr>
        <w:t xml:space="preserve">inbrengen van hun technische capaciteiten. Zij worden in staat gesteld hun positie op nichemarkten voor specifieke productontwikkelingen te consolideren of versterken. Het “Integrated Application Promotion”/IAP-programma biedt Nederlandse bedrijven kansen voor de ontwikkeling van commerciële diensten op basis van satellietdata aan overheden, kennisinstellingen en commerciële partijen. </w:t>
      </w:r>
      <w:r w:rsidRPr="008C1EA4" w:rsidR="003C60A2">
        <w:rPr>
          <w:rFonts w:ascii="Verdana" w:hAnsi="Verdana"/>
          <w:sz w:val="18"/>
          <w:szCs w:val="18"/>
          <w:lang w:val="nl-NL"/>
        </w:rPr>
        <w:t>De groeipotentie van deze markt is groot.</w:t>
      </w:r>
      <w:r w:rsidRPr="008C1EA4" w:rsidR="00F50A0F">
        <w:rPr>
          <w:rFonts w:ascii="Verdana" w:hAnsi="Verdana"/>
          <w:sz w:val="18"/>
          <w:szCs w:val="18"/>
          <w:lang w:val="nl-NL"/>
        </w:rPr>
        <w:t xml:space="preserve"> </w:t>
      </w:r>
    </w:p>
    <w:p w:rsidR="00DC13A2" w:rsidP="00460324" w:rsidRDefault="008C1EA4">
      <w:pPr>
        <w:ind w:left="283"/>
        <w:rPr>
          <w:rFonts w:ascii="Verdana" w:hAnsi="Verdana"/>
          <w:sz w:val="18"/>
          <w:szCs w:val="18"/>
          <w:lang w:val="nl-NL"/>
        </w:rPr>
      </w:pPr>
      <w:r w:rsidRPr="008C1EA4">
        <w:rPr>
          <w:rFonts w:ascii="Verdana" w:hAnsi="Verdana"/>
          <w:sz w:val="18"/>
          <w:szCs w:val="18"/>
          <w:lang w:val="nl-NL"/>
        </w:rPr>
        <w:t xml:space="preserve">De markt van Telecom Providers is in beweging. </w:t>
      </w:r>
      <w:r w:rsidR="00732856">
        <w:rPr>
          <w:rFonts w:ascii="Verdana" w:hAnsi="Verdana"/>
          <w:sz w:val="18"/>
          <w:szCs w:val="18"/>
          <w:lang w:val="nl-NL"/>
        </w:rPr>
        <w:t xml:space="preserve">Het beleid is erop gericht om van bedrijven, die </w:t>
      </w:r>
      <w:r w:rsidRPr="008C1EA4">
        <w:rPr>
          <w:rFonts w:ascii="Verdana" w:hAnsi="Verdana"/>
          <w:sz w:val="18"/>
          <w:szCs w:val="18"/>
          <w:lang w:val="nl-NL"/>
        </w:rPr>
        <w:t xml:space="preserve">via Nederland </w:t>
      </w:r>
      <w:r w:rsidR="00732856">
        <w:rPr>
          <w:rFonts w:ascii="Verdana" w:hAnsi="Verdana"/>
          <w:sz w:val="18"/>
          <w:szCs w:val="18"/>
          <w:lang w:val="nl-NL"/>
        </w:rPr>
        <w:t xml:space="preserve">(het Agentschap Telecom) </w:t>
      </w:r>
      <w:r w:rsidRPr="008C1EA4">
        <w:rPr>
          <w:rFonts w:ascii="Verdana" w:hAnsi="Verdana"/>
          <w:color w:val="000000"/>
          <w:sz w:val="18"/>
          <w:szCs w:val="18"/>
          <w:lang w:val="nl-NL"/>
        </w:rPr>
        <w:t>radio</w:t>
      </w:r>
      <w:r w:rsidRPr="008C1EA4">
        <w:rPr>
          <w:rFonts w:ascii="Verdana" w:hAnsi="Verdana"/>
          <w:sz w:val="18"/>
          <w:szCs w:val="18"/>
          <w:lang w:val="nl-NL"/>
        </w:rPr>
        <w:t>frequenties wi</w:t>
      </w:r>
      <w:r w:rsidR="00732856">
        <w:rPr>
          <w:rFonts w:ascii="Verdana" w:hAnsi="Verdana"/>
          <w:sz w:val="18"/>
          <w:szCs w:val="18"/>
          <w:lang w:val="nl-NL"/>
        </w:rPr>
        <w:t>llen</w:t>
      </w:r>
      <w:r w:rsidRPr="008C1EA4">
        <w:rPr>
          <w:rFonts w:ascii="Verdana" w:hAnsi="Verdana"/>
          <w:sz w:val="18"/>
          <w:szCs w:val="18"/>
          <w:lang w:val="nl-NL"/>
        </w:rPr>
        <w:t xml:space="preserve"> claimen</w:t>
      </w:r>
      <w:r w:rsidR="00732856">
        <w:rPr>
          <w:rFonts w:ascii="Verdana" w:hAnsi="Verdana"/>
          <w:sz w:val="18"/>
          <w:szCs w:val="18"/>
          <w:lang w:val="nl-NL"/>
        </w:rPr>
        <w:t>,</w:t>
      </w:r>
      <w:r w:rsidRPr="008C1EA4">
        <w:rPr>
          <w:rFonts w:ascii="Verdana" w:hAnsi="Verdana"/>
          <w:sz w:val="18"/>
          <w:szCs w:val="18"/>
          <w:lang w:val="nl-NL"/>
        </w:rPr>
        <w:t xml:space="preserve"> </w:t>
      </w:r>
      <w:r w:rsidR="00732856">
        <w:rPr>
          <w:rFonts w:ascii="Verdana" w:hAnsi="Verdana"/>
          <w:sz w:val="18"/>
          <w:szCs w:val="18"/>
          <w:lang w:val="nl-NL"/>
        </w:rPr>
        <w:t>als tegenprestatie te vergen dat ze economische activiteiten in Nederland</w:t>
      </w:r>
      <w:r w:rsidRPr="008C1EA4">
        <w:rPr>
          <w:rFonts w:ascii="Verdana" w:hAnsi="Verdana"/>
          <w:color w:val="000000"/>
          <w:sz w:val="18"/>
          <w:szCs w:val="18"/>
          <w:lang w:val="nl-NL"/>
        </w:rPr>
        <w:t xml:space="preserve"> gaan</w:t>
      </w:r>
      <w:r w:rsidR="00732856">
        <w:rPr>
          <w:rFonts w:ascii="Verdana" w:hAnsi="Verdana"/>
          <w:sz w:val="18"/>
          <w:szCs w:val="18"/>
          <w:lang w:val="nl-NL"/>
        </w:rPr>
        <w:t xml:space="preserve"> ontplooien. Door recente nieuwe ruimtevaartwetgeving</w:t>
      </w:r>
      <w:r w:rsidRPr="008C1EA4">
        <w:rPr>
          <w:rFonts w:ascii="Verdana" w:hAnsi="Verdana"/>
          <w:sz w:val="18"/>
          <w:szCs w:val="18"/>
          <w:lang w:val="nl-NL"/>
        </w:rPr>
        <w:t xml:space="preserve"> is de belangstelling voor Nederland </w:t>
      </w:r>
      <w:r>
        <w:rPr>
          <w:rFonts w:ascii="Verdana" w:hAnsi="Verdana"/>
          <w:sz w:val="18"/>
          <w:szCs w:val="18"/>
          <w:lang w:val="nl-NL"/>
        </w:rPr>
        <w:t>toegenomen. Zeker 2 en mogelijk</w:t>
      </w:r>
      <w:r w:rsidRPr="008C1EA4">
        <w:rPr>
          <w:rFonts w:ascii="Verdana" w:hAnsi="Verdana"/>
          <w:sz w:val="18"/>
          <w:szCs w:val="18"/>
          <w:lang w:val="nl-NL"/>
        </w:rPr>
        <w:t xml:space="preserve"> zelfs 4 Telecom Providers zijn bezig zich in Nederland te vestigen</w:t>
      </w:r>
      <w:r>
        <w:rPr>
          <w:rFonts w:ascii="Verdana" w:hAnsi="Verdana"/>
          <w:sz w:val="18"/>
          <w:szCs w:val="18"/>
          <w:lang w:val="nl-NL"/>
        </w:rPr>
        <w:t xml:space="preserve"> (zie ook paragraaf 9)</w:t>
      </w:r>
      <w:r w:rsidRPr="008C1EA4">
        <w:rPr>
          <w:rFonts w:ascii="Verdana" w:hAnsi="Verdana"/>
          <w:sz w:val="18"/>
          <w:szCs w:val="18"/>
          <w:lang w:val="nl-NL"/>
        </w:rPr>
        <w:t xml:space="preserve">. </w:t>
      </w:r>
      <w:r w:rsidR="00732856">
        <w:rPr>
          <w:rFonts w:ascii="Verdana" w:hAnsi="Verdana"/>
          <w:sz w:val="18"/>
          <w:szCs w:val="18"/>
          <w:lang w:val="nl-NL"/>
        </w:rPr>
        <w:t>D</w:t>
      </w:r>
      <w:r w:rsidRPr="008C1EA4">
        <w:rPr>
          <w:rFonts w:ascii="Verdana" w:hAnsi="Verdana"/>
          <w:sz w:val="18"/>
          <w:szCs w:val="18"/>
          <w:lang w:val="nl-NL"/>
        </w:rPr>
        <w:t>e economische activiteit</w:t>
      </w:r>
      <w:r w:rsidRPr="008C1EA4">
        <w:rPr>
          <w:rFonts w:ascii="Verdana" w:hAnsi="Verdana"/>
          <w:color w:val="000000"/>
          <w:sz w:val="18"/>
          <w:szCs w:val="18"/>
          <w:lang w:val="nl-NL"/>
        </w:rPr>
        <w:t>en</w:t>
      </w:r>
      <w:r w:rsidRPr="008C1EA4">
        <w:rPr>
          <w:rFonts w:ascii="Verdana" w:hAnsi="Verdana"/>
          <w:sz w:val="18"/>
          <w:szCs w:val="18"/>
          <w:lang w:val="nl-NL"/>
        </w:rPr>
        <w:t xml:space="preserve"> </w:t>
      </w:r>
      <w:r w:rsidR="00732856">
        <w:rPr>
          <w:rFonts w:ascii="Verdana" w:hAnsi="Verdana"/>
          <w:sz w:val="18"/>
          <w:szCs w:val="18"/>
          <w:lang w:val="nl-NL"/>
        </w:rPr>
        <w:t xml:space="preserve">zullen </w:t>
      </w:r>
      <w:r w:rsidRPr="008C1EA4">
        <w:rPr>
          <w:rFonts w:ascii="Verdana" w:hAnsi="Verdana"/>
          <w:sz w:val="18"/>
          <w:szCs w:val="18"/>
          <w:lang w:val="nl-NL"/>
        </w:rPr>
        <w:t>zich niet beperk</w:t>
      </w:r>
      <w:r w:rsidRPr="008C1EA4">
        <w:rPr>
          <w:rFonts w:ascii="Verdana" w:hAnsi="Verdana"/>
          <w:color w:val="000000"/>
          <w:sz w:val="18"/>
          <w:szCs w:val="18"/>
          <w:lang w:val="nl-NL"/>
        </w:rPr>
        <w:t>en</w:t>
      </w:r>
      <w:r w:rsidRPr="008C1EA4">
        <w:rPr>
          <w:rFonts w:ascii="Verdana" w:hAnsi="Verdana"/>
          <w:sz w:val="18"/>
          <w:szCs w:val="18"/>
          <w:lang w:val="nl-NL"/>
        </w:rPr>
        <w:t xml:space="preserve"> tot logistieke functies maar </w:t>
      </w:r>
      <w:r w:rsidR="00732856">
        <w:rPr>
          <w:rFonts w:ascii="Verdana" w:hAnsi="Verdana"/>
          <w:sz w:val="18"/>
          <w:szCs w:val="18"/>
          <w:lang w:val="nl-NL"/>
        </w:rPr>
        <w:t>naar verwachting zal er ook onderzoek en ontwikkeling</w:t>
      </w:r>
      <w:r>
        <w:rPr>
          <w:rFonts w:ascii="Verdana" w:hAnsi="Verdana"/>
          <w:sz w:val="18"/>
          <w:szCs w:val="18"/>
          <w:lang w:val="nl-NL"/>
        </w:rPr>
        <w:t xml:space="preserve"> naar Nederland komen</w:t>
      </w:r>
      <w:r w:rsidRPr="008C1EA4">
        <w:rPr>
          <w:rFonts w:ascii="Verdana" w:hAnsi="Verdana"/>
          <w:sz w:val="18"/>
          <w:szCs w:val="18"/>
          <w:lang w:val="nl-NL"/>
        </w:rPr>
        <w:t>.</w:t>
      </w:r>
      <w:r w:rsidRPr="008C1EA4">
        <w:rPr>
          <w:rFonts w:ascii="Verdana" w:hAnsi="Verdana" w:eastAsia="Times New Roman"/>
          <w:sz w:val="18"/>
          <w:szCs w:val="18"/>
          <w:lang w:val="nl-NL"/>
        </w:rPr>
        <w:t xml:space="preserve"> Voorts k</w:t>
      </w:r>
      <w:r w:rsidR="00732856">
        <w:rPr>
          <w:rFonts w:ascii="Verdana" w:hAnsi="Verdana" w:eastAsia="Times New Roman"/>
          <w:sz w:val="18"/>
          <w:szCs w:val="18"/>
          <w:lang w:val="nl-NL"/>
        </w:rPr>
        <w:t>an he</w:t>
      </w:r>
      <w:r>
        <w:rPr>
          <w:rFonts w:ascii="Verdana" w:hAnsi="Verdana" w:eastAsia="Times New Roman"/>
          <w:sz w:val="18"/>
          <w:szCs w:val="18"/>
          <w:lang w:val="nl-NL"/>
        </w:rPr>
        <w:t>t ertoe lei</w:t>
      </w:r>
      <w:r w:rsidR="00732856">
        <w:rPr>
          <w:rFonts w:ascii="Verdana" w:hAnsi="Verdana" w:eastAsia="Times New Roman"/>
          <w:sz w:val="18"/>
          <w:szCs w:val="18"/>
          <w:lang w:val="nl-NL"/>
        </w:rPr>
        <w:t xml:space="preserve">den dat nieuwe </w:t>
      </w:r>
      <w:r w:rsidRPr="008C1EA4">
        <w:rPr>
          <w:rFonts w:ascii="Verdana" w:hAnsi="Verdana" w:eastAsia="Times New Roman"/>
          <w:sz w:val="18"/>
          <w:szCs w:val="18"/>
          <w:lang w:val="nl-NL"/>
        </w:rPr>
        <w:t xml:space="preserve">productie in Nederland zal plaats </w:t>
      </w:r>
      <w:r>
        <w:rPr>
          <w:rFonts w:ascii="Verdana" w:hAnsi="Verdana" w:eastAsia="Times New Roman"/>
          <w:sz w:val="18"/>
          <w:szCs w:val="18"/>
          <w:lang w:val="nl-NL"/>
        </w:rPr>
        <w:t xml:space="preserve">gaan </w:t>
      </w:r>
      <w:r w:rsidRPr="008C1EA4">
        <w:rPr>
          <w:rFonts w:ascii="Verdana" w:hAnsi="Verdana" w:eastAsia="Times New Roman"/>
          <w:sz w:val="18"/>
          <w:szCs w:val="18"/>
          <w:lang w:val="nl-NL"/>
        </w:rPr>
        <w:t>vinden, dan wel dat orders bij de Nederlandse toeleveringsindustrie worden geplaatst.</w:t>
      </w:r>
      <w:r>
        <w:rPr>
          <w:rFonts w:ascii="Verdana" w:hAnsi="Verdana" w:eastAsia="Times New Roman"/>
          <w:sz w:val="18"/>
          <w:szCs w:val="18"/>
          <w:lang w:val="nl-NL"/>
        </w:rPr>
        <w:t xml:space="preserve"> </w:t>
      </w:r>
      <w:r w:rsidRPr="008C1EA4" w:rsidR="00732856">
        <w:rPr>
          <w:rFonts w:ascii="Verdana" w:hAnsi="Verdana"/>
          <w:sz w:val="18"/>
          <w:szCs w:val="18"/>
          <w:lang w:val="nl-NL"/>
        </w:rPr>
        <w:t>Via het ESA/ARTES-programma kan Nederland d</w:t>
      </w:r>
      <w:r w:rsidR="00732856">
        <w:rPr>
          <w:rFonts w:ascii="Verdana" w:hAnsi="Verdana"/>
          <w:sz w:val="18"/>
          <w:szCs w:val="18"/>
          <w:lang w:val="nl-NL"/>
        </w:rPr>
        <w:t xml:space="preserve">eze bedrijven </w:t>
      </w:r>
      <w:r w:rsidRPr="008C1EA4" w:rsidR="00732856">
        <w:rPr>
          <w:rFonts w:ascii="Verdana" w:hAnsi="Verdana"/>
          <w:sz w:val="18"/>
          <w:szCs w:val="18"/>
          <w:lang w:val="nl-NL"/>
        </w:rPr>
        <w:t>ondersteunen</w:t>
      </w:r>
      <w:r w:rsidR="00732856">
        <w:rPr>
          <w:rFonts w:ascii="Verdana" w:hAnsi="Verdana"/>
          <w:sz w:val="18"/>
          <w:szCs w:val="18"/>
          <w:lang w:val="nl-NL"/>
        </w:rPr>
        <w:t>.</w:t>
      </w:r>
      <w:r w:rsidRPr="008C1EA4" w:rsidR="00732856">
        <w:rPr>
          <w:rFonts w:ascii="Verdana" w:hAnsi="Verdana"/>
          <w:sz w:val="18"/>
          <w:szCs w:val="18"/>
          <w:lang w:val="nl-NL"/>
        </w:rPr>
        <w:t xml:space="preserve"> </w:t>
      </w:r>
      <w:r w:rsidR="00F50A0F">
        <w:rPr>
          <w:rFonts w:ascii="Verdana" w:hAnsi="Verdana"/>
          <w:sz w:val="18"/>
          <w:szCs w:val="18"/>
          <w:lang w:val="nl-NL"/>
        </w:rPr>
        <w:t>In totaal reserveert Nederland hiervoor € 31 miljoen.</w:t>
      </w:r>
    </w:p>
    <w:p w:rsidRPr="00460324" w:rsidR="003C60A2" w:rsidP="00460324" w:rsidRDefault="003C60A2">
      <w:pPr>
        <w:pStyle w:val="Lijstalinea"/>
        <w:numPr>
          <w:ilvl w:val="0"/>
          <w:numId w:val="20"/>
        </w:numPr>
        <w:ind w:left="283" w:hanging="283"/>
        <w:rPr>
          <w:rFonts w:ascii="Verdana" w:hAnsi="Verdana"/>
          <w:sz w:val="18"/>
          <w:szCs w:val="18"/>
          <w:u w:val="single"/>
          <w:lang w:val="nl-NL"/>
        </w:rPr>
      </w:pPr>
      <w:r w:rsidRPr="00460324">
        <w:rPr>
          <w:rFonts w:ascii="Verdana" w:hAnsi="Verdana"/>
          <w:sz w:val="18"/>
          <w:szCs w:val="18"/>
          <w:u w:val="single"/>
          <w:lang w:val="nl-NL"/>
        </w:rPr>
        <w:t xml:space="preserve">Navigatie: </w:t>
      </w:r>
    </w:p>
    <w:p w:rsidR="004F7A97" w:rsidP="00460324" w:rsidRDefault="003C60A2">
      <w:pPr>
        <w:ind w:left="283"/>
        <w:rPr>
          <w:rFonts w:ascii="Verdana" w:hAnsi="Verdana"/>
          <w:sz w:val="18"/>
          <w:szCs w:val="18"/>
          <w:lang w:val="nl-NL"/>
        </w:rPr>
      </w:pPr>
      <w:r>
        <w:rPr>
          <w:rFonts w:ascii="Verdana" w:hAnsi="Verdana"/>
          <w:sz w:val="18"/>
          <w:szCs w:val="18"/>
          <w:lang w:val="nl-NL"/>
        </w:rPr>
        <w:t xml:space="preserve">Dit betreft een nieuw ESA-programma voor technologieontwikkeling op het gebied van navigatietechnologie. </w:t>
      </w:r>
      <w:r w:rsidR="00686A48">
        <w:rPr>
          <w:rFonts w:ascii="Verdana" w:hAnsi="Verdana"/>
          <w:sz w:val="18"/>
          <w:szCs w:val="18"/>
          <w:lang w:val="nl-NL"/>
        </w:rPr>
        <w:t>Het zal zijn gericht op de ontwikkeling van technologie voor een nieuwe generatie van navigatiesatellieten na de afronding van het Europese Galileo-programma.</w:t>
      </w:r>
      <w:r w:rsidR="003F1A1E">
        <w:rPr>
          <w:rFonts w:ascii="Verdana" w:hAnsi="Verdana"/>
          <w:sz w:val="18"/>
          <w:szCs w:val="18"/>
          <w:lang w:val="nl-NL"/>
        </w:rPr>
        <w:t xml:space="preserve"> Dit ESA-</w:t>
      </w:r>
      <w:r w:rsidR="003F1A1E">
        <w:rPr>
          <w:rFonts w:ascii="Verdana" w:hAnsi="Verdana"/>
          <w:sz w:val="18"/>
          <w:szCs w:val="18"/>
          <w:lang w:val="nl-NL"/>
        </w:rPr>
        <w:lastRenderedPageBreak/>
        <w:t>programma is in nauwe interactie met en instemming van de Europese Commissie opgezet. O</w:t>
      </w:r>
      <w:r w:rsidR="00F50A0F">
        <w:rPr>
          <w:rFonts w:ascii="Verdana" w:hAnsi="Verdana"/>
          <w:sz w:val="18"/>
          <w:szCs w:val="18"/>
          <w:lang w:val="nl-NL"/>
        </w:rPr>
        <w:t>p</w:t>
      </w:r>
      <w:r w:rsidR="004F7A97">
        <w:rPr>
          <w:rFonts w:ascii="Verdana" w:hAnsi="Verdana"/>
          <w:sz w:val="18"/>
          <w:szCs w:val="18"/>
          <w:lang w:val="nl-NL"/>
        </w:rPr>
        <w:t xml:space="preserve"> </w:t>
      </w:r>
      <w:r w:rsidR="003F1A1E">
        <w:rPr>
          <w:rFonts w:ascii="Verdana" w:hAnsi="Verdana"/>
          <w:sz w:val="18"/>
          <w:szCs w:val="18"/>
          <w:lang w:val="nl-NL"/>
        </w:rPr>
        <w:t xml:space="preserve">dit programma </w:t>
      </w:r>
      <w:r w:rsidR="004F7A97">
        <w:rPr>
          <w:rFonts w:ascii="Verdana" w:hAnsi="Verdana"/>
          <w:sz w:val="18"/>
          <w:szCs w:val="18"/>
          <w:lang w:val="nl-NL"/>
        </w:rPr>
        <w:t xml:space="preserve">zal Nederland </w:t>
      </w:r>
      <w:r w:rsidR="003F1A1E">
        <w:rPr>
          <w:rFonts w:ascii="Verdana" w:hAnsi="Verdana"/>
          <w:sz w:val="18"/>
          <w:szCs w:val="18"/>
          <w:lang w:val="nl-NL"/>
        </w:rPr>
        <w:t xml:space="preserve">voor </w:t>
      </w:r>
      <w:r w:rsidR="004F7A97">
        <w:rPr>
          <w:rFonts w:ascii="Verdana" w:hAnsi="Verdana"/>
          <w:sz w:val="18"/>
          <w:szCs w:val="18"/>
          <w:lang w:val="nl-NL"/>
        </w:rPr>
        <w:t>€ 1 mi</w:t>
      </w:r>
      <w:r w:rsidR="00E25F55">
        <w:rPr>
          <w:rFonts w:ascii="Verdana" w:hAnsi="Verdana"/>
          <w:sz w:val="18"/>
          <w:szCs w:val="18"/>
          <w:lang w:val="nl-NL"/>
        </w:rPr>
        <w:t>l</w:t>
      </w:r>
      <w:r w:rsidR="004F7A97">
        <w:rPr>
          <w:rFonts w:ascii="Verdana" w:hAnsi="Verdana"/>
          <w:sz w:val="18"/>
          <w:szCs w:val="18"/>
          <w:lang w:val="nl-NL"/>
        </w:rPr>
        <w:t>joen inschrijven.</w:t>
      </w:r>
    </w:p>
    <w:p w:rsidR="003C60A2" w:rsidP="00460324" w:rsidRDefault="003C60A2">
      <w:pPr>
        <w:pStyle w:val="Lijstalinea"/>
        <w:numPr>
          <w:ilvl w:val="0"/>
          <w:numId w:val="20"/>
        </w:numPr>
        <w:ind w:left="283" w:hanging="283"/>
        <w:rPr>
          <w:rFonts w:ascii="Verdana" w:hAnsi="Verdana"/>
          <w:sz w:val="18"/>
          <w:szCs w:val="18"/>
          <w:u w:val="single"/>
          <w:lang w:val="nl-NL"/>
        </w:rPr>
      </w:pPr>
      <w:r w:rsidRPr="00460324">
        <w:rPr>
          <w:rFonts w:ascii="Verdana" w:hAnsi="Verdana"/>
          <w:sz w:val="18"/>
          <w:szCs w:val="18"/>
          <w:u w:val="single"/>
          <w:lang w:val="nl-NL"/>
        </w:rPr>
        <w:t>Tec</w:t>
      </w:r>
      <w:r w:rsidRPr="00460324" w:rsidR="00686A48">
        <w:rPr>
          <w:rFonts w:ascii="Verdana" w:hAnsi="Verdana"/>
          <w:sz w:val="18"/>
          <w:szCs w:val="18"/>
          <w:u w:val="single"/>
          <w:lang w:val="nl-NL"/>
        </w:rPr>
        <w:t>h</w:t>
      </w:r>
      <w:r w:rsidRPr="00460324">
        <w:rPr>
          <w:rFonts w:ascii="Verdana" w:hAnsi="Verdana"/>
          <w:sz w:val="18"/>
          <w:szCs w:val="18"/>
          <w:u w:val="single"/>
          <w:lang w:val="nl-NL"/>
        </w:rPr>
        <w:t>nologie:</w:t>
      </w:r>
    </w:p>
    <w:p w:rsidRPr="000178C7" w:rsidR="000178C7" w:rsidP="000178C7" w:rsidRDefault="000178C7">
      <w:pPr>
        <w:ind w:left="283"/>
        <w:rPr>
          <w:rFonts w:ascii="Verdana" w:hAnsi="Verdana"/>
          <w:sz w:val="18"/>
          <w:szCs w:val="18"/>
          <w:lang w:val="nl-NL"/>
        </w:rPr>
      </w:pPr>
      <w:r>
        <w:rPr>
          <w:rFonts w:ascii="Verdana" w:hAnsi="Verdana"/>
          <w:sz w:val="18"/>
          <w:szCs w:val="18"/>
          <w:lang w:val="nl-NL"/>
        </w:rPr>
        <w:t>Nederland blijft investeren in de technologieprogramma’s van ESA</w:t>
      </w:r>
      <w:r w:rsidR="005C1850">
        <w:rPr>
          <w:rFonts w:ascii="Verdana" w:hAnsi="Verdana"/>
          <w:sz w:val="18"/>
          <w:szCs w:val="18"/>
          <w:lang w:val="nl-NL"/>
        </w:rPr>
        <w:t>. Daarmee stelt ESA bedrijven in staat nieuwe technologieën te ontwikkelen en te testen op ESTEC. Naast ontwikkelingsprogramma’s voor Telecom (ARTES) en Navigatie (NAVIS) kent ESA ook het General Support Technology Programma (GSTP) waarin Nederland € 10 miljoen zal investeren. Daarvan is € 2 miljoen bestemd voor de activiteiten van het succesvoll</w:t>
      </w:r>
      <w:r w:rsidR="00525E0B">
        <w:rPr>
          <w:rFonts w:ascii="Verdana" w:hAnsi="Verdana"/>
          <w:sz w:val="18"/>
          <w:szCs w:val="18"/>
          <w:lang w:val="nl-NL"/>
        </w:rPr>
        <w:t>e ESA-Business Incubation Center</w:t>
      </w:r>
      <w:r w:rsidR="005C1850">
        <w:rPr>
          <w:rFonts w:ascii="Verdana" w:hAnsi="Verdana"/>
          <w:sz w:val="18"/>
          <w:szCs w:val="18"/>
          <w:lang w:val="nl-NL"/>
        </w:rPr>
        <w:t xml:space="preserve"> te Noordwijk.</w:t>
      </w:r>
    </w:p>
    <w:p w:rsidRPr="00460324" w:rsidR="003C60A2" w:rsidP="00460324" w:rsidRDefault="003C60A2">
      <w:pPr>
        <w:pStyle w:val="Lijstalinea"/>
        <w:numPr>
          <w:ilvl w:val="0"/>
          <w:numId w:val="20"/>
        </w:numPr>
        <w:ind w:left="283" w:hanging="283"/>
        <w:rPr>
          <w:rFonts w:ascii="Verdana" w:hAnsi="Verdana"/>
          <w:sz w:val="18"/>
          <w:szCs w:val="18"/>
          <w:u w:val="single"/>
          <w:lang w:val="nl-NL"/>
        </w:rPr>
      </w:pPr>
      <w:r w:rsidRPr="00460324">
        <w:rPr>
          <w:rFonts w:ascii="Verdana" w:hAnsi="Verdana"/>
          <w:sz w:val="18"/>
          <w:szCs w:val="18"/>
          <w:u w:val="single"/>
          <w:lang w:val="nl-NL"/>
        </w:rPr>
        <w:t>Bescherming tegen buitenaardse bedreigingen:</w:t>
      </w:r>
    </w:p>
    <w:p w:rsidR="003C60A2" w:rsidP="00460324" w:rsidRDefault="00686A48">
      <w:pPr>
        <w:ind w:left="283"/>
        <w:rPr>
          <w:rFonts w:ascii="Verdana" w:hAnsi="Verdana"/>
          <w:sz w:val="18"/>
          <w:szCs w:val="18"/>
          <w:lang w:val="nl-NL"/>
        </w:rPr>
      </w:pPr>
      <w:r>
        <w:rPr>
          <w:rFonts w:ascii="Verdana" w:hAnsi="Verdana"/>
          <w:sz w:val="18"/>
          <w:szCs w:val="18"/>
          <w:lang w:val="nl-NL"/>
        </w:rPr>
        <w:t>Zoals in paragraaf 8 beschreven zal Nederland ook op dit programma gaan inschrijven om aan te haken op de Europese inspanningen om bedreigingen vanuit de ruimte het hoofd te bieden.</w:t>
      </w:r>
    </w:p>
    <w:p w:rsidR="0067791F" w:rsidP="00460324" w:rsidRDefault="0067791F">
      <w:pPr>
        <w:ind w:left="283"/>
        <w:rPr>
          <w:rFonts w:ascii="Verdana" w:hAnsi="Verdana"/>
          <w:sz w:val="18"/>
          <w:szCs w:val="18"/>
          <w:lang w:val="nl-NL"/>
        </w:rPr>
      </w:pPr>
      <w:r>
        <w:rPr>
          <w:rFonts w:ascii="Verdana" w:hAnsi="Verdana"/>
          <w:sz w:val="18"/>
          <w:szCs w:val="18"/>
          <w:lang w:val="nl-NL"/>
        </w:rPr>
        <w:t xml:space="preserve">Enerzijds gaat het daarbij om het verhogen van kennis over de betrokken bedreigingen, zoals van zonnestormen. Anderzijds gaat het om onderzoek hoe de kwetsbaarheid van satellieten kan worden beperkt voor dergelijke bedreigingen uit de ruimte. Dit om de kans te verkleinen dat satellieten (tijdelijk) uitvallen als gevolg van deze bedreigingen met alle gevolgen voor processen op Aarde die afhangen van het functioneren van de betreffende satellieten. </w:t>
      </w:r>
      <w:r w:rsidR="00B370BE">
        <w:rPr>
          <w:rFonts w:ascii="Verdana" w:hAnsi="Verdana"/>
          <w:sz w:val="18"/>
          <w:szCs w:val="18"/>
          <w:lang w:val="nl-NL"/>
        </w:rPr>
        <w:t>D</w:t>
      </w:r>
      <w:r>
        <w:rPr>
          <w:rFonts w:ascii="Verdana" w:hAnsi="Verdana"/>
          <w:sz w:val="18"/>
          <w:szCs w:val="18"/>
          <w:lang w:val="nl-NL"/>
        </w:rPr>
        <w:t>e nieuwe Europese Commissie heeft, mede op aandrang van Nederland, aangegeven hier meer aandacht aan te zullen gaan schenken.</w:t>
      </w:r>
      <w:r w:rsidR="004F7A97">
        <w:rPr>
          <w:rFonts w:ascii="Verdana" w:hAnsi="Verdana"/>
          <w:sz w:val="18"/>
          <w:szCs w:val="18"/>
          <w:lang w:val="nl-NL"/>
        </w:rPr>
        <w:t xml:space="preserve"> Nederland zal voor € 2 miljoen inschrijven op dit programma.</w:t>
      </w:r>
    </w:p>
    <w:p w:rsidR="00644B1D" w:rsidP="00460324" w:rsidRDefault="00644B1D">
      <w:pPr>
        <w:rPr>
          <w:rFonts w:ascii="Verdana" w:hAnsi="Verdana"/>
          <w:sz w:val="18"/>
          <w:szCs w:val="18"/>
          <w:lang w:val="nl-NL"/>
        </w:rPr>
      </w:pPr>
    </w:p>
    <w:p w:rsidR="000D4E55" w:rsidP="00460324" w:rsidRDefault="0067791F">
      <w:pPr>
        <w:rPr>
          <w:rFonts w:ascii="Verdana" w:hAnsi="Verdana"/>
          <w:sz w:val="18"/>
          <w:szCs w:val="18"/>
          <w:lang w:val="nl-NL"/>
        </w:rPr>
      </w:pPr>
      <w:r>
        <w:rPr>
          <w:rFonts w:ascii="Verdana" w:hAnsi="Verdana"/>
          <w:sz w:val="18"/>
          <w:szCs w:val="18"/>
          <w:lang w:val="nl-NL"/>
        </w:rPr>
        <w:t xml:space="preserve">Het bovenstaande </w:t>
      </w:r>
      <w:r w:rsidR="00FD5583">
        <w:rPr>
          <w:rFonts w:ascii="Verdana" w:hAnsi="Verdana"/>
          <w:sz w:val="18"/>
          <w:szCs w:val="18"/>
          <w:lang w:val="nl-NL"/>
        </w:rPr>
        <w:t xml:space="preserve">betekent dat Nederland </w:t>
      </w:r>
      <w:r w:rsidR="00BF6156">
        <w:rPr>
          <w:rFonts w:ascii="Verdana" w:hAnsi="Verdana"/>
          <w:sz w:val="18"/>
          <w:szCs w:val="18"/>
          <w:lang w:val="nl-NL"/>
        </w:rPr>
        <w:t xml:space="preserve">voornemens is </w:t>
      </w:r>
      <w:r w:rsidR="00FD5583">
        <w:rPr>
          <w:rFonts w:ascii="Verdana" w:hAnsi="Verdana"/>
          <w:sz w:val="18"/>
          <w:szCs w:val="18"/>
          <w:lang w:val="nl-NL"/>
        </w:rPr>
        <w:t>op een</w:t>
      </w:r>
      <w:r w:rsidR="00BF6156">
        <w:rPr>
          <w:rFonts w:ascii="Verdana" w:hAnsi="Verdana"/>
          <w:sz w:val="18"/>
          <w:szCs w:val="18"/>
          <w:lang w:val="nl-NL"/>
        </w:rPr>
        <w:t xml:space="preserve"> selectief aantal optionele </w:t>
      </w:r>
      <w:r w:rsidR="00FD5583">
        <w:rPr>
          <w:rFonts w:ascii="Verdana" w:hAnsi="Verdana"/>
          <w:sz w:val="18"/>
          <w:szCs w:val="18"/>
          <w:lang w:val="nl-NL"/>
        </w:rPr>
        <w:t>programma</w:t>
      </w:r>
      <w:r w:rsidR="00BF6156">
        <w:rPr>
          <w:rFonts w:ascii="Verdana" w:hAnsi="Verdana"/>
          <w:sz w:val="18"/>
          <w:szCs w:val="18"/>
          <w:lang w:val="nl-NL"/>
        </w:rPr>
        <w:t>’</w:t>
      </w:r>
      <w:r w:rsidR="00FD5583">
        <w:rPr>
          <w:rFonts w:ascii="Verdana" w:hAnsi="Verdana"/>
          <w:sz w:val="18"/>
          <w:szCs w:val="18"/>
          <w:lang w:val="nl-NL"/>
        </w:rPr>
        <w:t xml:space="preserve">s </w:t>
      </w:r>
      <w:r w:rsidR="00BF6156">
        <w:rPr>
          <w:rFonts w:ascii="Verdana" w:hAnsi="Verdana"/>
          <w:sz w:val="18"/>
          <w:szCs w:val="18"/>
          <w:lang w:val="nl-NL"/>
        </w:rPr>
        <w:t>van ESA in te</w:t>
      </w:r>
      <w:r w:rsidR="00FD5583">
        <w:rPr>
          <w:rFonts w:ascii="Verdana" w:hAnsi="Verdana"/>
          <w:sz w:val="18"/>
          <w:szCs w:val="18"/>
          <w:lang w:val="nl-NL"/>
        </w:rPr>
        <w:t xml:space="preserve"> schrijven. </w:t>
      </w:r>
      <w:r w:rsidR="00BF6156">
        <w:rPr>
          <w:rFonts w:ascii="Verdana" w:hAnsi="Verdana"/>
          <w:sz w:val="18"/>
          <w:szCs w:val="18"/>
          <w:lang w:val="nl-NL"/>
        </w:rPr>
        <w:t>Een aantal daarvan heeft</w:t>
      </w:r>
      <w:r w:rsidR="00FD5583">
        <w:rPr>
          <w:rFonts w:ascii="Verdana" w:hAnsi="Verdana"/>
          <w:sz w:val="18"/>
          <w:szCs w:val="18"/>
          <w:lang w:val="nl-NL"/>
        </w:rPr>
        <w:t xml:space="preserve"> een langere doorlooptijd dan tot 2019. B</w:t>
      </w:r>
      <w:r w:rsidR="00E25F55">
        <w:rPr>
          <w:rFonts w:ascii="Verdana" w:hAnsi="Verdana"/>
          <w:sz w:val="18"/>
          <w:szCs w:val="18"/>
          <w:lang w:val="nl-NL"/>
        </w:rPr>
        <w:t>ij de inschrijving wordt daar</w:t>
      </w:r>
      <w:r w:rsidR="00FD5583">
        <w:rPr>
          <w:rFonts w:ascii="Verdana" w:hAnsi="Verdana"/>
          <w:sz w:val="18"/>
          <w:szCs w:val="18"/>
          <w:lang w:val="nl-NL"/>
        </w:rPr>
        <w:t xml:space="preserve"> rekening </w:t>
      </w:r>
      <w:r w:rsidR="00E25F55">
        <w:rPr>
          <w:rFonts w:ascii="Verdana" w:hAnsi="Verdana"/>
          <w:sz w:val="18"/>
          <w:szCs w:val="18"/>
          <w:lang w:val="nl-NL"/>
        </w:rPr>
        <w:t xml:space="preserve">mee </w:t>
      </w:r>
      <w:r w:rsidR="00FD5583">
        <w:rPr>
          <w:rFonts w:ascii="Verdana" w:hAnsi="Verdana"/>
          <w:sz w:val="18"/>
          <w:szCs w:val="18"/>
          <w:lang w:val="nl-NL"/>
        </w:rPr>
        <w:t xml:space="preserve">gehouden. Dit </w:t>
      </w:r>
      <w:r w:rsidR="00BF6156">
        <w:rPr>
          <w:rFonts w:ascii="Verdana" w:hAnsi="Verdana"/>
          <w:sz w:val="18"/>
          <w:szCs w:val="18"/>
          <w:lang w:val="nl-NL"/>
        </w:rPr>
        <w:t>leidt tot het</w:t>
      </w:r>
      <w:r>
        <w:rPr>
          <w:rFonts w:ascii="Verdana" w:hAnsi="Verdana"/>
          <w:sz w:val="18"/>
          <w:szCs w:val="18"/>
          <w:lang w:val="nl-NL"/>
        </w:rPr>
        <w:t xml:space="preserve"> volgende overzicht van voorgenomen inschrijvingen in</w:t>
      </w:r>
      <w:r w:rsidR="004C7704">
        <w:rPr>
          <w:rFonts w:ascii="Verdana" w:hAnsi="Verdana"/>
          <w:sz w:val="18"/>
          <w:szCs w:val="18"/>
          <w:lang w:val="nl-NL"/>
        </w:rPr>
        <w:t xml:space="preserve"> </w:t>
      </w:r>
      <w:r>
        <w:rPr>
          <w:rFonts w:ascii="Verdana" w:hAnsi="Verdana"/>
          <w:sz w:val="18"/>
          <w:szCs w:val="18"/>
          <w:lang w:val="nl-NL"/>
        </w:rPr>
        <w:t>optionele programma’s van ESA:</w:t>
      </w:r>
    </w:p>
    <w:p w:rsidR="004F7A97" w:rsidP="003A7671" w:rsidRDefault="004F7A97">
      <w:pPr>
        <w:rPr>
          <w:lang w:val="nl-NL"/>
        </w:rPr>
      </w:pPr>
    </w:p>
    <w:p w:rsidR="00644B1D" w:rsidP="003A7671" w:rsidRDefault="00644B1D">
      <w:pPr>
        <w:rPr>
          <w:lang w:val="nl-NL"/>
        </w:rPr>
      </w:pPr>
    </w:p>
    <w:p w:rsidRPr="00460324" w:rsidR="001D0592" w:rsidP="00FD5583" w:rsidRDefault="00FD5583">
      <w:pPr>
        <w:rPr>
          <w:rFonts w:ascii="Verdana" w:hAnsi="Verdana"/>
          <w:sz w:val="16"/>
          <w:szCs w:val="16"/>
          <w:lang w:val="nl-NL"/>
        </w:rPr>
      </w:pPr>
      <w:r w:rsidRPr="00460324">
        <w:rPr>
          <w:rFonts w:ascii="Verdana" w:hAnsi="Verdana"/>
          <w:sz w:val="16"/>
          <w:szCs w:val="16"/>
          <w:lang w:val="nl-NL"/>
        </w:rPr>
        <w:t>Tabel 1: Voorgenomen inschrijvingen van Nederland in optionele ESA-ruimtevaart programma’s</w:t>
      </w:r>
      <w:r w:rsidR="00DD0714">
        <w:rPr>
          <w:rFonts w:ascii="Verdana" w:hAnsi="Verdana"/>
          <w:sz w:val="16"/>
          <w:szCs w:val="16"/>
          <w:lang w:val="nl-NL"/>
        </w:rPr>
        <w:t xml:space="preserve"> (in miljoenen Euro)</w:t>
      </w:r>
      <w:r w:rsidRPr="00460324">
        <w:rPr>
          <w:rFonts w:ascii="Verdana" w:hAnsi="Verdana"/>
          <w:sz w:val="16"/>
          <w:szCs w:val="16"/>
          <w:lang w:val="nl-NL"/>
        </w:rPr>
        <w:t>:</w:t>
      </w:r>
    </w:p>
    <w:tbl>
      <w:tblPr>
        <w:tblStyle w:val="Tabelraster"/>
        <w:tblW w:w="0" w:type="auto"/>
        <w:tblLayout w:type="fixed"/>
        <w:tblLook w:val="04A0" w:firstRow="1" w:lastRow="0" w:firstColumn="1" w:lastColumn="0" w:noHBand="0" w:noVBand="1"/>
      </w:tblPr>
      <w:tblGrid>
        <w:gridCol w:w="2257"/>
        <w:gridCol w:w="1128"/>
        <w:gridCol w:w="1128"/>
        <w:gridCol w:w="1128"/>
        <w:gridCol w:w="1128"/>
        <w:gridCol w:w="1128"/>
        <w:gridCol w:w="1128"/>
      </w:tblGrid>
      <w:tr w:rsidRPr="006528F5" w:rsidR="001D0592" w:rsidTr="00460324">
        <w:trPr>
          <w:trHeight w:val="729"/>
        </w:trPr>
        <w:tc>
          <w:tcPr>
            <w:tcW w:w="2257" w:type="dxa"/>
          </w:tcPr>
          <w:p w:rsidRPr="00460324" w:rsidR="001D0592"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ESA optionele programma’s</w:t>
            </w:r>
          </w:p>
        </w:tc>
        <w:tc>
          <w:tcPr>
            <w:tcW w:w="1128" w:type="dxa"/>
          </w:tcPr>
          <w:p w:rsidRPr="00460324" w:rsidR="001D0592"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Totaal gevraagd budget ESA</w:t>
            </w:r>
          </w:p>
        </w:tc>
        <w:tc>
          <w:tcPr>
            <w:tcW w:w="1128" w:type="dxa"/>
          </w:tcPr>
          <w:p w:rsidRPr="00460324" w:rsidR="001D0592" w:rsidP="00742979" w:rsidRDefault="00B02737">
            <w:pPr>
              <w:ind w:left="98"/>
              <w:rPr>
                <w:rFonts w:ascii="Verdana" w:hAnsi="Verdana"/>
                <w:sz w:val="15"/>
                <w:szCs w:val="15"/>
                <w:highlight w:val="yellow"/>
                <w:lang w:val="nl-NL"/>
              </w:rPr>
            </w:pPr>
            <w:r w:rsidRPr="00460324">
              <w:rPr>
                <w:rFonts w:ascii="Verdana" w:hAnsi="Verdana"/>
                <w:sz w:val="15"/>
                <w:szCs w:val="15"/>
                <w:highlight w:val="yellow"/>
                <w:lang w:val="nl-NL"/>
              </w:rPr>
              <w:t>% NL</w:t>
            </w:r>
          </w:p>
        </w:tc>
        <w:tc>
          <w:tcPr>
            <w:tcW w:w="1128" w:type="dxa"/>
          </w:tcPr>
          <w:p w:rsidRPr="00460324" w:rsidR="001D0592"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Verplicht- ingen</w:t>
            </w:r>
          </w:p>
          <w:p w:rsidRPr="00460324" w:rsidR="00B02737"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bedrag</w:t>
            </w:r>
          </w:p>
          <w:p w:rsidRPr="00460324" w:rsidR="00B02737"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MC-2016</w:t>
            </w:r>
          </w:p>
        </w:tc>
        <w:tc>
          <w:tcPr>
            <w:tcW w:w="1128" w:type="dxa"/>
          </w:tcPr>
          <w:p w:rsidRPr="00460324" w:rsidR="001D0592"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Bestemd voor periode</w:t>
            </w:r>
          </w:p>
          <w:p w:rsidRPr="00460324" w:rsidR="00B02737"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2017-‘19</w:t>
            </w:r>
          </w:p>
        </w:tc>
        <w:tc>
          <w:tcPr>
            <w:tcW w:w="1128" w:type="dxa"/>
          </w:tcPr>
          <w:p w:rsidRPr="00460324" w:rsidR="001D0592"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Bestemd voor periode</w:t>
            </w:r>
          </w:p>
          <w:p w:rsidRPr="00460324" w:rsidR="00B02737"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2020-‘22</w:t>
            </w:r>
          </w:p>
        </w:tc>
        <w:tc>
          <w:tcPr>
            <w:tcW w:w="1128" w:type="dxa"/>
          </w:tcPr>
          <w:p w:rsidRPr="00460324" w:rsidR="001D0592" w:rsidP="00FD5583" w:rsidRDefault="00B02737">
            <w:pPr>
              <w:rPr>
                <w:rFonts w:ascii="Verdana" w:hAnsi="Verdana"/>
                <w:sz w:val="15"/>
                <w:szCs w:val="15"/>
                <w:highlight w:val="yellow"/>
                <w:lang w:val="nl-NL"/>
              </w:rPr>
            </w:pPr>
            <w:r w:rsidRPr="00460324">
              <w:rPr>
                <w:rFonts w:ascii="Verdana" w:hAnsi="Verdana"/>
                <w:sz w:val="15"/>
                <w:szCs w:val="15"/>
                <w:highlight w:val="yellow"/>
                <w:lang w:val="nl-NL"/>
              </w:rPr>
              <w:t>Looptijd program-ma t/m jaar</w:t>
            </w:r>
          </w:p>
        </w:tc>
      </w:tr>
      <w:tr w:rsidRPr="00B370BE" w:rsidR="001D0592" w:rsidTr="00460324">
        <w:trPr>
          <w:trHeight w:val="182"/>
        </w:trPr>
        <w:tc>
          <w:tcPr>
            <w:tcW w:w="2257" w:type="dxa"/>
          </w:tcPr>
          <w:p w:rsidRPr="00460324" w:rsidR="001D0592" w:rsidP="00FD5583" w:rsidRDefault="003C5982">
            <w:pPr>
              <w:rPr>
                <w:rFonts w:ascii="Verdana" w:hAnsi="Verdana"/>
                <w:sz w:val="15"/>
                <w:szCs w:val="15"/>
                <w:lang w:val="en-GB"/>
              </w:rPr>
            </w:pPr>
            <w:r w:rsidRPr="00BB4AF0">
              <w:rPr>
                <w:rFonts w:ascii="Verdana" w:hAnsi="Verdana"/>
                <w:sz w:val="15"/>
                <w:szCs w:val="15"/>
                <w:highlight w:val="green"/>
                <w:lang w:val="en-GB"/>
              </w:rPr>
              <w:t>Aardobservatie</w:t>
            </w:r>
          </w:p>
        </w:tc>
        <w:tc>
          <w:tcPr>
            <w:tcW w:w="1128" w:type="dxa"/>
          </w:tcPr>
          <w:p w:rsidRPr="00460324" w:rsidR="001D0592" w:rsidP="003E4BF2" w:rsidRDefault="001D0592">
            <w:pPr>
              <w:ind w:left="98"/>
              <w:rPr>
                <w:rFonts w:ascii="Verdana" w:hAnsi="Verdana"/>
                <w:sz w:val="15"/>
                <w:szCs w:val="15"/>
                <w:lang w:val="en-GB"/>
              </w:rPr>
            </w:pPr>
          </w:p>
        </w:tc>
        <w:tc>
          <w:tcPr>
            <w:tcW w:w="1128" w:type="dxa"/>
          </w:tcPr>
          <w:p w:rsidRPr="00460324" w:rsidR="001D0592" w:rsidP="00742979" w:rsidRDefault="001D0592">
            <w:pPr>
              <w:ind w:left="98"/>
              <w:rPr>
                <w:rFonts w:ascii="Verdana" w:hAnsi="Verdana"/>
                <w:sz w:val="15"/>
                <w:szCs w:val="15"/>
                <w:lang w:val="en-GB"/>
              </w:rPr>
            </w:pPr>
          </w:p>
        </w:tc>
        <w:tc>
          <w:tcPr>
            <w:tcW w:w="1128" w:type="dxa"/>
          </w:tcPr>
          <w:p w:rsidRPr="00460324" w:rsidR="001D0592" w:rsidP="002A08DE" w:rsidRDefault="001D0592">
            <w:pPr>
              <w:ind w:left="98"/>
              <w:rPr>
                <w:rFonts w:ascii="Verdana" w:hAnsi="Verdana"/>
                <w:sz w:val="15"/>
                <w:szCs w:val="15"/>
                <w:lang w:val="en-GB"/>
              </w:rPr>
            </w:pPr>
          </w:p>
        </w:tc>
        <w:tc>
          <w:tcPr>
            <w:tcW w:w="1128" w:type="dxa"/>
          </w:tcPr>
          <w:p w:rsidRPr="00460324" w:rsidR="001D0592" w:rsidP="00742979" w:rsidRDefault="001D0592">
            <w:pPr>
              <w:ind w:left="98"/>
              <w:rPr>
                <w:rFonts w:ascii="Verdana" w:hAnsi="Verdana"/>
                <w:sz w:val="15"/>
                <w:szCs w:val="15"/>
                <w:lang w:val="en-GB"/>
              </w:rPr>
            </w:pPr>
          </w:p>
        </w:tc>
        <w:tc>
          <w:tcPr>
            <w:tcW w:w="1128" w:type="dxa"/>
          </w:tcPr>
          <w:p w:rsidRPr="00460324" w:rsidR="001D0592" w:rsidP="00742979" w:rsidRDefault="001D0592">
            <w:pPr>
              <w:ind w:left="98"/>
              <w:rPr>
                <w:rFonts w:ascii="Verdana" w:hAnsi="Verdana"/>
                <w:sz w:val="15"/>
                <w:szCs w:val="15"/>
                <w:lang w:val="en-GB"/>
              </w:rPr>
            </w:pPr>
          </w:p>
        </w:tc>
        <w:tc>
          <w:tcPr>
            <w:tcW w:w="1128" w:type="dxa"/>
          </w:tcPr>
          <w:p w:rsidRPr="00460324" w:rsidR="001D0592" w:rsidP="00FD5583" w:rsidRDefault="001D0592">
            <w:pPr>
              <w:rPr>
                <w:rFonts w:ascii="Verdana" w:hAnsi="Verdana"/>
                <w:sz w:val="15"/>
                <w:szCs w:val="15"/>
                <w:lang w:val="en-GB"/>
              </w:rPr>
            </w:pPr>
          </w:p>
        </w:tc>
      </w:tr>
      <w:tr w:rsidRPr="00B370BE" w:rsidR="003C5982" w:rsidTr="00460324">
        <w:trPr>
          <w:trHeight w:val="167"/>
        </w:trPr>
        <w:tc>
          <w:tcPr>
            <w:tcW w:w="2257" w:type="dxa"/>
          </w:tcPr>
          <w:p w:rsidRPr="00460324" w:rsidR="003C5982" w:rsidP="00FD5583" w:rsidRDefault="003C5982">
            <w:pPr>
              <w:rPr>
                <w:rFonts w:ascii="Verdana" w:hAnsi="Verdana"/>
                <w:sz w:val="15"/>
                <w:szCs w:val="15"/>
                <w:lang w:val="en-GB"/>
              </w:rPr>
            </w:pPr>
            <w:r w:rsidRPr="00460324">
              <w:rPr>
                <w:rFonts w:ascii="Verdana" w:hAnsi="Verdana"/>
                <w:sz w:val="15"/>
                <w:szCs w:val="15"/>
                <w:lang w:val="en-GB"/>
              </w:rPr>
              <w:t>EOEP 5</w:t>
            </w:r>
          </w:p>
        </w:tc>
        <w:tc>
          <w:tcPr>
            <w:tcW w:w="1128" w:type="dxa"/>
          </w:tcPr>
          <w:p w:rsidRPr="00460324" w:rsidR="003C5982" w:rsidP="003F1A1E" w:rsidRDefault="003F1A1E">
            <w:pPr>
              <w:rPr>
                <w:rFonts w:ascii="Verdana" w:hAnsi="Verdana"/>
                <w:sz w:val="15"/>
                <w:szCs w:val="15"/>
                <w:lang w:val="en-GB"/>
              </w:rPr>
            </w:pPr>
            <w:r w:rsidRPr="00460324">
              <w:rPr>
                <w:rFonts w:ascii="Verdana" w:hAnsi="Verdana"/>
                <w:sz w:val="15"/>
                <w:szCs w:val="15"/>
                <w:lang w:val="en-GB"/>
              </w:rPr>
              <w:t>1</w:t>
            </w:r>
            <w:r w:rsidRPr="00460324" w:rsidR="003C5982">
              <w:rPr>
                <w:rFonts w:ascii="Verdana" w:hAnsi="Verdana"/>
                <w:sz w:val="15"/>
                <w:szCs w:val="15"/>
                <w:lang w:val="en-GB"/>
              </w:rPr>
              <w:t>.410</w:t>
            </w:r>
          </w:p>
        </w:tc>
        <w:tc>
          <w:tcPr>
            <w:tcW w:w="1128" w:type="dxa"/>
          </w:tcPr>
          <w:p w:rsidRPr="00460324" w:rsidR="003C5982" w:rsidP="00742979" w:rsidRDefault="003E4BF2">
            <w:pPr>
              <w:ind w:left="98"/>
              <w:rPr>
                <w:rFonts w:ascii="Verdana" w:hAnsi="Verdana"/>
                <w:sz w:val="15"/>
                <w:szCs w:val="15"/>
                <w:lang w:val="en-GB"/>
              </w:rPr>
            </w:pPr>
            <w:r w:rsidRPr="00460324">
              <w:rPr>
                <w:rFonts w:ascii="Verdana" w:hAnsi="Verdana"/>
                <w:sz w:val="15"/>
                <w:szCs w:val="15"/>
                <w:lang w:val="en-GB"/>
              </w:rPr>
              <w:t>1,49%</w:t>
            </w:r>
          </w:p>
        </w:tc>
        <w:tc>
          <w:tcPr>
            <w:tcW w:w="1128" w:type="dxa"/>
          </w:tcPr>
          <w:p w:rsidRPr="00460324" w:rsidR="003C5982" w:rsidP="002A08DE" w:rsidRDefault="003E4BF2">
            <w:pPr>
              <w:ind w:left="98"/>
              <w:rPr>
                <w:rFonts w:ascii="Verdana" w:hAnsi="Verdana"/>
                <w:sz w:val="15"/>
                <w:szCs w:val="15"/>
                <w:lang w:val="en-GB"/>
              </w:rPr>
            </w:pPr>
            <w:r w:rsidRPr="00460324">
              <w:rPr>
                <w:rFonts w:ascii="Verdana" w:hAnsi="Verdana"/>
                <w:sz w:val="15"/>
                <w:szCs w:val="15"/>
                <w:lang w:val="en-GB"/>
              </w:rPr>
              <w:t>21,0</w:t>
            </w:r>
          </w:p>
        </w:tc>
        <w:tc>
          <w:tcPr>
            <w:tcW w:w="1128" w:type="dxa"/>
          </w:tcPr>
          <w:p w:rsidRPr="00460324" w:rsidR="003C5982" w:rsidP="00742979" w:rsidRDefault="003E4BF2">
            <w:pPr>
              <w:ind w:left="98"/>
              <w:rPr>
                <w:rFonts w:ascii="Verdana" w:hAnsi="Verdana"/>
                <w:sz w:val="15"/>
                <w:szCs w:val="15"/>
                <w:lang w:val="en-GB"/>
              </w:rPr>
            </w:pPr>
            <w:r w:rsidRPr="00460324">
              <w:rPr>
                <w:rFonts w:ascii="Verdana" w:hAnsi="Verdana"/>
                <w:sz w:val="15"/>
                <w:szCs w:val="15"/>
                <w:lang w:val="en-GB"/>
              </w:rPr>
              <w:t>11,5</w:t>
            </w:r>
          </w:p>
        </w:tc>
        <w:tc>
          <w:tcPr>
            <w:tcW w:w="1128" w:type="dxa"/>
          </w:tcPr>
          <w:p w:rsidRPr="00460324" w:rsidR="003C5982" w:rsidP="003F1A1E" w:rsidRDefault="003F1A1E">
            <w:pPr>
              <w:ind w:left="98"/>
              <w:rPr>
                <w:rFonts w:ascii="Verdana" w:hAnsi="Verdana"/>
                <w:sz w:val="15"/>
                <w:szCs w:val="15"/>
                <w:lang w:val="en-GB"/>
              </w:rPr>
            </w:pPr>
            <w:r w:rsidRPr="00460324">
              <w:rPr>
                <w:rFonts w:ascii="Verdana" w:hAnsi="Verdana"/>
                <w:sz w:val="15"/>
                <w:szCs w:val="15"/>
                <w:lang w:val="en-GB"/>
              </w:rPr>
              <w:t xml:space="preserve"> </w:t>
            </w:r>
            <w:r w:rsidRPr="00460324" w:rsidR="00C90E80">
              <w:rPr>
                <w:rFonts w:ascii="Verdana" w:hAnsi="Verdana"/>
                <w:sz w:val="15"/>
                <w:szCs w:val="15"/>
                <w:lang w:val="en-GB"/>
              </w:rPr>
              <w:t xml:space="preserve"> </w:t>
            </w:r>
            <w:r w:rsidRPr="00460324" w:rsidR="003E4BF2">
              <w:rPr>
                <w:rFonts w:ascii="Verdana" w:hAnsi="Verdana"/>
                <w:sz w:val="15"/>
                <w:szCs w:val="15"/>
                <w:lang w:val="en-GB"/>
              </w:rPr>
              <w:t>9,5</w:t>
            </w:r>
          </w:p>
        </w:tc>
        <w:tc>
          <w:tcPr>
            <w:tcW w:w="1128" w:type="dxa"/>
          </w:tcPr>
          <w:p w:rsidRPr="00460324" w:rsidR="003C5982" w:rsidP="003F1A1E" w:rsidRDefault="003E4BF2">
            <w:pPr>
              <w:rPr>
                <w:rFonts w:ascii="Verdana" w:hAnsi="Verdana"/>
                <w:sz w:val="15"/>
                <w:szCs w:val="15"/>
                <w:lang w:val="en-GB"/>
              </w:rPr>
            </w:pPr>
            <w:r w:rsidRPr="00460324">
              <w:rPr>
                <w:rFonts w:ascii="Verdana" w:hAnsi="Verdana"/>
                <w:sz w:val="15"/>
                <w:szCs w:val="15"/>
                <w:lang w:val="en-GB"/>
              </w:rPr>
              <w:t xml:space="preserve">    </w:t>
            </w:r>
            <w:r w:rsidRPr="00460324" w:rsidR="003F1A1E">
              <w:rPr>
                <w:rFonts w:ascii="Verdana" w:hAnsi="Verdana"/>
                <w:sz w:val="15"/>
                <w:szCs w:val="15"/>
                <w:lang w:val="en-GB"/>
              </w:rPr>
              <w:t xml:space="preserve"> 2</w:t>
            </w:r>
            <w:r w:rsidRPr="00460324">
              <w:rPr>
                <w:rFonts w:ascii="Verdana" w:hAnsi="Verdana"/>
                <w:sz w:val="15"/>
                <w:szCs w:val="15"/>
                <w:lang w:val="en-GB"/>
              </w:rPr>
              <w:t>025</w:t>
            </w:r>
          </w:p>
        </w:tc>
      </w:tr>
      <w:tr w:rsidRPr="00B370BE" w:rsidR="003C5982" w:rsidTr="00460324">
        <w:trPr>
          <w:trHeight w:val="182"/>
        </w:trPr>
        <w:tc>
          <w:tcPr>
            <w:tcW w:w="2257" w:type="dxa"/>
          </w:tcPr>
          <w:p w:rsidRPr="00460324" w:rsidR="003C5982" w:rsidP="00FD5583" w:rsidRDefault="003C5982">
            <w:pPr>
              <w:rPr>
                <w:rFonts w:ascii="Verdana" w:hAnsi="Verdana"/>
                <w:sz w:val="15"/>
                <w:szCs w:val="15"/>
                <w:lang w:val="en-GB"/>
              </w:rPr>
            </w:pPr>
            <w:r w:rsidRPr="00460324">
              <w:rPr>
                <w:rFonts w:ascii="Verdana" w:hAnsi="Verdana"/>
                <w:sz w:val="15"/>
                <w:szCs w:val="15"/>
                <w:lang w:val="en-GB"/>
              </w:rPr>
              <w:t>Earth Watch-GMECV</w:t>
            </w:r>
          </w:p>
        </w:tc>
        <w:tc>
          <w:tcPr>
            <w:tcW w:w="1128" w:type="dxa"/>
          </w:tcPr>
          <w:p w:rsidRPr="00460324" w:rsidR="003C5982" w:rsidP="003F1A1E" w:rsidRDefault="003E4BF2">
            <w:pPr>
              <w:ind w:left="98"/>
              <w:rPr>
                <w:rFonts w:ascii="Verdana" w:hAnsi="Verdana"/>
                <w:sz w:val="15"/>
                <w:szCs w:val="15"/>
                <w:lang w:val="en-GB"/>
              </w:rPr>
            </w:pPr>
            <w:r w:rsidRPr="00460324">
              <w:rPr>
                <w:rFonts w:ascii="Verdana" w:hAnsi="Verdana"/>
                <w:sz w:val="15"/>
                <w:szCs w:val="15"/>
                <w:lang w:val="en-GB"/>
              </w:rPr>
              <w:t xml:space="preserve">   70</w:t>
            </w:r>
          </w:p>
        </w:tc>
        <w:tc>
          <w:tcPr>
            <w:tcW w:w="1128" w:type="dxa"/>
          </w:tcPr>
          <w:p w:rsidRPr="00460324" w:rsidR="003C5982" w:rsidP="00742979" w:rsidRDefault="003E4BF2">
            <w:pPr>
              <w:ind w:left="98"/>
              <w:rPr>
                <w:rFonts w:ascii="Verdana" w:hAnsi="Verdana"/>
                <w:sz w:val="15"/>
                <w:szCs w:val="15"/>
                <w:lang w:val="en-GB"/>
              </w:rPr>
            </w:pPr>
            <w:r w:rsidRPr="00460324">
              <w:rPr>
                <w:rFonts w:ascii="Verdana" w:hAnsi="Verdana"/>
                <w:sz w:val="15"/>
                <w:szCs w:val="15"/>
                <w:lang w:val="en-GB"/>
              </w:rPr>
              <w:t>2,86%</w:t>
            </w:r>
          </w:p>
        </w:tc>
        <w:tc>
          <w:tcPr>
            <w:tcW w:w="1128" w:type="dxa"/>
          </w:tcPr>
          <w:p w:rsidRPr="00460324" w:rsidR="003C5982" w:rsidP="003F1A1E" w:rsidRDefault="003E4BF2">
            <w:pPr>
              <w:ind w:left="98"/>
              <w:rPr>
                <w:rFonts w:ascii="Verdana" w:hAnsi="Verdana"/>
                <w:sz w:val="15"/>
                <w:szCs w:val="15"/>
                <w:lang w:val="en-GB"/>
              </w:rPr>
            </w:pPr>
            <w:r w:rsidRPr="00460324">
              <w:rPr>
                <w:rFonts w:ascii="Verdana" w:hAnsi="Verdana"/>
                <w:sz w:val="15"/>
                <w:szCs w:val="15"/>
                <w:lang w:val="en-GB"/>
              </w:rPr>
              <w:t xml:space="preserve">  2,0</w:t>
            </w:r>
          </w:p>
        </w:tc>
        <w:tc>
          <w:tcPr>
            <w:tcW w:w="1128" w:type="dxa"/>
          </w:tcPr>
          <w:p w:rsidRPr="00460324" w:rsidR="003C5982" w:rsidP="003F1A1E" w:rsidRDefault="003E4BF2">
            <w:pPr>
              <w:ind w:left="98"/>
              <w:rPr>
                <w:rFonts w:ascii="Verdana" w:hAnsi="Verdana"/>
                <w:sz w:val="15"/>
                <w:szCs w:val="15"/>
                <w:lang w:val="en-GB"/>
              </w:rPr>
            </w:pPr>
            <w:r w:rsidRPr="00460324">
              <w:rPr>
                <w:rFonts w:ascii="Verdana" w:hAnsi="Verdana"/>
                <w:sz w:val="15"/>
                <w:szCs w:val="15"/>
                <w:lang w:val="en-GB"/>
              </w:rPr>
              <w:t xml:space="preserve">  0,8</w:t>
            </w:r>
          </w:p>
        </w:tc>
        <w:tc>
          <w:tcPr>
            <w:tcW w:w="1128" w:type="dxa"/>
          </w:tcPr>
          <w:p w:rsidRPr="00460324" w:rsidR="003C5982" w:rsidP="00760917" w:rsidRDefault="00760917">
            <w:pPr>
              <w:ind w:left="98"/>
              <w:rPr>
                <w:rFonts w:ascii="Verdana" w:hAnsi="Verdana"/>
                <w:sz w:val="15"/>
                <w:szCs w:val="15"/>
                <w:lang w:val="en-GB"/>
              </w:rPr>
            </w:pPr>
            <w:r w:rsidRPr="00460324">
              <w:rPr>
                <w:rFonts w:ascii="Verdana" w:hAnsi="Verdana"/>
                <w:sz w:val="15"/>
                <w:szCs w:val="15"/>
                <w:lang w:val="en-GB"/>
              </w:rPr>
              <w:t xml:space="preserve">  1</w:t>
            </w:r>
            <w:r w:rsidRPr="00460324" w:rsidR="003E4BF2">
              <w:rPr>
                <w:rFonts w:ascii="Verdana" w:hAnsi="Verdana"/>
                <w:sz w:val="15"/>
                <w:szCs w:val="15"/>
                <w:lang w:val="en-GB"/>
              </w:rPr>
              <w:t>,2</w:t>
            </w:r>
          </w:p>
        </w:tc>
        <w:tc>
          <w:tcPr>
            <w:tcW w:w="1128" w:type="dxa"/>
          </w:tcPr>
          <w:p w:rsidRPr="00460324" w:rsidR="003C5982" w:rsidP="00760917" w:rsidRDefault="003E4BF2">
            <w:pPr>
              <w:rPr>
                <w:rFonts w:ascii="Verdana" w:hAnsi="Verdana"/>
                <w:sz w:val="15"/>
                <w:szCs w:val="15"/>
                <w:lang w:val="en-GB"/>
              </w:rPr>
            </w:pPr>
            <w:r w:rsidRPr="00460324">
              <w:rPr>
                <w:rFonts w:ascii="Verdana" w:hAnsi="Verdana"/>
                <w:sz w:val="15"/>
                <w:szCs w:val="15"/>
                <w:lang w:val="en-GB"/>
              </w:rPr>
              <w:t xml:space="preserve">    </w:t>
            </w:r>
            <w:r w:rsidRPr="00460324" w:rsidR="00760917">
              <w:rPr>
                <w:rFonts w:ascii="Verdana" w:hAnsi="Verdana"/>
                <w:sz w:val="15"/>
                <w:szCs w:val="15"/>
                <w:lang w:val="en-GB"/>
              </w:rPr>
              <w:t xml:space="preserve"> </w:t>
            </w:r>
            <w:r w:rsidRPr="00460324">
              <w:rPr>
                <w:rFonts w:ascii="Verdana" w:hAnsi="Verdana"/>
                <w:sz w:val="15"/>
                <w:szCs w:val="15"/>
                <w:lang w:val="en-GB"/>
              </w:rPr>
              <w:t>2023</w:t>
            </w:r>
          </w:p>
        </w:tc>
      </w:tr>
      <w:tr w:rsidRPr="00B370BE" w:rsidR="003C5982" w:rsidTr="00460324">
        <w:trPr>
          <w:trHeight w:val="182"/>
        </w:trPr>
        <w:tc>
          <w:tcPr>
            <w:tcW w:w="2257" w:type="dxa"/>
          </w:tcPr>
          <w:p w:rsidRPr="00460324" w:rsidR="003C5982" w:rsidP="00FD5583" w:rsidRDefault="003C5982">
            <w:pPr>
              <w:rPr>
                <w:rFonts w:ascii="Verdana" w:hAnsi="Verdana"/>
                <w:sz w:val="15"/>
                <w:szCs w:val="15"/>
                <w:lang w:val="en-GB"/>
              </w:rPr>
            </w:pPr>
            <w:r w:rsidRPr="00460324">
              <w:rPr>
                <w:rFonts w:ascii="Verdana" w:hAnsi="Verdana"/>
                <w:sz w:val="15"/>
                <w:szCs w:val="15"/>
                <w:lang w:val="en-GB"/>
              </w:rPr>
              <w:t>Earth Watch-InCubed</w:t>
            </w:r>
          </w:p>
        </w:tc>
        <w:tc>
          <w:tcPr>
            <w:tcW w:w="1128" w:type="dxa"/>
          </w:tcPr>
          <w:p w:rsidRPr="00460324" w:rsidR="003C5982" w:rsidP="00760917" w:rsidRDefault="00760917">
            <w:pPr>
              <w:ind w:left="98"/>
              <w:rPr>
                <w:rFonts w:ascii="Verdana" w:hAnsi="Verdana"/>
                <w:sz w:val="15"/>
                <w:szCs w:val="15"/>
                <w:lang w:val="en-GB"/>
              </w:rPr>
            </w:pPr>
            <w:r w:rsidRPr="00460324">
              <w:rPr>
                <w:rFonts w:ascii="Verdana" w:hAnsi="Verdana"/>
                <w:sz w:val="15"/>
                <w:szCs w:val="15"/>
                <w:lang w:val="en-GB"/>
              </w:rPr>
              <w:t xml:space="preserve">   </w:t>
            </w:r>
            <w:r w:rsidRPr="00460324" w:rsidR="003E4BF2">
              <w:rPr>
                <w:rFonts w:ascii="Verdana" w:hAnsi="Verdana"/>
                <w:sz w:val="15"/>
                <w:szCs w:val="15"/>
                <w:lang w:val="en-GB"/>
              </w:rPr>
              <w:t>40</w:t>
            </w:r>
          </w:p>
        </w:tc>
        <w:tc>
          <w:tcPr>
            <w:tcW w:w="1128" w:type="dxa"/>
          </w:tcPr>
          <w:p w:rsidRPr="00460324" w:rsidR="003C5982" w:rsidP="00742979" w:rsidRDefault="003E4BF2">
            <w:pPr>
              <w:ind w:left="98"/>
              <w:rPr>
                <w:rFonts w:ascii="Verdana" w:hAnsi="Verdana"/>
                <w:sz w:val="15"/>
                <w:szCs w:val="15"/>
                <w:lang w:val="en-GB"/>
              </w:rPr>
            </w:pPr>
            <w:r w:rsidRPr="00460324">
              <w:rPr>
                <w:rFonts w:ascii="Verdana" w:hAnsi="Verdana"/>
                <w:sz w:val="15"/>
                <w:szCs w:val="15"/>
                <w:lang w:val="en-GB"/>
              </w:rPr>
              <w:t>7,50%</w:t>
            </w:r>
          </w:p>
        </w:tc>
        <w:tc>
          <w:tcPr>
            <w:tcW w:w="1128" w:type="dxa"/>
          </w:tcPr>
          <w:p w:rsidRPr="00460324" w:rsidR="003C5982" w:rsidP="00760917" w:rsidRDefault="003E4BF2">
            <w:pPr>
              <w:ind w:left="98"/>
              <w:rPr>
                <w:rFonts w:ascii="Verdana" w:hAnsi="Verdana"/>
                <w:sz w:val="15"/>
                <w:szCs w:val="15"/>
                <w:lang w:val="en-GB"/>
              </w:rPr>
            </w:pPr>
            <w:r w:rsidRPr="00460324">
              <w:rPr>
                <w:rFonts w:ascii="Verdana" w:hAnsi="Verdana"/>
                <w:sz w:val="15"/>
                <w:szCs w:val="15"/>
                <w:lang w:val="en-GB"/>
              </w:rPr>
              <w:t xml:space="preserve">  3,0</w:t>
            </w:r>
          </w:p>
        </w:tc>
        <w:tc>
          <w:tcPr>
            <w:tcW w:w="1128" w:type="dxa"/>
          </w:tcPr>
          <w:p w:rsidRPr="00460324" w:rsidR="003C5982" w:rsidP="00760917" w:rsidRDefault="003E4BF2">
            <w:pPr>
              <w:ind w:left="98"/>
              <w:rPr>
                <w:rFonts w:ascii="Verdana" w:hAnsi="Verdana"/>
                <w:sz w:val="15"/>
                <w:szCs w:val="15"/>
                <w:lang w:val="en-GB"/>
              </w:rPr>
            </w:pPr>
            <w:r w:rsidRPr="00460324">
              <w:rPr>
                <w:rFonts w:ascii="Verdana" w:hAnsi="Verdana"/>
                <w:sz w:val="15"/>
                <w:szCs w:val="15"/>
                <w:lang w:val="en-GB"/>
              </w:rPr>
              <w:t xml:space="preserve">  2,3</w:t>
            </w:r>
          </w:p>
        </w:tc>
        <w:tc>
          <w:tcPr>
            <w:tcW w:w="1128" w:type="dxa"/>
          </w:tcPr>
          <w:p w:rsidRPr="00460324" w:rsidR="003C5982" w:rsidP="00760917" w:rsidRDefault="003E4BF2">
            <w:pPr>
              <w:ind w:left="98"/>
              <w:rPr>
                <w:rFonts w:ascii="Verdana" w:hAnsi="Verdana"/>
                <w:sz w:val="15"/>
                <w:szCs w:val="15"/>
                <w:lang w:val="en-GB"/>
              </w:rPr>
            </w:pPr>
            <w:r w:rsidRPr="00460324">
              <w:rPr>
                <w:rFonts w:ascii="Verdana" w:hAnsi="Verdana"/>
                <w:sz w:val="15"/>
                <w:szCs w:val="15"/>
                <w:lang w:val="en-GB"/>
              </w:rPr>
              <w:t xml:space="preserve">  0,7</w:t>
            </w:r>
          </w:p>
        </w:tc>
        <w:tc>
          <w:tcPr>
            <w:tcW w:w="1128" w:type="dxa"/>
          </w:tcPr>
          <w:p w:rsidRPr="00460324" w:rsidR="003C5982" w:rsidP="00760917" w:rsidRDefault="003E4BF2">
            <w:pPr>
              <w:rPr>
                <w:rFonts w:ascii="Verdana" w:hAnsi="Verdana"/>
                <w:sz w:val="15"/>
                <w:szCs w:val="15"/>
                <w:lang w:val="en-GB"/>
              </w:rPr>
            </w:pPr>
            <w:r w:rsidRPr="00460324">
              <w:rPr>
                <w:rFonts w:ascii="Verdana" w:hAnsi="Verdana"/>
                <w:sz w:val="15"/>
                <w:szCs w:val="15"/>
                <w:lang w:val="en-GB"/>
              </w:rPr>
              <w:t xml:space="preserve">     2021</w:t>
            </w:r>
          </w:p>
        </w:tc>
      </w:tr>
      <w:tr w:rsidRPr="00B370BE" w:rsidR="00770C44" w:rsidTr="00460324">
        <w:trPr>
          <w:trHeight w:val="182"/>
        </w:trPr>
        <w:tc>
          <w:tcPr>
            <w:tcW w:w="2257" w:type="dxa"/>
          </w:tcPr>
          <w:p w:rsidRPr="00460324" w:rsidR="00770C44" w:rsidP="00FD5583" w:rsidRDefault="00770C44">
            <w:pPr>
              <w:rPr>
                <w:rFonts w:ascii="Verdana" w:hAnsi="Verdana"/>
                <w:sz w:val="15"/>
                <w:szCs w:val="15"/>
                <w:lang w:val="en-GB"/>
              </w:rPr>
            </w:pPr>
            <w:r w:rsidRPr="00BB4AF0">
              <w:rPr>
                <w:rFonts w:ascii="Verdana" w:hAnsi="Verdana"/>
                <w:sz w:val="15"/>
                <w:szCs w:val="15"/>
                <w:highlight w:val="cyan"/>
                <w:lang w:val="en-GB"/>
              </w:rPr>
              <w:t>Totaal Aardobservatie</w:t>
            </w:r>
          </w:p>
        </w:tc>
        <w:tc>
          <w:tcPr>
            <w:tcW w:w="1128" w:type="dxa"/>
          </w:tcPr>
          <w:p w:rsidRPr="00460324" w:rsidR="00770C44" w:rsidP="003E4BF2" w:rsidRDefault="00770C44">
            <w:pPr>
              <w:ind w:left="98"/>
              <w:rPr>
                <w:rFonts w:ascii="Verdana" w:hAnsi="Verdana"/>
                <w:sz w:val="15"/>
                <w:szCs w:val="15"/>
                <w:lang w:val="en-GB"/>
              </w:rPr>
            </w:pPr>
          </w:p>
        </w:tc>
        <w:tc>
          <w:tcPr>
            <w:tcW w:w="1128" w:type="dxa"/>
          </w:tcPr>
          <w:p w:rsidRPr="00460324" w:rsidR="00770C44" w:rsidP="00742979" w:rsidRDefault="00770C44">
            <w:pPr>
              <w:ind w:left="98"/>
              <w:rPr>
                <w:rFonts w:ascii="Verdana" w:hAnsi="Verdana"/>
                <w:sz w:val="15"/>
                <w:szCs w:val="15"/>
                <w:lang w:val="en-GB"/>
              </w:rPr>
            </w:pPr>
          </w:p>
        </w:tc>
        <w:tc>
          <w:tcPr>
            <w:tcW w:w="1128" w:type="dxa"/>
          </w:tcPr>
          <w:p w:rsidRPr="00460324" w:rsidR="00770C44" w:rsidP="002A08DE" w:rsidRDefault="00770C44">
            <w:pPr>
              <w:ind w:left="98"/>
              <w:rPr>
                <w:rFonts w:ascii="Verdana" w:hAnsi="Verdana"/>
                <w:sz w:val="15"/>
                <w:szCs w:val="15"/>
                <w:lang w:val="en-GB"/>
              </w:rPr>
            </w:pPr>
            <w:r w:rsidRPr="00460324">
              <w:rPr>
                <w:rFonts w:ascii="Verdana" w:hAnsi="Verdana"/>
                <w:sz w:val="15"/>
                <w:szCs w:val="15"/>
                <w:lang w:val="en-GB"/>
              </w:rPr>
              <w:t>26,0</w:t>
            </w:r>
          </w:p>
        </w:tc>
        <w:tc>
          <w:tcPr>
            <w:tcW w:w="1128" w:type="dxa"/>
          </w:tcPr>
          <w:p w:rsidRPr="00460324" w:rsidR="00770C44" w:rsidP="00742979" w:rsidRDefault="00770C44">
            <w:pPr>
              <w:ind w:left="98"/>
              <w:rPr>
                <w:rFonts w:ascii="Verdana" w:hAnsi="Verdana"/>
                <w:sz w:val="15"/>
                <w:szCs w:val="15"/>
                <w:lang w:val="en-GB"/>
              </w:rPr>
            </w:pPr>
            <w:r w:rsidRPr="00460324">
              <w:rPr>
                <w:rFonts w:ascii="Verdana" w:hAnsi="Verdana"/>
                <w:sz w:val="15"/>
                <w:szCs w:val="15"/>
                <w:lang w:val="en-GB"/>
              </w:rPr>
              <w:t>14,6</w:t>
            </w:r>
          </w:p>
        </w:tc>
        <w:tc>
          <w:tcPr>
            <w:tcW w:w="1128" w:type="dxa"/>
          </w:tcPr>
          <w:p w:rsidRPr="00460324" w:rsidR="00770C44" w:rsidP="00742979" w:rsidRDefault="00770C44">
            <w:pPr>
              <w:ind w:left="98"/>
              <w:rPr>
                <w:rFonts w:ascii="Verdana" w:hAnsi="Verdana"/>
                <w:sz w:val="15"/>
                <w:szCs w:val="15"/>
                <w:lang w:val="en-GB"/>
              </w:rPr>
            </w:pPr>
            <w:r w:rsidRPr="00460324">
              <w:rPr>
                <w:rFonts w:ascii="Verdana" w:hAnsi="Verdana"/>
                <w:sz w:val="15"/>
                <w:szCs w:val="15"/>
                <w:lang w:val="en-GB"/>
              </w:rPr>
              <w:t>11,4</w:t>
            </w:r>
          </w:p>
        </w:tc>
        <w:tc>
          <w:tcPr>
            <w:tcW w:w="1128" w:type="dxa"/>
          </w:tcPr>
          <w:p w:rsidRPr="00460324" w:rsidR="00770C44" w:rsidP="00FD5583" w:rsidRDefault="00770C44">
            <w:pPr>
              <w:rPr>
                <w:rFonts w:ascii="Verdana" w:hAnsi="Verdana"/>
                <w:sz w:val="15"/>
                <w:szCs w:val="15"/>
                <w:lang w:val="en-GB"/>
              </w:rPr>
            </w:pPr>
          </w:p>
        </w:tc>
      </w:tr>
      <w:tr w:rsidRPr="00B370BE" w:rsidR="006528F5" w:rsidTr="00460324">
        <w:trPr>
          <w:trHeight w:val="182"/>
        </w:trPr>
        <w:tc>
          <w:tcPr>
            <w:tcW w:w="2257" w:type="dxa"/>
          </w:tcPr>
          <w:p w:rsidRPr="00BB4AF0" w:rsidR="006528F5" w:rsidP="00FD5583" w:rsidRDefault="006528F5">
            <w:pPr>
              <w:rPr>
                <w:rFonts w:ascii="Verdana" w:hAnsi="Verdana"/>
                <w:sz w:val="15"/>
                <w:szCs w:val="15"/>
                <w:highlight w:val="green"/>
                <w:lang w:val="nl-NL"/>
              </w:rPr>
            </w:pPr>
          </w:p>
        </w:tc>
        <w:tc>
          <w:tcPr>
            <w:tcW w:w="1128" w:type="dxa"/>
          </w:tcPr>
          <w:p w:rsidRPr="00460324" w:rsidR="006528F5" w:rsidP="003E4BF2"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2A08DE"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r>
      <w:tr w:rsidRPr="00B370BE" w:rsidR="00DD0714" w:rsidTr="00460324">
        <w:trPr>
          <w:trHeight w:val="182"/>
        </w:trPr>
        <w:tc>
          <w:tcPr>
            <w:tcW w:w="2257" w:type="dxa"/>
          </w:tcPr>
          <w:p w:rsidRPr="00460324" w:rsidR="00DD0714" w:rsidP="00FD5583" w:rsidRDefault="00DD0714">
            <w:pPr>
              <w:rPr>
                <w:rFonts w:ascii="Verdana" w:hAnsi="Verdana"/>
                <w:sz w:val="15"/>
                <w:szCs w:val="15"/>
                <w:highlight w:val="darkGreen"/>
                <w:lang w:val="en-GB"/>
              </w:rPr>
            </w:pPr>
            <w:r w:rsidRPr="00BB4AF0">
              <w:rPr>
                <w:rFonts w:ascii="Verdana" w:hAnsi="Verdana"/>
                <w:sz w:val="15"/>
                <w:szCs w:val="15"/>
                <w:highlight w:val="green"/>
                <w:lang w:val="nl-NL"/>
              </w:rPr>
              <w:t>Draagraketten</w:t>
            </w:r>
          </w:p>
        </w:tc>
        <w:tc>
          <w:tcPr>
            <w:tcW w:w="1128" w:type="dxa"/>
          </w:tcPr>
          <w:p w:rsidRPr="00460324" w:rsidR="00DD0714" w:rsidP="003E4BF2" w:rsidRDefault="00DD0714">
            <w:pPr>
              <w:ind w:left="98"/>
              <w:rPr>
                <w:rFonts w:ascii="Verdana" w:hAnsi="Verdana"/>
                <w:sz w:val="15"/>
                <w:szCs w:val="15"/>
                <w:lang w:val="en-GB"/>
              </w:rPr>
            </w:pPr>
          </w:p>
        </w:tc>
        <w:tc>
          <w:tcPr>
            <w:tcW w:w="1128" w:type="dxa"/>
          </w:tcPr>
          <w:p w:rsidRPr="00460324" w:rsidR="00DD0714" w:rsidP="00742979" w:rsidRDefault="00DD0714">
            <w:pPr>
              <w:ind w:left="98"/>
              <w:rPr>
                <w:rFonts w:ascii="Verdana" w:hAnsi="Verdana"/>
                <w:sz w:val="15"/>
                <w:szCs w:val="15"/>
                <w:lang w:val="en-GB"/>
              </w:rPr>
            </w:pPr>
          </w:p>
        </w:tc>
        <w:tc>
          <w:tcPr>
            <w:tcW w:w="1128" w:type="dxa"/>
          </w:tcPr>
          <w:p w:rsidRPr="00460324" w:rsidR="00DD0714" w:rsidP="002A08DE" w:rsidRDefault="00DD0714">
            <w:pPr>
              <w:ind w:left="98"/>
              <w:rPr>
                <w:rFonts w:ascii="Verdana" w:hAnsi="Verdana"/>
                <w:sz w:val="15"/>
                <w:szCs w:val="15"/>
                <w:lang w:val="en-GB"/>
              </w:rPr>
            </w:pPr>
          </w:p>
        </w:tc>
        <w:tc>
          <w:tcPr>
            <w:tcW w:w="1128" w:type="dxa"/>
          </w:tcPr>
          <w:p w:rsidRPr="00460324" w:rsidR="00DD0714" w:rsidP="00742979" w:rsidRDefault="00DD0714">
            <w:pPr>
              <w:ind w:left="98"/>
              <w:rPr>
                <w:rFonts w:ascii="Verdana" w:hAnsi="Verdana"/>
                <w:sz w:val="15"/>
                <w:szCs w:val="15"/>
                <w:lang w:val="en-GB"/>
              </w:rPr>
            </w:pPr>
          </w:p>
        </w:tc>
        <w:tc>
          <w:tcPr>
            <w:tcW w:w="1128" w:type="dxa"/>
          </w:tcPr>
          <w:p w:rsidRPr="00460324" w:rsidR="00DD0714" w:rsidP="00742979" w:rsidRDefault="00DD0714">
            <w:pPr>
              <w:ind w:left="98"/>
              <w:rPr>
                <w:rFonts w:ascii="Verdana" w:hAnsi="Verdana"/>
                <w:sz w:val="15"/>
                <w:szCs w:val="15"/>
                <w:lang w:val="en-GB"/>
              </w:rPr>
            </w:pPr>
          </w:p>
        </w:tc>
        <w:tc>
          <w:tcPr>
            <w:tcW w:w="1128" w:type="dxa"/>
          </w:tcPr>
          <w:p w:rsidRPr="00460324" w:rsidR="00DD0714" w:rsidP="00FD5583" w:rsidRDefault="00DD0714">
            <w:pPr>
              <w:rPr>
                <w:rFonts w:ascii="Verdana" w:hAnsi="Verdana"/>
                <w:sz w:val="15"/>
                <w:szCs w:val="15"/>
                <w:lang w:val="en-GB"/>
              </w:rPr>
            </w:pPr>
          </w:p>
        </w:tc>
      </w:tr>
      <w:tr w:rsidRPr="00B370BE" w:rsidR="00DD0714" w:rsidTr="00460324">
        <w:trPr>
          <w:trHeight w:val="182"/>
        </w:trPr>
        <w:tc>
          <w:tcPr>
            <w:tcW w:w="2257" w:type="dxa"/>
          </w:tcPr>
          <w:p w:rsidRPr="00460324" w:rsidR="00DD0714" w:rsidP="00FD5583" w:rsidRDefault="00DD0714">
            <w:pPr>
              <w:rPr>
                <w:rFonts w:ascii="Verdana" w:hAnsi="Verdana"/>
                <w:sz w:val="15"/>
                <w:szCs w:val="15"/>
                <w:highlight w:val="darkGreen"/>
                <w:lang w:val="en-GB"/>
              </w:rPr>
            </w:pPr>
            <w:r w:rsidRPr="00460324">
              <w:rPr>
                <w:rFonts w:ascii="Verdana" w:hAnsi="Verdana"/>
                <w:sz w:val="15"/>
                <w:szCs w:val="15"/>
                <w:lang w:val="en-GB"/>
              </w:rPr>
              <w:t>LEAP Ariane Class.&amp; MCO na 2016</w:t>
            </w:r>
          </w:p>
        </w:tc>
        <w:tc>
          <w:tcPr>
            <w:tcW w:w="1128" w:type="dxa"/>
          </w:tcPr>
          <w:p w:rsidRPr="00460324" w:rsidR="00DD0714" w:rsidP="003E4BF2" w:rsidRDefault="00DD0714">
            <w:pPr>
              <w:ind w:left="98"/>
              <w:rPr>
                <w:rFonts w:ascii="Verdana" w:hAnsi="Verdana"/>
                <w:sz w:val="15"/>
                <w:szCs w:val="15"/>
                <w:lang w:val="en-GB"/>
              </w:rPr>
            </w:pPr>
            <w:r>
              <w:rPr>
                <w:rFonts w:ascii="Verdana" w:hAnsi="Verdana"/>
                <w:sz w:val="15"/>
                <w:szCs w:val="15"/>
                <w:lang w:val="en-GB"/>
              </w:rPr>
              <w:t xml:space="preserve"> 543</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0,41%</w:t>
            </w:r>
          </w:p>
        </w:tc>
        <w:tc>
          <w:tcPr>
            <w:tcW w:w="1128" w:type="dxa"/>
          </w:tcPr>
          <w:p w:rsidRPr="00460324" w:rsidR="00DD0714" w:rsidP="002A08DE" w:rsidRDefault="00DD0714">
            <w:pPr>
              <w:ind w:left="98"/>
              <w:rPr>
                <w:rFonts w:ascii="Verdana" w:hAnsi="Verdana"/>
                <w:sz w:val="15"/>
                <w:szCs w:val="15"/>
                <w:lang w:val="en-GB"/>
              </w:rPr>
            </w:pPr>
            <w:r>
              <w:rPr>
                <w:rFonts w:ascii="Verdana" w:hAnsi="Verdana"/>
                <w:sz w:val="15"/>
                <w:szCs w:val="15"/>
                <w:lang w:val="en-GB"/>
              </w:rPr>
              <w:t xml:space="preserve">  2,2</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 xml:space="preserve">  2,2</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 xml:space="preserve">  0,0</w:t>
            </w:r>
          </w:p>
        </w:tc>
        <w:tc>
          <w:tcPr>
            <w:tcW w:w="1128" w:type="dxa"/>
          </w:tcPr>
          <w:p w:rsidRPr="00460324" w:rsidR="00DD0714" w:rsidP="00FD5583" w:rsidRDefault="00DD0714">
            <w:pPr>
              <w:rPr>
                <w:rFonts w:ascii="Verdana" w:hAnsi="Verdana"/>
                <w:sz w:val="15"/>
                <w:szCs w:val="15"/>
                <w:lang w:val="en-GB"/>
              </w:rPr>
            </w:pPr>
            <w:r>
              <w:rPr>
                <w:rFonts w:ascii="Verdana" w:hAnsi="Verdana"/>
                <w:sz w:val="15"/>
                <w:szCs w:val="15"/>
                <w:lang w:val="en-GB"/>
              </w:rPr>
              <w:t xml:space="preserve">     2023</w:t>
            </w:r>
          </w:p>
        </w:tc>
      </w:tr>
      <w:tr w:rsidRPr="00B370BE" w:rsidR="00DD0714" w:rsidTr="00460324">
        <w:trPr>
          <w:trHeight w:val="182"/>
        </w:trPr>
        <w:tc>
          <w:tcPr>
            <w:tcW w:w="2257" w:type="dxa"/>
          </w:tcPr>
          <w:p w:rsidRPr="00460324" w:rsidR="00DD0714" w:rsidP="00FD5583" w:rsidRDefault="00DD0714">
            <w:pPr>
              <w:rPr>
                <w:rFonts w:ascii="Verdana" w:hAnsi="Verdana"/>
                <w:sz w:val="15"/>
                <w:szCs w:val="15"/>
                <w:highlight w:val="darkGreen"/>
                <w:lang w:val="en-GB"/>
              </w:rPr>
            </w:pPr>
            <w:r w:rsidRPr="00460324">
              <w:rPr>
                <w:rFonts w:ascii="Verdana" w:hAnsi="Verdana"/>
                <w:sz w:val="15"/>
                <w:szCs w:val="15"/>
                <w:lang w:val="en-GB"/>
              </w:rPr>
              <w:t>LEAP Ariane Suppl. 2017-2019</w:t>
            </w:r>
          </w:p>
        </w:tc>
        <w:tc>
          <w:tcPr>
            <w:tcW w:w="1128" w:type="dxa"/>
          </w:tcPr>
          <w:p w:rsidRPr="00460324" w:rsidR="00DD0714" w:rsidP="003E4BF2" w:rsidRDefault="00DD0714">
            <w:pPr>
              <w:ind w:left="98"/>
              <w:rPr>
                <w:rFonts w:ascii="Verdana" w:hAnsi="Verdana"/>
                <w:sz w:val="15"/>
                <w:szCs w:val="15"/>
                <w:lang w:val="en-GB"/>
              </w:rPr>
            </w:pPr>
            <w:r>
              <w:rPr>
                <w:rFonts w:ascii="Verdana" w:hAnsi="Verdana"/>
                <w:sz w:val="15"/>
                <w:szCs w:val="15"/>
                <w:lang w:val="en-GB"/>
              </w:rPr>
              <w:t xml:space="preserve"> 302</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0,99%</w:t>
            </w:r>
          </w:p>
        </w:tc>
        <w:tc>
          <w:tcPr>
            <w:tcW w:w="1128" w:type="dxa"/>
          </w:tcPr>
          <w:p w:rsidRPr="00460324" w:rsidR="00DD0714" w:rsidP="002A08DE" w:rsidRDefault="00DD0714">
            <w:pPr>
              <w:ind w:left="98"/>
              <w:rPr>
                <w:rFonts w:ascii="Verdana" w:hAnsi="Verdana"/>
                <w:sz w:val="15"/>
                <w:szCs w:val="15"/>
                <w:lang w:val="en-GB"/>
              </w:rPr>
            </w:pPr>
            <w:r>
              <w:rPr>
                <w:rFonts w:ascii="Verdana" w:hAnsi="Verdana"/>
                <w:sz w:val="15"/>
                <w:szCs w:val="15"/>
                <w:lang w:val="en-GB"/>
              </w:rPr>
              <w:t xml:space="preserve">  3,0</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 xml:space="preserve">  3,0</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 xml:space="preserve">  0,0</w:t>
            </w:r>
          </w:p>
        </w:tc>
        <w:tc>
          <w:tcPr>
            <w:tcW w:w="1128" w:type="dxa"/>
          </w:tcPr>
          <w:p w:rsidRPr="00460324" w:rsidR="00DD0714" w:rsidP="00FD5583" w:rsidRDefault="00DD0714">
            <w:pPr>
              <w:rPr>
                <w:rFonts w:ascii="Verdana" w:hAnsi="Verdana"/>
                <w:sz w:val="15"/>
                <w:szCs w:val="15"/>
                <w:lang w:val="en-GB"/>
              </w:rPr>
            </w:pPr>
            <w:r>
              <w:rPr>
                <w:rFonts w:ascii="Verdana" w:hAnsi="Verdana"/>
                <w:sz w:val="15"/>
                <w:szCs w:val="15"/>
                <w:lang w:val="en-GB"/>
              </w:rPr>
              <w:t xml:space="preserve">     2021</w:t>
            </w:r>
          </w:p>
        </w:tc>
      </w:tr>
      <w:tr w:rsidRPr="00B370BE" w:rsidR="00DD0714" w:rsidTr="00460324">
        <w:trPr>
          <w:trHeight w:val="182"/>
        </w:trPr>
        <w:tc>
          <w:tcPr>
            <w:tcW w:w="2257" w:type="dxa"/>
          </w:tcPr>
          <w:p w:rsidRPr="00460324" w:rsidR="00DD0714" w:rsidP="00FD5583" w:rsidRDefault="00DD0714">
            <w:pPr>
              <w:rPr>
                <w:rFonts w:ascii="Verdana" w:hAnsi="Verdana"/>
                <w:sz w:val="15"/>
                <w:szCs w:val="15"/>
                <w:highlight w:val="darkGreen"/>
                <w:lang w:val="en-GB"/>
              </w:rPr>
            </w:pPr>
            <w:r w:rsidRPr="00460324">
              <w:rPr>
                <w:rFonts w:ascii="Verdana" w:hAnsi="Verdana"/>
                <w:sz w:val="15"/>
                <w:szCs w:val="15"/>
                <w:lang w:val="en-GB"/>
              </w:rPr>
              <w:t>LEAP Vega Class.&amp; MCO 2017-2019</w:t>
            </w:r>
          </w:p>
        </w:tc>
        <w:tc>
          <w:tcPr>
            <w:tcW w:w="1128" w:type="dxa"/>
          </w:tcPr>
          <w:p w:rsidRPr="00460324" w:rsidR="00DD0714" w:rsidP="003E4BF2" w:rsidRDefault="00DD0714">
            <w:pPr>
              <w:ind w:left="98"/>
              <w:rPr>
                <w:rFonts w:ascii="Verdana" w:hAnsi="Verdana"/>
                <w:sz w:val="15"/>
                <w:szCs w:val="15"/>
                <w:lang w:val="en-GB"/>
              </w:rPr>
            </w:pPr>
            <w:r>
              <w:rPr>
                <w:rFonts w:ascii="Verdana" w:hAnsi="Verdana"/>
                <w:sz w:val="15"/>
                <w:szCs w:val="15"/>
                <w:lang w:val="en-GB"/>
              </w:rPr>
              <w:t xml:space="preserve"> 100</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3,60%</w:t>
            </w:r>
          </w:p>
        </w:tc>
        <w:tc>
          <w:tcPr>
            <w:tcW w:w="1128" w:type="dxa"/>
          </w:tcPr>
          <w:p w:rsidRPr="00460324" w:rsidR="00DD0714" w:rsidP="002A08DE" w:rsidRDefault="00DD0714">
            <w:pPr>
              <w:ind w:left="98"/>
              <w:rPr>
                <w:rFonts w:ascii="Verdana" w:hAnsi="Verdana"/>
                <w:sz w:val="15"/>
                <w:szCs w:val="15"/>
                <w:lang w:val="en-GB"/>
              </w:rPr>
            </w:pPr>
            <w:r>
              <w:rPr>
                <w:rFonts w:ascii="Verdana" w:hAnsi="Verdana"/>
                <w:sz w:val="15"/>
                <w:szCs w:val="15"/>
                <w:lang w:val="en-GB"/>
              </w:rPr>
              <w:t xml:space="preserve">  3,6</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 xml:space="preserve">  3,6</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 xml:space="preserve">  0,0</w:t>
            </w:r>
          </w:p>
        </w:tc>
        <w:tc>
          <w:tcPr>
            <w:tcW w:w="1128" w:type="dxa"/>
          </w:tcPr>
          <w:p w:rsidRPr="00460324" w:rsidR="00DD0714" w:rsidP="00FD5583" w:rsidRDefault="00DD0714">
            <w:pPr>
              <w:rPr>
                <w:rFonts w:ascii="Verdana" w:hAnsi="Verdana"/>
                <w:sz w:val="15"/>
                <w:szCs w:val="15"/>
                <w:lang w:val="en-GB"/>
              </w:rPr>
            </w:pPr>
            <w:r>
              <w:rPr>
                <w:rFonts w:ascii="Verdana" w:hAnsi="Verdana"/>
                <w:sz w:val="15"/>
                <w:szCs w:val="15"/>
                <w:lang w:val="en-GB"/>
              </w:rPr>
              <w:t xml:space="preserve">     2020</w:t>
            </w:r>
          </w:p>
        </w:tc>
      </w:tr>
      <w:tr w:rsidRPr="00B370BE" w:rsidR="00DD0714" w:rsidTr="00460324">
        <w:trPr>
          <w:trHeight w:val="182"/>
        </w:trPr>
        <w:tc>
          <w:tcPr>
            <w:tcW w:w="2257" w:type="dxa"/>
          </w:tcPr>
          <w:p w:rsidRPr="00460324" w:rsidR="00DD0714" w:rsidP="00FD5583" w:rsidRDefault="00DD0714">
            <w:pPr>
              <w:rPr>
                <w:rFonts w:ascii="Verdana" w:hAnsi="Verdana"/>
                <w:sz w:val="15"/>
                <w:szCs w:val="15"/>
                <w:highlight w:val="darkGreen"/>
                <w:lang w:val="en-GB"/>
              </w:rPr>
            </w:pPr>
            <w:r w:rsidRPr="00460324">
              <w:rPr>
                <w:rFonts w:ascii="Verdana" w:hAnsi="Verdana"/>
                <w:sz w:val="15"/>
                <w:szCs w:val="15"/>
                <w:lang w:val="en-GB"/>
              </w:rPr>
              <w:t>Future Launchers Prep. Programme (FLPP)</w:t>
            </w:r>
          </w:p>
        </w:tc>
        <w:tc>
          <w:tcPr>
            <w:tcW w:w="1128" w:type="dxa"/>
          </w:tcPr>
          <w:p w:rsidRPr="00460324" w:rsidR="00DD0714" w:rsidP="003E4BF2" w:rsidRDefault="00DD0714">
            <w:pPr>
              <w:ind w:left="98"/>
              <w:rPr>
                <w:rFonts w:ascii="Verdana" w:hAnsi="Verdana"/>
                <w:sz w:val="15"/>
                <w:szCs w:val="15"/>
                <w:lang w:val="en-GB"/>
              </w:rPr>
            </w:pPr>
            <w:r>
              <w:rPr>
                <w:rFonts w:ascii="Verdana" w:hAnsi="Verdana"/>
                <w:sz w:val="15"/>
                <w:szCs w:val="15"/>
                <w:lang w:val="en-GB"/>
              </w:rPr>
              <w:t xml:space="preserve"> 260</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1,54%</w:t>
            </w:r>
          </w:p>
        </w:tc>
        <w:tc>
          <w:tcPr>
            <w:tcW w:w="1128" w:type="dxa"/>
          </w:tcPr>
          <w:p w:rsidRPr="00460324" w:rsidR="00DD0714" w:rsidP="002A08DE" w:rsidRDefault="00DD0714">
            <w:pPr>
              <w:ind w:left="98"/>
              <w:rPr>
                <w:rFonts w:ascii="Verdana" w:hAnsi="Verdana"/>
                <w:sz w:val="15"/>
                <w:szCs w:val="15"/>
                <w:lang w:val="en-GB"/>
              </w:rPr>
            </w:pPr>
            <w:r>
              <w:rPr>
                <w:rFonts w:ascii="Verdana" w:hAnsi="Verdana"/>
                <w:sz w:val="15"/>
                <w:szCs w:val="15"/>
                <w:lang w:val="en-GB"/>
              </w:rPr>
              <w:t xml:space="preserve">  4,0</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 xml:space="preserve">  1,8</w:t>
            </w:r>
          </w:p>
        </w:tc>
        <w:tc>
          <w:tcPr>
            <w:tcW w:w="1128" w:type="dxa"/>
          </w:tcPr>
          <w:p w:rsidRPr="00460324" w:rsidR="00DD0714" w:rsidP="00742979" w:rsidRDefault="00DD0714">
            <w:pPr>
              <w:ind w:left="98"/>
              <w:rPr>
                <w:rFonts w:ascii="Verdana" w:hAnsi="Verdana"/>
                <w:sz w:val="15"/>
                <w:szCs w:val="15"/>
                <w:lang w:val="en-GB"/>
              </w:rPr>
            </w:pPr>
            <w:r>
              <w:rPr>
                <w:rFonts w:ascii="Verdana" w:hAnsi="Verdana"/>
                <w:sz w:val="15"/>
                <w:szCs w:val="15"/>
                <w:lang w:val="en-GB"/>
              </w:rPr>
              <w:t xml:space="preserve">  </w:t>
            </w:r>
            <w:r w:rsidR="00BB4AF0">
              <w:rPr>
                <w:rFonts w:ascii="Verdana" w:hAnsi="Verdana"/>
                <w:sz w:val="15"/>
                <w:szCs w:val="15"/>
                <w:lang w:val="en-GB"/>
              </w:rPr>
              <w:t>2,2</w:t>
            </w:r>
          </w:p>
        </w:tc>
        <w:tc>
          <w:tcPr>
            <w:tcW w:w="1128" w:type="dxa"/>
          </w:tcPr>
          <w:p w:rsidRPr="00460324" w:rsidR="00DD0714" w:rsidP="00FD5583" w:rsidRDefault="00BB4AF0">
            <w:pPr>
              <w:rPr>
                <w:rFonts w:ascii="Verdana" w:hAnsi="Verdana"/>
                <w:sz w:val="15"/>
                <w:szCs w:val="15"/>
                <w:lang w:val="en-GB"/>
              </w:rPr>
            </w:pPr>
            <w:r>
              <w:rPr>
                <w:rFonts w:ascii="Verdana" w:hAnsi="Verdana"/>
                <w:sz w:val="15"/>
                <w:szCs w:val="15"/>
                <w:lang w:val="en-GB"/>
              </w:rPr>
              <w:t xml:space="preserve">     2022</w:t>
            </w:r>
          </w:p>
        </w:tc>
      </w:tr>
      <w:tr w:rsidRPr="00B370BE" w:rsidR="00DD0714" w:rsidTr="00460324">
        <w:trPr>
          <w:trHeight w:val="182"/>
        </w:trPr>
        <w:tc>
          <w:tcPr>
            <w:tcW w:w="2257" w:type="dxa"/>
          </w:tcPr>
          <w:p w:rsidRPr="00460324" w:rsidR="00DD0714" w:rsidP="00FD5583" w:rsidRDefault="00BB4AF0">
            <w:pPr>
              <w:rPr>
                <w:rFonts w:ascii="Verdana" w:hAnsi="Verdana"/>
                <w:sz w:val="15"/>
                <w:szCs w:val="15"/>
                <w:highlight w:val="darkGreen"/>
                <w:lang w:val="en-GB"/>
              </w:rPr>
            </w:pPr>
            <w:r w:rsidRPr="00BB4AF0">
              <w:rPr>
                <w:rFonts w:ascii="Verdana" w:hAnsi="Verdana"/>
                <w:sz w:val="15"/>
                <w:szCs w:val="15"/>
                <w:highlight w:val="cyan"/>
                <w:lang w:val="en-GB"/>
              </w:rPr>
              <w:t>Totaal draagraketten</w:t>
            </w:r>
          </w:p>
        </w:tc>
        <w:tc>
          <w:tcPr>
            <w:tcW w:w="1128" w:type="dxa"/>
          </w:tcPr>
          <w:p w:rsidRPr="00460324" w:rsidR="00DD0714" w:rsidP="003E4BF2" w:rsidRDefault="00DD0714">
            <w:pPr>
              <w:ind w:left="98"/>
              <w:rPr>
                <w:rFonts w:ascii="Verdana" w:hAnsi="Verdana"/>
                <w:sz w:val="15"/>
                <w:szCs w:val="15"/>
                <w:lang w:val="en-GB"/>
              </w:rPr>
            </w:pPr>
          </w:p>
        </w:tc>
        <w:tc>
          <w:tcPr>
            <w:tcW w:w="1128" w:type="dxa"/>
          </w:tcPr>
          <w:p w:rsidRPr="00460324" w:rsidR="00DD0714" w:rsidP="00742979" w:rsidRDefault="00DD0714">
            <w:pPr>
              <w:ind w:left="98"/>
              <w:rPr>
                <w:rFonts w:ascii="Verdana" w:hAnsi="Verdana"/>
                <w:sz w:val="15"/>
                <w:szCs w:val="15"/>
                <w:lang w:val="en-GB"/>
              </w:rPr>
            </w:pPr>
          </w:p>
        </w:tc>
        <w:tc>
          <w:tcPr>
            <w:tcW w:w="1128" w:type="dxa"/>
          </w:tcPr>
          <w:p w:rsidRPr="00460324" w:rsidR="00DD0714" w:rsidP="002A08DE" w:rsidRDefault="00BB4AF0">
            <w:pPr>
              <w:ind w:left="98"/>
              <w:rPr>
                <w:rFonts w:ascii="Verdana" w:hAnsi="Verdana"/>
                <w:sz w:val="15"/>
                <w:szCs w:val="15"/>
                <w:lang w:val="en-GB"/>
              </w:rPr>
            </w:pPr>
            <w:r>
              <w:rPr>
                <w:rFonts w:ascii="Verdana" w:hAnsi="Verdana"/>
                <w:sz w:val="15"/>
                <w:szCs w:val="15"/>
                <w:lang w:val="en-GB"/>
              </w:rPr>
              <w:t>12,8</w:t>
            </w:r>
          </w:p>
        </w:tc>
        <w:tc>
          <w:tcPr>
            <w:tcW w:w="1128" w:type="dxa"/>
          </w:tcPr>
          <w:p w:rsidRPr="00460324" w:rsidR="00DD0714" w:rsidP="00742979" w:rsidRDefault="00BB4AF0">
            <w:pPr>
              <w:ind w:left="98"/>
              <w:rPr>
                <w:rFonts w:ascii="Verdana" w:hAnsi="Verdana"/>
                <w:sz w:val="15"/>
                <w:szCs w:val="15"/>
                <w:lang w:val="en-GB"/>
              </w:rPr>
            </w:pPr>
            <w:r>
              <w:rPr>
                <w:rFonts w:ascii="Verdana" w:hAnsi="Verdana"/>
                <w:sz w:val="15"/>
                <w:szCs w:val="15"/>
                <w:lang w:val="en-GB"/>
              </w:rPr>
              <w:t>10,6</w:t>
            </w:r>
          </w:p>
        </w:tc>
        <w:tc>
          <w:tcPr>
            <w:tcW w:w="1128" w:type="dxa"/>
          </w:tcPr>
          <w:p w:rsidRPr="00460324" w:rsidR="00DD0714" w:rsidP="00742979" w:rsidRDefault="00BB4AF0">
            <w:pPr>
              <w:ind w:left="98"/>
              <w:rPr>
                <w:rFonts w:ascii="Verdana" w:hAnsi="Verdana"/>
                <w:sz w:val="15"/>
                <w:szCs w:val="15"/>
                <w:lang w:val="en-GB"/>
              </w:rPr>
            </w:pPr>
            <w:r>
              <w:rPr>
                <w:rFonts w:ascii="Verdana" w:hAnsi="Verdana"/>
                <w:sz w:val="15"/>
                <w:szCs w:val="15"/>
                <w:lang w:val="en-GB"/>
              </w:rPr>
              <w:t xml:space="preserve">  2,2</w:t>
            </w:r>
          </w:p>
        </w:tc>
        <w:tc>
          <w:tcPr>
            <w:tcW w:w="1128" w:type="dxa"/>
          </w:tcPr>
          <w:p w:rsidRPr="00460324" w:rsidR="00DD0714" w:rsidP="00FD5583" w:rsidRDefault="00DD0714">
            <w:pPr>
              <w:rPr>
                <w:rFonts w:ascii="Verdana" w:hAnsi="Verdana"/>
                <w:sz w:val="15"/>
                <w:szCs w:val="15"/>
                <w:lang w:val="en-GB"/>
              </w:rPr>
            </w:pPr>
          </w:p>
        </w:tc>
      </w:tr>
      <w:tr w:rsidRPr="00B370BE" w:rsidR="006528F5" w:rsidTr="00460324">
        <w:trPr>
          <w:trHeight w:val="182"/>
        </w:trPr>
        <w:tc>
          <w:tcPr>
            <w:tcW w:w="2257" w:type="dxa"/>
          </w:tcPr>
          <w:p w:rsidRPr="00BB4AF0" w:rsidR="006528F5" w:rsidP="00FD5583" w:rsidRDefault="006528F5">
            <w:pPr>
              <w:rPr>
                <w:rFonts w:ascii="Verdana" w:hAnsi="Verdana"/>
                <w:sz w:val="15"/>
                <w:szCs w:val="15"/>
                <w:highlight w:val="cyan"/>
                <w:lang w:val="en-GB"/>
              </w:rPr>
            </w:pPr>
          </w:p>
        </w:tc>
        <w:tc>
          <w:tcPr>
            <w:tcW w:w="1128" w:type="dxa"/>
          </w:tcPr>
          <w:p w:rsidRPr="00460324" w:rsidR="006528F5" w:rsidP="003E4BF2"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006528F5" w:rsidP="002A08DE" w:rsidRDefault="006528F5">
            <w:pPr>
              <w:ind w:left="98"/>
              <w:rPr>
                <w:rFonts w:ascii="Verdana" w:hAnsi="Verdana"/>
                <w:sz w:val="15"/>
                <w:szCs w:val="15"/>
                <w:lang w:val="en-GB"/>
              </w:rPr>
            </w:pPr>
          </w:p>
        </w:tc>
        <w:tc>
          <w:tcPr>
            <w:tcW w:w="1128" w:type="dxa"/>
          </w:tcPr>
          <w:p w:rsidR="006528F5" w:rsidP="00742979" w:rsidRDefault="006528F5">
            <w:pPr>
              <w:ind w:left="98"/>
              <w:rPr>
                <w:rFonts w:ascii="Verdana" w:hAnsi="Verdana"/>
                <w:sz w:val="15"/>
                <w:szCs w:val="15"/>
                <w:lang w:val="en-GB"/>
              </w:rPr>
            </w:pPr>
          </w:p>
        </w:tc>
        <w:tc>
          <w:tcPr>
            <w:tcW w:w="1128" w:type="dxa"/>
          </w:tcPr>
          <w:p w:rsidR="006528F5" w:rsidP="00742979" w:rsidRDefault="006528F5">
            <w:pPr>
              <w:ind w:left="98"/>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r>
      <w:tr w:rsidRPr="00B370BE" w:rsidR="003C5982" w:rsidTr="00460324">
        <w:trPr>
          <w:trHeight w:val="364"/>
        </w:trPr>
        <w:tc>
          <w:tcPr>
            <w:tcW w:w="2257" w:type="dxa"/>
          </w:tcPr>
          <w:p w:rsidRPr="00460324" w:rsidR="003C5982" w:rsidP="00FD5583" w:rsidRDefault="003E4BF2">
            <w:pPr>
              <w:rPr>
                <w:rFonts w:ascii="Verdana" w:hAnsi="Verdana"/>
                <w:sz w:val="15"/>
                <w:szCs w:val="15"/>
                <w:lang w:val="en-GB"/>
              </w:rPr>
            </w:pPr>
            <w:r w:rsidRPr="00BB4AF0">
              <w:rPr>
                <w:rFonts w:ascii="Verdana" w:hAnsi="Verdana"/>
                <w:sz w:val="15"/>
                <w:szCs w:val="15"/>
                <w:highlight w:val="green"/>
                <w:lang w:val="en-GB"/>
              </w:rPr>
              <w:t>Bemande Ruimtevaart &amp; Exploratie</w:t>
            </w:r>
          </w:p>
        </w:tc>
        <w:tc>
          <w:tcPr>
            <w:tcW w:w="1128" w:type="dxa"/>
          </w:tcPr>
          <w:p w:rsidRPr="00460324" w:rsidR="003C5982" w:rsidP="003E4BF2" w:rsidRDefault="003C5982">
            <w:pPr>
              <w:ind w:left="98"/>
              <w:rPr>
                <w:rFonts w:ascii="Verdana" w:hAnsi="Verdana"/>
                <w:sz w:val="15"/>
                <w:szCs w:val="15"/>
                <w:lang w:val="en-GB"/>
              </w:rPr>
            </w:pPr>
          </w:p>
        </w:tc>
        <w:tc>
          <w:tcPr>
            <w:tcW w:w="1128" w:type="dxa"/>
          </w:tcPr>
          <w:p w:rsidRPr="00460324" w:rsidR="003C5982" w:rsidP="00742979" w:rsidRDefault="003C5982">
            <w:pPr>
              <w:ind w:firstLine="98"/>
              <w:rPr>
                <w:rFonts w:ascii="Verdana" w:hAnsi="Verdana"/>
                <w:sz w:val="15"/>
                <w:szCs w:val="15"/>
                <w:lang w:val="en-GB"/>
              </w:rPr>
            </w:pPr>
          </w:p>
        </w:tc>
        <w:tc>
          <w:tcPr>
            <w:tcW w:w="1128" w:type="dxa"/>
          </w:tcPr>
          <w:p w:rsidRPr="00460324" w:rsidR="003C5982" w:rsidP="002A08DE" w:rsidRDefault="003C5982">
            <w:pPr>
              <w:ind w:left="98"/>
              <w:rPr>
                <w:rFonts w:ascii="Verdana" w:hAnsi="Verdana"/>
                <w:sz w:val="15"/>
                <w:szCs w:val="15"/>
                <w:lang w:val="en-GB"/>
              </w:rPr>
            </w:pPr>
          </w:p>
        </w:tc>
        <w:tc>
          <w:tcPr>
            <w:tcW w:w="1128" w:type="dxa"/>
          </w:tcPr>
          <w:p w:rsidRPr="00460324" w:rsidR="003C5982" w:rsidP="00742979" w:rsidRDefault="003C5982">
            <w:pPr>
              <w:ind w:left="98"/>
              <w:rPr>
                <w:rFonts w:ascii="Verdana" w:hAnsi="Verdana"/>
                <w:sz w:val="15"/>
                <w:szCs w:val="15"/>
                <w:lang w:val="en-GB"/>
              </w:rPr>
            </w:pPr>
          </w:p>
        </w:tc>
        <w:tc>
          <w:tcPr>
            <w:tcW w:w="1128" w:type="dxa"/>
          </w:tcPr>
          <w:p w:rsidRPr="00460324" w:rsidR="003C5982" w:rsidP="00742979" w:rsidRDefault="003C5982">
            <w:pPr>
              <w:ind w:left="98"/>
              <w:rPr>
                <w:rFonts w:ascii="Verdana" w:hAnsi="Verdana"/>
                <w:sz w:val="15"/>
                <w:szCs w:val="15"/>
                <w:lang w:val="en-GB"/>
              </w:rPr>
            </w:pPr>
          </w:p>
        </w:tc>
        <w:tc>
          <w:tcPr>
            <w:tcW w:w="1128" w:type="dxa"/>
          </w:tcPr>
          <w:p w:rsidRPr="00460324" w:rsidR="003C5982" w:rsidP="00FD5583" w:rsidRDefault="003C5982">
            <w:pPr>
              <w:rPr>
                <w:rFonts w:ascii="Verdana" w:hAnsi="Verdana"/>
                <w:sz w:val="15"/>
                <w:szCs w:val="15"/>
                <w:lang w:val="en-GB"/>
              </w:rPr>
            </w:pPr>
          </w:p>
        </w:tc>
      </w:tr>
      <w:tr w:rsidRPr="00B370BE" w:rsidR="003E4BF2" w:rsidTr="00460324">
        <w:trPr>
          <w:trHeight w:val="364"/>
        </w:trPr>
        <w:tc>
          <w:tcPr>
            <w:tcW w:w="2257" w:type="dxa"/>
          </w:tcPr>
          <w:p w:rsidRPr="00460324" w:rsidR="003E4BF2" w:rsidP="00FD5583" w:rsidRDefault="003E4BF2">
            <w:pPr>
              <w:rPr>
                <w:rFonts w:ascii="Verdana" w:hAnsi="Verdana"/>
                <w:sz w:val="15"/>
                <w:szCs w:val="15"/>
                <w:lang w:val="fr-FR"/>
              </w:rPr>
            </w:pPr>
            <w:r w:rsidRPr="00460324">
              <w:rPr>
                <w:rFonts w:ascii="Verdana" w:hAnsi="Verdana"/>
                <w:sz w:val="15"/>
                <w:szCs w:val="15"/>
                <w:lang w:val="fr-FR"/>
              </w:rPr>
              <w:t>Eur. Exploration Envelope Programme (E3P)</w:t>
            </w:r>
          </w:p>
        </w:tc>
        <w:tc>
          <w:tcPr>
            <w:tcW w:w="1128" w:type="dxa"/>
          </w:tcPr>
          <w:p w:rsidRPr="00460324" w:rsidR="003E4BF2" w:rsidP="003E4BF2" w:rsidRDefault="003E4BF2">
            <w:pPr>
              <w:ind w:left="98"/>
              <w:rPr>
                <w:rFonts w:ascii="Verdana" w:hAnsi="Verdana"/>
                <w:sz w:val="15"/>
                <w:szCs w:val="15"/>
                <w:lang w:val="en-GB"/>
              </w:rPr>
            </w:pPr>
            <w:r w:rsidRPr="00460324">
              <w:rPr>
                <w:rFonts w:ascii="Verdana" w:hAnsi="Verdana"/>
                <w:sz w:val="15"/>
                <w:szCs w:val="15"/>
                <w:lang w:val="en-GB"/>
              </w:rPr>
              <w:t>1.649</w:t>
            </w:r>
          </w:p>
        </w:tc>
        <w:tc>
          <w:tcPr>
            <w:tcW w:w="1128" w:type="dxa"/>
          </w:tcPr>
          <w:p w:rsidRPr="00460324" w:rsidR="003E4BF2" w:rsidP="003E4BF2" w:rsidRDefault="002A08DE">
            <w:pPr>
              <w:ind w:left="98" w:hanging="98"/>
              <w:rPr>
                <w:rFonts w:ascii="Verdana" w:hAnsi="Verdana"/>
                <w:sz w:val="15"/>
                <w:szCs w:val="15"/>
                <w:lang w:val="en-GB"/>
              </w:rPr>
            </w:pPr>
            <w:r w:rsidRPr="00460324">
              <w:rPr>
                <w:rFonts w:ascii="Verdana" w:hAnsi="Verdana"/>
                <w:sz w:val="15"/>
                <w:szCs w:val="15"/>
                <w:lang w:val="en-GB"/>
              </w:rPr>
              <w:t xml:space="preserve">  </w:t>
            </w:r>
            <w:r w:rsidRPr="00460324" w:rsidR="00B077D6">
              <w:rPr>
                <w:rFonts w:ascii="Verdana" w:hAnsi="Verdana"/>
                <w:sz w:val="15"/>
                <w:szCs w:val="15"/>
                <w:lang w:val="en-GB"/>
              </w:rPr>
              <w:t>0,67</w:t>
            </w:r>
            <w:r w:rsidRPr="00460324" w:rsidR="003E4BF2">
              <w:rPr>
                <w:rFonts w:ascii="Verdana" w:hAnsi="Verdana"/>
                <w:sz w:val="15"/>
                <w:szCs w:val="15"/>
                <w:lang w:val="en-GB"/>
              </w:rPr>
              <w:t>%</w:t>
            </w:r>
          </w:p>
        </w:tc>
        <w:tc>
          <w:tcPr>
            <w:tcW w:w="1128" w:type="dxa"/>
          </w:tcPr>
          <w:p w:rsidRPr="00460324" w:rsidR="003E4BF2" w:rsidP="002A08DE" w:rsidRDefault="009876C4">
            <w:pPr>
              <w:ind w:left="98"/>
              <w:rPr>
                <w:rFonts w:ascii="Verdana" w:hAnsi="Verdana"/>
                <w:sz w:val="15"/>
                <w:szCs w:val="15"/>
                <w:lang w:val="en-GB"/>
              </w:rPr>
            </w:pPr>
            <w:r>
              <w:rPr>
                <w:rFonts w:ascii="Verdana" w:hAnsi="Verdana"/>
                <w:sz w:val="15"/>
                <w:szCs w:val="15"/>
                <w:lang w:val="en-GB"/>
              </w:rPr>
              <w:t>14</w:t>
            </w:r>
            <w:r w:rsidRPr="00460324" w:rsidR="003E4BF2">
              <w:rPr>
                <w:rFonts w:ascii="Verdana" w:hAnsi="Verdana"/>
                <w:sz w:val="15"/>
                <w:szCs w:val="15"/>
                <w:lang w:val="en-GB"/>
              </w:rPr>
              <w:t>,0</w:t>
            </w:r>
          </w:p>
        </w:tc>
        <w:tc>
          <w:tcPr>
            <w:tcW w:w="1128" w:type="dxa"/>
          </w:tcPr>
          <w:p w:rsidRPr="00460324" w:rsidR="003E4BF2" w:rsidP="00742979" w:rsidRDefault="009876C4">
            <w:pPr>
              <w:ind w:left="98"/>
              <w:rPr>
                <w:rFonts w:ascii="Verdana" w:hAnsi="Verdana"/>
                <w:sz w:val="15"/>
                <w:szCs w:val="15"/>
                <w:lang w:val="en-GB"/>
              </w:rPr>
            </w:pPr>
            <w:r>
              <w:rPr>
                <w:rFonts w:ascii="Verdana" w:hAnsi="Verdana"/>
                <w:sz w:val="15"/>
                <w:szCs w:val="15"/>
                <w:lang w:val="en-GB"/>
              </w:rPr>
              <w:t xml:space="preserve">  9</w:t>
            </w:r>
            <w:r w:rsidRPr="00460324" w:rsidR="00760917">
              <w:rPr>
                <w:rFonts w:ascii="Verdana" w:hAnsi="Verdana"/>
                <w:sz w:val="15"/>
                <w:szCs w:val="15"/>
                <w:lang w:val="en-GB"/>
              </w:rPr>
              <w:t>,5</w:t>
            </w:r>
          </w:p>
        </w:tc>
        <w:tc>
          <w:tcPr>
            <w:tcW w:w="1128" w:type="dxa"/>
          </w:tcPr>
          <w:p w:rsidRPr="00460324" w:rsidR="003E4BF2"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760917">
              <w:rPr>
                <w:rFonts w:ascii="Verdana" w:hAnsi="Verdana"/>
                <w:sz w:val="15"/>
                <w:szCs w:val="15"/>
                <w:lang w:val="en-GB"/>
              </w:rPr>
              <w:t>4,5</w:t>
            </w:r>
          </w:p>
        </w:tc>
        <w:tc>
          <w:tcPr>
            <w:tcW w:w="1128" w:type="dxa"/>
          </w:tcPr>
          <w:p w:rsidRPr="00460324" w:rsidR="003E4BF2" w:rsidP="00FD5583" w:rsidRDefault="00742979">
            <w:pPr>
              <w:rPr>
                <w:rFonts w:ascii="Verdana" w:hAnsi="Verdana"/>
                <w:sz w:val="15"/>
                <w:szCs w:val="15"/>
                <w:lang w:val="en-GB"/>
              </w:rPr>
            </w:pPr>
            <w:r w:rsidRPr="00460324">
              <w:rPr>
                <w:rFonts w:ascii="Verdana" w:hAnsi="Verdana"/>
                <w:sz w:val="15"/>
                <w:szCs w:val="15"/>
                <w:lang w:val="en-GB"/>
              </w:rPr>
              <w:t xml:space="preserve">     </w:t>
            </w:r>
            <w:r w:rsidRPr="00460324" w:rsidR="003E4BF2">
              <w:rPr>
                <w:rFonts w:ascii="Verdana" w:hAnsi="Verdana"/>
                <w:sz w:val="15"/>
                <w:szCs w:val="15"/>
                <w:lang w:val="en-GB"/>
              </w:rPr>
              <w:t>2021</w:t>
            </w:r>
          </w:p>
        </w:tc>
      </w:tr>
      <w:tr w:rsidRPr="00B370BE" w:rsidR="003E4BF2" w:rsidTr="00460324">
        <w:trPr>
          <w:trHeight w:val="182"/>
        </w:trPr>
        <w:tc>
          <w:tcPr>
            <w:tcW w:w="2257" w:type="dxa"/>
          </w:tcPr>
          <w:p w:rsidRPr="00460324" w:rsidR="003E4BF2" w:rsidP="00FD5583" w:rsidRDefault="003E4BF2">
            <w:pPr>
              <w:rPr>
                <w:rFonts w:ascii="Verdana" w:hAnsi="Verdana"/>
                <w:sz w:val="15"/>
                <w:szCs w:val="15"/>
                <w:lang w:val="en-GB"/>
              </w:rPr>
            </w:pPr>
            <w:r w:rsidRPr="00BB4AF0">
              <w:rPr>
                <w:rFonts w:ascii="Verdana" w:hAnsi="Verdana"/>
                <w:sz w:val="15"/>
                <w:szCs w:val="15"/>
                <w:highlight w:val="cyan"/>
                <w:lang w:val="en-GB"/>
              </w:rPr>
              <w:t>Totaal BR &amp; E</w:t>
            </w:r>
          </w:p>
        </w:tc>
        <w:tc>
          <w:tcPr>
            <w:tcW w:w="1128" w:type="dxa"/>
          </w:tcPr>
          <w:p w:rsidRPr="00460324" w:rsidR="003E4BF2" w:rsidP="00FD5583" w:rsidRDefault="003E4BF2">
            <w:pPr>
              <w:rPr>
                <w:rFonts w:ascii="Verdana" w:hAnsi="Verdana"/>
                <w:sz w:val="15"/>
                <w:szCs w:val="15"/>
                <w:lang w:val="en-GB"/>
              </w:rPr>
            </w:pPr>
          </w:p>
        </w:tc>
        <w:tc>
          <w:tcPr>
            <w:tcW w:w="1128" w:type="dxa"/>
          </w:tcPr>
          <w:p w:rsidRPr="00460324" w:rsidR="003E4BF2" w:rsidP="00FD5583" w:rsidRDefault="003E4BF2">
            <w:pPr>
              <w:rPr>
                <w:rFonts w:ascii="Verdana" w:hAnsi="Verdana"/>
                <w:sz w:val="15"/>
                <w:szCs w:val="15"/>
                <w:lang w:val="en-GB"/>
              </w:rPr>
            </w:pPr>
          </w:p>
        </w:tc>
        <w:tc>
          <w:tcPr>
            <w:tcW w:w="1128" w:type="dxa"/>
          </w:tcPr>
          <w:p w:rsidRPr="00460324" w:rsidR="003E4BF2" w:rsidP="002A08DE" w:rsidRDefault="00371384">
            <w:pPr>
              <w:ind w:left="98"/>
              <w:rPr>
                <w:rFonts w:ascii="Verdana" w:hAnsi="Verdana"/>
                <w:sz w:val="15"/>
                <w:szCs w:val="15"/>
                <w:lang w:val="en-GB"/>
              </w:rPr>
            </w:pPr>
            <w:r>
              <w:rPr>
                <w:rFonts w:ascii="Verdana" w:hAnsi="Verdana"/>
                <w:sz w:val="15"/>
                <w:szCs w:val="15"/>
                <w:lang w:val="en-GB"/>
              </w:rPr>
              <w:t>14</w:t>
            </w:r>
            <w:r w:rsidRPr="00460324" w:rsidR="003E4BF2">
              <w:rPr>
                <w:rFonts w:ascii="Verdana" w:hAnsi="Verdana"/>
                <w:sz w:val="15"/>
                <w:szCs w:val="15"/>
                <w:lang w:val="en-GB"/>
              </w:rPr>
              <w:t>,0</w:t>
            </w:r>
          </w:p>
        </w:tc>
        <w:tc>
          <w:tcPr>
            <w:tcW w:w="1128" w:type="dxa"/>
          </w:tcPr>
          <w:p w:rsidRPr="00460324" w:rsidR="003E4BF2" w:rsidP="00742979" w:rsidRDefault="00371384">
            <w:pPr>
              <w:ind w:left="98"/>
              <w:rPr>
                <w:rFonts w:ascii="Verdana" w:hAnsi="Verdana"/>
                <w:sz w:val="15"/>
                <w:szCs w:val="15"/>
                <w:lang w:val="en-GB"/>
              </w:rPr>
            </w:pPr>
            <w:r>
              <w:rPr>
                <w:rFonts w:ascii="Verdana" w:hAnsi="Verdana"/>
                <w:sz w:val="15"/>
                <w:szCs w:val="15"/>
                <w:lang w:val="en-GB"/>
              </w:rPr>
              <w:t xml:space="preserve">  9</w:t>
            </w:r>
            <w:r w:rsidRPr="00460324" w:rsidR="00760917">
              <w:rPr>
                <w:rFonts w:ascii="Verdana" w:hAnsi="Verdana"/>
                <w:sz w:val="15"/>
                <w:szCs w:val="15"/>
                <w:lang w:val="en-GB"/>
              </w:rPr>
              <w:t>,5</w:t>
            </w:r>
          </w:p>
        </w:tc>
        <w:tc>
          <w:tcPr>
            <w:tcW w:w="1128" w:type="dxa"/>
          </w:tcPr>
          <w:p w:rsidRPr="00460324" w:rsidR="003E4BF2" w:rsidP="00742979" w:rsidRDefault="00760917">
            <w:pPr>
              <w:ind w:left="98"/>
              <w:rPr>
                <w:rFonts w:ascii="Verdana" w:hAnsi="Verdana"/>
                <w:sz w:val="15"/>
                <w:szCs w:val="15"/>
                <w:lang w:val="en-GB"/>
              </w:rPr>
            </w:pPr>
            <w:r w:rsidRPr="00460324">
              <w:rPr>
                <w:rFonts w:ascii="Verdana" w:hAnsi="Verdana"/>
                <w:sz w:val="15"/>
                <w:szCs w:val="15"/>
                <w:lang w:val="en-GB"/>
              </w:rPr>
              <w:t xml:space="preserve">  4,5</w:t>
            </w:r>
          </w:p>
        </w:tc>
        <w:tc>
          <w:tcPr>
            <w:tcW w:w="1128" w:type="dxa"/>
          </w:tcPr>
          <w:p w:rsidRPr="00460324" w:rsidR="003E4BF2" w:rsidP="00FD5583" w:rsidRDefault="003E4BF2">
            <w:pPr>
              <w:rPr>
                <w:rFonts w:ascii="Verdana" w:hAnsi="Verdana"/>
                <w:sz w:val="15"/>
                <w:szCs w:val="15"/>
                <w:lang w:val="en-GB"/>
              </w:rPr>
            </w:pPr>
          </w:p>
        </w:tc>
      </w:tr>
      <w:tr w:rsidRPr="00B370BE" w:rsidR="006528F5" w:rsidTr="00460324">
        <w:trPr>
          <w:trHeight w:val="182"/>
        </w:trPr>
        <w:tc>
          <w:tcPr>
            <w:tcW w:w="2257" w:type="dxa"/>
          </w:tcPr>
          <w:p w:rsidRPr="00BB4AF0" w:rsidR="006528F5" w:rsidP="00FD5583" w:rsidRDefault="006528F5">
            <w:pPr>
              <w:rPr>
                <w:rFonts w:ascii="Verdana" w:hAnsi="Verdana"/>
                <w:sz w:val="15"/>
                <w:szCs w:val="15"/>
                <w:highlight w:val="cyan"/>
                <w:lang w:val="en-GB"/>
              </w:rPr>
            </w:pPr>
          </w:p>
        </w:tc>
        <w:tc>
          <w:tcPr>
            <w:tcW w:w="1128" w:type="dxa"/>
          </w:tcPr>
          <w:p w:rsidRPr="00460324" w:rsidR="006528F5" w:rsidP="00FD5583" w:rsidRDefault="006528F5">
            <w:pPr>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c>
          <w:tcPr>
            <w:tcW w:w="1128" w:type="dxa"/>
          </w:tcPr>
          <w:p w:rsidR="006528F5" w:rsidP="002A08DE" w:rsidRDefault="006528F5">
            <w:pPr>
              <w:ind w:left="98"/>
              <w:rPr>
                <w:rFonts w:ascii="Verdana" w:hAnsi="Verdana"/>
                <w:sz w:val="15"/>
                <w:szCs w:val="15"/>
                <w:lang w:val="en-GB"/>
              </w:rPr>
            </w:pPr>
          </w:p>
        </w:tc>
        <w:tc>
          <w:tcPr>
            <w:tcW w:w="1128" w:type="dxa"/>
          </w:tcPr>
          <w:p w:rsidR="006528F5" w:rsidP="00742979"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r>
      <w:tr w:rsidRPr="00B370BE" w:rsidR="003E4BF2" w:rsidTr="00460324">
        <w:trPr>
          <w:trHeight w:val="167"/>
        </w:trPr>
        <w:tc>
          <w:tcPr>
            <w:tcW w:w="2257" w:type="dxa"/>
          </w:tcPr>
          <w:p w:rsidRPr="00460324" w:rsidR="003E4BF2" w:rsidP="00FD5583" w:rsidRDefault="00AD54AE">
            <w:pPr>
              <w:rPr>
                <w:rFonts w:ascii="Verdana" w:hAnsi="Verdana"/>
                <w:sz w:val="15"/>
                <w:szCs w:val="15"/>
                <w:lang w:val="en-GB"/>
              </w:rPr>
            </w:pPr>
            <w:r w:rsidRPr="00BB4AF0">
              <w:rPr>
                <w:rFonts w:ascii="Verdana" w:hAnsi="Verdana"/>
                <w:sz w:val="15"/>
                <w:szCs w:val="15"/>
                <w:highlight w:val="green"/>
                <w:lang w:val="en-GB"/>
              </w:rPr>
              <w:t>Telecommunicatie</w:t>
            </w:r>
          </w:p>
        </w:tc>
        <w:tc>
          <w:tcPr>
            <w:tcW w:w="1128" w:type="dxa"/>
          </w:tcPr>
          <w:p w:rsidRPr="00460324" w:rsidR="003E4BF2" w:rsidP="00FD5583" w:rsidRDefault="003E4BF2">
            <w:pPr>
              <w:rPr>
                <w:rFonts w:ascii="Verdana" w:hAnsi="Verdana"/>
                <w:sz w:val="15"/>
                <w:szCs w:val="15"/>
                <w:lang w:val="en-GB"/>
              </w:rPr>
            </w:pPr>
          </w:p>
        </w:tc>
        <w:tc>
          <w:tcPr>
            <w:tcW w:w="1128" w:type="dxa"/>
          </w:tcPr>
          <w:p w:rsidRPr="00460324" w:rsidR="003E4BF2" w:rsidP="00FD5583" w:rsidRDefault="003E4BF2">
            <w:pPr>
              <w:rPr>
                <w:rFonts w:ascii="Verdana" w:hAnsi="Verdana"/>
                <w:sz w:val="15"/>
                <w:szCs w:val="15"/>
                <w:lang w:val="en-GB"/>
              </w:rPr>
            </w:pPr>
          </w:p>
        </w:tc>
        <w:tc>
          <w:tcPr>
            <w:tcW w:w="1128" w:type="dxa"/>
          </w:tcPr>
          <w:p w:rsidRPr="00460324" w:rsidR="003E4BF2" w:rsidP="002A08DE" w:rsidRDefault="003E4BF2">
            <w:pPr>
              <w:ind w:left="98"/>
              <w:rPr>
                <w:rFonts w:ascii="Verdana" w:hAnsi="Verdana"/>
                <w:sz w:val="15"/>
                <w:szCs w:val="15"/>
                <w:lang w:val="en-GB"/>
              </w:rPr>
            </w:pPr>
          </w:p>
        </w:tc>
        <w:tc>
          <w:tcPr>
            <w:tcW w:w="1128" w:type="dxa"/>
          </w:tcPr>
          <w:p w:rsidRPr="00460324" w:rsidR="003E4BF2" w:rsidP="00742979" w:rsidRDefault="003E4BF2">
            <w:pPr>
              <w:ind w:left="98"/>
              <w:rPr>
                <w:rFonts w:ascii="Verdana" w:hAnsi="Verdana"/>
                <w:sz w:val="15"/>
                <w:szCs w:val="15"/>
                <w:lang w:val="en-GB"/>
              </w:rPr>
            </w:pPr>
          </w:p>
        </w:tc>
        <w:tc>
          <w:tcPr>
            <w:tcW w:w="1128" w:type="dxa"/>
          </w:tcPr>
          <w:p w:rsidRPr="00460324" w:rsidR="003E4BF2" w:rsidP="00742979" w:rsidRDefault="003E4BF2">
            <w:pPr>
              <w:ind w:left="98"/>
              <w:rPr>
                <w:rFonts w:ascii="Verdana" w:hAnsi="Verdana"/>
                <w:sz w:val="15"/>
                <w:szCs w:val="15"/>
                <w:lang w:val="en-GB"/>
              </w:rPr>
            </w:pPr>
          </w:p>
        </w:tc>
        <w:tc>
          <w:tcPr>
            <w:tcW w:w="1128" w:type="dxa"/>
          </w:tcPr>
          <w:p w:rsidRPr="00460324" w:rsidR="003E4BF2" w:rsidP="00FD5583" w:rsidRDefault="003E4BF2">
            <w:pPr>
              <w:rPr>
                <w:rFonts w:ascii="Verdana" w:hAnsi="Verdana"/>
                <w:sz w:val="15"/>
                <w:szCs w:val="15"/>
                <w:lang w:val="en-GB"/>
              </w:rPr>
            </w:pPr>
          </w:p>
        </w:tc>
      </w:tr>
      <w:tr w:rsidRPr="00B370BE" w:rsidR="003E4BF2" w:rsidTr="00460324">
        <w:trPr>
          <w:trHeight w:val="364"/>
        </w:trPr>
        <w:tc>
          <w:tcPr>
            <w:tcW w:w="2257" w:type="dxa"/>
          </w:tcPr>
          <w:p w:rsidRPr="00460324" w:rsidR="003E4BF2" w:rsidP="00FD5583" w:rsidRDefault="00AD54AE">
            <w:pPr>
              <w:rPr>
                <w:rFonts w:ascii="Verdana" w:hAnsi="Verdana"/>
                <w:sz w:val="15"/>
                <w:szCs w:val="15"/>
                <w:lang w:val="en-GB"/>
              </w:rPr>
            </w:pPr>
            <w:r w:rsidRPr="00460324">
              <w:rPr>
                <w:rFonts w:ascii="Verdana" w:hAnsi="Verdana"/>
                <w:sz w:val="15"/>
                <w:szCs w:val="15"/>
                <w:lang w:val="en-GB"/>
              </w:rPr>
              <w:t>ARTES Core Competitiveness</w:t>
            </w:r>
          </w:p>
        </w:tc>
        <w:tc>
          <w:tcPr>
            <w:tcW w:w="1128" w:type="dxa"/>
          </w:tcPr>
          <w:p w:rsidRPr="00460324" w:rsidR="003E4BF2" w:rsidP="00FD5583" w:rsidRDefault="002A08DE">
            <w:pPr>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550</w:t>
            </w:r>
          </w:p>
        </w:tc>
        <w:tc>
          <w:tcPr>
            <w:tcW w:w="1128" w:type="dxa"/>
          </w:tcPr>
          <w:p w:rsidRPr="00460324" w:rsidR="003E4BF2" w:rsidP="00FD5583" w:rsidRDefault="002A08DE">
            <w:pPr>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2,36%</w:t>
            </w:r>
          </w:p>
        </w:tc>
        <w:tc>
          <w:tcPr>
            <w:tcW w:w="1128" w:type="dxa"/>
          </w:tcPr>
          <w:p w:rsidRPr="00460324" w:rsidR="003E4BF2" w:rsidP="002A08DE" w:rsidRDefault="00760917">
            <w:pPr>
              <w:ind w:left="98"/>
              <w:rPr>
                <w:rFonts w:ascii="Verdana" w:hAnsi="Verdana"/>
                <w:sz w:val="15"/>
                <w:szCs w:val="15"/>
                <w:lang w:val="en-GB"/>
              </w:rPr>
            </w:pPr>
            <w:r w:rsidRPr="00460324">
              <w:rPr>
                <w:rFonts w:ascii="Verdana" w:hAnsi="Verdana"/>
                <w:sz w:val="15"/>
                <w:szCs w:val="15"/>
                <w:lang w:val="en-GB"/>
              </w:rPr>
              <w:t>13</w:t>
            </w:r>
            <w:r w:rsidRPr="00460324" w:rsidR="00AD54AE">
              <w:rPr>
                <w:rFonts w:ascii="Verdana" w:hAnsi="Verdana"/>
                <w:sz w:val="15"/>
                <w:szCs w:val="15"/>
                <w:lang w:val="en-GB"/>
              </w:rPr>
              <w:t>,0</w:t>
            </w:r>
          </w:p>
        </w:tc>
        <w:tc>
          <w:tcPr>
            <w:tcW w:w="1128" w:type="dxa"/>
          </w:tcPr>
          <w:p w:rsidRPr="00460324" w:rsidR="003E4BF2" w:rsidP="00B077D6" w:rsidRDefault="00B077D6">
            <w:pPr>
              <w:rPr>
                <w:rFonts w:ascii="Verdana" w:hAnsi="Verdana"/>
                <w:sz w:val="15"/>
                <w:szCs w:val="15"/>
                <w:lang w:val="en-GB"/>
              </w:rPr>
            </w:pPr>
            <w:r w:rsidRPr="00460324">
              <w:rPr>
                <w:rFonts w:ascii="Verdana" w:hAnsi="Verdana"/>
                <w:sz w:val="15"/>
                <w:szCs w:val="15"/>
                <w:lang w:val="en-GB"/>
              </w:rPr>
              <w:t xml:space="preserve"> </w:t>
            </w:r>
            <w:r w:rsidRPr="00460324" w:rsidR="00C90E80">
              <w:rPr>
                <w:rFonts w:ascii="Verdana" w:hAnsi="Verdana"/>
                <w:sz w:val="15"/>
                <w:szCs w:val="15"/>
                <w:lang w:val="en-GB"/>
              </w:rPr>
              <w:t xml:space="preserve">  </w:t>
            </w:r>
            <w:r w:rsidRPr="00460324" w:rsidR="00760917">
              <w:rPr>
                <w:rFonts w:ascii="Verdana" w:hAnsi="Verdana"/>
                <w:sz w:val="15"/>
                <w:szCs w:val="15"/>
                <w:lang w:val="en-GB"/>
              </w:rPr>
              <w:t>5</w:t>
            </w:r>
            <w:r w:rsidRPr="00460324" w:rsidR="00AD54AE">
              <w:rPr>
                <w:rFonts w:ascii="Verdana" w:hAnsi="Verdana"/>
                <w:sz w:val="15"/>
                <w:szCs w:val="15"/>
                <w:lang w:val="en-GB"/>
              </w:rPr>
              <w:t>,9</w:t>
            </w:r>
          </w:p>
        </w:tc>
        <w:tc>
          <w:tcPr>
            <w:tcW w:w="1128" w:type="dxa"/>
          </w:tcPr>
          <w:p w:rsidRPr="00460324" w:rsidR="003E4BF2"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7,1</w:t>
            </w:r>
          </w:p>
        </w:tc>
        <w:tc>
          <w:tcPr>
            <w:tcW w:w="1128" w:type="dxa"/>
          </w:tcPr>
          <w:p w:rsidRPr="00460324" w:rsidR="003E4BF2" w:rsidP="00FD5583" w:rsidRDefault="00742979">
            <w:pPr>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2022</w:t>
            </w:r>
          </w:p>
        </w:tc>
      </w:tr>
      <w:tr w:rsidRPr="00B370BE" w:rsidR="003E4BF2" w:rsidTr="00460324">
        <w:trPr>
          <w:trHeight w:val="364"/>
        </w:trPr>
        <w:tc>
          <w:tcPr>
            <w:tcW w:w="2257" w:type="dxa"/>
          </w:tcPr>
          <w:p w:rsidRPr="00460324" w:rsidR="003E4BF2" w:rsidP="00FD5583" w:rsidRDefault="00AD54AE">
            <w:pPr>
              <w:rPr>
                <w:rFonts w:ascii="Verdana" w:hAnsi="Verdana"/>
                <w:sz w:val="15"/>
                <w:szCs w:val="15"/>
                <w:lang w:val="en-GB"/>
              </w:rPr>
            </w:pPr>
            <w:r w:rsidRPr="00460324">
              <w:rPr>
                <w:rFonts w:ascii="Verdana" w:hAnsi="Verdana"/>
                <w:sz w:val="15"/>
                <w:szCs w:val="15"/>
                <w:lang w:val="en-GB"/>
              </w:rPr>
              <w:t>ARTES Integrated Applications Programme</w:t>
            </w:r>
          </w:p>
        </w:tc>
        <w:tc>
          <w:tcPr>
            <w:tcW w:w="1128" w:type="dxa"/>
          </w:tcPr>
          <w:p w:rsidRPr="00460324" w:rsidR="003E4BF2" w:rsidP="00FD5583" w:rsidRDefault="002A08DE">
            <w:pPr>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105</w:t>
            </w:r>
          </w:p>
        </w:tc>
        <w:tc>
          <w:tcPr>
            <w:tcW w:w="1128" w:type="dxa"/>
          </w:tcPr>
          <w:p w:rsidRPr="00460324" w:rsidR="003E4BF2" w:rsidP="00FD5583" w:rsidRDefault="002A08DE">
            <w:pPr>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5,71%</w:t>
            </w:r>
          </w:p>
        </w:tc>
        <w:tc>
          <w:tcPr>
            <w:tcW w:w="1128" w:type="dxa"/>
          </w:tcPr>
          <w:p w:rsidRPr="00460324" w:rsidR="003E4BF2" w:rsidP="002A08DE" w:rsidRDefault="00AD54AE">
            <w:pPr>
              <w:ind w:left="98"/>
              <w:rPr>
                <w:rFonts w:ascii="Verdana" w:hAnsi="Verdana"/>
                <w:sz w:val="15"/>
                <w:szCs w:val="15"/>
                <w:lang w:val="en-GB"/>
              </w:rPr>
            </w:pPr>
            <w:r w:rsidRPr="00460324">
              <w:rPr>
                <w:rFonts w:ascii="Verdana" w:hAnsi="Verdana"/>
                <w:sz w:val="15"/>
                <w:szCs w:val="15"/>
                <w:lang w:val="en-GB"/>
              </w:rPr>
              <w:t xml:space="preserve"> </w:t>
            </w:r>
            <w:r w:rsidRPr="00460324" w:rsidR="00C90E80">
              <w:rPr>
                <w:rFonts w:ascii="Verdana" w:hAnsi="Verdana"/>
                <w:sz w:val="15"/>
                <w:szCs w:val="15"/>
                <w:lang w:val="en-GB"/>
              </w:rPr>
              <w:t xml:space="preserve"> </w:t>
            </w:r>
            <w:r w:rsidRPr="00460324">
              <w:rPr>
                <w:rFonts w:ascii="Verdana" w:hAnsi="Verdana"/>
                <w:sz w:val="15"/>
                <w:szCs w:val="15"/>
                <w:lang w:val="en-GB"/>
              </w:rPr>
              <w:t>6,0</w:t>
            </w:r>
          </w:p>
        </w:tc>
        <w:tc>
          <w:tcPr>
            <w:tcW w:w="1128" w:type="dxa"/>
          </w:tcPr>
          <w:p w:rsidRPr="00460324" w:rsidR="003E4BF2"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2,7</w:t>
            </w:r>
          </w:p>
        </w:tc>
        <w:tc>
          <w:tcPr>
            <w:tcW w:w="1128" w:type="dxa"/>
          </w:tcPr>
          <w:p w:rsidRPr="00460324" w:rsidR="003E4BF2"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3,3</w:t>
            </w:r>
          </w:p>
        </w:tc>
        <w:tc>
          <w:tcPr>
            <w:tcW w:w="1128" w:type="dxa"/>
          </w:tcPr>
          <w:p w:rsidRPr="00460324" w:rsidR="003E4BF2" w:rsidP="00FD5583" w:rsidRDefault="00742979">
            <w:pPr>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2022</w:t>
            </w:r>
          </w:p>
        </w:tc>
      </w:tr>
      <w:tr w:rsidRPr="00B370BE" w:rsidR="003E4BF2" w:rsidTr="00460324">
        <w:trPr>
          <w:trHeight w:val="364"/>
        </w:trPr>
        <w:tc>
          <w:tcPr>
            <w:tcW w:w="2257" w:type="dxa"/>
          </w:tcPr>
          <w:p w:rsidRPr="00460324" w:rsidR="003E4BF2" w:rsidP="00FD5583" w:rsidRDefault="00AD54AE">
            <w:pPr>
              <w:rPr>
                <w:rFonts w:ascii="Verdana" w:hAnsi="Verdana"/>
                <w:sz w:val="15"/>
                <w:szCs w:val="15"/>
                <w:lang w:val="en-GB"/>
              </w:rPr>
            </w:pPr>
            <w:r w:rsidRPr="00460324">
              <w:rPr>
                <w:rFonts w:ascii="Verdana" w:hAnsi="Verdana"/>
                <w:sz w:val="15"/>
                <w:szCs w:val="15"/>
                <w:lang w:val="en-GB"/>
              </w:rPr>
              <w:lastRenderedPageBreak/>
              <w:t>ARTES Public Private Partnerships (PPP)</w:t>
            </w:r>
          </w:p>
        </w:tc>
        <w:tc>
          <w:tcPr>
            <w:tcW w:w="1128" w:type="dxa"/>
          </w:tcPr>
          <w:p w:rsidRPr="00460324" w:rsidR="003E4BF2" w:rsidP="00FD5583" w:rsidRDefault="002A08DE">
            <w:pPr>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690</w:t>
            </w:r>
          </w:p>
        </w:tc>
        <w:tc>
          <w:tcPr>
            <w:tcW w:w="1128" w:type="dxa"/>
          </w:tcPr>
          <w:p w:rsidRPr="00460324" w:rsidR="003E4BF2" w:rsidP="00FD5583" w:rsidRDefault="002A08DE">
            <w:pPr>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1,74%</w:t>
            </w:r>
          </w:p>
        </w:tc>
        <w:tc>
          <w:tcPr>
            <w:tcW w:w="1128" w:type="dxa"/>
          </w:tcPr>
          <w:p w:rsidRPr="00460324" w:rsidR="003E4BF2" w:rsidP="002A08DE" w:rsidRDefault="00AD54AE">
            <w:pPr>
              <w:ind w:left="98"/>
              <w:rPr>
                <w:rFonts w:ascii="Verdana" w:hAnsi="Verdana"/>
                <w:sz w:val="15"/>
                <w:szCs w:val="15"/>
                <w:lang w:val="en-GB"/>
              </w:rPr>
            </w:pPr>
            <w:r w:rsidRPr="00460324">
              <w:rPr>
                <w:rFonts w:ascii="Verdana" w:hAnsi="Verdana"/>
                <w:sz w:val="15"/>
                <w:szCs w:val="15"/>
                <w:lang w:val="en-GB"/>
              </w:rPr>
              <w:t>12,0</w:t>
            </w:r>
          </w:p>
        </w:tc>
        <w:tc>
          <w:tcPr>
            <w:tcW w:w="1128" w:type="dxa"/>
          </w:tcPr>
          <w:p w:rsidRPr="00460324" w:rsidR="003E4BF2"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5,1</w:t>
            </w:r>
          </w:p>
        </w:tc>
        <w:tc>
          <w:tcPr>
            <w:tcW w:w="1128" w:type="dxa"/>
          </w:tcPr>
          <w:p w:rsidRPr="00460324" w:rsidR="003E4BF2"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6,9</w:t>
            </w:r>
          </w:p>
        </w:tc>
        <w:tc>
          <w:tcPr>
            <w:tcW w:w="1128" w:type="dxa"/>
          </w:tcPr>
          <w:p w:rsidRPr="00460324" w:rsidR="003E4BF2" w:rsidP="00FD5583" w:rsidRDefault="00742979">
            <w:pPr>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2022</w:t>
            </w:r>
          </w:p>
        </w:tc>
      </w:tr>
      <w:tr w:rsidRPr="00B370BE" w:rsidR="003E4BF2" w:rsidTr="00460324">
        <w:trPr>
          <w:trHeight w:val="182"/>
        </w:trPr>
        <w:tc>
          <w:tcPr>
            <w:tcW w:w="2257" w:type="dxa"/>
          </w:tcPr>
          <w:p w:rsidRPr="00460324" w:rsidR="003E4BF2" w:rsidP="00FD5583" w:rsidRDefault="00AD54AE">
            <w:pPr>
              <w:rPr>
                <w:rFonts w:ascii="Verdana" w:hAnsi="Verdana"/>
                <w:sz w:val="15"/>
                <w:szCs w:val="15"/>
                <w:lang w:val="en-GB"/>
              </w:rPr>
            </w:pPr>
            <w:r w:rsidRPr="00BB4AF0">
              <w:rPr>
                <w:rFonts w:ascii="Verdana" w:hAnsi="Verdana"/>
                <w:sz w:val="15"/>
                <w:szCs w:val="15"/>
                <w:highlight w:val="cyan"/>
                <w:lang w:val="en-GB"/>
              </w:rPr>
              <w:t>Totaal Telecommunicatie</w:t>
            </w:r>
          </w:p>
        </w:tc>
        <w:tc>
          <w:tcPr>
            <w:tcW w:w="1128" w:type="dxa"/>
          </w:tcPr>
          <w:p w:rsidRPr="00460324" w:rsidR="003E4BF2" w:rsidP="00FD5583" w:rsidRDefault="003E4BF2">
            <w:pPr>
              <w:rPr>
                <w:rFonts w:ascii="Verdana" w:hAnsi="Verdana"/>
                <w:sz w:val="15"/>
                <w:szCs w:val="15"/>
                <w:lang w:val="en-GB"/>
              </w:rPr>
            </w:pPr>
          </w:p>
        </w:tc>
        <w:tc>
          <w:tcPr>
            <w:tcW w:w="1128" w:type="dxa"/>
          </w:tcPr>
          <w:p w:rsidRPr="00460324" w:rsidR="003E4BF2" w:rsidP="00FD5583" w:rsidRDefault="003E4BF2">
            <w:pPr>
              <w:rPr>
                <w:rFonts w:ascii="Verdana" w:hAnsi="Verdana"/>
                <w:sz w:val="15"/>
                <w:szCs w:val="15"/>
                <w:lang w:val="en-GB"/>
              </w:rPr>
            </w:pPr>
          </w:p>
        </w:tc>
        <w:tc>
          <w:tcPr>
            <w:tcW w:w="1128" w:type="dxa"/>
          </w:tcPr>
          <w:p w:rsidRPr="00460324" w:rsidR="003E4BF2" w:rsidP="002A08DE" w:rsidRDefault="00AD54AE">
            <w:pPr>
              <w:ind w:left="98"/>
              <w:rPr>
                <w:rFonts w:ascii="Verdana" w:hAnsi="Verdana"/>
                <w:sz w:val="15"/>
                <w:szCs w:val="15"/>
                <w:lang w:val="en-GB"/>
              </w:rPr>
            </w:pPr>
            <w:r w:rsidRPr="00460324">
              <w:rPr>
                <w:rFonts w:ascii="Verdana" w:hAnsi="Verdana"/>
                <w:sz w:val="15"/>
                <w:szCs w:val="15"/>
                <w:lang w:val="en-GB"/>
              </w:rPr>
              <w:t>31,0</w:t>
            </w:r>
          </w:p>
        </w:tc>
        <w:tc>
          <w:tcPr>
            <w:tcW w:w="1128" w:type="dxa"/>
          </w:tcPr>
          <w:p w:rsidRPr="00460324" w:rsidR="003E4BF2"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13,7</w:t>
            </w:r>
          </w:p>
        </w:tc>
        <w:tc>
          <w:tcPr>
            <w:tcW w:w="1128" w:type="dxa"/>
          </w:tcPr>
          <w:p w:rsidRPr="00460324" w:rsidR="003E4BF2"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AD54AE">
              <w:rPr>
                <w:rFonts w:ascii="Verdana" w:hAnsi="Verdana"/>
                <w:sz w:val="15"/>
                <w:szCs w:val="15"/>
                <w:lang w:val="en-GB"/>
              </w:rPr>
              <w:t>17,3</w:t>
            </w:r>
          </w:p>
        </w:tc>
        <w:tc>
          <w:tcPr>
            <w:tcW w:w="1128" w:type="dxa"/>
          </w:tcPr>
          <w:p w:rsidRPr="00460324" w:rsidR="003E4BF2" w:rsidP="00FD5583" w:rsidRDefault="003E4BF2">
            <w:pPr>
              <w:rPr>
                <w:rFonts w:ascii="Verdana" w:hAnsi="Verdana"/>
                <w:sz w:val="15"/>
                <w:szCs w:val="15"/>
                <w:lang w:val="en-GB"/>
              </w:rPr>
            </w:pPr>
          </w:p>
        </w:tc>
      </w:tr>
      <w:tr w:rsidRPr="00B370BE" w:rsidR="006528F5" w:rsidTr="00460324">
        <w:trPr>
          <w:trHeight w:val="182"/>
        </w:trPr>
        <w:tc>
          <w:tcPr>
            <w:tcW w:w="2257" w:type="dxa"/>
          </w:tcPr>
          <w:p w:rsidRPr="00BB4AF0" w:rsidR="006528F5" w:rsidP="00FD5583" w:rsidRDefault="006528F5">
            <w:pPr>
              <w:rPr>
                <w:rFonts w:ascii="Verdana" w:hAnsi="Verdana"/>
                <w:sz w:val="15"/>
                <w:szCs w:val="15"/>
                <w:highlight w:val="cyan"/>
                <w:lang w:val="en-GB"/>
              </w:rPr>
            </w:pPr>
          </w:p>
        </w:tc>
        <w:tc>
          <w:tcPr>
            <w:tcW w:w="1128" w:type="dxa"/>
          </w:tcPr>
          <w:p w:rsidRPr="00460324" w:rsidR="006528F5" w:rsidP="00FD5583" w:rsidRDefault="006528F5">
            <w:pPr>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c>
          <w:tcPr>
            <w:tcW w:w="1128" w:type="dxa"/>
          </w:tcPr>
          <w:p w:rsidRPr="00460324" w:rsidR="006528F5" w:rsidP="002A08DE"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r>
      <w:tr w:rsidRPr="00B370BE" w:rsidR="00AD54AE" w:rsidTr="00460324">
        <w:trPr>
          <w:trHeight w:val="182"/>
        </w:trPr>
        <w:tc>
          <w:tcPr>
            <w:tcW w:w="2257" w:type="dxa"/>
          </w:tcPr>
          <w:p w:rsidRPr="00460324" w:rsidR="00AD54AE" w:rsidP="00FD5583" w:rsidRDefault="002A08DE">
            <w:pPr>
              <w:rPr>
                <w:rFonts w:ascii="Verdana" w:hAnsi="Verdana"/>
                <w:sz w:val="15"/>
                <w:szCs w:val="15"/>
                <w:lang w:val="en-GB"/>
              </w:rPr>
            </w:pPr>
            <w:r w:rsidRPr="00BB4AF0">
              <w:rPr>
                <w:rFonts w:ascii="Verdana" w:hAnsi="Verdana"/>
                <w:sz w:val="15"/>
                <w:szCs w:val="15"/>
                <w:highlight w:val="green"/>
                <w:lang w:val="en-GB"/>
              </w:rPr>
              <w:t>Navigatie</w:t>
            </w:r>
          </w:p>
        </w:tc>
        <w:tc>
          <w:tcPr>
            <w:tcW w:w="1128" w:type="dxa"/>
          </w:tcPr>
          <w:p w:rsidRPr="00460324" w:rsidR="00AD54AE" w:rsidP="00FD5583" w:rsidRDefault="00AD54AE">
            <w:pPr>
              <w:rPr>
                <w:rFonts w:ascii="Verdana" w:hAnsi="Verdana"/>
                <w:sz w:val="15"/>
                <w:szCs w:val="15"/>
                <w:lang w:val="en-GB"/>
              </w:rPr>
            </w:pPr>
          </w:p>
        </w:tc>
        <w:tc>
          <w:tcPr>
            <w:tcW w:w="1128" w:type="dxa"/>
          </w:tcPr>
          <w:p w:rsidRPr="00460324" w:rsidR="00AD54AE" w:rsidP="00FD5583" w:rsidRDefault="00AD54AE">
            <w:pPr>
              <w:rPr>
                <w:rFonts w:ascii="Verdana" w:hAnsi="Verdana"/>
                <w:sz w:val="15"/>
                <w:szCs w:val="15"/>
                <w:lang w:val="en-GB"/>
              </w:rPr>
            </w:pPr>
          </w:p>
        </w:tc>
        <w:tc>
          <w:tcPr>
            <w:tcW w:w="1128" w:type="dxa"/>
          </w:tcPr>
          <w:p w:rsidRPr="00460324" w:rsidR="00AD54AE" w:rsidP="002A08DE" w:rsidRDefault="00AD54AE">
            <w:pPr>
              <w:ind w:left="98"/>
              <w:rPr>
                <w:rFonts w:ascii="Verdana" w:hAnsi="Verdana"/>
                <w:sz w:val="15"/>
                <w:szCs w:val="15"/>
                <w:lang w:val="en-GB"/>
              </w:rPr>
            </w:pPr>
          </w:p>
        </w:tc>
        <w:tc>
          <w:tcPr>
            <w:tcW w:w="1128" w:type="dxa"/>
          </w:tcPr>
          <w:p w:rsidRPr="00460324" w:rsidR="00AD54AE" w:rsidP="00742979" w:rsidRDefault="00AD54AE">
            <w:pPr>
              <w:ind w:left="98"/>
              <w:rPr>
                <w:rFonts w:ascii="Verdana" w:hAnsi="Verdana"/>
                <w:sz w:val="15"/>
                <w:szCs w:val="15"/>
                <w:lang w:val="en-GB"/>
              </w:rPr>
            </w:pPr>
          </w:p>
        </w:tc>
        <w:tc>
          <w:tcPr>
            <w:tcW w:w="1128" w:type="dxa"/>
          </w:tcPr>
          <w:p w:rsidRPr="00460324" w:rsidR="00AD54AE" w:rsidP="00742979" w:rsidRDefault="00AD54AE">
            <w:pPr>
              <w:ind w:left="98"/>
              <w:rPr>
                <w:rFonts w:ascii="Verdana" w:hAnsi="Verdana"/>
                <w:sz w:val="15"/>
                <w:szCs w:val="15"/>
                <w:lang w:val="en-GB"/>
              </w:rPr>
            </w:pPr>
          </w:p>
        </w:tc>
        <w:tc>
          <w:tcPr>
            <w:tcW w:w="1128" w:type="dxa"/>
          </w:tcPr>
          <w:p w:rsidRPr="00460324" w:rsidR="00AD54AE" w:rsidP="00FD5583" w:rsidRDefault="00AD54AE">
            <w:pPr>
              <w:rPr>
                <w:rFonts w:ascii="Verdana" w:hAnsi="Verdana"/>
                <w:sz w:val="15"/>
                <w:szCs w:val="15"/>
                <w:lang w:val="en-GB"/>
              </w:rPr>
            </w:pPr>
          </w:p>
        </w:tc>
      </w:tr>
      <w:tr w:rsidRPr="00B370BE" w:rsidR="00AD54AE" w:rsidTr="00460324">
        <w:trPr>
          <w:trHeight w:val="364"/>
        </w:trPr>
        <w:tc>
          <w:tcPr>
            <w:tcW w:w="2257" w:type="dxa"/>
          </w:tcPr>
          <w:p w:rsidRPr="00460324" w:rsidR="00AD54AE" w:rsidP="00FD5583" w:rsidRDefault="002A08DE">
            <w:pPr>
              <w:rPr>
                <w:rFonts w:ascii="Verdana" w:hAnsi="Verdana"/>
                <w:sz w:val="15"/>
                <w:szCs w:val="15"/>
                <w:lang w:val="en-GB"/>
              </w:rPr>
            </w:pPr>
            <w:r w:rsidRPr="00460324">
              <w:rPr>
                <w:rFonts w:ascii="Verdana" w:hAnsi="Verdana"/>
                <w:sz w:val="15"/>
                <w:szCs w:val="15"/>
                <w:lang w:val="en-GB"/>
              </w:rPr>
              <w:t>Navigation Innovation and Support Program (NAVIS)</w:t>
            </w:r>
          </w:p>
        </w:tc>
        <w:tc>
          <w:tcPr>
            <w:tcW w:w="1128" w:type="dxa"/>
          </w:tcPr>
          <w:p w:rsidRPr="00460324" w:rsidR="00AD54AE" w:rsidP="00FD5583" w:rsidRDefault="002A08DE">
            <w:pPr>
              <w:rPr>
                <w:rFonts w:ascii="Verdana" w:hAnsi="Verdana"/>
                <w:sz w:val="15"/>
                <w:szCs w:val="15"/>
                <w:lang w:val="en-GB"/>
              </w:rPr>
            </w:pPr>
            <w:r w:rsidRPr="00460324">
              <w:rPr>
                <w:rFonts w:ascii="Verdana" w:hAnsi="Verdana"/>
                <w:sz w:val="15"/>
                <w:szCs w:val="15"/>
                <w:lang w:val="en-GB"/>
              </w:rPr>
              <w:t xml:space="preserve">    100</w:t>
            </w:r>
          </w:p>
        </w:tc>
        <w:tc>
          <w:tcPr>
            <w:tcW w:w="1128" w:type="dxa"/>
          </w:tcPr>
          <w:p w:rsidRPr="00460324" w:rsidR="00AD54AE" w:rsidP="00FD5583" w:rsidRDefault="002A08DE">
            <w:pPr>
              <w:rPr>
                <w:rFonts w:ascii="Verdana" w:hAnsi="Verdana"/>
                <w:sz w:val="15"/>
                <w:szCs w:val="15"/>
                <w:lang w:val="en-GB"/>
              </w:rPr>
            </w:pPr>
            <w:r w:rsidRPr="00460324">
              <w:rPr>
                <w:rFonts w:ascii="Verdana" w:hAnsi="Verdana"/>
                <w:sz w:val="15"/>
                <w:szCs w:val="15"/>
                <w:lang w:val="en-GB"/>
              </w:rPr>
              <w:t xml:space="preserve">  1,0%</w:t>
            </w:r>
          </w:p>
        </w:tc>
        <w:tc>
          <w:tcPr>
            <w:tcW w:w="1128" w:type="dxa"/>
          </w:tcPr>
          <w:p w:rsidRPr="00460324" w:rsidR="00AD54AE" w:rsidP="002A08DE" w:rsidRDefault="002A08DE">
            <w:pPr>
              <w:ind w:left="98"/>
              <w:rPr>
                <w:rFonts w:ascii="Verdana" w:hAnsi="Verdana"/>
                <w:sz w:val="15"/>
                <w:szCs w:val="15"/>
                <w:lang w:val="en-GB"/>
              </w:rPr>
            </w:pPr>
            <w:r w:rsidRPr="00460324">
              <w:rPr>
                <w:rFonts w:ascii="Verdana" w:hAnsi="Verdana"/>
                <w:sz w:val="15"/>
                <w:szCs w:val="15"/>
                <w:lang w:val="en-GB"/>
              </w:rPr>
              <w:t xml:space="preserve"> </w:t>
            </w:r>
            <w:r w:rsidRPr="00460324" w:rsidR="00C90E80">
              <w:rPr>
                <w:rFonts w:ascii="Verdana" w:hAnsi="Verdana"/>
                <w:sz w:val="15"/>
                <w:szCs w:val="15"/>
                <w:lang w:val="en-GB"/>
              </w:rPr>
              <w:t xml:space="preserve"> </w:t>
            </w:r>
            <w:r w:rsidRPr="00460324">
              <w:rPr>
                <w:rFonts w:ascii="Verdana" w:hAnsi="Verdana"/>
                <w:sz w:val="15"/>
                <w:szCs w:val="15"/>
                <w:lang w:val="en-GB"/>
              </w:rPr>
              <w:t>1,0</w:t>
            </w:r>
          </w:p>
        </w:tc>
        <w:tc>
          <w:tcPr>
            <w:tcW w:w="1128" w:type="dxa"/>
          </w:tcPr>
          <w:p w:rsidRPr="00460324" w:rsidR="00AD54AE"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2A08DE">
              <w:rPr>
                <w:rFonts w:ascii="Verdana" w:hAnsi="Verdana"/>
                <w:sz w:val="15"/>
                <w:szCs w:val="15"/>
                <w:lang w:val="en-GB"/>
              </w:rPr>
              <w:t>0,6</w:t>
            </w:r>
          </w:p>
        </w:tc>
        <w:tc>
          <w:tcPr>
            <w:tcW w:w="1128" w:type="dxa"/>
          </w:tcPr>
          <w:p w:rsidRPr="00460324" w:rsidR="00AD54AE"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2A08DE">
              <w:rPr>
                <w:rFonts w:ascii="Verdana" w:hAnsi="Verdana"/>
                <w:sz w:val="15"/>
                <w:szCs w:val="15"/>
                <w:lang w:val="en-GB"/>
              </w:rPr>
              <w:t>0,4</w:t>
            </w:r>
          </w:p>
        </w:tc>
        <w:tc>
          <w:tcPr>
            <w:tcW w:w="1128" w:type="dxa"/>
          </w:tcPr>
          <w:p w:rsidRPr="00460324" w:rsidR="00AD54AE" w:rsidP="00FD5583" w:rsidRDefault="00742979">
            <w:pPr>
              <w:rPr>
                <w:rFonts w:ascii="Verdana" w:hAnsi="Verdana"/>
                <w:sz w:val="15"/>
                <w:szCs w:val="15"/>
                <w:lang w:val="en-GB"/>
              </w:rPr>
            </w:pPr>
            <w:r w:rsidRPr="00460324">
              <w:rPr>
                <w:rFonts w:ascii="Verdana" w:hAnsi="Verdana"/>
                <w:sz w:val="15"/>
                <w:szCs w:val="15"/>
                <w:lang w:val="en-GB"/>
              </w:rPr>
              <w:t xml:space="preserve">     </w:t>
            </w:r>
            <w:r w:rsidRPr="00460324" w:rsidR="002A08DE">
              <w:rPr>
                <w:rFonts w:ascii="Verdana" w:hAnsi="Verdana"/>
                <w:sz w:val="15"/>
                <w:szCs w:val="15"/>
                <w:lang w:val="en-GB"/>
              </w:rPr>
              <w:t>2021</w:t>
            </w:r>
          </w:p>
        </w:tc>
      </w:tr>
      <w:tr w:rsidRPr="00B370BE" w:rsidR="00AD54AE" w:rsidTr="00460324">
        <w:trPr>
          <w:trHeight w:val="182"/>
        </w:trPr>
        <w:tc>
          <w:tcPr>
            <w:tcW w:w="2257" w:type="dxa"/>
          </w:tcPr>
          <w:p w:rsidRPr="00460324" w:rsidR="00AD54AE" w:rsidP="00FD5583" w:rsidRDefault="002A08DE">
            <w:pPr>
              <w:rPr>
                <w:rFonts w:ascii="Verdana" w:hAnsi="Verdana"/>
                <w:sz w:val="15"/>
                <w:szCs w:val="15"/>
                <w:lang w:val="en-GB"/>
              </w:rPr>
            </w:pPr>
            <w:r w:rsidRPr="00BB4AF0">
              <w:rPr>
                <w:rFonts w:ascii="Verdana" w:hAnsi="Verdana"/>
                <w:sz w:val="15"/>
                <w:szCs w:val="15"/>
                <w:highlight w:val="cyan"/>
                <w:lang w:val="en-GB"/>
              </w:rPr>
              <w:t>Totaal Navigatie</w:t>
            </w:r>
          </w:p>
        </w:tc>
        <w:tc>
          <w:tcPr>
            <w:tcW w:w="1128" w:type="dxa"/>
          </w:tcPr>
          <w:p w:rsidRPr="00460324" w:rsidR="00AD54AE" w:rsidP="00FD5583" w:rsidRDefault="00AD54AE">
            <w:pPr>
              <w:rPr>
                <w:rFonts w:ascii="Verdana" w:hAnsi="Verdana"/>
                <w:sz w:val="15"/>
                <w:szCs w:val="15"/>
                <w:lang w:val="en-GB"/>
              </w:rPr>
            </w:pPr>
          </w:p>
        </w:tc>
        <w:tc>
          <w:tcPr>
            <w:tcW w:w="1128" w:type="dxa"/>
          </w:tcPr>
          <w:p w:rsidRPr="00460324" w:rsidR="00AD54AE" w:rsidP="00FD5583" w:rsidRDefault="00AD54AE">
            <w:pPr>
              <w:rPr>
                <w:rFonts w:ascii="Verdana" w:hAnsi="Verdana"/>
                <w:sz w:val="15"/>
                <w:szCs w:val="15"/>
                <w:lang w:val="en-GB"/>
              </w:rPr>
            </w:pPr>
          </w:p>
        </w:tc>
        <w:tc>
          <w:tcPr>
            <w:tcW w:w="1128" w:type="dxa"/>
          </w:tcPr>
          <w:p w:rsidRPr="00460324" w:rsidR="00AD54AE" w:rsidP="002A08DE" w:rsidRDefault="002A08DE">
            <w:pPr>
              <w:ind w:left="98"/>
              <w:rPr>
                <w:rFonts w:ascii="Verdana" w:hAnsi="Verdana"/>
                <w:sz w:val="15"/>
                <w:szCs w:val="15"/>
                <w:lang w:val="en-GB"/>
              </w:rPr>
            </w:pPr>
            <w:r w:rsidRPr="00460324">
              <w:rPr>
                <w:rFonts w:ascii="Verdana" w:hAnsi="Verdana"/>
                <w:sz w:val="15"/>
                <w:szCs w:val="15"/>
                <w:lang w:val="en-GB"/>
              </w:rPr>
              <w:t xml:space="preserve"> </w:t>
            </w:r>
            <w:r w:rsidRPr="00460324" w:rsidR="00C90E80">
              <w:rPr>
                <w:rFonts w:ascii="Verdana" w:hAnsi="Verdana"/>
                <w:sz w:val="15"/>
                <w:szCs w:val="15"/>
                <w:lang w:val="en-GB"/>
              </w:rPr>
              <w:t xml:space="preserve"> </w:t>
            </w:r>
            <w:r w:rsidRPr="00460324">
              <w:rPr>
                <w:rFonts w:ascii="Verdana" w:hAnsi="Verdana"/>
                <w:sz w:val="15"/>
                <w:szCs w:val="15"/>
                <w:lang w:val="en-GB"/>
              </w:rPr>
              <w:t>1,0</w:t>
            </w:r>
          </w:p>
        </w:tc>
        <w:tc>
          <w:tcPr>
            <w:tcW w:w="1128" w:type="dxa"/>
          </w:tcPr>
          <w:p w:rsidRPr="00460324" w:rsidR="00AD54AE"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2A08DE">
              <w:rPr>
                <w:rFonts w:ascii="Verdana" w:hAnsi="Verdana"/>
                <w:sz w:val="15"/>
                <w:szCs w:val="15"/>
                <w:lang w:val="en-GB"/>
              </w:rPr>
              <w:t>0,6</w:t>
            </w:r>
          </w:p>
        </w:tc>
        <w:tc>
          <w:tcPr>
            <w:tcW w:w="1128" w:type="dxa"/>
          </w:tcPr>
          <w:p w:rsidRPr="00460324" w:rsidR="00AD54AE"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2A08DE">
              <w:rPr>
                <w:rFonts w:ascii="Verdana" w:hAnsi="Verdana"/>
                <w:sz w:val="15"/>
                <w:szCs w:val="15"/>
                <w:lang w:val="en-GB"/>
              </w:rPr>
              <w:t>0,4</w:t>
            </w:r>
          </w:p>
        </w:tc>
        <w:tc>
          <w:tcPr>
            <w:tcW w:w="1128" w:type="dxa"/>
          </w:tcPr>
          <w:p w:rsidRPr="00460324" w:rsidR="00AD54AE" w:rsidP="00FD5583" w:rsidRDefault="00AD54AE">
            <w:pPr>
              <w:rPr>
                <w:rFonts w:ascii="Verdana" w:hAnsi="Verdana"/>
                <w:sz w:val="15"/>
                <w:szCs w:val="15"/>
                <w:lang w:val="en-GB"/>
              </w:rPr>
            </w:pPr>
          </w:p>
        </w:tc>
      </w:tr>
      <w:tr w:rsidRPr="00B370BE" w:rsidR="006528F5" w:rsidTr="00460324">
        <w:trPr>
          <w:trHeight w:val="182"/>
        </w:trPr>
        <w:tc>
          <w:tcPr>
            <w:tcW w:w="2257" w:type="dxa"/>
          </w:tcPr>
          <w:p w:rsidRPr="00BB4AF0" w:rsidR="006528F5" w:rsidP="00FD5583" w:rsidRDefault="006528F5">
            <w:pPr>
              <w:rPr>
                <w:rFonts w:ascii="Verdana" w:hAnsi="Verdana"/>
                <w:sz w:val="15"/>
                <w:szCs w:val="15"/>
                <w:highlight w:val="cyan"/>
                <w:lang w:val="en-GB"/>
              </w:rPr>
            </w:pPr>
          </w:p>
        </w:tc>
        <w:tc>
          <w:tcPr>
            <w:tcW w:w="1128" w:type="dxa"/>
          </w:tcPr>
          <w:p w:rsidRPr="00460324" w:rsidR="006528F5" w:rsidP="00FD5583" w:rsidRDefault="006528F5">
            <w:pPr>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c>
          <w:tcPr>
            <w:tcW w:w="1128" w:type="dxa"/>
          </w:tcPr>
          <w:p w:rsidRPr="00460324" w:rsidR="006528F5" w:rsidP="002A08DE"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r>
      <w:tr w:rsidRPr="00B370BE" w:rsidR="002A08DE" w:rsidTr="00460324">
        <w:trPr>
          <w:trHeight w:val="182"/>
        </w:trPr>
        <w:tc>
          <w:tcPr>
            <w:tcW w:w="2257" w:type="dxa"/>
          </w:tcPr>
          <w:p w:rsidRPr="00460324" w:rsidR="002A08DE" w:rsidP="00FD5583" w:rsidRDefault="002A08DE">
            <w:pPr>
              <w:rPr>
                <w:rFonts w:ascii="Verdana" w:hAnsi="Verdana"/>
                <w:sz w:val="15"/>
                <w:szCs w:val="15"/>
                <w:lang w:val="en-GB"/>
              </w:rPr>
            </w:pPr>
            <w:r w:rsidRPr="00BB4AF0">
              <w:rPr>
                <w:rFonts w:ascii="Verdana" w:hAnsi="Verdana"/>
                <w:sz w:val="15"/>
                <w:szCs w:val="15"/>
                <w:highlight w:val="green"/>
                <w:lang w:val="en-GB"/>
              </w:rPr>
              <w:t>Technologie &amp; Operaties</w:t>
            </w:r>
          </w:p>
        </w:tc>
        <w:tc>
          <w:tcPr>
            <w:tcW w:w="1128" w:type="dxa"/>
          </w:tcPr>
          <w:p w:rsidRPr="00460324" w:rsidR="002A08DE" w:rsidP="00FD5583" w:rsidRDefault="002A08DE">
            <w:pPr>
              <w:rPr>
                <w:rFonts w:ascii="Verdana" w:hAnsi="Verdana"/>
                <w:sz w:val="15"/>
                <w:szCs w:val="15"/>
                <w:lang w:val="en-GB"/>
              </w:rPr>
            </w:pPr>
          </w:p>
        </w:tc>
        <w:tc>
          <w:tcPr>
            <w:tcW w:w="1128" w:type="dxa"/>
          </w:tcPr>
          <w:p w:rsidRPr="00460324" w:rsidR="002A08DE" w:rsidP="00FD5583" w:rsidRDefault="002A08DE">
            <w:pPr>
              <w:rPr>
                <w:rFonts w:ascii="Verdana" w:hAnsi="Verdana"/>
                <w:sz w:val="15"/>
                <w:szCs w:val="15"/>
                <w:lang w:val="en-GB"/>
              </w:rPr>
            </w:pPr>
          </w:p>
        </w:tc>
        <w:tc>
          <w:tcPr>
            <w:tcW w:w="1128" w:type="dxa"/>
          </w:tcPr>
          <w:p w:rsidRPr="00460324" w:rsidR="002A08DE" w:rsidP="002A08DE" w:rsidRDefault="002A08DE">
            <w:pPr>
              <w:ind w:left="98"/>
              <w:rPr>
                <w:rFonts w:ascii="Verdana" w:hAnsi="Verdana"/>
                <w:sz w:val="15"/>
                <w:szCs w:val="15"/>
                <w:lang w:val="en-GB"/>
              </w:rPr>
            </w:pPr>
          </w:p>
        </w:tc>
        <w:tc>
          <w:tcPr>
            <w:tcW w:w="1128" w:type="dxa"/>
          </w:tcPr>
          <w:p w:rsidRPr="00460324" w:rsidR="002A08DE" w:rsidP="00742979" w:rsidRDefault="002A08DE">
            <w:pPr>
              <w:ind w:left="98"/>
              <w:rPr>
                <w:rFonts w:ascii="Verdana" w:hAnsi="Verdana"/>
                <w:sz w:val="15"/>
                <w:szCs w:val="15"/>
                <w:lang w:val="en-GB"/>
              </w:rPr>
            </w:pPr>
          </w:p>
        </w:tc>
        <w:tc>
          <w:tcPr>
            <w:tcW w:w="1128" w:type="dxa"/>
          </w:tcPr>
          <w:p w:rsidRPr="00460324" w:rsidR="002A08DE" w:rsidP="00742979" w:rsidRDefault="002A08DE">
            <w:pPr>
              <w:ind w:left="98"/>
              <w:rPr>
                <w:rFonts w:ascii="Verdana" w:hAnsi="Verdana"/>
                <w:sz w:val="15"/>
                <w:szCs w:val="15"/>
                <w:lang w:val="en-GB"/>
              </w:rPr>
            </w:pPr>
          </w:p>
        </w:tc>
        <w:tc>
          <w:tcPr>
            <w:tcW w:w="1128" w:type="dxa"/>
          </w:tcPr>
          <w:p w:rsidRPr="00460324" w:rsidR="002A08DE" w:rsidP="00FD5583" w:rsidRDefault="002A08DE">
            <w:pPr>
              <w:rPr>
                <w:rFonts w:ascii="Verdana" w:hAnsi="Verdana"/>
                <w:sz w:val="15"/>
                <w:szCs w:val="15"/>
                <w:lang w:val="en-GB"/>
              </w:rPr>
            </w:pPr>
          </w:p>
        </w:tc>
      </w:tr>
      <w:tr w:rsidRPr="00B370BE" w:rsidR="002A08DE" w:rsidTr="009876C4">
        <w:trPr>
          <w:trHeight w:val="308"/>
        </w:trPr>
        <w:tc>
          <w:tcPr>
            <w:tcW w:w="2257" w:type="dxa"/>
          </w:tcPr>
          <w:p w:rsidRPr="00460324" w:rsidR="002A08DE" w:rsidP="00FD5583" w:rsidRDefault="002A08DE">
            <w:pPr>
              <w:rPr>
                <w:rFonts w:ascii="Verdana" w:hAnsi="Verdana"/>
                <w:sz w:val="15"/>
                <w:szCs w:val="15"/>
                <w:lang w:val="en-GB"/>
              </w:rPr>
            </w:pPr>
            <w:r w:rsidRPr="00460324">
              <w:rPr>
                <w:rFonts w:ascii="Verdana" w:hAnsi="Verdana"/>
                <w:sz w:val="15"/>
                <w:szCs w:val="15"/>
                <w:lang w:val="en-GB"/>
              </w:rPr>
              <w:t>New GSTP</w:t>
            </w:r>
          </w:p>
        </w:tc>
        <w:tc>
          <w:tcPr>
            <w:tcW w:w="1128" w:type="dxa"/>
          </w:tcPr>
          <w:p w:rsidRPr="00460324" w:rsidR="002A08DE" w:rsidP="00FD5583" w:rsidRDefault="002A08DE">
            <w:pPr>
              <w:rPr>
                <w:rFonts w:ascii="Verdana" w:hAnsi="Verdana"/>
                <w:sz w:val="15"/>
                <w:szCs w:val="15"/>
                <w:lang w:val="en-GB"/>
              </w:rPr>
            </w:pPr>
            <w:r w:rsidRPr="00460324">
              <w:rPr>
                <w:rFonts w:ascii="Verdana" w:hAnsi="Verdana"/>
                <w:sz w:val="15"/>
                <w:szCs w:val="15"/>
                <w:lang w:val="en-GB"/>
              </w:rPr>
              <w:t xml:space="preserve">    307</w:t>
            </w:r>
          </w:p>
        </w:tc>
        <w:tc>
          <w:tcPr>
            <w:tcW w:w="1128" w:type="dxa"/>
          </w:tcPr>
          <w:p w:rsidRPr="00460324" w:rsidR="002A08DE" w:rsidP="00FD5583" w:rsidRDefault="002A08DE">
            <w:pPr>
              <w:rPr>
                <w:rFonts w:ascii="Verdana" w:hAnsi="Verdana"/>
                <w:sz w:val="15"/>
                <w:szCs w:val="15"/>
                <w:lang w:val="en-GB"/>
              </w:rPr>
            </w:pPr>
            <w:r w:rsidRPr="00460324">
              <w:rPr>
                <w:rFonts w:ascii="Verdana" w:hAnsi="Verdana"/>
                <w:sz w:val="15"/>
                <w:szCs w:val="15"/>
                <w:lang w:val="en-GB"/>
              </w:rPr>
              <w:t xml:space="preserve">  2,6%</w:t>
            </w:r>
          </w:p>
        </w:tc>
        <w:tc>
          <w:tcPr>
            <w:tcW w:w="1128" w:type="dxa"/>
          </w:tcPr>
          <w:p w:rsidRPr="00460324" w:rsidR="002A08DE" w:rsidP="002A08DE" w:rsidRDefault="002A08DE">
            <w:pPr>
              <w:ind w:left="98"/>
              <w:rPr>
                <w:rFonts w:ascii="Verdana" w:hAnsi="Verdana"/>
                <w:sz w:val="15"/>
                <w:szCs w:val="15"/>
                <w:lang w:val="en-GB"/>
              </w:rPr>
            </w:pPr>
            <w:r w:rsidRPr="00460324">
              <w:rPr>
                <w:rFonts w:ascii="Verdana" w:hAnsi="Verdana"/>
                <w:sz w:val="15"/>
                <w:szCs w:val="15"/>
                <w:lang w:val="en-GB"/>
              </w:rPr>
              <w:t xml:space="preserve"> </w:t>
            </w:r>
            <w:r w:rsidRPr="00460324" w:rsidR="00C90E80">
              <w:rPr>
                <w:rFonts w:ascii="Verdana" w:hAnsi="Verdana"/>
                <w:sz w:val="15"/>
                <w:szCs w:val="15"/>
                <w:lang w:val="en-GB"/>
              </w:rPr>
              <w:t xml:space="preserve"> </w:t>
            </w:r>
            <w:r w:rsidRPr="00460324">
              <w:rPr>
                <w:rFonts w:ascii="Verdana" w:hAnsi="Verdana"/>
                <w:sz w:val="15"/>
                <w:szCs w:val="15"/>
                <w:lang w:val="en-GB"/>
              </w:rPr>
              <w:t>8,0</w:t>
            </w:r>
          </w:p>
        </w:tc>
        <w:tc>
          <w:tcPr>
            <w:tcW w:w="1128" w:type="dxa"/>
          </w:tcPr>
          <w:p w:rsidRPr="00460324" w:rsidR="002A08DE"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2A08DE">
              <w:rPr>
                <w:rFonts w:ascii="Verdana" w:hAnsi="Verdana"/>
                <w:sz w:val="15"/>
                <w:szCs w:val="15"/>
                <w:lang w:val="en-GB"/>
              </w:rPr>
              <w:t>8,0</w:t>
            </w:r>
          </w:p>
        </w:tc>
        <w:tc>
          <w:tcPr>
            <w:tcW w:w="1128" w:type="dxa"/>
          </w:tcPr>
          <w:p w:rsidRPr="00460324" w:rsidR="002A08DE"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742979">
              <w:rPr>
                <w:rFonts w:ascii="Verdana" w:hAnsi="Verdana"/>
                <w:sz w:val="15"/>
                <w:szCs w:val="15"/>
                <w:lang w:val="en-GB"/>
              </w:rPr>
              <w:t>0,0</w:t>
            </w:r>
          </w:p>
        </w:tc>
        <w:tc>
          <w:tcPr>
            <w:tcW w:w="1128" w:type="dxa"/>
          </w:tcPr>
          <w:p w:rsidRPr="00460324" w:rsidR="002A08DE" w:rsidP="00FD5583" w:rsidRDefault="002A08DE">
            <w:pPr>
              <w:rPr>
                <w:rFonts w:ascii="Verdana" w:hAnsi="Verdana"/>
                <w:sz w:val="15"/>
                <w:szCs w:val="15"/>
                <w:lang w:val="en-GB"/>
              </w:rPr>
            </w:pPr>
            <w:r w:rsidRPr="00460324">
              <w:rPr>
                <w:rFonts w:ascii="Verdana" w:hAnsi="Verdana"/>
                <w:sz w:val="15"/>
                <w:szCs w:val="15"/>
                <w:lang w:val="en-GB"/>
              </w:rPr>
              <w:t xml:space="preserve">     2022</w:t>
            </w:r>
          </w:p>
        </w:tc>
      </w:tr>
      <w:tr w:rsidRPr="00B370BE" w:rsidR="00760917" w:rsidTr="00460324">
        <w:trPr>
          <w:trHeight w:val="182"/>
        </w:trPr>
        <w:tc>
          <w:tcPr>
            <w:tcW w:w="2257" w:type="dxa"/>
          </w:tcPr>
          <w:p w:rsidRPr="00460324" w:rsidR="00760917" w:rsidP="00FD5583" w:rsidRDefault="009876C4">
            <w:pPr>
              <w:rPr>
                <w:rFonts w:ascii="Verdana" w:hAnsi="Verdana"/>
                <w:sz w:val="15"/>
                <w:szCs w:val="15"/>
                <w:lang w:val="en-GB"/>
              </w:rPr>
            </w:pPr>
            <w:r>
              <w:rPr>
                <w:rFonts w:ascii="Verdana" w:hAnsi="Verdana"/>
                <w:sz w:val="15"/>
                <w:szCs w:val="15"/>
                <w:lang w:val="en-GB"/>
              </w:rPr>
              <w:t>ESA BIC</w:t>
            </w:r>
          </w:p>
        </w:tc>
        <w:tc>
          <w:tcPr>
            <w:tcW w:w="1128" w:type="dxa"/>
          </w:tcPr>
          <w:p w:rsidRPr="00460324" w:rsidR="00760917" w:rsidP="00FD5583" w:rsidRDefault="00760917">
            <w:pPr>
              <w:rPr>
                <w:rFonts w:ascii="Verdana" w:hAnsi="Verdana"/>
                <w:sz w:val="15"/>
                <w:szCs w:val="15"/>
                <w:lang w:val="en-GB"/>
              </w:rPr>
            </w:pPr>
          </w:p>
        </w:tc>
        <w:tc>
          <w:tcPr>
            <w:tcW w:w="1128" w:type="dxa"/>
          </w:tcPr>
          <w:p w:rsidRPr="00460324" w:rsidR="00760917" w:rsidP="00FD5583" w:rsidRDefault="00760917">
            <w:pPr>
              <w:rPr>
                <w:rFonts w:ascii="Verdana" w:hAnsi="Verdana"/>
                <w:sz w:val="15"/>
                <w:szCs w:val="15"/>
                <w:lang w:val="en-GB"/>
              </w:rPr>
            </w:pPr>
          </w:p>
        </w:tc>
        <w:tc>
          <w:tcPr>
            <w:tcW w:w="1128" w:type="dxa"/>
          </w:tcPr>
          <w:p w:rsidRPr="00460324" w:rsidR="00760917" w:rsidP="002A08DE" w:rsidRDefault="009876C4">
            <w:pPr>
              <w:ind w:left="98"/>
              <w:rPr>
                <w:rFonts w:ascii="Verdana" w:hAnsi="Verdana"/>
                <w:sz w:val="15"/>
                <w:szCs w:val="15"/>
                <w:lang w:val="en-GB"/>
              </w:rPr>
            </w:pPr>
            <w:r>
              <w:rPr>
                <w:rFonts w:ascii="Verdana" w:hAnsi="Verdana"/>
                <w:sz w:val="15"/>
                <w:szCs w:val="15"/>
                <w:lang w:val="en-GB"/>
              </w:rPr>
              <w:t xml:space="preserve">  2</w:t>
            </w:r>
            <w:r w:rsidRPr="00460324" w:rsidR="00760917">
              <w:rPr>
                <w:rFonts w:ascii="Verdana" w:hAnsi="Verdana"/>
                <w:sz w:val="15"/>
                <w:szCs w:val="15"/>
                <w:lang w:val="en-GB"/>
              </w:rPr>
              <w:t>,0</w:t>
            </w:r>
          </w:p>
        </w:tc>
        <w:tc>
          <w:tcPr>
            <w:tcW w:w="1128" w:type="dxa"/>
          </w:tcPr>
          <w:p w:rsidRPr="00460324" w:rsidR="00760917" w:rsidP="00742979" w:rsidRDefault="009876C4">
            <w:pPr>
              <w:ind w:left="98"/>
              <w:rPr>
                <w:rFonts w:ascii="Verdana" w:hAnsi="Verdana"/>
                <w:sz w:val="15"/>
                <w:szCs w:val="15"/>
                <w:lang w:val="en-GB"/>
              </w:rPr>
            </w:pPr>
            <w:r>
              <w:rPr>
                <w:rFonts w:ascii="Verdana" w:hAnsi="Verdana"/>
                <w:sz w:val="15"/>
                <w:szCs w:val="15"/>
                <w:lang w:val="en-GB"/>
              </w:rPr>
              <w:t xml:space="preserve">  2</w:t>
            </w:r>
            <w:r w:rsidRPr="00460324" w:rsidR="00760917">
              <w:rPr>
                <w:rFonts w:ascii="Verdana" w:hAnsi="Verdana"/>
                <w:sz w:val="15"/>
                <w:szCs w:val="15"/>
                <w:lang w:val="en-GB"/>
              </w:rPr>
              <w:t>,0</w:t>
            </w:r>
          </w:p>
        </w:tc>
        <w:tc>
          <w:tcPr>
            <w:tcW w:w="1128" w:type="dxa"/>
          </w:tcPr>
          <w:p w:rsidRPr="00460324" w:rsidR="00760917" w:rsidP="00742979" w:rsidRDefault="009876C4">
            <w:pPr>
              <w:ind w:left="98"/>
              <w:rPr>
                <w:rFonts w:ascii="Verdana" w:hAnsi="Verdana"/>
                <w:sz w:val="15"/>
                <w:szCs w:val="15"/>
                <w:lang w:val="en-GB"/>
              </w:rPr>
            </w:pPr>
            <w:r>
              <w:rPr>
                <w:rFonts w:ascii="Verdana" w:hAnsi="Verdana"/>
                <w:sz w:val="15"/>
                <w:szCs w:val="15"/>
                <w:lang w:val="en-GB"/>
              </w:rPr>
              <w:t xml:space="preserve">  0</w:t>
            </w:r>
            <w:r w:rsidRPr="00460324" w:rsidR="00760917">
              <w:rPr>
                <w:rFonts w:ascii="Verdana" w:hAnsi="Verdana"/>
                <w:sz w:val="15"/>
                <w:szCs w:val="15"/>
                <w:lang w:val="en-GB"/>
              </w:rPr>
              <w:t>,0</w:t>
            </w:r>
          </w:p>
        </w:tc>
        <w:tc>
          <w:tcPr>
            <w:tcW w:w="1128" w:type="dxa"/>
          </w:tcPr>
          <w:p w:rsidRPr="00460324" w:rsidR="00760917" w:rsidP="00FD5583" w:rsidRDefault="009876C4">
            <w:pPr>
              <w:rPr>
                <w:rFonts w:ascii="Verdana" w:hAnsi="Verdana"/>
                <w:sz w:val="15"/>
                <w:szCs w:val="15"/>
                <w:lang w:val="en-GB"/>
              </w:rPr>
            </w:pPr>
            <w:r>
              <w:rPr>
                <w:rFonts w:ascii="Verdana" w:hAnsi="Verdana"/>
                <w:sz w:val="15"/>
                <w:szCs w:val="15"/>
                <w:lang w:val="en-GB"/>
              </w:rPr>
              <w:t xml:space="preserve">     2019</w:t>
            </w:r>
          </w:p>
        </w:tc>
      </w:tr>
      <w:tr w:rsidRPr="00B370BE" w:rsidR="002A08DE" w:rsidTr="00460324">
        <w:trPr>
          <w:trHeight w:val="364"/>
        </w:trPr>
        <w:tc>
          <w:tcPr>
            <w:tcW w:w="2257" w:type="dxa"/>
          </w:tcPr>
          <w:p w:rsidRPr="00460324" w:rsidR="002A08DE" w:rsidP="00FD5583" w:rsidRDefault="002A08DE">
            <w:pPr>
              <w:rPr>
                <w:rFonts w:ascii="Verdana" w:hAnsi="Verdana"/>
                <w:sz w:val="15"/>
                <w:szCs w:val="15"/>
                <w:lang w:val="en-GB"/>
              </w:rPr>
            </w:pPr>
            <w:r w:rsidRPr="00460324">
              <w:rPr>
                <w:rFonts w:ascii="Verdana" w:hAnsi="Verdana"/>
                <w:sz w:val="15"/>
                <w:szCs w:val="15"/>
                <w:lang w:val="en-GB"/>
              </w:rPr>
              <w:t>Space Situational Awareness (SSA)</w:t>
            </w:r>
          </w:p>
        </w:tc>
        <w:tc>
          <w:tcPr>
            <w:tcW w:w="1128" w:type="dxa"/>
          </w:tcPr>
          <w:p w:rsidRPr="00460324" w:rsidR="002A08DE" w:rsidP="00FD5583" w:rsidRDefault="002A08DE">
            <w:pPr>
              <w:rPr>
                <w:rFonts w:ascii="Verdana" w:hAnsi="Verdana"/>
                <w:sz w:val="15"/>
                <w:szCs w:val="15"/>
                <w:lang w:val="en-GB"/>
              </w:rPr>
            </w:pPr>
            <w:r w:rsidRPr="00460324">
              <w:rPr>
                <w:rFonts w:ascii="Verdana" w:hAnsi="Verdana"/>
                <w:sz w:val="15"/>
                <w:szCs w:val="15"/>
                <w:lang w:val="en-GB"/>
              </w:rPr>
              <w:t xml:space="preserve">    187</w:t>
            </w:r>
          </w:p>
        </w:tc>
        <w:tc>
          <w:tcPr>
            <w:tcW w:w="1128" w:type="dxa"/>
          </w:tcPr>
          <w:p w:rsidRPr="00460324" w:rsidR="002A08DE" w:rsidP="00FD5583" w:rsidRDefault="002A08DE">
            <w:pPr>
              <w:rPr>
                <w:rFonts w:ascii="Verdana" w:hAnsi="Verdana"/>
                <w:sz w:val="15"/>
                <w:szCs w:val="15"/>
                <w:lang w:val="en-GB"/>
              </w:rPr>
            </w:pPr>
            <w:r w:rsidRPr="00460324">
              <w:rPr>
                <w:rFonts w:ascii="Verdana" w:hAnsi="Verdana"/>
                <w:sz w:val="15"/>
                <w:szCs w:val="15"/>
                <w:lang w:val="en-GB"/>
              </w:rPr>
              <w:t xml:space="preserve">  1,07%</w:t>
            </w:r>
          </w:p>
        </w:tc>
        <w:tc>
          <w:tcPr>
            <w:tcW w:w="1128" w:type="dxa"/>
          </w:tcPr>
          <w:p w:rsidRPr="00460324" w:rsidR="002A08DE" w:rsidP="002A08DE" w:rsidRDefault="002A08DE">
            <w:pPr>
              <w:ind w:left="98"/>
              <w:rPr>
                <w:rFonts w:ascii="Verdana" w:hAnsi="Verdana"/>
                <w:sz w:val="15"/>
                <w:szCs w:val="15"/>
                <w:lang w:val="en-GB"/>
              </w:rPr>
            </w:pPr>
            <w:r w:rsidRPr="00460324">
              <w:rPr>
                <w:rFonts w:ascii="Verdana" w:hAnsi="Verdana"/>
                <w:sz w:val="15"/>
                <w:szCs w:val="15"/>
                <w:lang w:val="en-GB"/>
              </w:rPr>
              <w:t xml:space="preserve"> </w:t>
            </w:r>
            <w:r w:rsidRPr="00460324" w:rsidR="00C90E80">
              <w:rPr>
                <w:rFonts w:ascii="Verdana" w:hAnsi="Verdana"/>
                <w:sz w:val="15"/>
                <w:szCs w:val="15"/>
                <w:lang w:val="en-GB"/>
              </w:rPr>
              <w:t xml:space="preserve"> </w:t>
            </w:r>
            <w:r w:rsidRPr="00460324">
              <w:rPr>
                <w:rFonts w:ascii="Verdana" w:hAnsi="Verdana"/>
                <w:sz w:val="15"/>
                <w:szCs w:val="15"/>
                <w:lang w:val="en-GB"/>
              </w:rPr>
              <w:t>2,0</w:t>
            </w:r>
          </w:p>
        </w:tc>
        <w:tc>
          <w:tcPr>
            <w:tcW w:w="1128" w:type="dxa"/>
          </w:tcPr>
          <w:p w:rsidRPr="00460324" w:rsidR="002A08DE"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2A08DE">
              <w:rPr>
                <w:rFonts w:ascii="Verdana" w:hAnsi="Verdana"/>
                <w:sz w:val="15"/>
                <w:szCs w:val="15"/>
                <w:lang w:val="en-GB"/>
              </w:rPr>
              <w:t>1,0</w:t>
            </w:r>
          </w:p>
        </w:tc>
        <w:tc>
          <w:tcPr>
            <w:tcW w:w="1128" w:type="dxa"/>
          </w:tcPr>
          <w:p w:rsidRPr="00460324" w:rsidR="002A08DE"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Pr="00460324" w:rsidR="002A08DE">
              <w:rPr>
                <w:rFonts w:ascii="Verdana" w:hAnsi="Verdana"/>
                <w:sz w:val="15"/>
                <w:szCs w:val="15"/>
                <w:lang w:val="en-GB"/>
              </w:rPr>
              <w:t>1,0</w:t>
            </w:r>
          </w:p>
        </w:tc>
        <w:tc>
          <w:tcPr>
            <w:tcW w:w="1128" w:type="dxa"/>
          </w:tcPr>
          <w:p w:rsidRPr="00460324" w:rsidR="002A08DE" w:rsidP="00FD5583" w:rsidRDefault="00742979">
            <w:pPr>
              <w:rPr>
                <w:rFonts w:ascii="Verdana" w:hAnsi="Verdana"/>
                <w:sz w:val="15"/>
                <w:szCs w:val="15"/>
                <w:lang w:val="en-GB"/>
              </w:rPr>
            </w:pPr>
            <w:r w:rsidRPr="00460324">
              <w:rPr>
                <w:rFonts w:ascii="Verdana" w:hAnsi="Verdana"/>
                <w:sz w:val="15"/>
                <w:szCs w:val="15"/>
                <w:lang w:val="en-GB"/>
              </w:rPr>
              <w:t xml:space="preserve">     </w:t>
            </w:r>
            <w:r w:rsidRPr="00460324" w:rsidR="002A08DE">
              <w:rPr>
                <w:rFonts w:ascii="Verdana" w:hAnsi="Verdana"/>
                <w:sz w:val="15"/>
                <w:szCs w:val="15"/>
                <w:lang w:val="en-GB"/>
              </w:rPr>
              <w:t>2021</w:t>
            </w:r>
          </w:p>
        </w:tc>
      </w:tr>
      <w:tr w:rsidRPr="00B370BE" w:rsidR="002A08DE" w:rsidTr="00460324">
        <w:trPr>
          <w:trHeight w:val="364"/>
        </w:trPr>
        <w:tc>
          <w:tcPr>
            <w:tcW w:w="2257" w:type="dxa"/>
          </w:tcPr>
          <w:p w:rsidRPr="00460324" w:rsidR="002A08DE" w:rsidP="006528F5" w:rsidRDefault="002A08DE">
            <w:pPr>
              <w:rPr>
                <w:rFonts w:ascii="Verdana" w:hAnsi="Verdana"/>
                <w:sz w:val="15"/>
                <w:szCs w:val="15"/>
                <w:lang w:val="en-GB"/>
              </w:rPr>
            </w:pPr>
            <w:r w:rsidRPr="00BB4AF0">
              <w:rPr>
                <w:rFonts w:ascii="Verdana" w:hAnsi="Verdana"/>
                <w:sz w:val="15"/>
                <w:szCs w:val="15"/>
                <w:highlight w:val="cyan"/>
                <w:lang w:val="en-GB"/>
              </w:rPr>
              <w:t>Totaal Technologie &amp;</w:t>
            </w:r>
            <w:r w:rsidR="006528F5">
              <w:rPr>
                <w:rFonts w:ascii="Verdana" w:hAnsi="Verdana"/>
                <w:sz w:val="15"/>
                <w:szCs w:val="15"/>
                <w:highlight w:val="cyan"/>
                <w:lang w:val="en-GB"/>
              </w:rPr>
              <w:t xml:space="preserve"> Operaties</w:t>
            </w:r>
            <w:r w:rsidRPr="00BB4AF0">
              <w:rPr>
                <w:rFonts w:ascii="Verdana" w:hAnsi="Verdana"/>
                <w:sz w:val="15"/>
                <w:szCs w:val="15"/>
                <w:highlight w:val="cyan"/>
                <w:lang w:val="en-GB"/>
              </w:rPr>
              <w:t xml:space="preserve"> </w:t>
            </w:r>
          </w:p>
        </w:tc>
        <w:tc>
          <w:tcPr>
            <w:tcW w:w="1128" w:type="dxa"/>
          </w:tcPr>
          <w:p w:rsidRPr="00460324" w:rsidR="002A08DE" w:rsidP="00FD5583" w:rsidRDefault="002A08DE">
            <w:pPr>
              <w:rPr>
                <w:rFonts w:ascii="Verdana" w:hAnsi="Verdana"/>
                <w:sz w:val="15"/>
                <w:szCs w:val="15"/>
                <w:lang w:val="en-GB"/>
              </w:rPr>
            </w:pPr>
          </w:p>
        </w:tc>
        <w:tc>
          <w:tcPr>
            <w:tcW w:w="1128" w:type="dxa"/>
          </w:tcPr>
          <w:p w:rsidRPr="00460324" w:rsidR="002A08DE" w:rsidP="00FD5583" w:rsidRDefault="002A08DE">
            <w:pPr>
              <w:rPr>
                <w:rFonts w:ascii="Verdana" w:hAnsi="Verdana"/>
                <w:sz w:val="15"/>
                <w:szCs w:val="15"/>
                <w:lang w:val="en-GB"/>
              </w:rPr>
            </w:pPr>
          </w:p>
        </w:tc>
        <w:tc>
          <w:tcPr>
            <w:tcW w:w="1128" w:type="dxa"/>
          </w:tcPr>
          <w:p w:rsidRPr="00460324" w:rsidR="002A08DE" w:rsidP="002A08DE" w:rsidRDefault="00C90E80">
            <w:pPr>
              <w:ind w:left="98"/>
              <w:rPr>
                <w:rFonts w:ascii="Verdana" w:hAnsi="Verdana"/>
                <w:sz w:val="15"/>
                <w:szCs w:val="15"/>
                <w:lang w:val="en-GB"/>
              </w:rPr>
            </w:pPr>
            <w:r w:rsidRPr="00460324">
              <w:rPr>
                <w:rFonts w:ascii="Verdana" w:hAnsi="Verdana"/>
                <w:sz w:val="15"/>
                <w:szCs w:val="15"/>
                <w:lang w:val="en-GB"/>
              </w:rPr>
              <w:t xml:space="preserve"> </w:t>
            </w:r>
            <w:r w:rsidR="009876C4">
              <w:rPr>
                <w:rFonts w:ascii="Verdana" w:hAnsi="Verdana"/>
                <w:sz w:val="15"/>
                <w:szCs w:val="15"/>
                <w:lang w:val="en-GB"/>
              </w:rPr>
              <w:t>12</w:t>
            </w:r>
            <w:r w:rsidRPr="00460324" w:rsidR="002A08DE">
              <w:rPr>
                <w:rFonts w:ascii="Verdana" w:hAnsi="Verdana"/>
                <w:sz w:val="15"/>
                <w:szCs w:val="15"/>
                <w:lang w:val="en-GB"/>
              </w:rPr>
              <w:t>,0</w:t>
            </w:r>
          </w:p>
        </w:tc>
        <w:tc>
          <w:tcPr>
            <w:tcW w:w="1128" w:type="dxa"/>
          </w:tcPr>
          <w:p w:rsidRPr="00460324" w:rsidR="002A08DE" w:rsidP="00742979" w:rsidRDefault="00C90E80">
            <w:pPr>
              <w:ind w:left="98"/>
              <w:rPr>
                <w:rFonts w:ascii="Verdana" w:hAnsi="Verdana"/>
                <w:sz w:val="15"/>
                <w:szCs w:val="15"/>
                <w:lang w:val="en-GB"/>
              </w:rPr>
            </w:pPr>
            <w:r w:rsidRPr="00460324">
              <w:rPr>
                <w:rFonts w:ascii="Verdana" w:hAnsi="Verdana"/>
                <w:sz w:val="15"/>
                <w:szCs w:val="15"/>
                <w:lang w:val="en-GB"/>
              </w:rPr>
              <w:t xml:space="preserve"> </w:t>
            </w:r>
            <w:r w:rsidR="009876C4">
              <w:rPr>
                <w:rFonts w:ascii="Verdana" w:hAnsi="Verdana"/>
                <w:sz w:val="15"/>
                <w:szCs w:val="15"/>
                <w:lang w:val="en-GB"/>
              </w:rPr>
              <w:t>11</w:t>
            </w:r>
            <w:r w:rsidRPr="00460324" w:rsidR="002A08DE">
              <w:rPr>
                <w:rFonts w:ascii="Verdana" w:hAnsi="Verdana"/>
                <w:sz w:val="15"/>
                <w:szCs w:val="15"/>
                <w:lang w:val="en-GB"/>
              </w:rPr>
              <w:t>,0</w:t>
            </w:r>
          </w:p>
        </w:tc>
        <w:tc>
          <w:tcPr>
            <w:tcW w:w="1128" w:type="dxa"/>
          </w:tcPr>
          <w:p w:rsidRPr="00460324" w:rsidR="002A08DE" w:rsidP="00742979" w:rsidRDefault="00760917">
            <w:pPr>
              <w:ind w:left="98"/>
              <w:rPr>
                <w:rFonts w:ascii="Verdana" w:hAnsi="Verdana"/>
                <w:sz w:val="15"/>
                <w:szCs w:val="15"/>
                <w:lang w:val="en-GB"/>
              </w:rPr>
            </w:pPr>
            <w:r w:rsidRPr="00460324">
              <w:rPr>
                <w:rFonts w:ascii="Verdana" w:hAnsi="Verdana"/>
                <w:sz w:val="15"/>
                <w:szCs w:val="15"/>
                <w:lang w:val="en-GB"/>
              </w:rPr>
              <w:t xml:space="preserve"> </w:t>
            </w:r>
            <w:r w:rsidR="009876C4">
              <w:rPr>
                <w:rFonts w:ascii="Verdana" w:hAnsi="Verdana"/>
                <w:sz w:val="15"/>
                <w:szCs w:val="15"/>
                <w:lang w:val="en-GB"/>
              </w:rPr>
              <w:t xml:space="preserve"> 1</w:t>
            </w:r>
            <w:r w:rsidRPr="00460324" w:rsidR="002A08DE">
              <w:rPr>
                <w:rFonts w:ascii="Verdana" w:hAnsi="Verdana"/>
                <w:sz w:val="15"/>
                <w:szCs w:val="15"/>
                <w:lang w:val="en-GB"/>
              </w:rPr>
              <w:t>,0</w:t>
            </w:r>
          </w:p>
        </w:tc>
        <w:tc>
          <w:tcPr>
            <w:tcW w:w="1128" w:type="dxa"/>
          </w:tcPr>
          <w:p w:rsidRPr="00460324" w:rsidR="002A08DE" w:rsidP="00FD5583" w:rsidRDefault="002A08DE">
            <w:pPr>
              <w:rPr>
                <w:rFonts w:ascii="Verdana" w:hAnsi="Verdana"/>
                <w:sz w:val="15"/>
                <w:szCs w:val="15"/>
                <w:lang w:val="en-GB"/>
              </w:rPr>
            </w:pPr>
          </w:p>
        </w:tc>
      </w:tr>
      <w:tr w:rsidRPr="00B370BE" w:rsidR="006528F5" w:rsidTr="00460324">
        <w:trPr>
          <w:trHeight w:val="364"/>
        </w:trPr>
        <w:tc>
          <w:tcPr>
            <w:tcW w:w="2257" w:type="dxa"/>
          </w:tcPr>
          <w:p w:rsidRPr="00BB4AF0" w:rsidR="006528F5" w:rsidP="006528F5" w:rsidRDefault="006528F5">
            <w:pPr>
              <w:rPr>
                <w:rFonts w:ascii="Verdana" w:hAnsi="Verdana"/>
                <w:sz w:val="15"/>
                <w:szCs w:val="15"/>
                <w:highlight w:val="cyan"/>
                <w:lang w:val="en-GB"/>
              </w:rPr>
            </w:pPr>
          </w:p>
        </w:tc>
        <w:tc>
          <w:tcPr>
            <w:tcW w:w="1128" w:type="dxa"/>
          </w:tcPr>
          <w:p w:rsidRPr="00460324" w:rsidR="006528F5" w:rsidP="00FD5583" w:rsidRDefault="006528F5">
            <w:pPr>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c>
          <w:tcPr>
            <w:tcW w:w="1128" w:type="dxa"/>
          </w:tcPr>
          <w:p w:rsidRPr="00460324" w:rsidR="006528F5" w:rsidP="002A08DE"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742979" w:rsidRDefault="006528F5">
            <w:pPr>
              <w:ind w:left="98"/>
              <w:rPr>
                <w:rFonts w:ascii="Verdana" w:hAnsi="Verdana"/>
                <w:sz w:val="15"/>
                <w:szCs w:val="15"/>
                <w:lang w:val="en-GB"/>
              </w:rPr>
            </w:pPr>
          </w:p>
        </w:tc>
        <w:tc>
          <w:tcPr>
            <w:tcW w:w="1128" w:type="dxa"/>
          </w:tcPr>
          <w:p w:rsidRPr="00460324" w:rsidR="006528F5" w:rsidP="00FD5583" w:rsidRDefault="006528F5">
            <w:pPr>
              <w:rPr>
                <w:rFonts w:ascii="Verdana" w:hAnsi="Verdana"/>
                <w:sz w:val="15"/>
                <w:szCs w:val="15"/>
                <w:lang w:val="en-GB"/>
              </w:rPr>
            </w:pPr>
          </w:p>
        </w:tc>
      </w:tr>
      <w:tr w:rsidRPr="00B370BE" w:rsidR="00770C44" w:rsidTr="00460324">
        <w:trPr>
          <w:trHeight w:val="380"/>
        </w:trPr>
        <w:tc>
          <w:tcPr>
            <w:tcW w:w="2257" w:type="dxa"/>
          </w:tcPr>
          <w:p w:rsidRPr="00460324" w:rsidR="00770C44" w:rsidP="00FD5583" w:rsidRDefault="00770C44">
            <w:pPr>
              <w:rPr>
                <w:rFonts w:ascii="Verdana" w:hAnsi="Verdana"/>
                <w:sz w:val="15"/>
                <w:szCs w:val="15"/>
                <w:highlight w:val="darkGreen"/>
                <w:lang w:val="en-GB"/>
              </w:rPr>
            </w:pPr>
            <w:r w:rsidRPr="00BB4AF0">
              <w:rPr>
                <w:rFonts w:ascii="Verdana" w:hAnsi="Verdana"/>
                <w:sz w:val="15"/>
                <w:szCs w:val="15"/>
                <w:highlight w:val="cyan"/>
                <w:lang w:val="en-GB"/>
              </w:rPr>
              <w:t>Totaal Optionele Programma’s ESA</w:t>
            </w:r>
          </w:p>
        </w:tc>
        <w:tc>
          <w:tcPr>
            <w:tcW w:w="1128" w:type="dxa"/>
          </w:tcPr>
          <w:p w:rsidRPr="00460324" w:rsidR="00770C44" w:rsidP="00FD5583" w:rsidRDefault="00770C44">
            <w:pPr>
              <w:rPr>
                <w:rFonts w:ascii="Verdana" w:hAnsi="Verdana"/>
                <w:sz w:val="15"/>
                <w:szCs w:val="15"/>
                <w:lang w:val="en-GB"/>
              </w:rPr>
            </w:pPr>
            <w:r w:rsidRPr="00460324">
              <w:rPr>
                <w:rFonts w:ascii="Verdana" w:hAnsi="Verdana"/>
                <w:sz w:val="15"/>
                <w:szCs w:val="15"/>
                <w:lang w:val="en-GB"/>
              </w:rPr>
              <w:t>7.181,9</w:t>
            </w:r>
          </w:p>
        </w:tc>
        <w:tc>
          <w:tcPr>
            <w:tcW w:w="1128" w:type="dxa"/>
          </w:tcPr>
          <w:p w:rsidRPr="00460324" w:rsidR="00770C44" w:rsidP="00FD5583" w:rsidRDefault="008B6C63">
            <w:pPr>
              <w:rPr>
                <w:rFonts w:ascii="Verdana" w:hAnsi="Verdana"/>
                <w:sz w:val="15"/>
                <w:szCs w:val="15"/>
                <w:lang w:val="en-GB"/>
              </w:rPr>
            </w:pPr>
            <w:r w:rsidRPr="00460324">
              <w:rPr>
                <w:rFonts w:ascii="Verdana" w:hAnsi="Verdana"/>
                <w:sz w:val="15"/>
                <w:szCs w:val="15"/>
                <w:lang w:val="en-GB"/>
              </w:rPr>
              <w:t xml:space="preserve">  1,31</w:t>
            </w:r>
            <w:r w:rsidRPr="00460324" w:rsidR="00770C44">
              <w:rPr>
                <w:rFonts w:ascii="Verdana" w:hAnsi="Verdana"/>
                <w:sz w:val="15"/>
                <w:szCs w:val="15"/>
                <w:lang w:val="en-GB"/>
              </w:rPr>
              <w:t>%</w:t>
            </w:r>
          </w:p>
        </w:tc>
        <w:tc>
          <w:tcPr>
            <w:tcW w:w="1128" w:type="dxa"/>
          </w:tcPr>
          <w:p w:rsidRPr="00460324" w:rsidR="00770C44" w:rsidP="00E00241" w:rsidRDefault="009876C4">
            <w:pPr>
              <w:rPr>
                <w:rFonts w:ascii="Verdana" w:hAnsi="Verdana"/>
                <w:sz w:val="15"/>
                <w:szCs w:val="15"/>
                <w:lang w:val="en-GB"/>
              </w:rPr>
            </w:pPr>
            <w:r>
              <w:rPr>
                <w:rFonts w:ascii="Verdana" w:hAnsi="Verdana"/>
                <w:sz w:val="15"/>
                <w:szCs w:val="15"/>
                <w:lang w:val="en-GB"/>
              </w:rPr>
              <w:t xml:space="preserve">   9</w:t>
            </w:r>
            <w:r w:rsidR="00371384">
              <w:rPr>
                <w:rFonts w:ascii="Verdana" w:hAnsi="Verdana"/>
                <w:sz w:val="15"/>
                <w:szCs w:val="15"/>
                <w:lang w:val="en-GB"/>
              </w:rPr>
              <w:t>6</w:t>
            </w:r>
            <w:r w:rsidRPr="00460324" w:rsidR="00770C44">
              <w:rPr>
                <w:rFonts w:ascii="Verdana" w:hAnsi="Verdana"/>
                <w:sz w:val="15"/>
                <w:szCs w:val="15"/>
                <w:lang w:val="en-GB"/>
              </w:rPr>
              <w:t>,8</w:t>
            </w:r>
          </w:p>
        </w:tc>
        <w:tc>
          <w:tcPr>
            <w:tcW w:w="1128" w:type="dxa"/>
          </w:tcPr>
          <w:p w:rsidRPr="00460324" w:rsidR="00770C44" w:rsidP="00742979" w:rsidRDefault="00371384">
            <w:pPr>
              <w:ind w:left="98"/>
              <w:rPr>
                <w:rFonts w:ascii="Verdana" w:hAnsi="Verdana"/>
                <w:sz w:val="15"/>
                <w:szCs w:val="15"/>
                <w:lang w:val="en-GB"/>
              </w:rPr>
            </w:pPr>
            <w:r>
              <w:rPr>
                <w:rFonts w:ascii="Verdana" w:hAnsi="Verdana"/>
                <w:sz w:val="15"/>
                <w:szCs w:val="15"/>
                <w:lang w:val="en-GB"/>
              </w:rPr>
              <w:t xml:space="preserve"> 60</w:t>
            </w:r>
            <w:r w:rsidRPr="00460324" w:rsidR="00E00241">
              <w:rPr>
                <w:rFonts w:ascii="Verdana" w:hAnsi="Verdana"/>
                <w:sz w:val="15"/>
                <w:szCs w:val="15"/>
                <w:lang w:val="en-GB"/>
              </w:rPr>
              <w:t>,0</w:t>
            </w:r>
          </w:p>
        </w:tc>
        <w:tc>
          <w:tcPr>
            <w:tcW w:w="1128" w:type="dxa"/>
          </w:tcPr>
          <w:p w:rsidRPr="00460324" w:rsidR="00770C44" w:rsidP="00742979" w:rsidRDefault="009876C4">
            <w:pPr>
              <w:ind w:left="98"/>
              <w:rPr>
                <w:rFonts w:ascii="Verdana" w:hAnsi="Verdana"/>
                <w:sz w:val="15"/>
                <w:szCs w:val="15"/>
                <w:lang w:val="en-GB"/>
              </w:rPr>
            </w:pPr>
            <w:r>
              <w:rPr>
                <w:rFonts w:ascii="Verdana" w:hAnsi="Verdana"/>
                <w:sz w:val="15"/>
                <w:szCs w:val="15"/>
                <w:lang w:val="en-GB"/>
              </w:rPr>
              <w:t xml:space="preserve"> </w:t>
            </w:r>
            <w:r w:rsidR="00371384">
              <w:rPr>
                <w:rFonts w:ascii="Verdana" w:hAnsi="Verdana"/>
                <w:sz w:val="15"/>
                <w:szCs w:val="15"/>
                <w:lang w:val="en-GB"/>
              </w:rPr>
              <w:t>36</w:t>
            </w:r>
            <w:r w:rsidRPr="00460324" w:rsidR="00E00241">
              <w:rPr>
                <w:rFonts w:ascii="Verdana" w:hAnsi="Verdana"/>
                <w:sz w:val="15"/>
                <w:szCs w:val="15"/>
                <w:lang w:val="en-GB"/>
              </w:rPr>
              <w:t>,8</w:t>
            </w:r>
          </w:p>
        </w:tc>
        <w:tc>
          <w:tcPr>
            <w:tcW w:w="1128" w:type="dxa"/>
          </w:tcPr>
          <w:p w:rsidRPr="00460324" w:rsidR="00770C44" w:rsidP="00FD5583" w:rsidRDefault="00770C44">
            <w:pPr>
              <w:rPr>
                <w:rFonts w:ascii="Verdana" w:hAnsi="Verdana"/>
                <w:sz w:val="15"/>
                <w:szCs w:val="15"/>
                <w:lang w:val="en-GB"/>
              </w:rPr>
            </w:pPr>
            <w:r w:rsidRPr="00460324">
              <w:rPr>
                <w:rFonts w:ascii="Verdana" w:hAnsi="Verdana"/>
                <w:sz w:val="15"/>
                <w:szCs w:val="15"/>
                <w:lang w:val="en-GB"/>
              </w:rPr>
              <w:t xml:space="preserve">    </w:t>
            </w:r>
          </w:p>
        </w:tc>
      </w:tr>
    </w:tbl>
    <w:p w:rsidR="00EB4B0E" w:rsidP="00460324" w:rsidRDefault="00EB4B0E">
      <w:pPr>
        <w:rPr>
          <w:rFonts w:ascii="Verdana" w:hAnsi="Verdana"/>
          <w:i/>
          <w:sz w:val="18"/>
          <w:szCs w:val="18"/>
          <w:lang w:val="nl-NL"/>
        </w:rPr>
      </w:pPr>
    </w:p>
    <w:p w:rsidRPr="00EB4B0E" w:rsidR="00BD287C" w:rsidP="00460324" w:rsidRDefault="00D01C0A">
      <w:pPr>
        <w:rPr>
          <w:rFonts w:ascii="Verdana" w:hAnsi="Verdana"/>
          <w:i/>
          <w:sz w:val="18"/>
          <w:szCs w:val="18"/>
          <w:lang w:val="nl-NL"/>
        </w:rPr>
      </w:pPr>
      <w:r w:rsidRPr="00460324">
        <w:rPr>
          <w:rFonts w:ascii="Verdana" w:hAnsi="Verdana"/>
          <w:i/>
          <w:sz w:val="18"/>
          <w:szCs w:val="18"/>
          <w:lang w:val="nl-NL"/>
        </w:rPr>
        <w:t xml:space="preserve">Nationaal </w:t>
      </w:r>
      <w:r w:rsidR="006528F5">
        <w:rPr>
          <w:rFonts w:ascii="Verdana" w:hAnsi="Verdana"/>
          <w:i/>
          <w:sz w:val="18"/>
          <w:szCs w:val="18"/>
          <w:lang w:val="nl-NL"/>
        </w:rPr>
        <w:t xml:space="preserve">Flankerend beleid voor </w:t>
      </w:r>
      <w:r w:rsidRPr="00460324">
        <w:rPr>
          <w:rFonts w:ascii="Verdana" w:hAnsi="Verdana"/>
          <w:i/>
          <w:sz w:val="18"/>
          <w:szCs w:val="18"/>
          <w:lang w:val="nl-NL"/>
        </w:rPr>
        <w:t xml:space="preserve">Ruimtevaart </w:t>
      </w:r>
    </w:p>
    <w:p w:rsidR="00D01C0A" w:rsidP="003A7671" w:rsidRDefault="00B75B77">
      <w:pPr>
        <w:rPr>
          <w:rFonts w:ascii="Verdana" w:hAnsi="Verdana"/>
          <w:sz w:val="18"/>
          <w:szCs w:val="18"/>
          <w:lang w:val="nl-NL"/>
        </w:rPr>
      </w:pPr>
      <w:r w:rsidRPr="00B75B77">
        <w:rPr>
          <w:rFonts w:ascii="Verdana" w:hAnsi="Verdana"/>
          <w:sz w:val="18"/>
          <w:szCs w:val="18"/>
          <w:lang w:val="nl-NL"/>
        </w:rPr>
        <w:t>Teneinde de voornemens uit dez</w:t>
      </w:r>
      <w:r w:rsidR="008259C1">
        <w:rPr>
          <w:rFonts w:ascii="Verdana" w:hAnsi="Verdana"/>
          <w:sz w:val="18"/>
          <w:szCs w:val="18"/>
          <w:lang w:val="nl-NL"/>
        </w:rPr>
        <w:t>e nota te realiseren zullen de m</w:t>
      </w:r>
      <w:r w:rsidRPr="00B75B77">
        <w:rPr>
          <w:rFonts w:ascii="Verdana" w:hAnsi="Verdana"/>
          <w:sz w:val="18"/>
          <w:szCs w:val="18"/>
          <w:lang w:val="nl-NL"/>
        </w:rPr>
        <w:t xml:space="preserve">inisteries van Economische Zaken en van Onderwijs, Cultuur en Wetenschap </w:t>
      </w:r>
      <w:r w:rsidR="0070665D">
        <w:rPr>
          <w:rFonts w:ascii="Verdana" w:hAnsi="Verdana"/>
          <w:sz w:val="18"/>
          <w:szCs w:val="18"/>
          <w:lang w:val="nl-NL"/>
        </w:rPr>
        <w:t xml:space="preserve">voor de </w:t>
      </w:r>
      <w:r w:rsidR="00003E03">
        <w:rPr>
          <w:rFonts w:ascii="Verdana" w:hAnsi="Verdana"/>
          <w:sz w:val="18"/>
          <w:szCs w:val="18"/>
          <w:lang w:val="nl-NL"/>
        </w:rPr>
        <w:t>komende periode (2017-2019) € 11</w:t>
      </w:r>
      <w:r w:rsidR="00454C23">
        <w:rPr>
          <w:rFonts w:ascii="Verdana" w:hAnsi="Verdana"/>
          <w:sz w:val="18"/>
          <w:szCs w:val="18"/>
          <w:lang w:val="nl-NL"/>
        </w:rPr>
        <w:t xml:space="preserve"> miljoen respectievelijk</w:t>
      </w:r>
      <w:r w:rsidR="0070665D">
        <w:rPr>
          <w:rFonts w:ascii="Verdana" w:hAnsi="Verdana"/>
          <w:sz w:val="18"/>
          <w:szCs w:val="18"/>
          <w:lang w:val="nl-NL"/>
        </w:rPr>
        <w:t xml:space="preserve"> € 18,7 miljoen beschikbaar stellen</w:t>
      </w:r>
      <w:r w:rsidR="00E00241">
        <w:rPr>
          <w:rFonts w:ascii="Verdana" w:hAnsi="Verdana"/>
          <w:sz w:val="18"/>
          <w:szCs w:val="18"/>
          <w:lang w:val="nl-NL"/>
        </w:rPr>
        <w:t xml:space="preserve"> voor nationaal flankerend beleid</w:t>
      </w:r>
      <w:r w:rsidR="0070665D">
        <w:rPr>
          <w:rFonts w:ascii="Verdana" w:hAnsi="Verdana"/>
          <w:sz w:val="18"/>
          <w:szCs w:val="18"/>
          <w:lang w:val="nl-NL"/>
        </w:rPr>
        <w:t>. Deze middelen zullen als volgt worden ingezet</w:t>
      </w:r>
      <w:r w:rsidR="00BD0E42">
        <w:rPr>
          <w:rFonts w:ascii="Verdana" w:hAnsi="Verdana"/>
          <w:sz w:val="18"/>
          <w:szCs w:val="18"/>
          <w:lang w:val="nl-NL"/>
        </w:rPr>
        <w:t xml:space="preserve"> (indicatief)</w:t>
      </w:r>
      <w:r w:rsidR="0070665D">
        <w:rPr>
          <w:rFonts w:ascii="Verdana" w:hAnsi="Verdana"/>
          <w:sz w:val="18"/>
          <w:szCs w:val="18"/>
          <w:lang w:val="nl-NL"/>
        </w:rPr>
        <w:t>.</w:t>
      </w:r>
    </w:p>
    <w:p w:rsidR="0070665D" w:rsidRDefault="0070665D">
      <w:pPr>
        <w:rPr>
          <w:rFonts w:ascii="Verdana" w:hAnsi="Verdana"/>
          <w:sz w:val="18"/>
          <w:szCs w:val="18"/>
          <w:lang w:val="nl-NL"/>
        </w:rPr>
      </w:pPr>
    </w:p>
    <w:p w:rsidRPr="00460324" w:rsidR="0070665D" w:rsidRDefault="00272A62">
      <w:pPr>
        <w:pStyle w:val="Lijstalinea"/>
        <w:numPr>
          <w:ilvl w:val="0"/>
          <w:numId w:val="21"/>
        </w:numPr>
        <w:ind w:left="284" w:hanging="284"/>
        <w:rPr>
          <w:rFonts w:ascii="Verdana" w:hAnsi="Verdana"/>
          <w:sz w:val="18"/>
          <w:szCs w:val="18"/>
          <w:u w:val="single"/>
          <w:lang w:val="nl-NL"/>
        </w:rPr>
      </w:pPr>
      <w:r w:rsidRPr="00460324">
        <w:rPr>
          <w:rFonts w:ascii="Verdana" w:hAnsi="Verdana"/>
          <w:sz w:val="18"/>
          <w:szCs w:val="18"/>
          <w:u w:val="single"/>
          <w:lang w:val="nl-NL"/>
        </w:rPr>
        <w:t>Voor de promotie van satellietdata en technologieontwikkeling</w:t>
      </w:r>
    </w:p>
    <w:p w:rsidR="00B23AB5" w:rsidRDefault="00272A62">
      <w:pPr>
        <w:rPr>
          <w:rFonts w:ascii="Verdana" w:hAnsi="Verdana"/>
          <w:sz w:val="18"/>
          <w:szCs w:val="18"/>
          <w:lang w:val="nl-NL"/>
        </w:rPr>
      </w:pPr>
      <w:r>
        <w:rPr>
          <w:rFonts w:ascii="Verdana" w:hAnsi="Verdana"/>
          <w:sz w:val="18"/>
          <w:szCs w:val="18"/>
          <w:lang w:val="nl-NL"/>
        </w:rPr>
        <w:t xml:space="preserve">In totaal wordt </w:t>
      </w:r>
      <w:r w:rsidR="00003E03">
        <w:rPr>
          <w:rFonts w:ascii="Verdana" w:hAnsi="Verdana"/>
          <w:sz w:val="18"/>
          <w:szCs w:val="18"/>
          <w:lang w:val="nl-NL"/>
        </w:rPr>
        <w:t>door EZ hiervoor de komende periode (2017-2019)</w:t>
      </w:r>
      <w:r w:rsidR="00CE76C4">
        <w:rPr>
          <w:rFonts w:ascii="Verdana" w:hAnsi="Verdana"/>
          <w:sz w:val="18"/>
          <w:szCs w:val="18"/>
          <w:lang w:val="nl-NL"/>
        </w:rPr>
        <w:t xml:space="preserve"> </w:t>
      </w:r>
      <w:r>
        <w:rPr>
          <w:rFonts w:ascii="Verdana" w:hAnsi="Verdana"/>
          <w:sz w:val="18"/>
          <w:szCs w:val="18"/>
          <w:lang w:val="nl-NL"/>
        </w:rPr>
        <w:t>€ 7</w:t>
      </w:r>
      <w:r w:rsidR="00CE76C4">
        <w:rPr>
          <w:rFonts w:ascii="Verdana" w:hAnsi="Verdana"/>
          <w:sz w:val="18"/>
          <w:szCs w:val="18"/>
          <w:lang w:val="nl-NL"/>
        </w:rPr>
        <w:t>,0</w:t>
      </w:r>
      <w:r>
        <w:rPr>
          <w:rFonts w:ascii="Verdana" w:hAnsi="Verdana"/>
          <w:sz w:val="18"/>
          <w:szCs w:val="18"/>
          <w:lang w:val="nl-NL"/>
        </w:rPr>
        <w:t xml:space="preserve"> miljoen gereserveerd. Deze middelen zullen worden benut voor het stimuleren van het gebruik van satellietdata bij overheidsdiensten, voor de bestaande SBIR-regeling met hetzelfde doel en voor een nieuw op te zetten lo</w:t>
      </w:r>
      <w:r w:rsidR="00003E03">
        <w:rPr>
          <w:rFonts w:ascii="Verdana" w:hAnsi="Verdana"/>
          <w:sz w:val="18"/>
          <w:szCs w:val="18"/>
          <w:lang w:val="nl-NL"/>
        </w:rPr>
        <w:t>ket in de SBIR voor technologie</w:t>
      </w:r>
      <w:r>
        <w:rPr>
          <w:rFonts w:ascii="Verdana" w:hAnsi="Verdana"/>
          <w:sz w:val="18"/>
          <w:szCs w:val="18"/>
          <w:lang w:val="nl-NL"/>
        </w:rPr>
        <w:t xml:space="preserve">ontwikkeling ten behoeve van </w:t>
      </w:r>
      <w:r w:rsidR="00B16D18">
        <w:rPr>
          <w:rFonts w:ascii="Verdana" w:hAnsi="Verdana"/>
          <w:sz w:val="18"/>
          <w:szCs w:val="18"/>
          <w:lang w:val="nl-NL"/>
        </w:rPr>
        <w:t>nieuwe innovatieve technologieën die reële kansen hebben om door ESA gebruikt te worden in ruimtevaartprogramma’s of van belang zijn voor</w:t>
      </w:r>
      <w:r w:rsidR="00E00241">
        <w:rPr>
          <w:rFonts w:ascii="Verdana" w:hAnsi="Verdana"/>
          <w:sz w:val="18"/>
          <w:szCs w:val="18"/>
          <w:lang w:val="nl-NL"/>
        </w:rPr>
        <w:t xml:space="preserve"> de ontwikkeling van satelliet-technologie/-instrumenten</w:t>
      </w:r>
      <w:r w:rsidR="008B6C63">
        <w:rPr>
          <w:rFonts w:ascii="Verdana" w:hAnsi="Verdana"/>
          <w:sz w:val="18"/>
          <w:szCs w:val="18"/>
          <w:lang w:val="nl-NL"/>
        </w:rPr>
        <w:t xml:space="preserve">. Daarbij zijn </w:t>
      </w:r>
      <w:r w:rsidR="00E00241">
        <w:rPr>
          <w:rFonts w:ascii="Verdana" w:hAnsi="Verdana"/>
          <w:sz w:val="18"/>
          <w:szCs w:val="18"/>
          <w:lang w:val="nl-NL"/>
        </w:rPr>
        <w:t>de aanbevelingen</w:t>
      </w:r>
      <w:r w:rsidR="00B16D18">
        <w:rPr>
          <w:rFonts w:ascii="Verdana" w:hAnsi="Verdana"/>
          <w:sz w:val="18"/>
          <w:szCs w:val="18"/>
          <w:lang w:val="nl-NL"/>
        </w:rPr>
        <w:t xml:space="preserve"> van het </w:t>
      </w:r>
      <w:r w:rsidR="00E00241">
        <w:rPr>
          <w:rFonts w:ascii="Verdana" w:hAnsi="Verdana"/>
          <w:sz w:val="18"/>
          <w:szCs w:val="18"/>
          <w:lang w:val="nl-NL"/>
        </w:rPr>
        <w:t>NSO-</w:t>
      </w:r>
      <w:r w:rsidR="00B16D18">
        <w:rPr>
          <w:rFonts w:ascii="Verdana" w:hAnsi="Verdana"/>
          <w:sz w:val="18"/>
          <w:szCs w:val="18"/>
          <w:lang w:val="nl-NL"/>
        </w:rPr>
        <w:t>instrumentencluster richtinggevend</w:t>
      </w:r>
      <w:r w:rsidR="00E00241">
        <w:rPr>
          <w:rFonts w:ascii="Verdana" w:hAnsi="Verdana"/>
          <w:sz w:val="18"/>
          <w:szCs w:val="18"/>
          <w:lang w:val="nl-NL"/>
        </w:rPr>
        <w:t xml:space="preserve"> voor te maken beleidskeuzes</w:t>
      </w:r>
      <w:r w:rsidR="00B16D18">
        <w:rPr>
          <w:rFonts w:ascii="Verdana" w:hAnsi="Verdana"/>
          <w:sz w:val="18"/>
          <w:szCs w:val="18"/>
          <w:lang w:val="nl-NL"/>
        </w:rPr>
        <w:t xml:space="preserve">. </w:t>
      </w:r>
    </w:p>
    <w:p w:rsidR="00272A62" w:rsidRDefault="00B23AB5">
      <w:pPr>
        <w:rPr>
          <w:rFonts w:ascii="Verdana" w:hAnsi="Verdana"/>
          <w:sz w:val="18"/>
          <w:szCs w:val="18"/>
          <w:lang w:val="nl-NL"/>
        </w:rPr>
      </w:pPr>
      <w:r>
        <w:rPr>
          <w:rFonts w:ascii="Verdana" w:hAnsi="Verdana"/>
          <w:sz w:val="18"/>
          <w:szCs w:val="18"/>
          <w:lang w:val="nl-NL"/>
        </w:rPr>
        <w:t>Overigens kunnen ondernemers en kennisinstellingen ook gebruik maken van het generieke instrumentarium voor het stimuleren van onderzoek en innovatie. Voor zover van toepassing wordt de toegankelijkheid van enkele instrumenten verbeterd om daarmee de financiering van langer lopende projecten, zoals gangbaar is in de ruimtevaartsector, mogelijk te maken.</w:t>
      </w:r>
    </w:p>
    <w:p w:rsidRPr="00272A62" w:rsidR="00272A62" w:rsidRDefault="00272A62">
      <w:pPr>
        <w:rPr>
          <w:rFonts w:ascii="Verdana" w:hAnsi="Verdana"/>
          <w:sz w:val="18"/>
          <w:szCs w:val="18"/>
          <w:lang w:val="nl-NL"/>
        </w:rPr>
      </w:pPr>
    </w:p>
    <w:p w:rsidRPr="00460324" w:rsidR="00272A62" w:rsidRDefault="00B16D18">
      <w:pPr>
        <w:pStyle w:val="Lijstalinea"/>
        <w:numPr>
          <w:ilvl w:val="0"/>
          <w:numId w:val="21"/>
        </w:numPr>
        <w:ind w:left="284" w:hanging="284"/>
        <w:rPr>
          <w:rFonts w:ascii="Verdana" w:hAnsi="Verdana"/>
          <w:sz w:val="18"/>
          <w:szCs w:val="18"/>
          <w:u w:val="single"/>
          <w:lang w:val="nl-NL"/>
        </w:rPr>
      </w:pPr>
      <w:r w:rsidRPr="00460324">
        <w:rPr>
          <w:rFonts w:ascii="Verdana" w:hAnsi="Verdana"/>
          <w:sz w:val="18"/>
          <w:szCs w:val="18"/>
          <w:u w:val="single"/>
          <w:lang w:val="nl-NL"/>
        </w:rPr>
        <w:t>Voor de promotie van wetenschap en kennis</w:t>
      </w:r>
    </w:p>
    <w:p w:rsidR="0059498D" w:rsidRDefault="00E00241">
      <w:pPr>
        <w:rPr>
          <w:rFonts w:ascii="Verdana" w:hAnsi="Verdana"/>
          <w:sz w:val="18"/>
          <w:szCs w:val="18"/>
          <w:lang w:val="nl-NL"/>
        </w:rPr>
      </w:pPr>
      <w:r>
        <w:rPr>
          <w:rFonts w:ascii="Verdana" w:hAnsi="Verdana"/>
          <w:sz w:val="18"/>
          <w:szCs w:val="18"/>
          <w:lang w:val="nl-NL"/>
        </w:rPr>
        <w:t xml:space="preserve">Hiervoor wordt € 10,2 </w:t>
      </w:r>
      <w:r w:rsidR="00893D51">
        <w:rPr>
          <w:rFonts w:ascii="Verdana" w:hAnsi="Verdana"/>
          <w:sz w:val="18"/>
          <w:szCs w:val="18"/>
          <w:lang w:val="nl-NL"/>
        </w:rPr>
        <w:t>miljoen gereserveerd</w:t>
      </w:r>
      <w:r w:rsidR="00454C23">
        <w:rPr>
          <w:rFonts w:ascii="Verdana" w:hAnsi="Verdana"/>
          <w:sz w:val="18"/>
          <w:szCs w:val="18"/>
          <w:lang w:val="nl-NL"/>
        </w:rPr>
        <w:t xml:space="preserve"> door OCW</w:t>
      </w:r>
      <w:r w:rsidR="00B16D18">
        <w:rPr>
          <w:rFonts w:ascii="Verdana" w:hAnsi="Verdana"/>
          <w:sz w:val="18"/>
          <w:szCs w:val="18"/>
          <w:lang w:val="nl-NL"/>
        </w:rPr>
        <w:t>.</w:t>
      </w:r>
      <w:r w:rsidR="00893D51">
        <w:rPr>
          <w:rFonts w:ascii="Verdana" w:hAnsi="Verdana"/>
          <w:sz w:val="18"/>
          <w:szCs w:val="18"/>
          <w:lang w:val="nl-NL"/>
        </w:rPr>
        <w:t xml:space="preserve"> </w:t>
      </w:r>
      <w:r w:rsidR="0059498D">
        <w:rPr>
          <w:rFonts w:ascii="Verdana" w:hAnsi="Verdana"/>
          <w:sz w:val="18"/>
          <w:szCs w:val="18"/>
          <w:lang w:val="nl-NL"/>
        </w:rPr>
        <w:t>Daarvan is € 7,2 miljoen beschikbaar voor voortzetting van het positief geëvalueerde Nationale Programma Gebruikersondersteuning Ruimteonderzoek (GO-programma). Dit programma wordt in opdracht van het NWO</w:t>
      </w:r>
      <w:r w:rsidR="00411DB0">
        <w:rPr>
          <w:rFonts w:ascii="Verdana" w:hAnsi="Verdana"/>
          <w:sz w:val="18"/>
          <w:szCs w:val="18"/>
          <w:lang w:val="nl-NL"/>
        </w:rPr>
        <w:t xml:space="preserve"> </w:t>
      </w:r>
      <w:r w:rsidR="0059498D">
        <w:rPr>
          <w:rFonts w:ascii="Verdana" w:hAnsi="Verdana"/>
          <w:sz w:val="18"/>
          <w:szCs w:val="18"/>
          <w:lang w:val="nl-NL"/>
        </w:rPr>
        <w:t>en gefinancierd door OCW, uitgevoerd door het NSO. Het is uitdrukkelijk de bedoeling om in dit onderzoeksp</w:t>
      </w:r>
      <w:r w:rsidR="008259C1">
        <w:rPr>
          <w:rFonts w:ascii="Verdana" w:hAnsi="Verdana"/>
          <w:sz w:val="18"/>
          <w:szCs w:val="18"/>
          <w:lang w:val="nl-NL"/>
        </w:rPr>
        <w:t>rogramma ook expliciet aandacht</w:t>
      </w:r>
      <w:r w:rsidR="0059498D">
        <w:rPr>
          <w:rFonts w:ascii="Verdana" w:hAnsi="Verdana"/>
          <w:sz w:val="18"/>
          <w:szCs w:val="18"/>
          <w:lang w:val="nl-NL"/>
        </w:rPr>
        <w:t xml:space="preserve"> te besteden aan kennisbenutting om een verbeterde synergie te bewerkstelligen tussen onderzoek en het gebruik van satellietdata teneinde daarmee wetenschappelijke en maatschappelijke vraagstukken te adresseren.</w:t>
      </w:r>
    </w:p>
    <w:p w:rsidR="004539C3" w:rsidRDefault="004539C3">
      <w:pPr>
        <w:rPr>
          <w:rFonts w:ascii="Verdana" w:hAnsi="Verdana"/>
          <w:sz w:val="18"/>
          <w:szCs w:val="18"/>
          <w:lang w:val="nl-NL"/>
        </w:rPr>
      </w:pPr>
      <w:r>
        <w:rPr>
          <w:rFonts w:ascii="Verdana" w:hAnsi="Verdana"/>
          <w:sz w:val="18"/>
          <w:szCs w:val="18"/>
          <w:lang w:val="nl-NL"/>
        </w:rPr>
        <w:t>Daarnaast zullen in het kader van het nieu</w:t>
      </w:r>
      <w:r w:rsidR="00E00241">
        <w:rPr>
          <w:rFonts w:ascii="Verdana" w:hAnsi="Verdana"/>
          <w:sz w:val="18"/>
          <w:szCs w:val="18"/>
          <w:lang w:val="nl-NL"/>
        </w:rPr>
        <w:t>we programma Kennisnetwerken € 3</w:t>
      </w:r>
      <w:r w:rsidR="00003E03">
        <w:rPr>
          <w:rFonts w:ascii="Verdana" w:hAnsi="Verdana"/>
          <w:sz w:val="18"/>
          <w:szCs w:val="18"/>
          <w:lang w:val="nl-NL"/>
        </w:rPr>
        <w:t xml:space="preserve"> miljoen</w:t>
      </w:r>
      <w:r>
        <w:rPr>
          <w:rFonts w:ascii="Verdana" w:hAnsi="Verdana"/>
          <w:sz w:val="18"/>
          <w:szCs w:val="18"/>
          <w:lang w:val="nl-NL"/>
        </w:rPr>
        <w:t xml:space="preserve"> beschikbaar zijn voor technologieontwikkelingen gericht op volgende </w:t>
      </w:r>
      <w:r w:rsidR="00003E03">
        <w:rPr>
          <w:rFonts w:ascii="Verdana" w:hAnsi="Verdana"/>
          <w:sz w:val="18"/>
          <w:szCs w:val="18"/>
          <w:lang w:val="nl-NL"/>
        </w:rPr>
        <w:t xml:space="preserve">generaties ruimte-instrumenten. </w:t>
      </w:r>
    </w:p>
    <w:p w:rsidR="00003E03" w:rsidRDefault="00003E03">
      <w:pPr>
        <w:rPr>
          <w:rFonts w:ascii="Verdana" w:hAnsi="Verdana"/>
          <w:sz w:val="18"/>
          <w:szCs w:val="18"/>
          <w:lang w:val="nl-NL"/>
        </w:rPr>
      </w:pPr>
    </w:p>
    <w:p w:rsidRPr="00460324" w:rsidR="004539C3" w:rsidRDefault="004539C3">
      <w:pPr>
        <w:pStyle w:val="Lijstalinea"/>
        <w:numPr>
          <w:ilvl w:val="0"/>
          <w:numId w:val="21"/>
        </w:numPr>
        <w:ind w:left="284" w:hanging="284"/>
        <w:rPr>
          <w:rFonts w:ascii="Verdana" w:hAnsi="Verdana"/>
          <w:sz w:val="18"/>
          <w:szCs w:val="18"/>
          <w:u w:val="single"/>
          <w:lang w:val="nl-NL"/>
        </w:rPr>
      </w:pPr>
      <w:r w:rsidRPr="00460324">
        <w:rPr>
          <w:rFonts w:ascii="Verdana" w:hAnsi="Verdana"/>
          <w:sz w:val="18"/>
          <w:szCs w:val="18"/>
          <w:u w:val="single"/>
          <w:lang w:val="nl-NL"/>
        </w:rPr>
        <w:t>Voor medefinanciering van prioritaire ontwikkelingen</w:t>
      </w:r>
      <w:r w:rsidRPr="00460324" w:rsidR="00EC530C">
        <w:rPr>
          <w:rFonts w:ascii="Verdana" w:hAnsi="Verdana"/>
          <w:sz w:val="18"/>
          <w:szCs w:val="18"/>
          <w:u w:val="single"/>
          <w:lang w:val="nl-NL"/>
        </w:rPr>
        <w:t xml:space="preserve"> van (satelliet-)instrumenten</w:t>
      </w:r>
    </w:p>
    <w:p w:rsidR="00893D51" w:rsidRDefault="00DC26AE">
      <w:pPr>
        <w:rPr>
          <w:rFonts w:ascii="Verdana" w:hAnsi="Verdana"/>
          <w:sz w:val="18"/>
          <w:szCs w:val="18"/>
          <w:lang w:val="nl-NL"/>
        </w:rPr>
      </w:pPr>
      <w:r>
        <w:rPr>
          <w:rFonts w:ascii="Verdana" w:hAnsi="Verdana"/>
          <w:sz w:val="18"/>
          <w:szCs w:val="18"/>
          <w:lang w:val="nl-NL"/>
        </w:rPr>
        <w:t xml:space="preserve">Het Instrumentencluster is een samenwerkingsverband van kennisinstellingen en bedrijven die in Nederland een vooraanstaande rol spelen bij de ontwikkeling en bouw van nieuwe technologie voor satellietinstrumentarium. De betreffende instrumenten zijn gericht op het bijdragen aan het oplossen van wetenschappelijke, maatschappelijke en commerciële vraagstukken. Bij de ontwikkeling van de plannen van dit cluster worden de toekomstige behoefte van de “downstream”-sector nadrukkelijk </w:t>
      </w:r>
      <w:r>
        <w:rPr>
          <w:rFonts w:ascii="Verdana" w:hAnsi="Verdana"/>
          <w:sz w:val="18"/>
          <w:szCs w:val="18"/>
          <w:lang w:val="nl-NL"/>
        </w:rPr>
        <w:lastRenderedPageBreak/>
        <w:t>betro</w:t>
      </w:r>
      <w:r w:rsidR="006528F5">
        <w:rPr>
          <w:rFonts w:ascii="Verdana" w:hAnsi="Verdana"/>
          <w:sz w:val="18"/>
          <w:szCs w:val="18"/>
          <w:lang w:val="nl-NL"/>
        </w:rPr>
        <w:t>kken. Hiervoor is in totaal € 10,5</w:t>
      </w:r>
      <w:r>
        <w:rPr>
          <w:rFonts w:ascii="Verdana" w:hAnsi="Verdana"/>
          <w:sz w:val="18"/>
          <w:szCs w:val="18"/>
          <w:lang w:val="nl-NL"/>
        </w:rPr>
        <w:t xml:space="preserve"> miljoen beschikba</w:t>
      </w:r>
      <w:r w:rsidR="00893D51">
        <w:rPr>
          <w:rFonts w:ascii="Verdana" w:hAnsi="Verdana"/>
          <w:sz w:val="18"/>
          <w:szCs w:val="18"/>
          <w:lang w:val="nl-NL"/>
        </w:rPr>
        <w:t>ar</w:t>
      </w:r>
      <w:r w:rsidR="00454C23">
        <w:rPr>
          <w:rFonts w:ascii="Verdana" w:hAnsi="Verdana"/>
          <w:sz w:val="18"/>
          <w:szCs w:val="18"/>
          <w:lang w:val="nl-NL"/>
        </w:rPr>
        <w:t>, waarva</w:t>
      </w:r>
      <w:r w:rsidR="006528F5">
        <w:rPr>
          <w:rFonts w:ascii="Verdana" w:hAnsi="Verdana"/>
          <w:sz w:val="18"/>
          <w:szCs w:val="18"/>
          <w:lang w:val="nl-NL"/>
        </w:rPr>
        <w:t>n € 8,5 miljoen van OCW en € 2,0</w:t>
      </w:r>
      <w:r w:rsidR="00454C23">
        <w:rPr>
          <w:rFonts w:ascii="Verdana" w:hAnsi="Verdana"/>
          <w:sz w:val="18"/>
          <w:szCs w:val="18"/>
          <w:lang w:val="nl-NL"/>
        </w:rPr>
        <w:t xml:space="preserve"> miljoen van EZ</w:t>
      </w:r>
      <w:r w:rsidR="00893D51">
        <w:rPr>
          <w:rFonts w:ascii="Verdana" w:hAnsi="Verdana"/>
          <w:sz w:val="18"/>
          <w:szCs w:val="18"/>
          <w:lang w:val="nl-NL"/>
        </w:rPr>
        <w:t>.</w:t>
      </w:r>
    </w:p>
    <w:p w:rsidRPr="00DC26AE" w:rsidR="00DC26AE" w:rsidRDefault="00DC26AE">
      <w:pPr>
        <w:rPr>
          <w:rFonts w:ascii="Verdana" w:hAnsi="Verdana"/>
          <w:sz w:val="18"/>
          <w:szCs w:val="18"/>
          <w:lang w:val="nl-NL"/>
        </w:rPr>
      </w:pPr>
      <w:r>
        <w:rPr>
          <w:rFonts w:ascii="Verdana" w:hAnsi="Verdana"/>
          <w:sz w:val="18"/>
          <w:szCs w:val="18"/>
          <w:lang w:val="nl-NL"/>
        </w:rPr>
        <w:t xml:space="preserve"> </w:t>
      </w:r>
    </w:p>
    <w:p w:rsidRPr="00460324" w:rsidR="00DC26AE" w:rsidRDefault="0059498D">
      <w:pPr>
        <w:pStyle w:val="Lijstalinea"/>
        <w:numPr>
          <w:ilvl w:val="0"/>
          <w:numId w:val="21"/>
        </w:numPr>
        <w:ind w:left="284" w:hanging="284"/>
        <w:rPr>
          <w:rFonts w:ascii="Verdana" w:hAnsi="Verdana"/>
          <w:sz w:val="18"/>
          <w:szCs w:val="18"/>
          <w:u w:val="single"/>
          <w:lang w:val="nl-NL"/>
        </w:rPr>
      </w:pPr>
      <w:r w:rsidRPr="00460324">
        <w:rPr>
          <w:rFonts w:ascii="Verdana" w:hAnsi="Verdana"/>
          <w:sz w:val="18"/>
          <w:szCs w:val="18"/>
          <w:u w:val="single"/>
          <w:lang w:val="nl-NL"/>
        </w:rPr>
        <w:t>ESTEC: implementat</w:t>
      </w:r>
      <w:r w:rsidRPr="00460324" w:rsidR="00003E03">
        <w:rPr>
          <w:rFonts w:ascii="Verdana" w:hAnsi="Verdana"/>
          <w:sz w:val="18"/>
          <w:szCs w:val="18"/>
          <w:u w:val="single"/>
          <w:lang w:val="nl-NL"/>
        </w:rPr>
        <w:t>ie van het HTSM-</w:t>
      </w:r>
      <w:r w:rsidRPr="00460324">
        <w:rPr>
          <w:rFonts w:ascii="Verdana" w:hAnsi="Verdana"/>
          <w:sz w:val="18"/>
          <w:szCs w:val="18"/>
          <w:u w:val="single"/>
          <w:lang w:val="nl-NL"/>
        </w:rPr>
        <w:t>“White Paper”</w:t>
      </w:r>
      <w:r w:rsidRPr="00460324" w:rsidR="00003E03">
        <w:rPr>
          <w:rFonts w:ascii="Verdana" w:hAnsi="Verdana"/>
          <w:sz w:val="18"/>
          <w:szCs w:val="18"/>
          <w:u w:val="single"/>
          <w:lang w:val="nl-NL"/>
        </w:rPr>
        <w:t xml:space="preserve"> over de relatie Nederland-ESTEC</w:t>
      </w:r>
    </w:p>
    <w:p w:rsidR="004539C3" w:rsidRDefault="0059498D">
      <w:pPr>
        <w:rPr>
          <w:rFonts w:ascii="Verdana" w:hAnsi="Verdana"/>
          <w:sz w:val="18"/>
          <w:szCs w:val="18"/>
          <w:lang w:val="nl-NL"/>
        </w:rPr>
      </w:pPr>
      <w:r>
        <w:rPr>
          <w:rFonts w:ascii="Verdana" w:hAnsi="Verdana"/>
          <w:sz w:val="18"/>
          <w:szCs w:val="18"/>
          <w:lang w:val="nl-NL"/>
        </w:rPr>
        <w:t>In 2012 is in opdracht van het Topteam HighTech S</w:t>
      </w:r>
      <w:r w:rsidR="0014431B">
        <w:rPr>
          <w:rFonts w:ascii="Verdana" w:hAnsi="Verdana"/>
          <w:sz w:val="18"/>
          <w:szCs w:val="18"/>
          <w:lang w:val="nl-NL"/>
        </w:rPr>
        <w:t>ystems and</w:t>
      </w:r>
      <w:r>
        <w:rPr>
          <w:rFonts w:ascii="Verdana" w:hAnsi="Verdana"/>
          <w:sz w:val="18"/>
          <w:szCs w:val="18"/>
          <w:lang w:val="nl-NL"/>
        </w:rPr>
        <w:t xml:space="preserve"> Materials (HTSM) een “White Paper” opgesteld met 10 aanbevelingen voor de versterking van de interactie tussen </w:t>
      </w:r>
      <w:r w:rsidR="000F466C">
        <w:rPr>
          <w:rFonts w:ascii="Verdana" w:hAnsi="Verdana"/>
          <w:sz w:val="18"/>
          <w:szCs w:val="18"/>
          <w:lang w:val="nl-NL"/>
        </w:rPr>
        <w:t>ESTEC in Noordwijk en bedrijven plus kennisinstellingen in Nederland. Voor de verdere implementatie van</w:t>
      </w:r>
      <w:r w:rsidR="006528F5">
        <w:rPr>
          <w:rFonts w:ascii="Verdana" w:hAnsi="Verdana"/>
          <w:sz w:val="18"/>
          <w:szCs w:val="18"/>
          <w:lang w:val="nl-NL"/>
        </w:rPr>
        <w:t xml:space="preserve"> deze aanbevelingen stelt EZ € 2,0</w:t>
      </w:r>
      <w:r w:rsidR="000F466C">
        <w:rPr>
          <w:rFonts w:ascii="Verdana" w:hAnsi="Verdana"/>
          <w:sz w:val="18"/>
          <w:szCs w:val="18"/>
          <w:lang w:val="nl-NL"/>
        </w:rPr>
        <w:t xml:space="preserve"> miljoen </w:t>
      </w:r>
      <w:r w:rsidR="006528F5">
        <w:rPr>
          <w:rFonts w:ascii="Verdana" w:hAnsi="Verdana"/>
          <w:sz w:val="18"/>
          <w:szCs w:val="18"/>
          <w:lang w:val="nl-NL"/>
        </w:rPr>
        <w:t xml:space="preserve">indicatief </w:t>
      </w:r>
      <w:r w:rsidR="000F466C">
        <w:rPr>
          <w:rFonts w:ascii="Verdana" w:hAnsi="Verdana"/>
          <w:sz w:val="18"/>
          <w:szCs w:val="18"/>
          <w:lang w:val="nl-NL"/>
        </w:rPr>
        <w:t>beschikbaar voor de periode tot en met 2019.</w:t>
      </w:r>
    </w:p>
    <w:p w:rsidR="006528F5" w:rsidRDefault="006528F5">
      <w:pPr>
        <w:rPr>
          <w:rFonts w:ascii="Verdana" w:hAnsi="Verdana"/>
          <w:sz w:val="18"/>
          <w:szCs w:val="18"/>
          <w:lang w:val="nl-NL"/>
        </w:rPr>
      </w:pPr>
    </w:p>
    <w:p w:rsidR="00272A62" w:rsidRDefault="000F466C">
      <w:pPr>
        <w:rPr>
          <w:rFonts w:ascii="Verdana" w:hAnsi="Verdana"/>
          <w:sz w:val="18"/>
          <w:szCs w:val="18"/>
          <w:lang w:val="nl-NL"/>
        </w:rPr>
      </w:pPr>
      <w:r>
        <w:rPr>
          <w:rFonts w:ascii="Verdana" w:hAnsi="Verdana"/>
          <w:sz w:val="18"/>
          <w:szCs w:val="18"/>
          <w:lang w:val="nl-NL"/>
        </w:rPr>
        <w:t xml:space="preserve">In totaal zal er gedurende de periode 2017-2019 </w:t>
      </w:r>
      <w:r w:rsidR="00003E03">
        <w:rPr>
          <w:rFonts w:ascii="Verdana" w:hAnsi="Verdana"/>
          <w:sz w:val="18"/>
          <w:szCs w:val="18"/>
          <w:lang w:val="nl-NL"/>
        </w:rPr>
        <w:t>€ 29</w:t>
      </w:r>
      <w:r w:rsidRPr="00003E03">
        <w:rPr>
          <w:rFonts w:ascii="Verdana" w:hAnsi="Verdana"/>
          <w:sz w:val="18"/>
          <w:szCs w:val="18"/>
          <w:lang w:val="nl-NL"/>
        </w:rPr>
        <w:t>,7</w:t>
      </w:r>
      <w:r>
        <w:rPr>
          <w:rFonts w:ascii="Verdana" w:hAnsi="Verdana"/>
          <w:sz w:val="18"/>
          <w:szCs w:val="18"/>
          <w:lang w:val="nl-NL"/>
        </w:rPr>
        <w:t xml:space="preserve"> miljoen</w:t>
      </w:r>
      <w:r w:rsidR="006528F5">
        <w:rPr>
          <w:rFonts w:ascii="Verdana" w:hAnsi="Verdana"/>
          <w:sz w:val="18"/>
          <w:szCs w:val="18"/>
          <w:lang w:val="nl-NL"/>
        </w:rPr>
        <w:t xml:space="preserve"> indicatief</w:t>
      </w:r>
      <w:r>
        <w:rPr>
          <w:rFonts w:ascii="Verdana" w:hAnsi="Verdana"/>
          <w:sz w:val="18"/>
          <w:szCs w:val="18"/>
          <w:lang w:val="nl-NL"/>
        </w:rPr>
        <w:t xml:space="preserve"> beschikbaar zijn v</w:t>
      </w:r>
      <w:r w:rsidR="009876C4">
        <w:rPr>
          <w:rFonts w:ascii="Verdana" w:hAnsi="Verdana"/>
          <w:sz w:val="18"/>
          <w:szCs w:val="18"/>
          <w:lang w:val="nl-NL"/>
        </w:rPr>
        <w:t>oor nationaal flankerend beleid:</w:t>
      </w:r>
    </w:p>
    <w:p w:rsidR="009876C4" w:rsidRDefault="009876C4">
      <w:pPr>
        <w:rPr>
          <w:rFonts w:ascii="Verdana" w:hAnsi="Verdana"/>
          <w:sz w:val="18"/>
          <w:szCs w:val="18"/>
          <w:lang w:val="nl-NL"/>
        </w:rPr>
      </w:pPr>
    </w:p>
    <w:tbl>
      <w:tblPr>
        <w:tblStyle w:val="Tabelraster"/>
        <w:tblW w:w="0" w:type="auto"/>
        <w:tblLook w:val="04A0" w:firstRow="1" w:lastRow="0" w:firstColumn="1" w:lastColumn="0" w:noHBand="0" w:noVBand="1"/>
      </w:tblPr>
      <w:tblGrid>
        <w:gridCol w:w="3055"/>
        <w:gridCol w:w="3056"/>
        <w:gridCol w:w="3056"/>
      </w:tblGrid>
      <w:tr w:rsidR="00356027" w:rsidTr="004258FF">
        <w:tc>
          <w:tcPr>
            <w:tcW w:w="3055" w:type="dxa"/>
          </w:tcPr>
          <w:p w:rsidR="00356027" w:rsidP="004258FF" w:rsidRDefault="00356027">
            <w:pPr>
              <w:rPr>
                <w:rFonts w:ascii="Verdana" w:hAnsi="Verdana"/>
                <w:b/>
                <w:sz w:val="18"/>
                <w:szCs w:val="18"/>
                <w:lang w:val="nl-NL"/>
              </w:rPr>
            </w:pPr>
            <w:r>
              <w:rPr>
                <w:rFonts w:ascii="Verdana" w:hAnsi="Verdana"/>
                <w:b/>
                <w:sz w:val="18"/>
                <w:szCs w:val="18"/>
                <w:lang w:val="nl-NL"/>
              </w:rPr>
              <w:t>Categorie</w:t>
            </w:r>
          </w:p>
        </w:tc>
        <w:tc>
          <w:tcPr>
            <w:tcW w:w="3056" w:type="dxa"/>
          </w:tcPr>
          <w:p w:rsidR="00356027" w:rsidP="004258FF" w:rsidRDefault="00356027">
            <w:pPr>
              <w:rPr>
                <w:rFonts w:ascii="Verdana" w:hAnsi="Verdana"/>
                <w:b/>
                <w:sz w:val="18"/>
                <w:szCs w:val="18"/>
                <w:lang w:val="nl-NL"/>
              </w:rPr>
            </w:pPr>
            <w:r>
              <w:rPr>
                <w:rFonts w:ascii="Verdana" w:hAnsi="Verdana"/>
                <w:b/>
                <w:sz w:val="18"/>
                <w:szCs w:val="18"/>
                <w:lang w:val="nl-NL"/>
              </w:rPr>
              <w:t xml:space="preserve"> EZ</w:t>
            </w:r>
          </w:p>
        </w:tc>
        <w:tc>
          <w:tcPr>
            <w:tcW w:w="3056" w:type="dxa"/>
          </w:tcPr>
          <w:p w:rsidR="00356027" w:rsidP="004258FF" w:rsidRDefault="00356027">
            <w:pPr>
              <w:rPr>
                <w:rFonts w:ascii="Verdana" w:hAnsi="Verdana"/>
                <w:b/>
                <w:sz w:val="18"/>
                <w:szCs w:val="18"/>
                <w:lang w:val="nl-NL"/>
              </w:rPr>
            </w:pPr>
            <w:r>
              <w:rPr>
                <w:rFonts w:ascii="Verdana" w:hAnsi="Verdana"/>
                <w:b/>
                <w:sz w:val="18"/>
                <w:szCs w:val="18"/>
                <w:lang w:val="nl-NL"/>
              </w:rPr>
              <w:t xml:space="preserve"> OCW</w:t>
            </w:r>
          </w:p>
        </w:tc>
      </w:tr>
      <w:tr w:rsidR="00356027" w:rsidTr="004258FF">
        <w:tc>
          <w:tcPr>
            <w:tcW w:w="3055" w:type="dxa"/>
          </w:tcPr>
          <w:p w:rsidR="00356027" w:rsidP="004258FF" w:rsidRDefault="00356027">
            <w:pPr>
              <w:rPr>
                <w:rFonts w:ascii="Verdana" w:hAnsi="Verdana"/>
                <w:b/>
                <w:sz w:val="18"/>
                <w:szCs w:val="18"/>
                <w:lang w:val="nl-NL"/>
              </w:rPr>
            </w:pPr>
          </w:p>
        </w:tc>
        <w:tc>
          <w:tcPr>
            <w:tcW w:w="3056" w:type="dxa"/>
          </w:tcPr>
          <w:p w:rsidR="00356027" w:rsidP="004258FF" w:rsidRDefault="00356027">
            <w:pPr>
              <w:rPr>
                <w:rFonts w:ascii="Verdana" w:hAnsi="Verdana"/>
                <w:b/>
                <w:sz w:val="18"/>
                <w:szCs w:val="18"/>
                <w:lang w:val="nl-NL"/>
              </w:rPr>
            </w:pPr>
          </w:p>
        </w:tc>
        <w:tc>
          <w:tcPr>
            <w:tcW w:w="3056" w:type="dxa"/>
          </w:tcPr>
          <w:p w:rsidR="00356027" w:rsidP="004258FF" w:rsidRDefault="00356027">
            <w:pPr>
              <w:rPr>
                <w:rFonts w:ascii="Verdana" w:hAnsi="Verdana"/>
                <w:b/>
                <w:sz w:val="18"/>
                <w:szCs w:val="18"/>
                <w:lang w:val="nl-NL"/>
              </w:rPr>
            </w:pPr>
          </w:p>
        </w:tc>
      </w:tr>
      <w:tr w:rsidRPr="00C85CBF" w:rsidR="00356027" w:rsidTr="004258FF">
        <w:tc>
          <w:tcPr>
            <w:tcW w:w="3055"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Satellietdata + tech.ontwikkeling (SBIR)</w:t>
            </w:r>
          </w:p>
        </w:tc>
        <w:tc>
          <w:tcPr>
            <w:tcW w:w="3056"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 xml:space="preserve">      7,0</w:t>
            </w:r>
          </w:p>
        </w:tc>
        <w:tc>
          <w:tcPr>
            <w:tcW w:w="3056"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 xml:space="preserve">    0,0</w:t>
            </w:r>
          </w:p>
        </w:tc>
      </w:tr>
      <w:tr w:rsidRPr="00C85CBF" w:rsidR="00356027" w:rsidTr="004258FF">
        <w:tc>
          <w:tcPr>
            <w:tcW w:w="3055"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Wetenschap + kennis</w:t>
            </w:r>
          </w:p>
        </w:tc>
        <w:tc>
          <w:tcPr>
            <w:tcW w:w="3056"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 xml:space="preserve">      0,0</w:t>
            </w:r>
          </w:p>
        </w:tc>
        <w:tc>
          <w:tcPr>
            <w:tcW w:w="3056" w:type="dxa"/>
          </w:tcPr>
          <w:p w:rsidRPr="00C85CBF" w:rsidR="00356027" w:rsidP="00356027" w:rsidRDefault="00356027">
            <w:pPr>
              <w:rPr>
                <w:rFonts w:ascii="Verdana" w:hAnsi="Verdana"/>
                <w:sz w:val="18"/>
                <w:szCs w:val="18"/>
                <w:lang w:val="nl-NL"/>
              </w:rPr>
            </w:pPr>
            <w:r>
              <w:rPr>
                <w:rFonts w:ascii="Verdana" w:hAnsi="Verdana"/>
                <w:sz w:val="18"/>
                <w:szCs w:val="18"/>
                <w:lang w:val="nl-NL"/>
              </w:rPr>
              <w:t xml:space="preserve">  10</w:t>
            </w:r>
            <w:r w:rsidRPr="00C85CBF">
              <w:rPr>
                <w:rFonts w:ascii="Verdana" w:hAnsi="Verdana"/>
                <w:sz w:val="18"/>
                <w:szCs w:val="18"/>
                <w:lang w:val="nl-NL"/>
              </w:rPr>
              <w:t>,2</w:t>
            </w:r>
            <w:r>
              <w:rPr>
                <w:rFonts w:ascii="Verdana" w:hAnsi="Verdana"/>
                <w:sz w:val="18"/>
                <w:szCs w:val="18"/>
                <w:lang w:val="nl-NL"/>
              </w:rPr>
              <w:t xml:space="preserve"> (7,2 + 3,0)</w:t>
            </w:r>
          </w:p>
        </w:tc>
      </w:tr>
      <w:tr w:rsidRPr="00C85CBF" w:rsidR="00356027" w:rsidTr="004258FF">
        <w:tc>
          <w:tcPr>
            <w:tcW w:w="3055"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Instrumentencluster</w:t>
            </w:r>
          </w:p>
        </w:tc>
        <w:tc>
          <w:tcPr>
            <w:tcW w:w="3056" w:type="dxa"/>
          </w:tcPr>
          <w:p w:rsidRPr="00C85CBF" w:rsidR="00356027" w:rsidP="004258FF" w:rsidRDefault="006528F5">
            <w:pPr>
              <w:rPr>
                <w:rFonts w:ascii="Verdana" w:hAnsi="Verdana"/>
                <w:sz w:val="18"/>
                <w:szCs w:val="18"/>
                <w:lang w:val="nl-NL"/>
              </w:rPr>
            </w:pPr>
            <w:r>
              <w:rPr>
                <w:rFonts w:ascii="Verdana" w:hAnsi="Verdana"/>
                <w:sz w:val="18"/>
                <w:szCs w:val="18"/>
                <w:lang w:val="nl-NL"/>
              </w:rPr>
              <w:t xml:space="preserve">      2,0</w:t>
            </w:r>
          </w:p>
        </w:tc>
        <w:tc>
          <w:tcPr>
            <w:tcW w:w="3056"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 xml:space="preserve">    8,5</w:t>
            </w:r>
          </w:p>
        </w:tc>
      </w:tr>
      <w:tr w:rsidRPr="00C85CBF" w:rsidR="00356027" w:rsidTr="004258FF">
        <w:tc>
          <w:tcPr>
            <w:tcW w:w="3055"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ESTEC/White Paper</w:t>
            </w:r>
          </w:p>
        </w:tc>
        <w:tc>
          <w:tcPr>
            <w:tcW w:w="3056" w:type="dxa"/>
          </w:tcPr>
          <w:p w:rsidRPr="00C85CBF" w:rsidR="00356027" w:rsidP="004258FF" w:rsidRDefault="006528F5">
            <w:pPr>
              <w:rPr>
                <w:rFonts w:ascii="Verdana" w:hAnsi="Verdana"/>
                <w:sz w:val="18"/>
                <w:szCs w:val="18"/>
                <w:lang w:val="nl-NL"/>
              </w:rPr>
            </w:pPr>
            <w:r>
              <w:rPr>
                <w:rFonts w:ascii="Verdana" w:hAnsi="Verdana"/>
                <w:sz w:val="18"/>
                <w:szCs w:val="18"/>
                <w:lang w:val="nl-NL"/>
              </w:rPr>
              <w:t xml:space="preserve">      2,0</w:t>
            </w:r>
          </w:p>
        </w:tc>
        <w:tc>
          <w:tcPr>
            <w:tcW w:w="3056"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 xml:space="preserve">    0,0</w:t>
            </w:r>
          </w:p>
        </w:tc>
      </w:tr>
      <w:tr w:rsidRPr="00C85CBF" w:rsidR="00356027" w:rsidTr="004258FF">
        <w:tc>
          <w:tcPr>
            <w:tcW w:w="3055"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Totaal</w:t>
            </w:r>
          </w:p>
        </w:tc>
        <w:tc>
          <w:tcPr>
            <w:tcW w:w="3056"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 xml:space="preserve">    11,0</w:t>
            </w:r>
          </w:p>
        </w:tc>
        <w:tc>
          <w:tcPr>
            <w:tcW w:w="3056" w:type="dxa"/>
          </w:tcPr>
          <w:p w:rsidRPr="00C85CBF" w:rsidR="00356027" w:rsidP="004258FF" w:rsidRDefault="00356027">
            <w:pPr>
              <w:rPr>
                <w:rFonts w:ascii="Verdana" w:hAnsi="Verdana"/>
                <w:sz w:val="18"/>
                <w:szCs w:val="18"/>
                <w:lang w:val="nl-NL"/>
              </w:rPr>
            </w:pPr>
            <w:r w:rsidRPr="00C85CBF">
              <w:rPr>
                <w:rFonts w:ascii="Verdana" w:hAnsi="Verdana"/>
                <w:sz w:val="18"/>
                <w:szCs w:val="18"/>
                <w:lang w:val="nl-NL"/>
              </w:rPr>
              <w:t xml:space="preserve">  18,7</w:t>
            </w:r>
          </w:p>
        </w:tc>
      </w:tr>
    </w:tbl>
    <w:p w:rsidR="00EB4B0E" w:rsidRDefault="00EB4B0E">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00525E0B" w:rsidRDefault="00525E0B">
      <w:pPr>
        <w:ind w:left="426" w:hanging="426"/>
        <w:rPr>
          <w:rFonts w:ascii="Verdana" w:hAnsi="Verdana"/>
          <w:i/>
          <w:sz w:val="18"/>
          <w:szCs w:val="18"/>
          <w:lang w:val="nl-NL"/>
        </w:rPr>
      </w:pPr>
    </w:p>
    <w:p w:rsidRPr="00460324" w:rsidR="00BC057C" w:rsidRDefault="00BC057C">
      <w:pPr>
        <w:ind w:left="426" w:hanging="426"/>
        <w:rPr>
          <w:rFonts w:ascii="Verdana" w:hAnsi="Verdana"/>
          <w:i/>
          <w:sz w:val="18"/>
          <w:szCs w:val="18"/>
          <w:lang w:val="nl-NL"/>
        </w:rPr>
      </w:pPr>
      <w:r w:rsidRPr="00460324">
        <w:rPr>
          <w:rFonts w:ascii="Verdana" w:hAnsi="Verdana"/>
          <w:i/>
          <w:sz w:val="18"/>
          <w:szCs w:val="18"/>
          <w:lang w:val="nl-NL"/>
        </w:rPr>
        <w:t>Bijlagen:</w:t>
      </w:r>
    </w:p>
    <w:p w:rsidRPr="00286A09" w:rsidR="005A56B8" w:rsidRDefault="005A56B8">
      <w:pPr>
        <w:ind w:left="426" w:hanging="426"/>
        <w:rPr>
          <w:rFonts w:ascii="Verdana" w:hAnsi="Verdana"/>
          <w:sz w:val="18"/>
          <w:szCs w:val="18"/>
          <w:lang w:val="nl-NL"/>
        </w:rPr>
      </w:pPr>
    </w:p>
    <w:p w:rsidRPr="00286A09" w:rsidR="006B10F0" w:rsidRDefault="00286A09">
      <w:pPr>
        <w:pStyle w:val="Lijstalinea"/>
        <w:numPr>
          <w:ilvl w:val="0"/>
          <w:numId w:val="11"/>
        </w:numPr>
        <w:rPr>
          <w:rFonts w:ascii="Verdana" w:hAnsi="Verdana"/>
          <w:sz w:val="18"/>
          <w:szCs w:val="18"/>
          <w:lang w:val="nl-NL"/>
        </w:rPr>
      </w:pPr>
      <w:r>
        <w:rPr>
          <w:rFonts w:ascii="Verdana" w:hAnsi="Verdana"/>
          <w:sz w:val="18"/>
          <w:szCs w:val="18"/>
          <w:lang w:val="nl-NL"/>
        </w:rPr>
        <w:t>“</w:t>
      </w:r>
      <w:r w:rsidRPr="00286A09" w:rsidR="006B10F0">
        <w:rPr>
          <w:rFonts w:ascii="Verdana" w:hAnsi="Verdana"/>
          <w:sz w:val="18"/>
          <w:szCs w:val="18"/>
          <w:lang w:val="nl-NL"/>
        </w:rPr>
        <w:t>The Hague Manifesto</w:t>
      </w:r>
      <w:r>
        <w:rPr>
          <w:rFonts w:ascii="Verdana" w:hAnsi="Verdana"/>
          <w:sz w:val="18"/>
          <w:szCs w:val="18"/>
          <w:lang w:val="nl-NL"/>
        </w:rPr>
        <w:t>”</w:t>
      </w:r>
    </w:p>
    <w:p w:rsidRPr="00286A09" w:rsidR="006B10F0" w:rsidRDefault="006B10F0">
      <w:pPr>
        <w:rPr>
          <w:rFonts w:ascii="Verdana" w:hAnsi="Verdana"/>
          <w:sz w:val="18"/>
          <w:szCs w:val="18"/>
          <w:lang w:val="nl-NL"/>
        </w:rPr>
      </w:pPr>
    </w:p>
    <w:p w:rsidRPr="00286A09" w:rsidR="001672AC" w:rsidRDefault="001672AC">
      <w:pPr>
        <w:pStyle w:val="Lijstalinea"/>
        <w:numPr>
          <w:ilvl w:val="0"/>
          <w:numId w:val="11"/>
        </w:numPr>
        <w:rPr>
          <w:rFonts w:ascii="Verdana" w:hAnsi="Verdana"/>
          <w:sz w:val="18"/>
          <w:szCs w:val="18"/>
          <w:lang w:val="en-GB"/>
        </w:rPr>
      </w:pPr>
      <w:r w:rsidRPr="002C54D5">
        <w:rPr>
          <w:rFonts w:ascii="Verdana" w:hAnsi="Verdana"/>
          <w:sz w:val="18"/>
          <w:szCs w:val="18"/>
          <w:lang w:val="en-GB"/>
        </w:rPr>
        <w:t>Commun</w:t>
      </w:r>
      <w:r w:rsidRPr="00286A09">
        <w:rPr>
          <w:rFonts w:ascii="Verdana" w:hAnsi="Verdana"/>
          <w:sz w:val="18"/>
          <w:szCs w:val="18"/>
          <w:lang w:val="en-GB"/>
        </w:rPr>
        <w:t>ication from the Commission to the European Parliament, the Council, The European Economic and Social Committee and the Committee of the Regions (d</w:t>
      </w:r>
      <w:r w:rsidR="001453BE">
        <w:rPr>
          <w:rFonts w:ascii="Verdana" w:hAnsi="Verdana"/>
          <w:sz w:val="18"/>
          <w:szCs w:val="18"/>
          <w:lang w:val="en-GB"/>
        </w:rPr>
        <w:t>.d.</w:t>
      </w:r>
      <w:r w:rsidRPr="00286A09">
        <w:rPr>
          <w:rFonts w:ascii="Verdana" w:hAnsi="Verdana"/>
          <w:sz w:val="18"/>
          <w:szCs w:val="18"/>
          <w:lang w:val="en-GB"/>
        </w:rPr>
        <w:t xml:space="preserve"> 26-10-2016)</w:t>
      </w:r>
    </w:p>
    <w:p w:rsidRPr="00286A09" w:rsidR="001672AC" w:rsidRDefault="001672AC">
      <w:pPr>
        <w:pStyle w:val="Lijstalinea"/>
        <w:rPr>
          <w:rFonts w:ascii="Verdana" w:hAnsi="Verdana"/>
          <w:sz w:val="18"/>
          <w:szCs w:val="18"/>
          <w:lang w:val="en-GB"/>
        </w:rPr>
      </w:pPr>
    </w:p>
    <w:p w:rsidRPr="00286A09" w:rsidR="006B10F0" w:rsidRDefault="006B10F0">
      <w:pPr>
        <w:pStyle w:val="Lijstalinea"/>
        <w:numPr>
          <w:ilvl w:val="0"/>
          <w:numId w:val="11"/>
        </w:numPr>
        <w:rPr>
          <w:rFonts w:ascii="Verdana" w:hAnsi="Verdana"/>
          <w:sz w:val="18"/>
          <w:szCs w:val="18"/>
          <w:lang w:val="nl-NL"/>
        </w:rPr>
      </w:pPr>
      <w:r w:rsidRPr="00286A09">
        <w:rPr>
          <w:rFonts w:ascii="Verdana" w:hAnsi="Verdana"/>
          <w:sz w:val="18"/>
          <w:szCs w:val="18"/>
          <w:lang w:val="nl-NL"/>
        </w:rPr>
        <w:t>Brief van Nederland aan de Europese Commissie als input voor de Europese Ruimtevaartstrategie</w:t>
      </w:r>
    </w:p>
    <w:p w:rsidRPr="00286A09" w:rsidR="006B10F0" w:rsidRDefault="006B10F0">
      <w:pPr>
        <w:ind w:left="360"/>
        <w:rPr>
          <w:rFonts w:ascii="Verdana" w:hAnsi="Verdana"/>
          <w:sz w:val="18"/>
          <w:szCs w:val="18"/>
          <w:lang w:val="nl-NL"/>
        </w:rPr>
      </w:pPr>
    </w:p>
    <w:p w:rsidRPr="00286A09" w:rsidR="0031240F" w:rsidRDefault="00286A09">
      <w:pPr>
        <w:pStyle w:val="Lijstalinea"/>
        <w:numPr>
          <w:ilvl w:val="0"/>
          <w:numId w:val="11"/>
        </w:numPr>
        <w:rPr>
          <w:rFonts w:ascii="Verdana" w:hAnsi="Verdana"/>
          <w:sz w:val="18"/>
          <w:szCs w:val="18"/>
          <w:lang w:val="en-GB"/>
        </w:rPr>
      </w:pPr>
      <w:r>
        <w:rPr>
          <w:rFonts w:ascii="Verdana" w:hAnsi="Verdana"/>
          <w:sz w:val="18"/>
          <w:szCs w:val="18"/>
          <w:lang w:eastAsia="fr-BE"/>
        </w:rPr>
        <w:t>“</w:t>
      </w:r>
      <w:r w:rsidRPr="00286A09" w:rsidR="0031240F">
        <w:rPr>
          <w:rFonts w:ascii="Verdana" w:hAnsi="Verdana"/>
          <w:sz w:val="18"/>
          <w:szCs w:val="18"/>
          <w:lang w:eastAsia="fr-BE"/>
        </w:rPr>
        <w:t>Joint Statement on Shared Vision and Goals for the Future of Europe in Space by the European Union and the European Space Agency</w:t>
      </w:r>
      <w:r>
        <w:rPr>
          <w:rFonts w:ascii="Verdana" w:hAnsi="Verdana"/>
          <w:sz w:val="18"/>
          <w:szCs w:val="18"/>
          <w:lang w:eastAsia="fr-BE"/>
        </w:rPr>
        <w:t>”</w:t>
      </w:r>
    </w:p>
    <w:p w:rsidRPr="00286A09" w:rsidR="0031240F" w:rsidRDefault="0031240F">
      <w:pPr>
        <w:pStyle w:val="Lijstalinea"/>
        <w:rPr>
          <w:rFonts w:ascii="Verdana" w:hAnsi="Verdana"/>
          <w:sz w:val="18"/>
          <w:szCs w:val="18"/>
          <w:lang w:val="en-GB"/>
        </w:rPr>
      </w:pPr>
    </w:p>
    <w:p w:rsidRPr="00286A09" w:rsidR="00BC057C" w:rsidRDefault="00BC057C">
      <w:pPr>
        <w:pStyle w:val="Lijstalinea"/>
        <w:numPr>
          <w:ilvl w:val="0"/>
          <w:numId w:val="11"/>
        </w:numPr>
        <w:rPr>
          <w:rFonts w:ascii="Verdana" w:hAnsi="Verdana"/>
          <w:sz w:val="18"/>
          <w:szCs w:val="18"/>
          <w:lang w:val="nl-NL"/>
        </w:rPr>
      </w:pPr>
      <w:r w:rsidRPr="00286A09">
        <w:rPr>
          <w:rFonts w:ascii="Verdana" w:hAnsi="Verdana"/>
          <w:sz w:val="18"/>
          <w:szCs w:val="18"/>
          <w:lang w:val="nl-NL"/>
        </w:rPr>
        <w:t>Verkenning naar de maatschappelijke kosten en baten van ruimtevaart en het ruimtevaartbeleid; rapport van</w:t>
      </w:r>
      <w:r w:rsidRPr="00286A09" w:rsidR="0086290F">
        <w:rPr>
          <w:rFonts w:ascii="Verdana" w:hAnsi="Verdana"/>
          <w:sz w:val="18"/>
          <w:szCs w:val="18"/>
          <w:lang w:val="nl-NL"/>
        </w:rPr>
        <w:t xml:space="preserve"> de bureaus Dialogic en Decisio</w:t>
      </w:r>
    </w:p>
    <w:p w:rsidRPr="00286A09" w:rsidR="006B10F0" w:rsidRDefault="006B10F0">
      <w:pPr>
        <w:pStyle w:val="Lijstalinea"/>
        <w:rPr>
          <w:rFonts w:ascii="Verdana" w:hAnsi="Verdana"/>
          <w:sz w:val="18"/>
          <w:szCs w:val="18"/>
          <w:lang w:val="nl-NL"/>
        </w:rPr>
      </w:pPr>
    </w:p>
    <w:p w:rsidRPr="00286A09" w:rsidR="00BC057C" w:rsidRDefault="0013430E">
      <w:pPr>
        <w:pStyle w:val="Lijstalinea"/>
        <w:numPr>
          <w:ilvl w:val="0"/>
          <w:numId w:val="11"/>
        </w:numPr>
        <w:rPr>
          <w:rFonts w:ascii="Verdana" w:hAnsi="Verdana"/>
          <w:sz w:val="18"/>
          <w:szCs w:val="18"/>
          <w:lang w:val="nl-NL"/>
        </w:rPr>
      </w:pPr>
      <w:r w:rsidRPr="00286A09">
        <w:rPr>
          <w:rFonts w:ascii="Verdana" w:hAnsi="Verdana"/>
          <w:sz w:val="18"/>
          <w:szCs w:val="18"/>
          <w:lang w:val="nl-NL"/>
        </w:rPr>
        <w:t>TRIARII-studie</w:t>
      </w:r>
    </w:p>
    <w:p w:rsidRPr="00286A09" w:rsidR="0011633B" w:rsidRDefault="0011633B">
      <w:pPr>
        <w:pStyle w:val="Lijstalinea"/>
        <w:rPr>
          <w:rFonts w:ascii="Verdana" w:hAnsi="Verdana"/>
          <w:sz w:val="18"/>
          <w:szCs w:val="18"/>
          <w:lang w:val="nl-NL"/>
        </w:rPr>
      </w:pPr>
    </w:p>
    <w:p w:rsidRPr="003A7671" w:rsidR="003A7671" w:rsidP="003A7671" w:rsidRDefault="0086290F">
      <w:pPr>
        <w:pStyle w:val="Lijstalinea"/>
        <w:numPr>
          <w:ilvl w:val="0"/>
          <w:numId w:val="11"/>
        </w:numPr>
        <w:rPr>
          <w:rFonts w:ascii="Verdana" w:hAnsi="Verdana"/>
          <w:sz w:val="18"/>
          <w:szCs w:val="18"/>
          <w:lang w:val="nl-NL"/>
        </w:rPr>
      </w:pPr>
      <w:r w:rsidRPr="00286A09">
        <w:rPr>
          <w:rFonts w:ascii="Verdana" w:hAnsi="Verdana"/>
          <w:sz w:val="18"/>
          <w:szCs w:val="18"/>
          <w:lang w:val="nl-NL"/>
        </w:rPr>
        <w:t xml:space="preserve">“Naar betere </w:t>
      </w:r>
      <w:r w:rsidR="003A7671">
        <w:rPr>
          <w:rFonts w:ascii="Verdana" w:hAnsi="Verdana"/>
          <w:sz w:val="18"/>
          <w:szCs w:val="18"/>
          <w:lang w:val="nl-NL"/>
        </w:rPr>
        <w:t xml:space="preserve">overheidsbrede </w:t>
      </w:r>
      <w:r w:rsidRPr="00286A09">
        <w:rPr>
          <w:rFonts w:ascii="Verdana" w:hAnsi="Verdana"/>
          <w:sz w:val="18"/>
          <w:szCs w:val="18"/>
          <w:lang w:val="nl-NL"/>
        </w:rPr>
        <w:t xml:space="preserve">benutting van satellietinformatie”; </w:t>
      </w:r>
      <w:r w:rsidR="003A7671">
        <w:rPr>
          <w:rFonts w:ascii="Verdana" w:hAnsi="Verdana"/>
          <w:sz w:val="18"/>
          <w:szCs w:val="18"/>
          <w:lang w:val="nl-NL"/>
        </w:rPr>
        <w:t xml:space="preserve">synopsis van het </w:t>
      </w:r>
      <w:r w:rsidRPr="00286A09">
        <w:rPr>
          <w:rFonts w:ascii="Verdana" w:hAnsi="Verdana"/>
          <w:sz w:val="18"/>
          <w:szCs w:val="18"/>
          <w:lang w:val="nl-NL"/>
        </w:rPr>
        <w:t xml:space="preserve">advies aan de Interdepartementale Commissie Ruimtevaart (ICR) van de </w:t>
      </w:r>
      <w:r w:rsidR="00E25F55">
        <w:rPr>
          <w:rFonts w:ascii="Verdana" w:hAnsi="Verdana"/>
          <w:sz w:val="18"/>
          <w:szCs w:val="18"/>
          <w:lang w:val="nl-NL"/>
        </w:rPr>
        <w:t xml:space="preserve">ICR werkgroep betere benutting </w:t>
      </w:r>
      <w:r w:rsidR="008259C1">
        <w:rPr>
          <w:rFonts w:ascii="Verdana" w:hAnsi="Verdana"/>
          <w:sz w:val="18"/>
          <w:szCs w:val="18"/>
          <w:lang w:val="nl-NL"/>
        </w:rPr>
        <w:t xml:space="preserve">van </w:t>
      </w:r>
      <w:r w:rsidR="00E25F55">
        <w:rPr>
          <w:rFonts w:ascii="Verdana" w:hAnsi="Verdana"/>
          <w:sz w:val="18"/>
          <w:szCs w:val="18"/>
          <w:lang w:val="nl-NL"/>
        </w:rPr>
        <w:t>s</w:t>
      </w:r>
      <w:r w:rsidRPr="00286A09">
        <w:rPr>
          <w:rFonts w:ascii="Verdana" w:hAnsi="Verdana"/>
          <w:sz w:val="18"/>
          <w:szCs w:val="18"/>
          <w:lang w:val="nl-NL"/>
        </w:rPr>
        <w:t>atellietdata</w:t>
      </w:r>
      <w:r w:rsidRPr="003A7671" w:rsidR="003A7671">
        <w:rPr>
          <w:rFonts w:ascii="Verdana" w:hAnsi="Verdana"/>
          <w:sz w:val="18"/>
          <w:szCs w:val="18"/>
          <w:lang w:val="nl-NL"/>
        </w:rPr>
        <w:t xml:space="preserve"> </w:t>
      </w:r>
    </w:p>
    <w:p w:rsidRPr="00286A09" w:rsidR="00067C36" w:rsidRDefault="00067C36">
      <w:pPr>
        <w:pStyle w:val="Lijstalinea"/>
        <w:rPr>
          <w:rFonts w:ascii="Verdana" w:hAnsi="Verdana"/>
          <w:sz w:val="18"/>
          <w:szCs w:val="18"/>
          <w:lang w:val="nl-NL"/>
        </w:rPr>
      </w:pPr>
    </w:p>
    <w:p w:rsidRPr="00286A09" w:rsidR="00067C36" w:rsidRDefault="00067C36">
      <w:pPr>
        <w:pStyle w:val="Lijstalinea"/>
        <w:numPr>
          <w:ilvl w:val="0"/>
          <w:numId w:val="11"/>
        </w:numPr>
        <w:rPr>
          <w:rFonts w:ascii="Verdana" w:hAnsi="Verdana"/>
          <w:sz w:val="18"/>
          <w:szCs w:val="18"/>
          <w:lang w:val="nl-NL"/>
        </w:rPr>
      </w:pPr>
      <w:r w:rsidRPr="00286A09">
        <w:rPr>
          <w:rFonts w:ascii="Verdana" w:hAnsi="Verdana"/>
          <w:sz w:val="18"/>
          <w:szCs w:val="18"/>
          <w:lang w:val="nl-NL"/>
        </w:rPr>
        <w:t>Advies van het Netherlands Space Office voor het Ruimtevaartbeleid 2017-2019</w:t>
      </w:r>
    </w:p>
    <w:p w:rsidRPr="00067C36" w:rsidR="00067C36" w:rsidRDefault="00067C36">
      <w:pPr>
        <w:pStyle w:val="Lijstalinea"/>
        <w:rPr>
          <w:rFonts w:ascii="Verdana" w:hAnsi="Verdana"/>
          <w:sz w:val="18"/>
          <w:szCs w:val="18"/>
          <w:lang w:val="nl-NL"/>
        </w:rPr>
      </w:pPr>
    </w:p>
    <w:p w:rsidRPr="000047FB" w:rsidR="00067C36" w:rsidRDefault="00067C36">
      <w:pPr>
        <w:pStyle w:val="Lijstalinea"/>
        <w:rPr>
          <w:rFonts w:ascii="Verdana" w:hAnsi="Verdana"/>
          <w:sz w:val="18"/>
          <w:szCs w:val="18"/>
          <w:lang w:val="nl-NL"/>
        </w:rPr>
      </w:pPr>
    </w:p>
    <w:p w:rsidRPr="000047FB" w:rsidR="006B10F0" w:rsidRDefault="006B10F0">
      <w:pPr>
        <w:ind w:left="360"/>
        <w:rPr>
          <w:rFonts w:ascii="Verdana" w:hAnsi="Verdana"/>
          <w:sz w:val="18"/>
          <w:szCs w:val="18"/>
          <w:lang w:val="nl-NL"/>
        </w:rPr>
      </w:pPr>
    </w:p>
    <w:sectPr w:rsidRPr="000047FB" w:rsidR="006B10F0">
      <w:footerReference w:type="default" r:id="rId13"/>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F5" w:rsidRDefault="006528F5" w:rsidP="00D13A5E">
      <w:pPr>
        <w:spacing w:line="240" w:lineRule="auto"/>
      </w:pPr>
      <w:r>
        <w:separator/>
      </w:r>
    </w:p>
  </w:endnote>
  <w:endnote w:type="continuationSeparator" w:id="0">
    <w:p w:rsidR="006528F5" w:rsidRDefault="006528F5" w:rsidP="00D13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jaVu Sans">
    <w:panose1 w:val="020B0603030804020204"/>
    <w:charset w:val="00"/>
    <w:family w:val="swiss"/>
    <w:pitch w:val="variable"/>
    <w:sig w:usb0="E7002EFF" w:usb1="D200F5FF" w:usb2="0A24602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174989"/>
      <w:docPartObj>
        <w:docPartGallery w:val="Page Numbers (Bottom of Page)"/>
        <w:docPartUnique/>
      </w:docPartObj>
    </w:sdtPr>
    <w:sdtEndPr/>
    <w:sdtContent>
      <w:p w:rsidR="006528F5" w:rsidRDefault="006528F5">
        <w:pPr>
          <w:pStyle w:val="Voettekst"/>
          <w:jc w:val="center"/>
        </w:pPr>
        <w:r>
          <w:fldChar w:fldCharType="begin"/>
        </w:r>
        <w:r>
          <w:instrText>PAGE   \* MERGEFORMAT</w:instrText>
        </w:r>
        <w:r>
          <w:fldChar w:fldCharType="separate"/>
        </w:r>
        <w:r w:rsidR="0028742A" w:rsidRPr="0028742A">
          <w:rPr>
            <w:noProof/>
            <w:lang w:val="nl-NL"/>
          </w:rPr>
          <w:t>1</w:t>
        </w:r>
        <w:r>
          <w:fldChar w:fldCharType="end"/>
        </w:r>
      </w:p>
    </w:sdtContent>
  </w:sdt>
  <w:p w:rsidR="006528F5" w:rsidRDefault="006528F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F5" w:rsidRDefault="006528F5" w:rsidP="00D13A5E">
      <w:pPr>
        <w:spacing w:line="240" w:lineRule="auto"/>
      </w:pPr>
      <w:r>
        <w:separator/>
      </w:r>
    </w:p>
  </w:footnote>
  <w:footnote w:type="continuationSeparator" w:id="0">
    <w:p w:rsidR="006528F5" w:rsidRDefault="006528F5" w:rsidP="00D13A5E">
      <w:pPr>
        <w:spacing w:line="240" w:lineRule="auto"/>
      </w:pPr>
      <w:r>
        <w:continuationSeparator/>
      </w:r>
    </w:p>
  </w:footnote>
  <w:footnote w:id="1">
    <w:p w:rsidR="006528F5" w:rsidRPr="00460324" w:rsidRDefault="006528F5">
      <w:pPr>
        <w:pStyle w:val="Voetnoottekst"/>
        <w:rPr>
          <w:rFonts w:ascii="Verdana" w:hAnsi="Verdana"/>
          <w:sz w:val="16"/>
          <w:szCs w:val="16"/>
          <w:lang w:val="nl-NL"/>
        </w:rPr>
      </w:pPr>
      <w:r w:rsidRPr="00460324">
        <w:rPr>
          <w:rStyle w:val="Voetnootmarkering"/>
          <w:rFonts w:ascii="Verdana" w:hAnsi="Verdana"/>
          <w:sz w:val="16"/>
          <w:szCs w:val="16"/>
        </w:rPr>
        <w:footnoteRef/>
      </w:r>
      <w:r w:rsidRPr="00460324">
        <w:rPr>
          <w:rFonts w:ascii="Verdana" w:hAnsi="Verdana"/>
          <w:sz w:val="16"/>
          <w:szCs w:val="16"/>
          <w:lang w:val="nl-NL"/>
        </w:rPr>
        <w:t xml:space="preserve"> NEVASCO staat voor: </w:t>
      </w:r>
      <w:r w:rsidRPr="00E8302D">
        <w:rPr>
          <w:rStyle w:val="st1"/>
          <w:rFonts w:ascii="Verdana" w:hAnsi="Verdana" w:cs="Arial"/>
          <w:sz w:val="18"/>
          <w:szCs w:val="18"/>
          <w:lang w:val="nl-NL"/>
        </w:rPr>
        <w:t>NEtherlands Value Adding Services COmpanies: ten dienste van de energiesector, landbouw en voedselveiligheid, steden in delta’s en veiligheid.</w:t>
      </w:r>
    </w:p>
  </w:footnote>
  <w:footnote w:id="2">
    <w:p w:rsidR="006528F5" w:rsidRPr="00460324" w:rsidRDefault="006528F5">
      <w:pPr>
        <w:pStyle w:val="Voetnoottekst"/>
        <w:rPr>
          <w:rFonts w:ascii="Verdana" w:hAnsi="Verdana"/>
          <w:sz w:val="16"/>
          <w:szCs w:val="16"/>
          <w:lang w:val="nl-NL"/>
        </w:rPr>
      </w:pPr>
      <w:r w:rsidRPr="00460324">
        <w:rPr>
          <w:rStyle w:val="Voetnootmarkering"/>
          <w:rFonts w:ascii="Verdana" w:hAnsi="Verdana"/>
          <w:sz w:val="16"/>
          <w:szCs w:val="16"/>
        </w:rPr>
        <w:footnoteRef/>
      </w:r>
      <w:r w:rsidRPr="00460324">
        <w:rPr>
          <w:rFonts w:ascii="Verdana" w:hAnsi="Verdana"/>
          <w:sz w:val="16"/>
          <w:szCs w:val="16"/>
          <w:lang w:val="nl-NL"/>
        </w:rPr>
        <w:t xml:space="preserve"> De “upstream” sector omvat alle bedrijven die bijdragen aan de productie van draagraketten, satellieten en andere ruimteobjecten. De “downstream” sector omvat de bedrijven die satellietdata bewerken tot (nieuwe) diensten ten behoeve bedrijven, overheden en kennisinstellingen.</w:t>
      </w:r>
    </w:p>
  </w:footnote>
  <w:footnote w:id="3">
    <w:p w:rsidR="006528F5" w:rsidRPr="00460324" w:rsidRDefault="006528F5" w:rsidP="00EE4E1F">
      <w:pPr>
        <w:pStyle w:val="Voetnoottekst"/>
        <w:rPr>
          <w:rFonts w:ascii="Verdana" w:hAnsi="Verdana"/>
          <w:sz w:val="16"/>
          <w:szCs w:val="16"/>
          <w:lang w:val="nl-NL"/>
        </w:rPr>
      </w:pPr>
      <w:r w:rsidRPr="00460324">
        <w:rPr>
          <w:rStyle w:val="Voetnootmarkering"/>
          <w:rFonts w:ascii="Verdana" w:hAnsi="Verdana"/>
          <w:sz w:val="16"/>
          <w:szCs w:val="16"/>
        </w:rPr>
        <w:footnoteRef/>
      </w:r>
      <w:r w:rsidRPr="00460324">
        <w:rPr>
          <w:rFonts w:ascii="Verdana" w:hAnsi="Verdana"/>
          <w:sz w:val="16"/>
          <w:szCs w:val="16"/>
          <w:lang w:val="nl-NL"/>
        </w:rPr>
        <w:t xml:space="preserve"> ESTEC is het “European Space Research and Technology Center” van ESA (te Noordwijk)</w:t>
      </w:r>
    </w:p>
    <w:p w:rsidR="006528F5" w:rsidRPr="00460324" w:rsidRDefault="006528F5" w:rsidP="00EE4E1F">
      <w:pPr>
        <w:pStyle w:val="Voetnoottekst"/>
        <w:rPr>
          <w:rFonts w:ascii="Verdana" w:hAnsi="Verdana"/>
          <w:sz w:val="16"/>
          <w:szCs w:val="16"/>
          <w:lang w:val="nl-NL"/>
        </w:rPr>
      </w:pPr>
      <w:r w:rsidRPr="00460324">
        <w:rPr>
          <w:rFonts w:ascii="Verdana" w:hAnsi="Verdana"/>
          <w:sz w:val="16"/>
          <w:szCs w:val="16"/>
          <w:lang w:val="nl-NL"/>
        </w:rPr>
        <w:t>SRON is de Organisatie voor Ruimteonderzoek in Nederland (te Utrecht en Groningen), onderdeel van de Nederlandse organisatie voor Wetenschappelijk Onderzoek (NWO)</w:t>
      </w:r>
    </w:p>
    <w:p w:rsidR="006528F5" w:rsidRPr="00460324" w:rsidRDefault="006528F5" w:rsidP="00EE4E1F">
      <w:pPr>
        <w:pStyle w:val="Voetnoottekst"/>
        <w:rPr>
          <w:rFonts w:ascii="Verdana" w:hAnsi="Verdana"/>
          <w:sz w:val="16"/>
          <w:szCs w:val="16"/>
          <w:lang w:val="nl-NL"/>
        </w:rPr>
      </w:pPr>
      <w:r w:rsidRPr="00460324">
        <w:rPr>
          <w:rFonts w:ascii="Verdana" w:hAnsi="Verdana"/>
          <w:sz w:val="16"/>
          <w:szCs w:val="16"/>
          <w:lang w:val="nl-NL"/>
        </w:rPr>
        <w:t>KNMI is het Koninklijk Nederlands Meteor</w:t>
      </w:r>
      <w:r>
        <w:rPr>
          <w:rFonts w:ascii="Verdana" w:hAnsi="Verdana"/>
          <w:sz w:val="16"/>
          <w:szCs w:val="16"/>
          <w:lang w:val="nl-NL"/>
        </w:rPr>
        <w:t>ologisch Instituut (in De Bilt</w:t>
      </w:r>
      <w:r w:rsidRPr="00460324">
        <w:rPr>
          <w:rFonts w:ascii="Verdana" w:hAnsi="Verdana"/>
          <w:sz w:val="16"/>
          <w:szCs w:val="16"/>
          <w:lang w:val="nl-NL"/>
        </w:rPr>
        <w:t>)</w:t>
      </w:r>
    </w:p>
    <w:p w:rsidR="006528F5" w:rsidRPr="00460324" w:rsidRDefault="006528F5" w:rsidP="00EE4E1F">
      <w:pPr>
        <w:pStyle w:val="Voetnoottekst"/>
        <w:rPr>
          <w:rFonts w:ascii="Verdana" w:hAnsi="Verdana"/>
          <w:sz w:val="16"/>
          <w:szCs w:val="16"/>
          <w:lang w:val="nl-NL"/>
        </w:rPr>
      </w:pPr>
      <w:r w:rsidRPr="00460324">
        <w:rPr>
          <w:rFonts w:ascii="Verdana" w:hAnsi="Verdana"/>
          <w:sz w:val="16"/>
          <w:szCs w:val="16"/>
          <w:lang w:val="nl-NL"/>
        </w:rPr>
        <w:t>TNO is de organisatie voor Toegepast Natuurwetenschappelijk Onderzoek (Den Haag, Delft en andere plaatsen)</w:t>
      </w:r>
    </w:p>
    <w:p w:rsidR="006528F5" w:rsidRPr="00460324" w:rsidRDefault="006528F5" w:rsidP="00EE4E1F">
      <w:pPr>
        <w:pStyle w:val="Voetnoottekst"/>
        <w:rPr>
          <w:rFonts w:ascii="Verdana" w:hAnsi="Verdana"/>
          <w:sz w:val="16"/>
          <w:szCs w:val="16"/>
          <w:lang w:val="nl-NL"/>
        </w:rPr>
      </w:pPr>
      <w:r w:rsidRPr="00460324">
        <w:rPr>
          <w:rFonts w:ascii="Verdana" w:hAnsi="Verdana"/>
          <w:sz w:val="16"/>
          <w:szCs w:val="16"/>
          <w:lang w:val="nl-NL"/>
        </w:rPr>
        <w:t>NLR is de Nederlandse organisatie voor Lucht- en Ruimtevaart (te Amsterdam en Marknesse)</w:t>
      </w:r>
    </w:p>
  </w:footnote>
  <w:footnote w:id="4">
    <w:p w:rsidR="006528F5" w:rsidRPr="00460324" w:rsidRDefault="006528F5">
      <w:pPr>
        <w:pStyle w:val="Voetnoottekst"/>
        <w:rPr>
          <w:rFonts w:ascii="Verdana" w:hAnsi="Verdana"/>
          <w:sz w:val="16"/>
          <w:szCs w:val="16"/>
          <w:lang w:val="nl-NL"/>
        </w:rPr>
      </w:pPr>
      <w:r w:rsidRPr="00460324">
        <w:rPr>
          <w:rStyle w:val="Voetnootmarkering"/>
          <w:rFonts w:ascii="Verdana" w:hAnsi="Verdana"/>
          <w:sz w:val="16"/>
          <w:szCs w:val="16"/>
        </w:rPr>
        <w:footnoteRef/>
      </w:r>
      <w:r w:rsidRPr="00460324">
        <w:rPr>
          <w:rFonts w:ascii="Verdana" w:hAnsi="Verdana"/>
          <w:sz w:val="16"/>
          <w:szCs w:val="16"/>
          <w:lang w:val="nl-NL"/>
        </w:rPr>
        <w:t xml:space="preserve"> OESO staat voor Organisatie voor Economische Samenwerking en Ontwikkeling; OECD is de Engelstalige afkorting.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48A"/>
    <w:multiLevelType w:val="hybridMultilevel"/>
    <w:tmpl w:val="1A34C61A"/>
    <w:lvl w:ilvl="0" w:tplc="519AFBC2">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nsid w:val="0393502A"/>
    <w:multiLevelType w:val="hybridMultilevel"/>
    <w:tmpl w:val="2BFE0B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42536DA"/>
    <w:multiLevelType w:val="hybridMultilevel"/>
    <w:tmpl w:val="2764AA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9570773"/>
    <w:multiLevelType w:val="hybridMultilevel"/>
    <w:tmpl w:val="084CC6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E4D59A3"/>
    <w:multiLevelType w:val="hybridMultilevel"/>
    <w:tmpl w:val="00ECCF98"/>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5">
    <w:nsid w:val="0EAF0953"/>
    <w:multiLevelType w:val="hybridMultilevel"/>
    <w:tmpl w:val="E65C05B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6">
    <w:nsid w:val="11534BF8"/>
    <w:multiLevelType w:val="hybridMultilevel"/>
    <w:tmpl w:val="2DB626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41173F0"/>
    <w:multiLevelType w:val="hybridMultilevel"/>
    <w:tmpl w:val="91469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9405B73"/>
    <w:multiLevelType w:val="hybridMultilevel"/>
    <w:tmpl w:val="1F1A690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9">
    <w:nsid w:val="1AC812F9"/>
    <w:multiLevelType w:val="hybridMultilevel"/>
    <w:tmpl w:val="18C6E08E"/>
    <w:lvl w:ilvl="0" w:tplc="519AFBC2">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0">
    <w:nsid w:val="28C9748E"/>
    <w:multiLevelType w:val="hybridMultilevel"/>
    <w:tmpl w:val="ED66E980"/>
    <w:lvl w:ilvl="0" w:tplc="04130019">
      <w:start w:val="1"/>
      <w:numFmt w:val="lowerLetter"/>
      <w:lvlText w:val="%1."/>
      <w:lvlJc w:val="left"/>
      <w:pPr>
        <w:ind w:left="294" w:hanging="360"/>
      </w:p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11">
    <w:nsid w:val="2D9D11F6"/>
    <w:multiLevelType w:val="hybridMultilevel"/>
    <w:tmpl w:val="9AE0153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2">
    <w:nsid w:val="2EBC2D94"/>
    <w:multiLevelType w:val="hybridMultilevel"/>
    <w:tmpl w:val="4E3E09E6"/>
    <w:lvl w:ilvl="0" w:tplc="121E4EE0">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nsid w:val="42DC2734"/>
    <w:multiLevelType w:val="hybridMultilevel"/>
    <w:tmpl w:val="40AA17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85C40D9"/>
    <w:multiLevelType w:val="hybridMultilevel"/>
    <w:tmpl w:val="2862C3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9FF6F68"/>
    <w:multiLevelType w:val="hybridMultilevel"/>
    <w:tmpl w:val="8CAABD8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6">
    <w:nsid w:val="4AFD12CA"/>
    <w:multiLevelType w:val="hybridMultilevel"/>
    <w:tmpl w:val="CC2A1D24"/>
    <w:lvl w:ilvl="0" w:tplc="519AFBC2">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50504FF4"/>
    <w:multiLevelType w:val="hybridMultilevel"/>
    <w:tmpl w:val="1EF2A28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8">
    <w:nsid w:val="517F303C"/>
    <w:multiLevelType w:val="hybridMultilevel"/>
    <w:tmpl w:val="3878D5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73A6D95"/>
    <w:multiLevelType w:val="hybridMultilevel"/>
    <w:tmpl w:val="911C76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E62392D"/>
    <w:multiLevelType w:val="hybridMultilevel"/>
    <w:tmpl w:val="19E4BC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EB820DF"/>
    <w:multiLevelType w:val="hybridMultilevel"/>
    <w:tmpl w:val="DF1A8B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3"/>
  </w:num>
  <w:num w:numId="5">
    <w:abstractNumId w:val="20"/>
  </w:num>
  <w:num w:numId="6">
    <w:abstractNumId w:val="1"/>
  </w:num>
  <w:num w:numId="7">
    <w:abstractNumId w:val="15"/>
  </w:num>
  <w:num w:numId="8">
    <w:abstractNumId w:val="11"/>
  </w:num>
  <w:num w:numId="9">
    <w:abstractNumId w:val="13"/>
  </w:num>
  <w:num w:numId="10">
    <w:abstractNumId w:val="12"/>
  </w:num>
  <w:num w:numId="11">
    <w:abstractNumId w:val="7"/>
  </w:num>
  <w:num w:numId="12">
    <w:abstractNumId w:val="17"/>
  </w:num>
  <w:num w:numId="13">
    <w:abstractNumId w:val="2"/>
  </w:num>
  <w:num w:numId="14">
    <w:abstractNumId w:val="16"/>
  </w:num>
  <w:num w:numId="15">
    <w:abstractNumId w:val="0"/>
  </w:num>
  <w:num w:numId="16">
    <w:abstractNumId w:val="9"/>
  </w:num>
  <w:num w:numId="17">
    <w:abstractNumId w:val="19"/>
  </w:num>
  <w:num w:numId="18">
    <w:abstractNumId w:val="14"/>
  </w:num>
  <w:num w:numId="19">
    <w:abstractNumId w:val="4"/>
  </w:num>
  <w:num w:numId="20">
    <w:abstractNumId w:val="8"/>
  </w:num>
  <w:num w:numId="21">
    <w:abstractNumId w:val="21"/>
  </w:num>
  <w:num w:numId="22">
    <w:abstractNumId w:val="4"/>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1C"/>
    <w:rsid w:val="00003E03"/>
    <w:rsid w:val="000047FB"/>
    <w:rsid w:val="00004930"/>
    <w:rsid w:val="0001070C"/>
    <w:rsid w:val="000178C7"/>
    <w:rsid w:val="00036850"/>
    <w:rsid w:val="00045090"/>
    <w:rsid w:val="00067C36"/>
    <w:rsid w:val="00093751"/>
    <w:rsid w:val="00095D08"/>
    <w:rsid w:val="000971B0"/>
    <w:rsid w:val="000A7026"/>
    <w:rsid w:val="000B3118"/>
    <w:rsid w:val="000B3B1D"/>
    <w:rsid w:val="000B4824"/>
    <w:rsid w:val="000C19E7"/>
    <w:rsid w:val="000C4627"/>
    <w:rsid w:val="000D2110"/>
    <w:rsid w:val="000D4BFC"/>
    <w:rsid w:val="000D4E55"/>
    <w:rsid w:val="000E3128"/>
    <w:rsid w:val="000F0F2E"/>
    <w:rsid w:val="000F466C"/>
    <w:rsid w:val="000F4E5F"/>
    <w:rsid w:val="000F6D2A"/>
    <w:rsid w:val="00104579"/>
    <w:rsid w:val="00105C16"/>
    <w:rsid w:val="00114D77"/>
    <w:rsid w:val="0011633B"/>
    <w:rsid w:val="001170BC"/>
    <w:rsid w:val="00131A68"/>
    <w:rsid w:val="0013430E"/>
    <w:rsid w:val="00136CF0"/>
    <w:rsid w:val="0014431B"/>
    <w:rsid w:val="001453BE"/>
    <w:rsid w:val="00145DD6"/>
    <w:rsid w:val="00165C50"/>
    <w:rsid w:val="001672AC"/>
    <w:rsid w:val="001738F5"/>
    <w:rsid w:val="0017704A"/>
    <w:rsid w:val="00181F6A"/>
    <w:rsid w:val="00185197"/>
    <w:rsid w:val="001B1641"/>
    <w:rsid w:val="001B2E88"/>
    <w:rsid w:val="001B5086"/>
    <w:rsid w:val="001C05AD"/>
    <w:rsid w:val="001C5E8B"/>
    <w:rsid w:val="001D0592"/>
    <w:rsid w:val="001D0F8C"/>
    <w:rsid w:val="0020694C"/>
    <w:rsid w:val="002175A2"/>
    <w:rsid w:val="00223E83"/>
    <w:rsid w:val="002262BF"/>
    <w:rsid w:val="0023362E"/>
    <w:rsid w:val="00237A13"/>
    <w:rsid w:val="00272A62"/>
    <w:rsid w:val="00277267"/>
    <w:rsid w:val="00282D2F"/>
    <w:rsid w:val="00286A09"/>
    <w:rsid w:val="0028742A"/>
    <w:rsid w:val="00287509"/>
    <w:rsid w:val="00296471"/>
    <w:rsid w:val="00296D56"/>
    <w:rsid w:val="002A08DE"/>
    <w:rsid w:val="002A1AF4"/>
    <w:rsid w:val="002A5968"/>
    <w:rsid w:val="002B6752"/>
    <w:rsid w:val="002C54D5"/>
    <w:rsid w:val="002C75D3"/>
    <w:rsid w:val="002D0C3D"/>
    <w:rsid w:val="002F66E5"/>
    <w:rsid w:val="00301589"/>
    <w:rsid w:val="0031044E"/>
    <w:rsid w:val="0031240F"/>
    <w:rsid w:val="00314B65"/>
    <w:rsid w:val="00316B2A"/>
    <w:rsid w:val="003241DE"/>
    <w:rsid w:val="00342E58"/>
    <w:rsid w:val="00356027"/>
    <w:rsid w:val="00371384"/>
    <w:rsid w:val="003715D9"/>
    <w:rsid w:val="00386F7F"/>
    <w:rsid w:val="00387A98"/>
    <w:rsid w:val="003918B6"/>
    <w:rsid w:val="003927E8"/>
    <w:rsid w:val="00393356"/>
    <w:rsid w:val="0039461C"/>
    <w:rsid w:val="003A27DC"/>
    <w:rsid w:val="003A4BF8"/>
    <w:rsid w:val="003A64AC"/>
    <w:rsid w:val="003A7671"/>
    <w:rsid w:val="003B101C"/>
    <w:rsid w:val="003B1814"/>
    <w:rsid w:val="003B4634"/>
    <w:rsid w:val="003B5CC8"/>
    <w:rsid w:val="003C35F8"/>
    <w:rsid w:val="003C5982"/>
    <w:rsid w:val="003C60A2"/>
    <w:rsid w:val="003D164E"/>
    <w:rsid w:val="003D21AF"/>
    <w:rsid w:val="003D2664"/>
    <w:rsid w:val="003D5A77"/>
    <w:rsid w:val="003D6DEC"/>
    <w:rsid w:val="003D7823"/>
    <w:rsid w:val="003E4BF2"/>
    <w:rsid w:val="003E5A06"/>
    <w:rsid w:val="003F1A1E"/>
    <w:rsid w:val="003F5464"/>
    <w:rsid w:val="003F5B68"/>
    <w:rsid w:val="003F6CC0"/>
    <w:rsid w:val="003F6E0A"/>
    <w:rsid w:val="00411DB0"/>
    <w:rsid w:val="00420A6E"/>
    <w:rsid w:val="00423115"/>
    <w:rsid w:val="00425270"/>
    <w:rsid w:val="004258FF"/>
    <w:rsid w:val="004279C2"/>
    <w:rsid w:val="0043482B"/>
    <w:rsid w:val="00435A77"/>
    <w:rsid w:val="0044224E"/>
    <w:rsid w:val="00447E93"/>
    <w:rsid w:val="004539C3"/>
    <w:rsid w:val="004547CC"/>
    <w:rsid w:val="00454C23"/>
    <w:rsid w:val="00460324"/>
    <w:rsid w:val="00462821"/>
    <w:rsid w:val="004667BE"/>
    <w:rsid w:val="00470CB6"/>
    <w:rsid w:val="0048061C"/>
    <w:rsid w:val="004925A2"/>
    <w:rsid w:val="004B2598"/>
    <w:rsid w:val="004B3541"/>
    <w:rsid w:val="004C7704"/>
    <w:rsid w:val="004D2B3B"/>
    <w:rsid w:val="004E39D0"/>
    <w:rsid w:val="004F699E"/>
    <w:rsid w:val="004F7A97"/>
    <w:rsid w:val="004F7FB1"/>
    <w:rsid w:val="00506C6E"/>
    <w:rsid w:val="00510100"/>
    <w:rsid w:val="0052010D"/>
    <w:rsid w:val="00520F7B"/>
    <w:rsid w:val="00525E0B"/>
    <w:rsid w:val="005343A5"/>
    <w:rsid w:val="0054688E"/>
    <w:rsid w:val="00550D36"/>
    <w:rsid w:val="00552D18"/>
    <w:rsid w:val="00553B70"/>
    <w:rsid w:val="00565D7C"/>
    <w:rsid w:val="00570D9A"/>
    <w:rsid w:val="00577DFA"/>
    <w:rsid w:val="00583000"/>
    <w:rsid w:val="005876CE"/>
    <w:rsid w:val="00587E02"/>
    <w:rsid w:val="005908BB"/>
    <w:rsid w:val="00593A45"/>
    <w:rsid w:val="0059498D"/>
    <w:rsid w:val="00594BCE"/>
    <w:rsid w:val="005A56B8"/>
    <w:rsid w:val="005A73A4"/>
    <w:rsid w:val="005B2043"/>
    <w:rsid w:val="005B3F79"/>
    <w:rsid w:val="005C1850"/>
    <w:rsid w:val="005C6C20"/>
    <w:rsid w:val="005E3062"/>
    <w:rsid w:val="00601F54"/>
    <w:rsid w:val="00602E33"/>
    <w:rsid w:val="00602FBA"/>
    <w:rsid w:val="00621910"/>
    <w:rsid w:val="006375B8"/>
    <w:rsid w:val="00644B1D"/>
    <w:rsid w:val="006528F5"/>
    <w:rsid w:val="006539B7"/>
    <w:rsid w:val="0066664A"/>
    <w:rsid w:val="006735AD"/>
    <w:rsid w:val="0067791F"/>
    <w:rsid w:val="006828D0"/>
    <w:rsid w:val="00684E39"/>
    <w:rsid w:val="00686A48"/>
    <w:rsid w:val="00687BA6"/>
    <w:rsid w:val="00694F22"/>
    <w:rsid w:val="006A1183"/>
    <w:rsid w:val="006A1D9E"/>
    <w:rsid w:val="006B10F0"/>
    <w:rsid w:val="006D263F"/>
    <w:rsid w:val="006D521F"/>
    <w:rsid w:val="006F215C"/>
    <w:rsid w:val="006F2287"/>
    <w:rsid w:val="006F5924"/>
    <w:rsid w:val="006F7223"/>
    <w:rsid w:val="00705B10"/>
    <w:rsid w:val="0070665D"/>
    <w:rsid w:val="00715E16"/>
    <w:rsid w:val="00723312"/>
    <w:rsid w:val="00725474"/>
    <w:rsid w:val="00732856"/>
    <w:rsid w:val="007425B1"/>
    <w:rsid w:val="00742979"/>
    <w:rsid w:val="007557FE"/>
    <w:rsid w:val="00760917"/>
    <w:rsid w:val="00770C44"/>
    <w:rsid w:val="0078413A"/>
    <w:rsid w:val="00787F01"/>
    <w:rsid w:val="007A0BE9"/>
    <w:rsid w:val="007A565A"/>
    <w:rsid w:val="007B3726"/>
    <w:rsid w:val="007C28FE"/>
    <w:rsid w:val="007C46E9"/>
    <w:rsid w:val="007C4B96"/>
    <w:rsid w:val="007D6C94"/>
    <w:rsid w:val="00805976"/>
    <w:rsid w:val="0081528E"/>
    <w:rsid w:val="00820937"/>
    <w:rsid w:val="00821A80"/>
    <w:rsid w:val="008259C1"/>
    <w:rsid w:val="00831DBB"/>
    <w:rsid w:val="00835D0F"/>
    <w:rsid w:val="00843131"/>
    <w:rsid w:val="008469D1"/>
    <w:rsid w:val="00847AD9"/>
    <w:rsid w:val="00857AAE"/>
    <w:rsid w:val="0086290F"/>
    <w:rsid w:val="0086299C"/>
    <w:rsid w:val="00871BAE"/>
    <w:rsid w:val="008816DE"/>
    <w:rsid w:val="00886ED4"/>
    <w:rsid w:val="00893D51"/>
    <w:rsid w:val="008A0E2F"/>
    <w:rsid w:val="008A544A"/>
    <w:rsid w:val="008A6C27"/>
    <w:rsid w:val="008B57EC"/>
    <w:rsid w:val="008B6C63"/>
    <w:rsid w:val="008C1D4A"/>
    <w:rsid w:val="008C1EA4"/>
    <w:rsid w:val="008D3C9F"/>
    <w:rsid w:val="008E4579"/>
    <w:rsid w:val="008E4DD6"/>
    <w:rsid w:val="008E774D"/>
    <w:rsid w:val="008F4C7B"/>
    <w:rsid w:val="008F4D17"/>
    <w:rsid w:val="00921380"/>
    <w:rsid w:val="00922B4C"/>
    <w:rsid w:val="009251D5"/>
    <w:rsid w:val="00925D7B"/>
    <w:rsid w:val="00926BDD"/>
    <w:rsid w:val="00950333"/>
    <w:rsid w:val="00951196"/>
    <w:rsid w:val="009572A3"/>
    <w:rsid w:val="00966E57"/>
    <w:rsid w:val="00983442"/>
    <w:rsid w:val="009876C4"/>
    <w:rsid w:val="0099690D"/>
    <w:rsid w:val="009A69CD"/>
    <w:rsid w:val="009C356F"/>
    <w:rsid w:val="009E7C69"/>
    <w:rsid w:val="009F337E"/>
    <w:rsid w:val="00A067B6"/>
    <w:rsid w:val="00A15CF4"/>
    <w:rsid w:val="00A31608"/>
    <w:rsid w:val="00A323DD"/>
    <w:rsid w:val="00A325D3"/>
    <w:rsid w:val="00A43F72"/>
    <w:rsid w:val="00A45903"/>
    <w:rsid w:val="00A46E47"/>
    <w:rsid w:val="00A509BC"/>
    <w:rsid w:val="00A5421E"/>
    <w:rsid w:val="00A63850"/>
    <w:rsid w:val="00A70EA4"/>
    <w:rsid w:val="00A724D5"/>
    <w:rsid w:val="00A763C8"/>
    <w:rsid w:val="00A7774B"/>
    <w:rsid w:val="00A82032"/>
    <w:rsid w:val="00AA04EA"/>
    <w:rsid w:val="00AA0BC5"/>
    <w:rsid w:val="00AA6C69"/>
    <w:rsid w:val="00AB2682"/>
    <w:rsid w:val="00AD54AE"/>
    <w:rsid w:val="00AE15CA"/>
    <w:rsid w:val="00AF1A92"/>
    <w:rsid w:val="00B01906"/>
    <w:rsid w:val="00B02737"/>
    <w:rsid w:val="00B02A41"/>
    <w:rsid w:val="00B043DB"/>
    <w:rsid w:val="00B0749D"/>
    <w:rsid w:val="00B077D6"/>
    <w:rsid w:val="00B11972"/>
    <w:rsid w:val="00B16D18"/>
    <w:rsid w:val="00B23562"/>
    <w:rsid w:val="00B23AB5"/>
    <w:rsid w:val="00B370BE"/>
    <w:rsid w:val="00B4174B"/>
    <w:rsid w:val="00B42823"/>
    <w:rsid w:val="00B5638B"/>
    <w:rsid w:val="00B661D4"/>
    <w:rsid w:val="00B75B77"/>
    <w:rsid w:val="00B874F4"/>
    <w:rsid w:val="00B87F62"/>
    <w:rsid w:val="00BB4AF0"/>
    <w:rsid w:val="00BC057C"/>
    <w:rsid w:val="00BC1DE6"/>
    <w:rsid w:val="00BC2BAF"/>
    <w:rsid w:val="00BC34E6"/>
    <w:rsid w:val="00BC59A0"/>
    <w:rsid w:val="00BD0E42"/>
    <w:rsid w:val="00BD287C"/>
    <w:rsid w:val="00BD2B7F"/>
    <w:rsid w:val="00BF6156"/>
    <w:rsid w:val="00C079AB"/>
    <w:rsid w:val="00C11F8D"/>
    <w:rsid w:val="00C14E02"/>
    <w:rsid w:val="00C33D3C"/>
    <w:rsid w:val="00C35EAD"/>
    <w:rsid w:val="00C60362"/>
    <w:rsid w:val="00C6211C"/>
    <w:rsid w:val="00C64E73"/>
    <w:rsid w:val="00C67637"/>
    <w:rsid w:val="00C74366"/>
    <w:rsid w:val="00C773D7"/>
    <w:rsid w:val="00C90E80"/>
    <w:rsid w:val="00C916EF"/>
    <w:rsid w:val="00C91704"/>
    <w:rsid w:val="00C92FF2"/>
    <w:rsid w:val="00CA2F65"/>
    <w:rsid w:val="00CA4E0F"/>
    <w:rsid w:val="00CC2A7E"/>
    <w:rsid w:val="00CD0326"/>
    <w:rsid w:val="00CE063E"/>
    <w:rsid w:val="00CE1115"/>
    <w:rsid w:val="00CE3531"/>
    <w:rsid w:val="00CE58AB"/>
    <w:rsid w:val="00CE76C4"/>
    <w:rsid w:val="00CF118A"/>
    <w:rsid w:val="00CF33E1"/>
    <w:rsid w:val="00D01C0A"/>
    <w:rsid w:val="00D11F8F"/>
    <w:rsid w:val="00D13A5E"/>
    <w:rsid w:val="00D16E00"/>
    <w:rsid w:val="00D2238E"/>
    <w:rsid w:val="00D26EC5"/>
    <w:rsid w:val="00D32B11"/>
    <w:rsid w:val="00D351DF"/>
    <w:rsid w:val="00D442ED"/>
    <w:rsid w:val="00D475ED"/>
    <w:rsid w:val="00D50082"/>
    <w:rsid w:val="00D51B32"/>
    <w:rsid w:val="00D56C7B"/>
    <w:rsid w:val="00D80107"/>
    <w:rsid w:val="00D83D5B"/>
    <w:rsid w:val="00D908C3"/>
    <w:rsid w:val="00D95EB8"/>
    <w:rsid w:val="00DA1778"/>
    <w:rsid w:val="00DA2C5D"/>
    <w:rsid w:val="00DB2C33"/>
    <w:rsid w:val="00DB6B55"/>
    <w:rsid w:val="00DC0443"/>
    <w:rsid w:val="00DC13A2"/>
    <w:rsid w:val="00DC26AE"/>
    <w:rsid w:val="00DC5A4E"/>
    <w:rsid w:val="00DD0714"/>
    <w:rsid w:val="00DD4928"/>
    <w:rsid w:val="00DD54CB"/>
    <w:rsid w:val="00DE3DA7"/>
    <w:rsid w:val="00DE48EB"/>
    <w:rsid w:val="00DF078F"/>
    <w:rsid w:val="00DF7468"/>
    <w:rsid w:val="00E00241"/>
    <w:rsid w:val="00E039B3"/>
    <w:rsid w:val="00E05173"/>
    <w:rsid w:val="00E1635A"/>
    <w:rsid w:val="00E20067"/>
    <w:rsid w:val="00E23E25"/>
    <w:rsid w:val="00E25F55"/>
    <w:rsid w:val="00E470F2"/>
    <w:rsid w:val="00E51500"/>
    <w:rsid w:val="00E655B4"/>
    <w:rsid w:val="00E71E65"/>
    <w:rsid w:val="00E8302D"/>
    <w:rsid w:val="00EA7C78"/>
    <w:rsid w:val="00EB0691"/>
    <w:rsid w:val="00EB4B0E"/>
    <w:rsid w:val="00EB7235"/>
    <w:rsid w:val="00EC0FEA"/>
    <w:rsid w:val="00EC1C34"/>
    <w:rsid w:val="00EC530C"/>
    <w:rsid w:val="00EC54EB"/>
    <w:rsid w:val="00ED2D0E"/>
    <w:rsid w:val="00ED6B98"/>
    <w:rsid w:val="00EE095B"/>
    <w:rsid w:val="00EE4E1F"/>
    <w:rsid w:val="00EF1E56"/>
    <w:rsid w:val="00F07F5B"/>
    <w:rsid w:val="00F1144D"/>
    <w:rsid w:val="00F15462"/>
    <w:rsid w:val="00F15ADF"/>
    <w:rsid w:val="00F23825"/>
    <w:rsid w:val="00F23E66"/>
    <w:rsid w:val="00F312DA"/>
    <w:rsid w:val="00F31FA1"/>
    <w:rsid w:val="00F335C9"/>
    <w:rsid w:val="00F364FF"/>
    <w:rsid w:val="00F4054B"/>
    <w:rsid w:val="00F47557"/>
    <w:rsid w:val="00F5019F"/>
    <w:rsid w:val="00F50A0F"/>
    <w:rsid w:val="00F6022C"/>
    <w:rsid w:val="00F61646"/>
    <w:rsid w:val="00F62064"/>
    <w:rsid w:val="00F8288B"/>
    <w:rsid w:val="00F92630"/>
    <w:rsid w:val="00FA0435"/>
    <w:rsid w:val="00FA0B1C"/>
    <w:rsid w:val="00FA528A"/>
    <w:rsid w:val="00FA7E34"/>
    <w:rsid w:val="00FB722F"/>
    <w:rsid w:val="00FC4AD9"/>
    <w:rsid w:val="00FD5583"/>
    <w:rsid w:val="00FD6BD2"/>
    <w:rsid w:val="00FD7D62"/>
    <w:rsid w:val="00FF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10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101C"/>
    <w:pPr>
      <w:ind w:left="720"/>
      <w:contextualSpacing/>
    </w:pPr>
  </w:style>
  <w:style w:type="character" w:styleId="Hyperlink">
    <w:name w:val="Hyperlink"/>
    <w:basedOn w:val="Standaardalinea-lettertype"/>
    <w:uiPriority w:val="99"/>
    <w:unhideWhenUsed/>
    <w:rsid w:val="00BC59A0"/>
    <w:rPr>
      <w:color w:val="0000FF" w:themeColor="hyperlink"/>
      <w:u w:val="single"/>
    </w:rPr>
  </w:style>
  <w:style w:type="character" w:styleId="Verwijzingopmerking">
    <w:name w:val="annotation reference"/>
    <w:basedOn w:val="Standaardalinea-lettertype"/>
    <w:uiPriority w:val="99"/>
    <w:semiHidden/>
    <w:unhideWhenUsed/>
    <w:rsid w:val="003D5A77"/>
    <w:rPr>
      <w:sz w:val="16"/>
      <w:szCs w:val="16"/>
    </w:rPr>
  </w:style>
  <w:style w:type="paragraph" w:styleId="Tekstopmerking">
    <w:name w:val="annotation text"/>
    <w:basedOn w:val="Standaard"/>
    <w:link w:val="TekstopmerkingChar"/>
    <w:uiPriority w:val="99"/>
    <w:semiHidden/>
    <w:unhideWhenUsed/>
    <w:rsid w:val="003D5A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D5A77"/>
    <w:rPr>
      <w:sz w:val="20"/>
      <w:szCs w:val="20"/>
    </w:rPr>
  </w:style>
  <w:style w:type="paragraph" w:styleId="Onderwerpvanopmerking">
    <w:name w:val="annotation subject"/>
    <w:basedOn w:val="Tekstopmerking"/>
    <w:next w:val="Tekstopmerking"/>
    <w:link w:val="OnderwerpvanopmerkingChar"/>
    <w:uiPriority w:val="99"/>
    <w:semiHidden/>
    <w:unhideWhenUsed/>
    <w:rsid w:val="003D5A77"/>
    <w:rPr>
      <w:b/>
      <w:bCs/>
    </w:rPr>
  </w:style>
  <w:style w:type="character" w:customStyle="1" w:styleId="OnderwerpvanopmerkingChar">
    <w:name w:val="Onderwerp van opmerking Char"/>
    <w:basedOn w:val="TekstopmerkingChar"/>
    <w:link w:val="Onderwerpvanopmerking"/>
    <w:uiPriority w:val="99"/>
    <w:semiHidden/>
    <w:rsid w:val="003D5A77"/>
    <w:rPr>
      <w:b/>
      <w:bCs/>
      <w:sz w:val="20"/>
      <w:szCs w:val="20"/>
    </w:rPr>
  </w:style>
  <w:style w:type="paragraph" w:styleId="Ballontekst">
    <w:name w:val="Balloon Text"/>
    <w:basedOn w:val="Standaard"/>
    <w:link w:val="BallontekstChar"/>
    <w:uiPriority w:val="99"/>
    <w:semiHidden/>
    <w:unhideWhenUsed/>
    <w:rsid w:val="003D5A7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5A77"/>
    <w:rPr>
      <w:rFonts w:ascii="Tahoma" w:hAnsi="Tahoma" w:cs="Tahoma"/>
      <w:sz w:val="16"/>
      <w:szCs w:val="16"/>
    </w:rPr>
  </w:style>
  <w:style w:type="paragraph" w:styleId="Voetnoottekst">
    <w:name w:val="footnote text"/>
    <w:basedOn w:val="Standaard"/>
    <w:link w:val="VoetnoottekstChar"/>
    <w:uiPriority w:val="99"/>
    <w:unhideWhenUsed/>
    <w:rsid w:val="00D13A5E"/>
    <w:pPr>
      <w:spacing w:line="240" w:lineRule="auto"/>
    </w:pPr>
    <w:rPr>
      <w:sz w:val="20"/>
      <w:szCs w:val="20"/>
    </w:rPr>
  </w:style>
  <w:style w:type="character" w:customStyle="1" w:styleId="VoetnoottekstChar">
    <w:name w:val="Voetnoottekst Char"/>
    <w:basedOn w:val="Standaardalinea-lettertype"/>
    <w:link w:val="Voetnoottekst"/>
    <w:uiPriority w:val="99"/>
    <w:rsid w:val="00D13A5E"/>
    <w:rPr>
      <w:sz w:val="20"/>
      <w:szCs w:val="20"/>
    </w:rPr>
  </w:style>
  <w:style w:type="character" w:styleId="Voetnootmarkering">
    <w:name w:val="footnote reference"/>
    <w:basedOn w:val="Standaardalinea-lettertype"/>
    <w:uiPriority w:val="99"/>
    <w:semiHidden/>
    <w:unhideWhenUsed/>
    <w:rsid w:val="00D13A5E"/>
    <w:rPr>
      <w:vertAlign w:val="superscript"/>
    </w:rPr>
  </w:style>
  <w:style w:type="paragraph" w:styleId="Geenafstand">
    <w:name w:val="No Spacing"/>
    <w:uiPriority w:val="1"/>
    <w:qFormat/>
    <w:rsid w:val="004E39D0"/>
    <w:pPr>
      <w:widowControl w:val="0"/>
      <w:suppressAutoHyphens/>
      <w:autoSpaceDN w:val="0"/>
      <w:spacing w:line="240" w:lineRule="auto"/>
      <w:textAlignment w:val="baseline"/>
    </w:pPr>
    <w:rPr>
      <w:rFonts w:ascii="Verdana" w:eastAsia="DejaVu Sans" w:hAnsi="Verdana" w:cs="Mangal"/>
      <w:kern w:val="3"/>
      <w:sz w:val="18"/>
      <w:szCs w:val="24"/>
      <w:lang w:val="nl-NL" w:eastAsia="zh-CN" w:bidi="hi-IN"/>
    </w:rPr>
  </w:style>
  <w:style w:type="paragraph" w:styleId="Koptekst">
    <w:name w:val="header"/>
    <w:basedOn w:val="Standaard"/>
    <w:link w:val="KoptekstChar"/>
    <w:uiPriority w:val="99"/>
    <w:unhideWhenUsed/>
    <w:rsid w:val="000047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47FB"/>
  </w:style>
  <w:style w:type="paragraph" w:styleId="Voettekst">
    <w:name w:val="footer"/>
    <w:basedOn w:val="Standaard"/>
    <w:link w:val="VoettekstChar"/>
    <w:uiPriority w:val="99"/>
    <w:unhideWhenUsed/>
    <w:rsid w:val="000047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47FB"/>
  </w:style>
  <w:style w:type="paragraph" w:styleId="Tekstzonderopmaak">
    <w:name w:val="Plain Text"/>
    <w:basedOn w:val="Standaard"/>
    <w:link w:val="TekstzonderopmaakChar"/>
    <w:uiPriority w:val="99"/>
    <w:semiHidden/>
    <w:unhideWhenUsed/>
    <w:rsid w:val="00DA2C5D"/>
    <w:pPr>
      <w:spacing w:line="240" w:lineRule="auto"/>
    </w:pPr>
    <w:rPr>
      <w:rFonts w:ascii="Verdana" w:eastAsia="Times New Roman" w:hAnsi="Verdana"/>
      <w:sz w:val="18"/>
      <w:szCs w:val="21"/>
      <w:lang w:val="nl-NL"/>
    </w:rPr>
  </w:style>
  <w:style w:type="character" w:customStyle="1" w:styleId="TekstzonderopmaakChar">
    <w:name w:val="Tekst zonder opmaak Char"/>
    <w:basedOn w:val="Standaardalinea-lettertype"/>
    <w:link w:val="Tekstzonderopmaak"/>
    <w:uiPriority w:val="99"/>
    <w:semiHidden/>
    <w:rsid w:val="00DA2C5D"/>
    <w:rPr>
      <w:rFonts w:ascii="Verdana" w:eastAsia="Times New Roman" w:hAnsi="Verdana"/>
      <w:sz w:val="18"/>
      <w:szCs w:val="21"/>
      <w:lang w:val="nl-NL"/>
    </w:rPr>
  </w:style>
  <w:style w:type="table" w:styleId="Tabelraster">
    <w:name w:val="Table Grid"/>
    <w:basedOn w:val="Standaardtabel"/>
    <w:uiPriority w:val="59"/>
    <w:rsid w:val="004925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Standaardalinea-lettertype"/>
    <w:rsid w:val="00EC1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10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101C"/>
    <w:pPr>
      <w:ind w:left="720"/>
      <w:contextualSpacing/>
    </w:pPr>
  </w:style>
  <w:style w:type="character" w:styleId="Hyperlink">
    <w:name w:val="Hyperlink"/>
    <w:basedOn w:val="Standaardalinea-lettertype"/>
    <w:uiPriority w:val="99"/>
    <w:unhideWhenUsed/>
    <w:rsid w:val="00BC59A0"/>
    <w:rPr>
      <w:color w:val="0000FF" w:themeColor="hyperlink"/>
      <w:u w:val="single"/>
    </w:rPr>
  </w:style>
  <w:style w:type="character" w:styleId="Verwijzingopmerking">
    <w:name w:val="annotation reference"/>
    <w:basedOn w:val="Standaardalinea-lettertype"/>
    <w:uiPriority w:val="99"/>
    <w:semiHidden/>
    <w:unhideWhenUsed/>
    <w:rsid w:val="003D5A77"/>
    <w:rPr>
      <w:sz w:val="16"/>
      <w:szCs w:val="16"/>
    </w:rPr>
  </w:style>
  <w:style w:type="paragraph" w:styleId="Tekstopmerking">
    <w:name w:val="annotation text"/>
    <w:basedOn w:val="Standaard"/>
    <w:link w:val="TekstopmerkingChar"/>
    <w:uiPriority w:val="99"/>
    <w:semiHidden/>
    <w:unhideWhenUsed/>
    <w:rsid w:val="003D5A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D5A77"/>
    <w:rPr>
      <w:sz w:val="20"/>
      <w:szCs w:val="20"/>
    </w:rPr>
  </w:style>
  <w:style w:type="paragraph" w:styleId="Onderwerpvanopmerking">
    <w:name w:val="annotation subject"/>
    <w:basedOn w:val="Tekstopmerking"/>
    <w:next w:val="Tekstopmerking"/>
    <w:link w:val="OnderwerpvanopmerkingChar"/>
    <w:uiPriority w:val="99"/>
    <w:semiHidden/>
    <w:unhideWhenUsed/>
    <w:rsid w:val="003D5A77"/>
    <w:rPr>
      <w:b/>
      <w:bCs/>
    </w:rPr>
  </w:style>
  <w:style w:type="character" w:customStyle="1" w:styleId="OnderwerpvanopmerkingChar">
    <w:name w:val="Onderwerp van opmerking Char"/>
    <w:basedOn w:val="TekstopmerkingChar"/>
    <w:link w:val="Onderwerpvanopmerking"/>
    <w:uiPriority w:val="99"/>
    <w:semiHidden/>
    <w:rsid w:val="003D5A77"/>
    <w:rPr>
      <w:b/>
      <w:bCs/>
      <w:sz w:val="20"/>
      <w:szCs w:val="20"/>
    </w:rPr>
  </w:style>
  <w:style w:type="paragraph" w:styleId="Ballontekst">
    <w:name w:val="Balloon Text"/>
    <w:basedOn w:val="Standaard"/>
    <w:link w:val="BallontekstChar"/>
    <w:uiPriority w:val="99"/>
    <w:semiHidden/>
    <w:unhideWhenUsed/>
    <w:rsid w:val="003D5A7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5A77"/>
    <w:rPr>
      <w:rFonts w:ascii="Tahoma" w:hAnsi="Tahoma" w:cs="Tahoma"/>
      <w:sz w:val="16"/>
      <w:szCs w:val="16"/>
    </w:rPr>
  </w:style>
  <w:style w:type="paragraph" w:styleId="Voetnoottekst">
    <w:name w:val="footnote text"/>
    <w:basedOn w:val="Standaard"/>
    <w:link w:val="VoetnoottekstChar"/>
    <w:uiPriority w:val="99"/>
    <w:unhideWhenUsed/>
    <w:rsid w:val="00D13A5E"/>
    <w:pPr>
      <w:spacing w:line="240" w:lineRule="auto"/>
    </w:pPr>
    <w:rPr>
      <w:sz w:val="20"/>
      <w:szCs w:val="20"/>
    </w:rPr>
  </w:style>
  <w:style w:type="character" w:customStyle="1" w:styleId="VoetnoottekstChar">
    <w:name w:val="Voetnoottekst Char"/>
    <w:basedOn w:val="Standaardalinea-lettertype"/>
    <w:link w:val="Voetnoottekst"/>
    <w:uiPriority w:val="99"/>
    <w:rsid w:val="00D13A5E"/>
    <w:rPr>
      <w:sz w:val="20"/>
      <w:szCs w:val="20"/>
    </w:rPr>
  </w:style>
  <w:style w:type="character" w:styleId="Voetnootmarkering">
    <w:name w:val="footnote reference"/>
    <w:basedOn w:val="Standaardalinea-lettertype"/>
    <w:uiPriority w:val="99"/>
    <w:semiHidden/>
    <w:unhideWhenUsed/>
    <w:rsid w:val="00D13A5E"/>
    <w:rPr>
      <w:vertAlign w:val="superscript"/>
    </w:rPr>
  </w:style>
  <w:style w:type="paragraph" w:styleId="Geenafstand">
    <w:name w:val="No Spacing"/>
    <w:uiPriority w:val="1"/>
    <w:qFormat/>
    <w:rsid w:val="004E39D0"/>
    <w:pPr>
      <w:widowControl w:val="0"/>
      <w:suppressAutoHyphens/>
      <w:autoSpaceDN w:val="0"/>
      <w:spacing w:line="240" w:lineRule="auto"/>
      <w:textAlignment w:val="baseline"/>
    </w:pPr>
    <w:rPr>
      <w:rFonts w:ascii="Verdana" w:eastAsia="DejaVu Sans" w:hAnsi="Verdana" w:cs="Mangal"/>
      <w:kern w:val="3"/>
      <w:sz w:val="18"/>
      <w:szCs w:val="24"/>
      <w:lang w:val="nl-NL" w:eastAsia="zh-CN" w:bidi="hi-IN"/>
    </w:rPr>
  </w:style>
  <w:style w:type="paragraph" w:styleId="Koptekst">
    <w:name w:val="header"/>
    <w:basedOn w:val="Standaard"/>
    <w:link w:val="KoptekstChar"/>
    <w:uiPriority w:val="99"/>
    <w:unhideWhenUsed/>
    <w:rsid w:val="000047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47FB"/>
  </w:style>
  <w:style w:type="paragraph" w:styleId="Voettekst">
    <w:name w:val="footer"/>
    <w:basedOn w:val="Standaard"/>
    <w:link w:val="VoettekstChar"/>
    <w:uiPriority w:val="99"/>
    <w:unhideWhenUsed/>
    <w:rsid w:val="000047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47FB"/>
  </w:style>
  <w:style w:type="paragraph" w:styleId="Tekstzonderopmaak">
    <w:name w:val="Plain Text"/>
    <w:basedOn w:val="Standaard"/>
    <w:link w:val="TekstzonderopmaakChar"/>
    <w:uiPriority w:val="99"/>
    <w:semiHidden/>
    <w:unhideWhenUsed/>
    <w:rsid w:val="00DA2C5D"/>
    <w:pPr>
      <w:spacing w:line="240" w:lineRule="auto"/>
    </w:pPr>
    <w:rPr>
      <w:rFonts w:ascii="Verdana" w:eastAsia="Times New Roman" w:hAnsi="Verdana"/>
      <w:sz w:val="18"/>
      <w:szCs w:val="21"/>
      <w:lang w:val="nl-NL"/>
    </w:rPr>
  </w:style>
  <w:style w:type="character" w:customStyle="1" w:styleId="TekstzonderopmaakChar">
    <w:name w:val="Tekst zonder opmaak Char"/>
    <w:basedOn w:val="Standaardalinea-lettertype"/>
    <w:link w:val="Tekstzonderopmaak"/>
    <w:uiPriority w:val="99"/>
    <w:semiHidden/>
    <w:rsid w:val="00DA2C5D"/>
    <w:rPr>
      <w:rFonts w:ascii="Verdana" w:eastAsia="Times New Roman" w:hAnsi="Verdana"/>
      <w:sz w:val="18"/>
      <w:szCs w:val="21"/>
      <w:lang w:val="nl-NL"/>
    </w:rPr>
  </w:style>
  <w:style w:type="table" w:styleId="Tabelraster">
    <w:name w:val="Table Grid"/>
    <w:basedOn w:val="Standaardtabel"/>
    <w:uiPriority w:val="59"/>
    <w:rsid w:val="004925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Standaardalinea-lettertype"/>
    <w:rsid w:val="00EC1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2133">
      <w:bodyDiv w:val="1"/>
      <w:marLeft w:val="0"/>
      <w:marRight w:val="0"/>
      <w:marTop w:val="0"/>
      <w:marBottom w:val="0"/>
      <w:divBdr>
        <w:top w:val="none" w:sz="0" w:space="0" w:color="auto"/>
        <w:left w:val="none" w:sz="0" w:space="0" w:color="auto"/>
        <w:bottom w:val="none" w:sz="0" w:space="0" w:color="auto"/>
        <w:right w:val="none" w:sz="0" w:space="0" w:color="auto"/>
      </w:divBdr>
    </w:div>
    <w:div w:id="338966418">
      <w:bodyDiv w:val="1"/>
      <w:marLeft w:val="0"/>
      <w:marRight w:val="0"/>
      <w:marTop w:val="0"/>
      <w:marBottom w:val="0"/>
      <w:divBdr>
        <w:top w:val="none" w:sz="0" w:space="0" w:color="auto"/>
        <w:left w:val="none" w:sz="0" w:space="0" w:color="auto"/>
        <w:bottom w:val="none" w:sz="0" w:space="0" w:color="auto"/>
        <w:right w:val="none" w:sz="0" w:space="0" w:color="auto"/>
      </w:divBdr>
    </w:div>
    <w:div w:id="580600737">
      <w:bodyDiv w:val="1"/>
      <w:marLeft w:val="0"/>
      <w:marRight w:val="0"/>
      <w:marTop w:val="0"/>
      <w:marBottom w:val="0"/>
      <w:divBdr>
        <w:top w:val="none" w:sz="0" w:space="0" w:color="auto"/>
        <w:left w:val="none" w:sz="0" w:space="0" w:color="auto"/>
        <w:bottom w:val="none" w:sz="0" w:space="0" w:color="auto"/>
        <w:right w:val="none" w:sz="0" w:space="0" w:color="auto"/>
      </w:divBdr>
    </w:div>
    <w:div w:id="1338844623">
      <w:bodyDiv w:val="1"/>
      <w:marLeft w:val="0"/>
      <w:marRight w:val="0"/>
      <w:marTop w:val="0"/>
      <w:marBottom w:val="0"/>
      <w:divBdr>
        <w:top w:val="none" w:sz="0" w:space="0" w:color="auto"/>
        <w:left w:val="none" w:sz="0" w:space="0" w:color="auto"/>
        <w:bottom w:val="none" w:sz="0" w:space="0" w:color="auto"/>
        <w:right w:val="none" w:sz="0" w:space="0" w:color="auto"/>
      </w:divBdr>
    </w:div>
    <w:div w:id="1534155061">
      <w:bodyDiv w:val="1"/>
      <w:marLeft w:val="0"/>
      <w:marRight w:val="0"/>
      <w:marTop w:val="0"/>
      <w:marBottom w:val="0"/>
      <w:divBdr>
        <w:top w:val="none" w:sz="0" w:space="0" w:color="auto"/>
        <w:left w:val="none" w:sz="0" w:space="0" w:color="auto"/>
        <w:bottom w:val="none" w:sz="0" w:space="0" w:color="auto"/>
        <w:right w:val="none" w:sz="0" w:space="0" w:color="auto"/>
      </w:divBdr>
    </w:div>
    <w:div w:id="1702631554">
      <w:bodyDiv w:val="1"/>
      <w:marLeft w:val="0"/>
      <w:marRight w:val="0"/>
      <w:marTop w:val="0"/>
      <w:marBottom w:val="0"/>
      <w:divBdr>
        <w:top w:val="none" w:sz="0" w:space="0" w:color="auto"/>
        <w:left w:val="none" w:sz="0" w:space="0" w:color="auto"/>
        <w:bottom w:val="none" w:sz="0" w:space="0" w:color="auto"/>
        <w:right w:val="none" w:sz="0" w:space="0" w:color="auto"/>
      </w:divBdr>
    </w:div>
    <w:div w:id="1805659823">
      <w:bodyDiv w:val="1"/>
      <w:marLeft w:val="0"/>
      <w:marRight w:val="0"/>
      <w:marTop w:val="0"/>
      <w:marBottom w:val="0"/>
      <w:divBdr>
        <w:top w:val="none" w:sz="0" w:space="0" w:color="auto"/>
        <w:left w:val="none" w:sz="0" w:space="0" w:color="auto"/>
        <w:bottom w:val="none" w:sz="0" w:space="0" w:color="auto"/>
        <w:right w:val="none" w:sz="0" w:space="0" w:color="auto"/>
      </w:divBdr>
    </w:div>
    <w:div w:id="1835409367">
      <w:bodyDiv w:val="1"/>
      <w:marLeft w:val="0"/>
      <w:marRight w:val="0"/>
      <w:marTop w:val="0"/>
      <w:marBottom w:val="0"/>
      <w:divBdr>
        <w:top w:val="none" w:sz="0" w:space="0" w:color="auto"/>
        <w:left w:val="none" w:sz="0" w:space="0" w:color="auto"/>
        <w:bottom w:val="none" w:sz="0" w:space="0" w:color="auto"/>
        <w:right w:val="none" w:sz="0" w:space="0" w:color="auto"/>
      </w:divBdr>
    </w:div>
    <w:div w:id="1990399581">
      <w:bodyDiv w:val="1"/>
      <w:marLeft w:val="0"/>
      <w:marRight w:val="0"/>
      <w:marTop w:val="0"/>
      <w:marBottom w:val="0"/>
      <w:divBdr>
        <w:top w:val="none" w:sz="0" w:space="0" w:color="auto"/>
        <w:left w:val="none" w:sz="0" w:space="0" w:color="auto"/>
        <w:bottom w:val="none" w:sz="0" w:space="0" w:color="auto"/>
        <w:right w:val="none" w:sz="0" w:space="0" w:color="auto"/>
      </w:divBdr>
    </w:div>
    <w:div w:id="2003581346">
      <w:bodyDiv w:val="1"/>
      <w:marLeft w:val="0"/>
      <w:marRight w:val="0"/>
      <w:marTop w:val="0"/>
      <w:marBottom w:val="0"/>
      <w:divBdr>
        <w:top w:val="none" w:sz="0" w:space="0" w:color="auto"/>
        <w:left w:val="none" w:sz="0" w:space="0" w:color="auto"/>
        <w:bottom w:val="none" w:sz="0" w:space="0" w:color="auto"/>
        <w:right w:val="none" w:sz="0" w:space="0" w:color="auto"/>
      </w:divBdr>
    </w:div>
    <w:div w:id="2033993391">
      <w:bodyDiv w:val="1"/>
      <w:marLeft w:val="0"/>
      <w:marRight w:val="0"/>
      <w:marTop w:val="0"/>
      <w:marBottom w:val="0"/>
      <w:divBdr>
        <w:top w:val="none" w:sz="0" w:space="0" w:color="auto"/>
        <w:left w:val="none" w:sz="0" w:space="0" w:color="auto"/>
        <w:bottom w:val="none" w:sz="0" w:space="0" w:color="auto"/>
        <w:right w:val="none" w:sz="0" w:space="0" w:color="auto"/>
      </w:divBdr>
    </w:div>
    <w:div w:id="208248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onlinelibrary.wiley.com/doi/10.1002/2016SW001439/full"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www.esa.int/Our_Activities/Observing_the_Earth/The_Living_Planet_Programme/Earth_Explorers/Swarm/ESA_s_magnetic_field_mission_Swarm"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ruimtevaartindeklas.nl" TargetMode="External" Id="rId10" /><Relationship Type="http://schemas.microsoft.com/office/2007/relationships/stylesWithEffects" Target="stylesWithEffects.xml" Id="rId4" /><Relationship Type="http://schemas.openxmlformats.org/officeDocument/2006/relationships/hyperlink" Target="http://www.volkskrant.nl/4385635"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13748</ap:Words>
  <ap:Characters>75619</ap:Characters>
  <ap:DocSecurity>0</ap:DocSecurity>
  <ap:Lines>630</ap:Lines>
  <ap:Paragraphs>178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2016-11-14T10:10:00.0000000Z</lastPrinted>
  <dcterms:created xsi:type="dcterms:W3CDTF">2016-11-18T10:35:00.0000000Z</dcterms:created>
  <dcterms:modified xsi:type="dcterms:W3CDTF">2016-11-18T10:35:00.0000000Z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0x0101002C8077F09FB3A74EB6FF32CC8A228546</vt:lpwstr>
  </property>
</Properties>
</file>