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435C0" w:rsidR="00C05141"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 xml:space="preserve">Bijlage </w:t>
      </w:r>
      <w:r w:rsidRPr="000435C0" w:rsidR="00A03D2D">
        <w:rPr>
          <w:rFonts w:ascii="Verdana" w:hAnsi="Verdana" w:cs="Verdana"/>
          <w:b/>
          <w:bCs/>
          <w:sz w:val="18"/>
          <w:szCs w:val="18"/>
        </w:rPr>
        <w:t>2</w:t>
      </w:r>
      <w:r w:rsidRPr="000435C0">
        <w:rPr>
          <w:rFonts w:ascii="Verdana" w:hAnsi="Verdana" w:cs="Verdana"/>
          <w:b/>
          <w:bCs/>
          <w:sz w:val="18"/>
          <w:szCs w:val="18"/>
        </w:rPr>
        <w:t>: Vertic</w:t>
      </w:r>
      <w:r w:rsidR="003F144A">
        <w:rPr>
          <w:rFonts w:ascii="Verdana" w:hAnsi="Verdana" w:cs="Verdana"/>
          <w:b/>
          <w:bCs/>
          <w:sz w:val="18"/>
          <w:szCs w:val="18"/>
        </w:rPr>
        <w:t>ale Toelichting Najaarsnota 2016</w:t>
      </w:r>
    </w:p>
    <w:p w:rsidRPr="000435C0" w:rsidR="00C05141" w:rsidP="000435C0" w:rsidRDefault="00C05141">
      <w:pPr>
        <w:spacing w:line="240" w:lineRule="exact"/>
        <w:rPr>
          <w:rFonts w:ascii="Verdana" w:hAnsi="Verdana" w:cs="Verdana"/>
          <w:sz w:val="18"/>
          <w:szCs w:val="18"/>
        </w:rPr>
      </w:pPr>
    </w:p>
    <w:p w:rsidRPr="000435C0" w:rsidR="00C05141" w:rsidP="000435C0" w:rsidRDefault="00C05141">
      <w:pPr>
        <w:spacing w:line="240" w:lineRule="exact"/>
        <w:rPr>
          <w:rFonts w:ascii="Verdana" w:hAnsi="Verdana" w:cs="Verdana"/>
          <w:sz w:val="18"/>
          <w:szCs w:val="18"/>
        </w:rPr>
      </w:pPr>
      <w:r w:rsidRPr="000435C0">
        <w:rPr>
          <w:rFonts w:ascii="Verdana" w:hAnsi="Verdana" w:cs="Verdana"/>
          <w:sz w:val="18"/>
          <w:szCs w:val="18"/>
        </w:rPr>
        <w:t>De Verticale Toelichting geeft voor alle begrotingen een overzicht van</w:t>
      </w:r>
      <w:r w:rsidRPr="000435C0" w:rsidR="00C34CD2">
        <w:rPr>
          <w:rFonts w:ascii="Verdana" w:hAnsi="Verdana" w:cs="Verdana"/>
          <w:sz w:val="18"/>
          <w:szCs w:val="18"/>
        </w:rPr>
        <w:t>-</w:t>
      </w:r>
      <w:r w:rsidRPr="000435C0">
        <w:rPr>
          <w:rFonts w:ascii="Verdana" w:hAnsi="Verdana" w:cs="Verdana"/>
          <w:sz w:val="18"/>
          <w:szCs w:val="18"/>
        </w:rPr>
        <w:t xml:space="preserve"> en </w:t>
      </w:r>
      <w:r w:rsidRPr="000435C0" w:rsidR="00C34CD2">
        <w:rPr>
          <w:rFonts w:ascii="Verdana" w:hAnsi="Verdana" w:cs="Verdana"/>
          <w:sz w:val="18"/>
          <w:szCs w:val="18"/>
        </w:rPr>
        <w:t xml:space="preserve">een </w:t>
      </w:r>
      <w:r w:rsidRPr="000435C0">
        <w:rPr>
          <w:rFonts w:ascii="Verdana" w:hAnsi="Verdana" w:cs="Verdana"/>
          <w:sz w:val="18"/>
          <w:szCs w:val="18"/>
        </w:rPr>
        <w:t>toelichting op de belangrijkste mutaties</w:t>
      </w:r>
      <w:r w:rsidRPr="000435C0" w:rsidR="00803E92">
        <w:rPr>
          <w:rFonts w:ascii="Verdana" w:hAnsi="Verdana" w:cs="Verdana"/>
          <w:sz w:val="18"/>
          <w:szCs w:val="18"/>
        </w:rPr>
        <w:t xml:space="preserve"> sinds Miljoenennota 201</w:t>
      </w:r>
      <w:r w:rsidR="003F144A">
        <w:rPr>
          <w:rFonts w:ascii="Verdana" w:hAnsi="Verdana" w:cs="Verdana"/>
          <w:sz w:val="18"/>
          <w:szCs w:val="18"/>
        </w:rPr>
        <w:t>7</w:t>
      </w:r>
      <w:r w:rsidRPr="000435C0">
        <w:rPr>
          <w:rFonts w:ascii="Verdana" w:hAnsi="Verdana" w:cs="Verdana"/>
          <w:sz w:val="18"/>
          <w:szCs w:val="18"/>
        </w:rPr>
        <w:t xml:space="preserve">. Voor een meer gedetailleerde toelichting wordt verwezen naar de </w:t>
      </w:r>
      <w:r w:rsidR="00117BF2">
        <w:rPr>
          <w:rFonts w:ascii="Verdana" w:hAnsi="Verdana" w:cs="Verdana"/>
          <w:sz w:val="18"/>
          <w:szCs w:val="18"/>
        </w:rPr>
        <w:t>twee</w:t>
      </w:r>
      <w:r w:rsidRPr="000435C0" w:rsidR="00A559A6">
        <w:rPr>
          <w:rFonts w:ascii="Verdana" w:hAnsi="Verdana" w:cs="Verdana"/>
          <w:sz w:val="18"/>
          <w:szCs w:val="18"/>
        </w:rPr>
        <w:t xml:space="preserve">de </w:t>
      </w:r>
      <w:r w:rsidRPr="000435C0">
        <w:rPr>
          <w:rFonts w:ascii="Verdana" w:hAnsi="Verdana" w:cs="Verdana"/>
          <w:sz w:val="18"/>
          <w:szCs w:val="18"/>
        </w:rPr>
        <w:t>suppletoire begrotingswetten.</w:t>
      </w:r>
    </w:p>
    <w:p w:rsidRPr="000435C0" w:rsidR="00C05141" w:rsidP="000435C0" w:rsidRDefault="00C05141">
      <w:pPr>
        <w:spacing w:line="240" w:lineRule="exact"/>
        <w:rPr>
          <w:rFonts w:ascii="Verdana" w:hAnsi="Verdana" w:cs="Verdana"/>
          <w:sz w:val="18"/>
          <w:szCs w:val="18"/>
        </w:rPr>
      </w:pPr>
    </w:p>
    <w:p w:rsidRPr="000435C0" w:rsidR="00C05141" w:rsidP="000435C0" w:rsidRDefault="00C05141">
      <w:pPr>
        <w:spacing w:line="240" w:lineRule="exact"/>
        <w:rPr>
          <w:rFonts w:ascii="Verdana" w:hAnsi="Verdana" w:cs="Verdana"/>
          <w:i/>
          <w:iCs/>
          <w:sz w:val="18"/>
          <w:szCs w:val="18"/>
        </w:rPr>
      </w:pPr>
      <w:r w:rsidRPr="000435C0">
        <w:rPr>
          <w:rFonts w:ascii="Verdana" w:hAnsi="Verdana" w:cs="Verdana"/>
          <w:i/>
          <w:iCs/>
          <w:sz w:val="18"/>
          <w:szCs w:val="18"/>
        </w:rPr>
        <w:t>Leeswijzer</w:t>
      </w:r>
    </w:p>
    <w:p w:rsidRPr="000435C0" w:rsidR="00C05141" w:rsidP="000435C0" w:rsidRDefault="00C05141">
      <w:pPr>
        <w:spacing w:line="240" w:lineRule="exact"/>
        <w:rPr>
          <w:rFonts w:ascii="Verdana" w:hAnsi="Verdana" w:cs="Verdana"/>
          <w:sz w:val="18"/>
          <w:szCs w:val="18"/>
        </w:rPr>
      </w:pPr>
      <w:r w:rsidRPr="000435C0">
        <w:rPr>
          <w:rFonts w:ascii="Verdana" w:hAnsi="Verdana" w:cs="Verdana"/>
          <w:sz w:val="18"/>
          <w:szCs w:val="18"/>
        </w:rPr>
        <w:t>De mutaties zijn gesplitst in drie categorieën:</w:t>
      </w:r>
    </w:p>
    <w:p w:rsidRPr="000435C0" w:rsidR="00C05141" w:rsidP="000435C0" w:rsidRDefault="00C05141">
      <w:pPr>
        <w:spacing w:line="240" w:lineRule="exact"/>
        <w:rPr>
          <w:rFonts w:ascii="Verdana" w:hAnsi="Verdana" w:cs="Verdana"/>
          <w:sz w:val="18"/>
          <w:szCs w:val="18"/>
        </w:rPr>
      </w:pPr>
      <w:r w:rsidRPr="000435C0">
        <w:rPr>
          <w:rFonts w:ascii="Verdana" w:hAnsi="Verdana" w:cs="Verdana"/>
          <w:sz w:val="18"/>
          <w:szCs w:val="18"/>
        </w:rPr>
        <w:t>1) Mee- en tegenvallers;</w:t>
      </w:r>
    </w:p>
    <w:p w:rsidRPr="000435C0" w:rsidR="00C05141" w:rsidP="000435C0" w:rsidRDefault="00C05141">
      <w:pPr>
        <w:spacing w:line="240" w:lineRule="exact"/>
        <w:rPr>
          <w:rFonts w:ascii="Verdana" w:hAnsi="Verdana" w:cs="Verdana"/>
          <w:sz w:val="18"/>
          <w:szCs w:val="18"/>
        </w:rPr>
      </w:pPr>
      <w:r w:rsidRPr="000435C0">
        <w:rPr>
          <w:rFonts w:ascii="Verdana" w:hAnsi="Verdana" w:cs="Verdana"/>
          <w:sz w:val="18"/>
          <w:szCs w:val="18"/>
        </w:rPr>
        <w:t>2) Beleidsmatige mutaties;</w:t>
      </w:r>
    </w:p>
    <w:p w:rsidRPr="000435C0" w:rsidR="00C05141" w:rsidP="000435C0" w:rsidRDefault="00C05141">
      <w:pPr>
        <w:spacing w:line="240" w:lineRule="exact"/>
        <w:rPr>
          <w:rFonts w:ascii="Verdana" w:hAnsi="Verdana" w:cs="Verdana"/>
          <w:sz w:val="18"/>
          <w:szCs w:val="18"/>
        </w:rPr>
      </w:pPr>
      <w:r w:rsidRPr="000435C0">
        <w:rPr>
          <w:rFonts w:ascii="Verdana" w:hAnsi="Verdana" w:cs="Verdana"/>
          <w:sz w:val="18"/>
          <w:szCs w:val="18"/>
        </w:rPr>
        <w:t>3) Technische mutaties.</w:t>
      </w:r>
    </w:p>
    <w:p w:rsidRPr="000435C0" w:rsidR="00C05141" w:rsidP="000435C0" w:rsidRDefault="00C05141">
      <w:pPr>
        <w:spacing w:line="240" w:lineRule="exact"/>
        <w:rPr>
          <w:rFonts w:ascii="Verdana" w:hAnsi="Verdana" w:cs="Verdana"/>
          <w:sz w:val="18"/>
          <w:szCs w:val="18"/>
        </w:rPr>
      </w:pPr>
    </w:p>
    <w:p w:rsidRPr="000435C0" w:rsidR="00C05141" w:rsidP="000435C0" w:rsidRDefault="00C05141">
      <w:pPr>
        <w:spacing w:line="240" w:lineRule="exact"/>
        <w:rPr>
          <w:rFonts w:ascii="Verdana" w:hAnsi="Verdana" w:cs="Verdana"/>
          <w:sz w:val="18"/>
          <w:szCs w:val="18"/>
        </w:rPr>
      </w:pPr>
      <w:r w:rsidRPr="000435C0">
        <w:rPr>
          <w:rFonts w:ascii="Verdana" w:hAnsi="Verdana" w:cs="Verdana"/>
          <w:sz w:val="18"/>
          <w:szCs w:val="18"/>
        </w:rPr>
        <w:t>De laatste categorie omvat alle overboekingen, desalderingen, statistische correcties en mutaties die niet onder een ijklijn vallen. Mutaties worden toegelicht indien ze een</w:t>
      </w:r>
      <w:r w:rsidRPr="000435C0" w:rsidR="00C34CD2">
        <w:rPr>
          <w:rFonts w:ascii="Verdana" w:hAnsi="Verdana" w:cs="Verdana"/>
          <w:sz w:val="18"/>
          <w:szCs w:val="18"/>
        </w:rPr>
        <w:t xml:space="preserve"> bepaalde ondergrens overschrijden</w:t>
      </w:r>
      <w:r w:rsidRPr="000435C0">
        <w:rPr>
          <w:rFonts w:ascii="Verdana" w:hAnsi="Verdana" w:cs="Verdana"/>
          <w:sz w:val="18"/>
          <w:szCs w:val="18"/>
        </w:rPr>
        <w:t>. De ondergrens is afhankelijk van de omvang van de begroting en verschilt voor de verschillende categorieën mutaties. De post diversen bevat de mutaties die onder de ondergrens vallen en wordt in principe alleen toegelicht indien zich bijzonderheden voordoen.</w:t>
      </w:r>
    </w:p>
    <w:p w:rsidRPr="000435C0" w:rsidR="00C05141" w:rsidP="000435C0" w:rsidRDefault="00C05141">
      <w:pPr>
        <w:spacing w:line="240" w:lineRule="exact"/>
        <w:rPr>
          <w:rFonts w:ascii="Verdana" w:hAnsi="Verdana" w:cs="Verdana"/>
          <w:sz w:val="18"/>
          <w:szCs w:val="18"/>
        </w:rPr>
      </w:pPr>
    </w:p>
    <w:p w:rsidRPr="000435C0" w:rsidR="00C05141" w:rsidP="000435C0"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0435C0">
        <w:rPr>
          <w:rFonts w:ascii="Verdana" w:hAnsi="Verdana" w:cs="Verdana"/>
          <w:sz w:val="18"/>
          <w:szCs w:val="18"/>
          <w:lang w:eastAsia="en-US"/>
        </w:rPr>
        <w:t xml:space="preserve">De totalen per begroting worden in eerste instantie gepresenteerd exclusief de bedragen die onder de Homogene Groep Internationale Samenwerking (HGIS) vallen. Door middel van een aansluitregel wordt het deel van de begroting dat onder de HGIS valt zichtbaar gemaakt. De laatste regel geeft per begroting de totaalstand inclusief HGIS aan. De mutaties die optreden binnen het HGIS-deel van de begroting worden gepresenteerd en toegelicht in de Verticale Toelichting van alle HGIS uitgaven. </w:t>
      </w:r>
    </w:p>
    <w:p w:rsidRPr="000435C0" w:rsidR="00C05141" w:rsidP="000435C0"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rPr>
      </w:pPr>
    </w:p>
    <w:p w:rsidRPr="000435C0" w:rsidR="00171785" w:rsidP="000435C0"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0435C0">
        <w:rPr>
          <w:rFonts w:ascii="Verdana" w:hAnsi="Verdana" w:cs="Verdana"/>
          <w:sz w:val="18"/>
          <w:szCs w:val="18"/>
          <w:lang w:eastAsia="en-US"/>
        </w:rPr>
        <w:t>De bedragen in de tabellen zijn in miljoenen euro’s.</w:t>
      </w:r>
      <w:r w:rsidRPr="000435C0" w:rsidR="00171785">
        <w:rPr>
          <w:rFonts w:ascii="Verdana" w:hAnsi="Verdana" w:cs="Verdana"/>
          <w:sz w:val="18"/>
          <w:szCs w:val="18"/>
          <w:lang w:eastAsia="en-US"/>
        </w:rPr>
        <w:t xml:space="preserve"> </w:t>
      </w:r>
      <w:r w:rsidRPr="000435C0" w:rsidR="009A6DDC">
        <w:rPr>
          <w:rFonts w:ascii="Verdana" w:hAnsi="Verdana" w:cs="Verdana"/>
          <w:sz w:val="18"/>
          <w:szCs w:val="18"/>
          <w:lang w:eastAsia="en-US"/>
        </w:rPr>
        <w:t>Door afrondingen kan het totaal afwijken van de som der onderdelen.</w:t>
      </w:r>
    </w:p>
    <w:p w:rsidRPr="000435C0" w:rsidR="0030782C" w:rsidP="000435C0" w:rsidRDefault="0030782C">
      <w:pPr>
        <w:pStyle w:val="Bijschrift"/>
        <w:keepNext/>
        <w:spacing w:after="0" w:line="240" w:lineRule="exact"/>
        <w:rPr>
          <w:rFonts w:ascii="Verdana" w:hAnsi="Verdana"/>
        </w:rPr>
      </w:pPr>
    </w:p>
    <w:p w:rsidRPr="000435C0" w:rsidR="00283B40" w:rsidP="000435C0" w:rsidRDefault="00283B40">
      <w:pPr>
        <w:spacing w:line="240" w:lineRule="exact"/>
        <w:rPr>
          <w:rFonts w:ascii="Verdana" w:hAnsi="Verdana"/>
          <w:sz w:val="18"/>
          <w:szCs w:val="18"/>
        </w:rPr>
      </w:pPr>
    </w:p>
    <w:p w:rsidRPr="000435C0" w:rsidR="00AD374F" w:rsidP="000435C0" w:rsidRDefault="00C05141">
      <w:pPr>
        <w:pStyle w:val="Bijschrift"/>
        <w:keepNext/>
        <w:spacing w:after="0" w:line="240" w:lineRule="exact"/>
        <w:rPr>
          <w:rFonts w:ascii="Verdana" w:hAnsi="Verdana"/>
          <w:color w:val="auto"/>
        </w:rPr>
      </w:pPr>
      <w:r w:rsidRPr="000435C0">
        <w:rPr>
          <w:rFonts w:ascii="Verdana" w:hAnsi="Verdana"/>
        </w:rPr>
        <w:br w:type="page"/>
      </w:r>
      <w:r w:rsidRPr="000435C0" w:rsidR="00C21097">
        <w:rPr>
          <w:rFonts w:ascii="Verdana" w:hAnsi="Verdana"/>
          <w:color w:val="auto"/>
        </w:rPr>
        <w:lastRenderedPageBreak/>
        <w:t xml:space="preserve">Samenvattend overzicht mutaties per </w:t>
      </w:r>
      <w:r w:rsidRPr="000435C0" w:rsidR="00FB608B">
        <w:rPr>
          <w:rFonts w:ascii="Verdana" w:hAnsi="Verdana"/>
          <w:color w:val="auto"/>
        </w:rPr>
        <w:t>N</w:t>
      </w:r>
      <w:r w:rsidRPr="000435C0" w:rsidR="00C21097">
        <w:rPr>
          <w:rFonts w:ascii="Verdana" w:hAnsi="Verdana"/>
          <w:color w:val="auto"/>
        </w:rPr>
        <w:t>ajaarsnota 201</w:t>
      </w:r>
      <w:r w:rsidR="0028262A">
        <w:rPr>
          <w:rFonts w:ascii="Verdana" w:hAnsi="Verdana"/>
          <w:color w:val="auto"/>
        </w:rPr>
        <w:t>6</w:t>
      </w:r>
    </w:p>
    <w:p w:rsidRPr="000435C0" w:rsidR="00AD374F" w:rsidP="000435C0" w:rsidRDefault="00AD374F">
      <w:pPr>
        <w:spacing w:line="240" w:lineRule="exact"/>
        <w:rPr>
          <w:rFonts w:ascii="Verdana" w:hAnsi="Verdana"/>
          <w:sz w:val="18"/>
          <w:szCs w:val="18"/>
        </w:rPr>
      </w:pPr>
    </w:p>
    <w:tbl>
      <w:tblPr>
        <w:tblW w:w="5000" w:type="pct"/>
        <w:tblCellMar>
          <w:left w:w="70" w:type="dxa"/>
          <w:right w:w="70" w:type="dxa"/>
        </w:tblCellMar>
        <w:tblLook w:val="04A0"/>
      </w:tblPr>
      <w:tblGrid>
        <w:gridCol w:w="763"/>
        <w:gridCol w:w="4976"/>
        <w:gridCol w:w="1702"/>
        <w:gridCol w:w="1771"/>
      </w:tblGrid>
      <w:tr w:rsidRPr="000435C0" w:rsidR="00987044" w:rsidTr="00987044">
        <w:trPr>
          <w:trHeight w:val="127"/>
        </w:trPr>
        <w:tc>
          <w:tcPr>
            <w:tcW w:w="414" w:type="pct"/>
            <w:tcBorders>
              <w:top w:val="single" w:color="auto" w:sz="12" w:space="0"/>
              <w:left w:val="nil"/>
              <w:bottom w:val="single" w:color="auto" w:sz="12" w:space="0"/>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 </w:t>
            </w:r>
          </w:p>
        </w:tc>
        <w:tc>
          <w:tcPr>
            <w:tcW w:w="2701" w:type="pct"/>
            <w:tcBorders>
              <w:top w:val="single" w:color="auto" w:sz="12" w:space="0"/>
              <w:left w:val="nil"/>
              <w:bottom w:val="single" w:color="auto" w:sz="12" w:space="0"/>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Bedragen in miljoenen euro’s</w:t>
            </w:r>
          </w:p>
        </w:tc>
        <w:tc>
          <w:tcPr>
            <w:tcW w:w="924" w:type="pct"/>
            <w:tcBorders>
              <w:top w:val="single" w:color="auto" w:sz="12" w:space="0"/>
              <w:left w:val="nil"/>
              <w:bottom w:val="single" w:color="auto" w:sz="12" w:space="0"/>
              <w:right w:val="nil"/>
            </w:tcBorders>
            <w:shd w:val="clear" w:color="auto" w:fill="auto"/>
            <w:hideMark/>
          </w:tcPr>
          <w:p w:rsidRPr="000435C0" w:rsidR="00987044" w:rsidP="000435C0" w:rsidRDefault="00987044">
            <w:pPr>
              <w:spacing w:line="240" w:lineRule="exact"/>
              <w:jc w:val="right"/>
              <w:rPr>
                <w:rFonts w:ascii="Verdana" w:hAnsi="Verdana"/>
                <w:sz w:val="18"/>
                <w:szCs w:val="18"/>
              </w:rPr>
            </w:pPr>
            <w:r w:rsidRPr="000435C0">
              <w:rPr>
                <w:rFonts w:ascii="Verdana" w:hAnsi="Verdana"/>
                <w:sz w:val="18"/>
                <w:szCs w:val="18"/>
              </w:rPr>
              <w:t>Mutaties uitgaven</w:t>
            </w:r>
          </w:p>
        </w:tc>
        <w:tc>
          <w:tcPr>
            <w:tcW w:w="961" w:type="pct"/>
            <w:tcBorders>
              <w:top w:val="single" w:color="auto" w:sz="12" w:space="0"/>
              <w:left w:val="nil"/>
              <w:bottom w:val="single" w:color="auto" w:sz="12" w:space="0"/>
              <w:right w:val="nil"/>
            </w:tcBorders>
            <w:shd w:val="clear" w:color="auto" w:fill="auto"/>
            <w:hideMark/>
          </w:tcPr>
          <w:p w:rsidRPr="000435C0" w:rsidR="00987044" w:rsidP="000435C0" w:rsidRDefault="00987044">
            <w:pPr>
              <w:spacing w:line="240" w:lineRule="exact"/>
              <w:jc w:val="right"/>
              <w:rPr>
                <w:rFonts w:ascii="Verdana" w:hAnsi="Verdana"/>
                <w:sz w:val="18"/>
                <w:szCs w:val="18"/>
              </w:rPr>
            </w:pPr>
            <w:r w:rsidRPr="000435C0">
              <w:rPr>
                <w:rFonts w:ascii="Verdana" w:hAnsi="Verdana"/>
                <w:sz w:val="18"/>
                <w:szCs w:val="18"/>
              </w:rPr>
              <w:t xml:space="preserve">Mutaties ontvangsten </w:t>
            </w:r>
          </w:p>
        </w:tc>
      </w:tr>
      <w:tr w:rsidRPr="000435C0" w:rsidR="00987044" w:rsidTr="00987044">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0435C0" w:rsidR="00987044" w:rsidP="000435C0" w:rsidRDefault="00987044">
            <w:pPr>
              <w:spacing w:line="240" w:lineRule="exact"/>
              <w:rPr>
                <w:rFonts w:ascii="Verdana" w:hAnsi="Verdana"/>
                <w:i/>
                <w:iCs/>
                <w:sz w:val="18"/>
                <w:szCs w:val="18"/>
              </w:rPr>
            </w:pPr>
            <w:r w:rsidRPr="000435C0">
              <w:rPr>
                <w:rFonts w:ascii="Verdana" w:hAnsi="Verdana"/>
                <w:i/>
                <w:iCs/>
                <w:sz w:val="18"/>
                <w:szCs w:val="18"/>
              </w:rPr>
              <w:t>Departementale begrotingen</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I</w:t>
            </w:r>
          </w:p>
        </w:tc>
        <w:tc>
          <w:tcPr>
            <w:tcW w:w="2701" w:type="pct"/>
            <w:tcBorders>
              <w:top w:val="nil"/>
              <w:left w:val="nil"/>
              <w:bottom w:val="nil"/>
              <w:right w:val="nil"/>
            </w:tcBorders>
            <w:shd w:val="clear" w:color="auto" w:fill="auto"/>
            <w:vAlign w:val="bottom"/>
            <w:hideMark/>
          </w:tcPr>
          <w:p w:rsidRPr="000435C0" w:rsidR="00987044" w:rsidP="000435C0" w:rsidRDefault="00FD3E5A">
            <w:pPr>
              <w:spacing w:line="240" w:lineRule="exact"/>
              <w:rPr>
                <w:rFonts w:ascii="Verdana" w:hAnsi="Verdana"/>
                <w:sz w:val="18"/>
                <w:szCs w:val="18"/>
              </w:rPr>
            </w:pPr>
            <w:r w:rsidRPr="000435C0">
              <w:rPr>
                <w:rFonts w:ascii="Verdana" w:hAnsi="Verdana"/>
                <w:sz w:val="18"/>
                <w:szCs w:val="18"/>
              </w:rPr>
              <w:t>De K</w:t>
            </w:r>
            <w:r w:rsidRPr="000435C0" w:rsidR="00987044">
              <w:rPr>
                <w:rFonts w:ascii="Verdana" w:hAnsi="Verdana"/>
                <w:sz w:val="18"/>
                <w:szCs w:val="18"/>
              </w:rPr>
              <w:t>oning</w:t>
            </w:r>
          </w:p>
        </w:tc>
        <w:tc>
          <w:tcPr>
            <w:tcW w:w="924" w:type="pct"/>
            <w:tcBorders>
              <w:top w:val="nil"/>
              <w:left w:val="nil"/>
              <w:bottom w:val="nil"/>
              <w:right w:val="nil"/>
            </w:tcBorders>
            <w:shd w:val="clear" w:color="auto" w:fill="auto"/>
            <w:vAlign w:val="bottom"/>
            <w:hideMark/>
          </w:tcPr>
          <w:p w:rsidRPr="000435C0" w:rsidR="00987044" w:rsidP="000435C0" w:rsidRDefault="004844C2">
            <w:pPr>
              <w:spacing w:line="240" w:lineRule="exact"/>
              <w:jc w:val="right"/>
              <w:rPr>
                <w:rFonts w:ascii="Verdana" w:hAnsi="Verdana"/>
                <w:sz w:val="18"/>
                <w:szCs w:val="18"/>
              </w:rPr>
            </w:pPr>
            <w:r w:rsidRPr="000435C0">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35C0" w:rsidR="00987044" w:rsidP="000435C0" w:rsidRDefault="004844C2">
            <w:pPr>
              <w:spacing w:line="240" w:lineRule="exact"/>
              <w:jc w:val="right"/>
              <w:rPr>
                <w:rFonts w:ascii="Verdana" w:hAnsi="Verdana"/>
                <w:sz w:val="18"/>
                <w:szCs w:val="18"/>
              </w:rPr>
            </w:pPr>
            <w:r w:rsidRPr="000435C0">
              <w:rPr>
                <w:rFonts w:ascii="Verdana" w:hAnsi="Verdana"/>
                <w:sz w:val="18"/>
                <w:szCs w:val="18"/>
              </w:rPr>
              <w:t>0,0</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IIA</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Staten Generaal</w:t>
            </w:r>
          </w:p>
        </w:tc>
        <w:tc>
          <w:tcPr>
            <w:tcW w:w="924" w:type="pct"/>
            <w:tcBorders>
              <w:top w:val="nil"/>
              <w:left w:val="nil"/>
              <w:bottom w:val="nil"/>
              <w:right w:val="nil"/>
            </w:tcBorders>
            <w:shd w:val="clear" w:color="auto" w:fill="auto"/>
            <w:vAlign w:val="bottom"/>
            <w:hideMark/>
          </w:tcPr>
          <w:p w:rsidRPr="000435C0" w:rsidR="00987044" w:rsidP="000435C0" w:rsidRDefault="004844C2">
            <w:pPr>
              <w:spacing w:line="240" w:lineRule="exact"/>
              <w:jc w:val="right"/>
              <w:rPr>
                <w:rFonts w:ascii="Verdana" w:hAnsi="Verdana"/>
                <w:sz w:val="18"/>
                <w:szCs w:val="18"/>
              </w:rPr>
            </w:pPr>
            <w:r w:rsidRPr="000435C0">
              <w:rPr>
                <w:rFonts w:ascii="Verdana" w:hAnsi="Verdana"/>
                <w:sz w:val="18"/>
                <w:szCs w:val="18"/>
              </w:rPr>
              <w:t>-2,5</w:t>
            </w:r>
          </w:p>
        </w:tc>
        <w:tc>
          <w:tcPr>
            <w:tcW w:w="961" w:type="pct"/>
            <w:tcBorders>
              <w:top w:val="nil"/>
              <w:left w:val="nil"/>
              <w:bottom w:val="nil"/>
              <w:right w:val="nil"/>
            </w:tcBorders>
            <w:shd w:val="clear" w:color="auto" w:fill="auto"/>
            <w:vAlign w:val="bottom"/>
            <w:hideMark/>
          </w:tcPr>
          <w:p w:rsidRPr="000435C0" w:rsidR="00987044" w:rsidP="000435C0" w:rsidRDefault="004844C2">
            <w:pPr>
              <w:spacing w:line="240" w:lineRule="exact"/>
              <w:jc w:val="right"/>
              <w:rPr>
                <w:rFonts w:ascii="Verdana" w:hAnsi="Verdana"/>
                <w:sz w:val="18"/>
                <w:szCs w:val="18"/>
              </w:rPr>
            </w:pPr>
            <w:r w:rsidRPr="000435C0">
              <w:rPr>
                <w:rFonts w:ascii="Verdana" w:hAnsi="Verdana"/>
                <w:sz w:val="18"/>
                <w:szCs w:val="18"/>
              </w:rPr>
              <w:t>0,0</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IIB</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Hoge Colleges van Staat</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-3,3</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0,6</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III</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Algemene Zaken</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-2,1</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-0,5</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IV</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Koninkrijksrelaties</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30,0</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7,7</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V</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Buitenlandse Zaken</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-2.758,5</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VI</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Veiligheid en Justitie</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-176,3</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56,8</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VII</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Binnenlandse Zaken en Koninkrijksrelaties</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43,4</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20,9</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VIII</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Onderwijs, Cultuur en Wetenschap</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-61,1</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-14,4</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357C2F" w:rsidR="00987044" w:rsidP="000435C0" w:rsidRDefault="00987044">
            <w:pPr>
              <w:spacing w:line="240" w:lineRule="exact"/>
              <w:rPr>
                <w:rFonts w:ascii="Verdana" w:hAnsi="Verdana"/>
                <w:sz w:val="18"/>
                <w:szCs w:val="18"/>
              </w:rPr>
            </w:pPr>
            <w:r w:rsidRPr="00357C2F">
              <w:rPr>
                <w:rFonts w:ascii="Verdana" w:hAnsi="Verdana"/>
                <w:sz w:val="18"/>
                <w:szCs w:val="18"/>
              </w:rPr>
              <w:t>IXA</w:t>
            </w:r>
          </w:p>
        </w:tc>
        <w:tc>
          <w:tcPr>
            <w:tcW w:w="2701" w:type="pct"/>
            <w:tcBorders>
              <w:top w:val="nil"/>
              <w:left w:val="nil"/>
              <w:bottom w:val="nil"/>
              <w:right w:val="nil"/>
            </w:tcBorders>
            <w:shd w:val="clear" w:color="auto" w:fill="auto"/>
            <w:vAlign w:val="bottom"/>
            <w:hideMark/>
          </w:tcPr>
          <w:p w:rsidRPr="00357C2F" w:rsidR="00987044" w:rsidP="000435C0" w:rsidRDefault="00987044">
            <w:pPr>
              <w:spacing w:line="240" w:lineRule="exact"/>
              <w:rPr>
                <w:rFonts w:ascii="Verdana" w:hAnsi="Verdana"/>
                <w:sz w:val="18"/>
                <w:szCs w:val="18"/>
              </w:rPr>
            </w:pPr>
            <w:r w:rsidRPr="00357C2F">
              <w:rPr>
                <w:rFonts w:ascii="Verdana" w:hAnsi="Verdana"/>
                <w:sz w:val="18"/>
                <w:szCs w:val="18"/>
              </w:rPr>
              <w:t>Nationale Schuld</w:t>
            </w:r>
          </w:p>
        </w:tc>
        <w:tc>
          <w:tcPr>
            <w:tcW w:w="924" w:type="pct"/>
            <w:tcBorders>
              <w:top w:val="nil"/>
              <w:left w:val="nil"/>
              <w:bottom w:val="nil"/>
              <w:right w:val="nil"/>
            </w:tcBorders>
            <w:shd w:val="clear" w:color="auto" w:fill="auto"/>
            <w:vAlign w:val="bottom"/>
            <w:hideMark/>
          </w:tcPr>
          <w:p w:rsidRPr="00357C2F" w:rsidR="00987044" w:rsidP="000435C0" w:rsidRDefault="00357C2F">
            <w:pPr>
              <w:spacing w:line="240" w:lineRule="exact"/>
              <w:jc w:val="right"/>
              <w:rPr>
                <w:rFonts w:ascii="Verdana" w:hAnsi="Verdana"/>
                <w:sz w:val="18"/>
                <w:szCs w:val="18"/>
              </w:rPr>
            </w:pPr>
            <w:r w:rsidRPr="00357C2F">
              <w:rPr>
                <w:rFonts w:ascii="Verdana" w:hAnsi="Verdana"/>
                <w:sz w:val="18"/>
                <w:szCs w:val="18"/>
              </w:rPr>
              <w:t>-2,3</w:t>
            </w:r>
          </w:p>
        </w:tc>
        <w:tc>
          <w:tcPr>
            <w:tcW w:w="961" w:type="pct"/>
            <w:tcBorders>
              <w:top w:val="nil"/>
              <w:left w:val="nil"/>
              <w:bottom w:val="nil"/>
              <w:right w:val="nil"/>
            </w:tcBorders>
            <w:shd w:val="clear" w:color="auto" w:fill="auto"/>
            <w:vAlign w:val="bottom"/>
            <w:hideMark/>
          </w:tcPr>
          <w:p w:rsidRPr="0080262C" w:rsidR="00987044" w:rsidP="000435C0" w:rsidRDefault="00357C2F">
            <w:pPr>
              <w:spacing w:line="240" w:lineRule="exact"/>
              <w:jc w:val="right"/>
              <w:rPr>
                <w:rFonts w:ascii="Verdana" w:hAnsi="Verdana"/>
                <w:sz w:val="18"/>
                <w:szCs w:val="18"/>
              </w:rPr>
            </w:pPr>
            <w:r w:rsidRPr="00357C2F">
              <w:rPr>
                <w:rFonts w:ascii="Verdana" w:hAnsi="Verdana"/>
                <w:sz w:val="18"/>
                <w:szCs w:val="18"/>
              </w:rPr>
              <w:t>2.652,9</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IXB</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Financiën</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134,1</w:t>
            </w:r>
          </w:p>
        </w:tc>
        <w:tc>
          <w:tcPr>
            <w:tcW w:w="961" w:type="pct"/>
            <w:tcBorders>
              <w:top w:val="nil"/>
              <w:left w:val="nil"/>
              <w:bottom w:val="nil"/>
              <w:right w:val="nil"/>
            </w:tcBorders>
            <w:shd w:val="clear" w:color="auto" w:fill="auto"/>
            <w:vAlign w:val="bottom"/>
            <w:hideMark/>
          </w:tcPr>
          <w:p w:rsidRPr="000435C0" w:rsidR="00987044" w:rsidP="000435C0" w:rsidRDefault="004176D2">
            <w:pPr>
              <w:spacing w:line="240" w:lineRule="exact"/>
              <w:jc w:val="right"/>
              <w:rPr>
                <w:rFonts w:ascii="Verdana" w:hAnsi="Verdana"/>
                <w:sz w:val="18"/>
                <w:szCs w:val="18"/>
              </w:rPr>
            </w:pPr>
            <w:r>
              <w:rPr>
                <w:rFonts w:ascii="Verdana" w:hAnsi="Verdana"/>
                <w:sz w:val="18"/>
                <w:szCs w:val="18"/>
              </w:rPr>
              <w:t>1.578,6</w:t>
            </w:r>
          </w:p>
        </w:tc>
      </w:tr>
      <w:tr w:rsidRPr="000435C0" w:rsidR="00987044" w:rsidTr="00987044">
        <w:trPr>
          <w:trHeight w:val="180"/>
        </w:trPr>
        <w:tc>
          <w:tcPr>
            <w:tcW w:w="414"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X</w:t>
            </w:r>
          </w:p>
        </w:tc>
        <w:tc>
          <w:tcPr>
            <w:tcW w:w="2701" w:type="pct"/>
            <w:tcBorders>
              <w:top w:val="nil"/>
              <w:left w:val="nil"/>
              <w:bottom w:val="nil"/>
              <w:right w:val="nil"/>
            </w:tcBorders>
            <w:shd w:val="clear" w:color="auto" w:fill="auto"/>
            <w:vAlign w:val="bottom"/>
            <w:hideMark/>
          </w:tcPr>
          <w:p w:rsidRPr="000435C0" w:rsidR="00987044" w:rsidP="000435C0" w:rsidRDefault="00987044">
            <w:pPr>
              <w:spacing w:line="240" w:lineRule="exact"/>
              <w:rPr>
                <w:rFonts w:ascii="Verdana" w:hAnsi="Verdana"/>
                <w:sz w:val="18"/>
                <w:szCs w:val="18"/>
              </w:rPr>
            </w:pPr>
            <w:r w:rsidRPr="000435C0">
              <w:rPr>
                <w:rFonts w:ascii="Verdana" w:hAnsi="Verdana"/>
                <w:sz w:val="18"/>
                <w:szCs w:val="18"/>
              </w:rPr>
              <w:t>Defensie</w:t>
            </w:r>
          </w:p>
        </w:tc>
        <w:tc>
          <w:tcPr>
            <w:tcW w:w="924"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38,3</w:t>
            </w:r>
          </w:p>
        </w:tc>
        <w:tc>
          <w:tcPr>
            <w:tcW w:w="961" w:type="pct"/>
            <w:tcBorders>
              <w:top w:val="nil"/>
              <w:left w:val="nil"/>
              <w:bottom w:val="nil"/>
              <w:right w:val="nil"/>
            </w:tcBorders>
            <w:shd w:val="clear" w:color="auto" w:fill="auto"/>
            <w:vAlign w:val="bottom"/>
            <w:hideMark/>
          </w:tcPr>
          <w:p w:rsidRPr="000435C0" w:rsidR="00987044" w:rsidP="000435C0" w:rsidRDefault="0080262C">
            <w:pPr>
              <w:spacing w:line="240" w:lineRule="exact"/>
              <w:jc w:val="right"/>
              <w:rPr>
                <w:rFonts w:ascii="Verdana" w:hAnsi="Verdana"/>
                <w:sz w:val="18"/>
                <w:szCs w:val="18"/>
              </w:rPr>
            </w:pPr>
            <w:r w:rsidRPr="000435C0">
              <w:rPr>
                <w:rFonts w:ascii="Verdana" w:hAnsi="Verdana"/>
                <w:sz w:val="18"/>
                <w:szCs w:val="18"/>
              </w:rPr>
              <w:t>35,9</w:t>
            </w:r>
          </w:p>
        </w:tc>
      </w:tr>
      <w:tr w:rsidRPr="000435C0" w:rsidR="0080262C" w:rsidTr="0080262C">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XII</w:t>
            </w: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Infrastructuur en Milieu</w:t>
            </w:r>
          </w:p>
        </w:tc>
        <w:tc>
          <w:tcPr>
            <w:tcW w:w="924" w:type="pct"/>
            <w:tcBorders>
              <w:top w:val="nil"/>
              <w:left w:val="nil"/>
              <w:bottom w:val="nil"/>
              <w:right w:val="nil"/>
            </w:tcBorders>
            <w:shd w:val="clear" w:color="auto" w:fill="auto"/>
            <w:vAlign w:val="bottom"/>
            <w:hideMark/>
          </w:tcPr>
          <w:p w:rsidRPr="000435C0" w:rsidR="0080262C" w:rsidP="000435C0" w:rsidRDefault="0080262C">
            <w:pPr>
              <w:spacing w:line="240" w:lineRule="exact"/>
              <w:jc w:val="right"/>
              <w:rPr>
                <w:rFonts w:ascii="Verdana" w:hAnsi="Verdana"/>
                <w:sz w:val="18"/>
                <w:szCs w:val="18"/>
              </w:rPr>
            </w:pPr>
            <w:r w:rsidRPr="000435C0">
              <w:rPr>
                <w:rFonts w:ascii="Verdana" w:hAnsi="Verdana"/>
                <w:sz w:val="18"/>
                <w:szCs w:val="18"/>
              </w:rPr>
              <w:t>-119,8</w:t>
            </w:r>
          </w:p>
        </w:tc>
        <w:tc>
          <w:tcPr>
            <w:tcW w:w="961" w:type="pct"/>
            <w:tcBorders>
              <w:top w:val="nil"/>
              <w:left w:val="nil"/>
              <w:bottom w:val="nil"/>
              <w:right w:val="nil"/>
            </w:tcBorders>
            <w:shd w:val="clear" w:color="auto" w:fill="auto"/>
            <w:hideMark/>
          </w:tcPr>
          <w:p w:rsidRPr="000435C0" w:rsidR="0080262C" w:rsidP="0080262C" w:rsidRDefault="0080262C">
            <w:pPr>
              <w:spacing w:line="240" w:lineRule="exact"/>
              <w:jc w:val="right"/>
              <w:rPr>
                <w:rFonts w:ascii="Verdana" w:hAnsi="Verdana"/>
                <w:sz w:val="18"/>
                <w:szCs w:val="18"/>
              </w:rPr>
            </w:pPr>
            <w:r w:rsidRPr="000435C0">
              <w:rPr>
                <w:rFonts w:ascii="Verdana" w:hAnsi="Verdana"/>
                <w:sz w:val="18"/>
                <w:szCs w:val="18"/>
              </w:rPr>
              <w:t>-45,3</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XIII</w:t>
            </w: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Economische Zaken</w:t>
            </w:r>
          </w:p>
        </w:tc>
        <w:tc>
          <w:tcPr>
            <w:tcW w:w="924" w:type="pct"/>
            <w:tcBorders>
              <w:top w:val="nil"/>
              <w:left w:val="nil"/>
              <w:bottom w:val="nil"/>
              <w:right w:val="nil"/>
            </w:tcBorders>
            <w:shd w:val="clear" w:color="auto" w:fill="auto"/>
            <w:vAlign w:val="bottom"/>
            <w:hideMark/>
          </w:tcPr>
          <w:p w:rsidRPr="000435C0" w:rsidR="0080262C" w:rsidP="000435C0" w:rsidRDefault="0080262C">
            <w:pPr>
              <w:spacing w:line="240" w:lineRule="exact"/>
              <w:jc w:val="right"/>
              <w:rPr>
                <w:rFonts w:ascii="Verdana" w:hAnsi="Verdana"/>
                <w:sz w:val="18"/>
                <w:szCs w:val="18"/>
              </w:rPr>
            </w:pPr>
            <w:r w:rsidRPr="000435C0">
              <w:rPr>
                <w:rFonts w:ascii="Verdana" w:hAnsi="Verdana"/>
                <w:sz w:val="18"/>
                <w:szCs w:val="18"/>
              </w:rPr>
              <w:t>56,2</w:t>
            </w:r>
          </w:p>
        </w:tc>
        <w:tc>
          <w:tcPr>
            <w:tcW w:w="961" w:type="pct"/>
            <w:tcBorders>
              <w:top w:val="nil"/>
              <w:left w:val="nil"/>
              <w:bottom w:val="nil"/>
              <w:right w:val="nil"/>
            </w:tcBorders>
            <w:shd w:val="clear" w:color="auto" w:fill="auto"/>
            <w:vAlign w:val="bottom"/>
            <w:hideMark/>
          </w:tcPr>
          <w:p w:rsidRPr="000435C0" w:rsidR="0080262C" w:rsidP="000435C0" w:rsidRDefault="0080262C">
            <w:pPr>
              <w:spacing w:line="240" w:lineRule="exact"/>
              <w:jc w:val="right"/>
              <w:rPr>
                <w:rFonts w:ascii="Verdana" w:hAnsi="Verdana"/>
                <w:sz w:val="18"/>
                <w:szCs w:val="18"/>
              </w:rPr>
            </w:pPr>
            <w:r w:rsidRPr="000435C0">
              <w:rPr>
                <w:rFonts w:ascii="Verdana" w:hAnsi="Verdana"/>
                <w:sz w:val="18"/>
                <w:szCs w:val="18"/>
              </w:rPr>
              <w:t>-101,2</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XV</w:t>
            </w: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Sociale Zaken en Werkgelegenheid</w:t>
            </w:r>
          </w:p>
        </w:tc>
        <w:tc>
          <w:tcPr>
            <w:tcW w:w="924" w:type="pct"/>
            <w:tcBorders>
              <w:top w:val="nil"/>
              <w:left w:val="nil"/>
              <w:bottom w:val="nil"/>
              <w:right w:val="nil"/>
            </w:tcBorders>
            <w:shd w:val="clear" w:color="auto" w:fill="auto"/>
            <w:vAlign w:val="bottom"/>
            <w:hideMark/>
          </w:tcPr>
          <w:p w:rsidRPr="000435C0" w:rsidR="0080262C" w:rsidP="000435C0" w:rsidRDefault="0080262C">
            <w:pPr>
              <w:spacing w:line="240" w:lineRule="exact"/>
              <w:jc w:val="right"/>
              <w:rPr>
                <w:rFonts w:ascii="Verdana" w:hAnsi="Verdana"/>
                <w:sz w:val="18"/>
                <w:szCs w:val="18"/>
              </w:rPr>
            </w:pPr>
            <w:r w:rsidRPr="000435C0">
              <w:rPr>
                <w:rFonts w:ascii="Verdana" w:hAnsi="Verdana"/>
                <w:sz w:val="18"/>
                <w:szCs w:val="18"/>
              </w:rPr>
              <w:t>-67,3</w:t>
            </w:r>
          </w:p>
        </w:tc>
        <w:tc>
          <w:tcPr>
            <w:tcW w:w="961" w:type="pct"/>
            <w:tcBorders>
              <w:top w:val="nil"/>
              <w:left w:val="nil"/>
              <w:bottom w:val="nil"/>
              <w:right w:val="nil"/>
            </w:tcBorders>
            <w:shd w:val="clear" w:color="auto" w:fill="auto"/>
            <w:vAlign w:val="bottom"/>
            <w:hideMark/>
          </w:tcPr>
          <w:p w:rsidRPr="000435C0" w:rsidR="0080262C" w:rsidP="000435C0" w:rsidRDefault="0080262C">
            <w:pPr>
              <w:spacing w:line="240" w:lineRule="exact"/>
              <w:jc w:val="right"/>
              <w:rPr>
                <w:rFonts w:ascii="Verdana" w:hAnsi="Verdana"/>
                <w:sz w:val="18"/>
                <w:szCs w:val="18"/>
              </w:rPr>
            </w:pPr>
            <w:r w:rsidRPr="000435C0">
              <w:rPr>
                <w:rFonts w:ascii="Verdana" w:hAnsi="Verdana"/>
                <w:sz w:val="18"/>
                <w:szCs w:val="18"/>
              </w:rPr>
              <w:t>-26,4</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XVI</w:t>
            </w: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Volksgezondheid, Welzijn en Sport</w:t>
            </w:r>
          </w:p>
        </w:tc>
        <w:tc>
          <w:tcPr>
            <w:tcW w:w="924"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-120,6</w:t>
            </w:r>
          </w:p>
        </w:tc>
        <w:tc>
          <w:tcPr>
            <w:tcW w:w="961"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34,1</w:t>
            </w:r>
          </w:p>
        </w:tc>
      </w:tr>
      <w:tr w:rsidRPr="000435C0" w:rsidR="0080262C" w:rsidTr="00987044">
        <w:trPr>
          <w:trHeight w:val="180"/>
        </w:trPr>
        <w:tc>
          <w:tcPr>
            <w:tcW w:w="414" w:type="pct"/>
            <w:tcBorders>
              <w:top w:val="nil"/>
              <w:left w:val="nil"/>
              <w:bottom w:val="nil"/>
              <w:right w:val="nil"/>
            </w:tcBorders>
            <w:shd w:val="clear" w:color="auto" w:fill="auto"/>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XVII</w:t>
            </w: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Buitenlandse Handel en Ontwikkelingssamenwerking</w:t>
            </w:r>
          </w:p>
        </w:tc>
        <w:tc>
          <w:tcPr>
            <w:tcW w:w="924" w:type="pct"/>
            <w:tcBorders>
              <w:top w:val="nil"/>
              <w:left w:val="nil"/>
              <w:bottom w:val="nil"/>
              <w:right w:val="nil"/>
            </w:tcBorders>
            <w:shd w:val="clear" w:color="auto" w:fill="auto"/>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95"/>
        </w:trPr>
        <w:tc>
          <w:tcPr>
            <w:tcW w:w="414" w:type="pct"/>
            <w:tcBorders>
              <w:top w:val="nil"/>
              <w:left w:val="nil"/>
              <w:bottom w:val="single" w:color="auto" w:sz="8" w:space="0"/>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XVIII</w:t>
            </w:r>
          </w:p>
        </w:tc>
        <w:tc>
          <w:tcPr>
            <w:tcW w:w="2701" w:type="pct"/>
            <w:tcBorders>
              <w:top w:val="nil"/>
              <w:left w:val="nil"/>
              <w:bottom w:val="single" w:color="auto" w:sz="8" w:space="0"/>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Wonen en Rijksdienst</w:t>
            </w:r>
          </w:p>
        </w:tc>
        <w:tc>
          <w:tcPr>
            <w:tcW w:w="924" w:type="pct"/>
            <w:tcBorders>
              <w:top w:val="nil"/>
              <w:left w:val="nil"/>
              <w:bottom w:val="single" w:color="auto" w:sz="8" w:space="0"/>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5,9</w:t>
            </w:r>
          </w:p>
        </w:tc>
        <w:tc>
          <w:tcPr>
            <w:tcW w:w="961" w:type="pct"/>
            <w:tcBorders>
              <w:top w:val="nil"/>
              <w:left w:val="nil"/>
              <w:bottom w:val="single" w:color="auto" w:sz="8" w:space="0"/>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16,1</w:t>
            </w:r>
          </w:p>
        </w:tc>
      </w:tr>
      <w:tr w:rsidRPr="000435C0" w:rsidR="0080262C" w:rsidTr="00987044">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0435C0" w:rsidR="0080262C" w:rsidP="000435C0" w:rsidRDefault="0080262C">
            <w:pPr>
              <w:spacing w:line="240" w:lineRule="exact"/>
              <w:rPr>
                <w:rFonts w:ascii="Verdana" w:hAnsi="Verdana"/>
                <w:i/>
                <w:iCs/>
                <w:sz w:val="18"/>
                <w:szCs w:val="18"/>
              </w:rPr>
            </w:pPr>
            <w:r w:rsidRPr="000435C0">
              <w:rPr>
                <w:rFonts w:ascii="Verdana" w:hAnsi="Verdana"/>
                <w:i/>
                <w:iCs/>
                <w:sz w:val="18"/>
                <w:szCs w:val="18"/>
              </w:rPr>
              <w:t>Overig</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Sociale Zekerheid</w:t>
            </w:r>
          </w:p>
        </w:tc>
        <w:tc>
          <w:tcPr>
            <w:tcW w:w="924"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-37,4</w:t>
            </w:r>
          </w:p>
        </w:tc>
        <w:tc>
          <w:tcPr>
            <w:tcW w:w="961"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-26,7</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Budgettair kader Zorg</w:t>
            </w:r>
          </w:p>
        </w:tc>
        <w:tc>
          <w:tcPr>
            <w:tcW w:w="924"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-400,7</w:t>
            </w:r>
          </w:p>
        </w:tc>
        <w:tc>
          <w:tcPr>
            <w:tcW w:w="961"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Gemeentefonds</w:t>
            </w:r>
          </w:p>
        </w:tc>
        <w:tc>
          <w:tcPr>
            <w:tcW w:w="924"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48,2</w:t>
            </w:r>
          </w:p>
        </w:tc>
        <w:tc>
          <w:tcPr>
            <w:tcW w:w="961"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95"/>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Provinciefonds</w:t>
            </w:r>
          </w:p>
        </w:tc>
        <w:tc>
          <w:tcPr>
            <w:tcW w:w="924"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82,6</w:t>
            </w:r>
          </w:p>
        </w:tc>
        <w:tc>
          <w:tcPr>
            <w:tcW w:w="961"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Infrastructuurfonds</w:t>
            </w:r>
          </w:p>
        </w:tc>
        <w:tc>
          <w:tcPr>
            <w:tcW w:w="924"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-534,6</w:t>
            </w:r>
          </w:p>
        </w:tc>
        <w:tc>
          <w:tcPr>
            <w:tcW w:w="961"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-34,7</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Diergezondheidsfonds</w:t>
            </w:r>
          </w:p>
        </w:tc>
        <w:tc>
          <w:tcPr>
            <w:tcW w:w="924"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sidRPr="000435C0">
              <w:rPr>
                <w:rFonts w:ascii="Verdana" w:hAnsi="Verdana"/>
                <w:sz w:val="18"/>
                <w:szCs w:val="18"/>
              </w:rPr>
              <w:t>-8,8</w:t>
            </w:r>
          </w:p>
        </w:tc>
        <w:tc>
          <w:tcPr>
            <w:tcW w:w="961" w:type="pct"/>
            <w:tcBorders>
              <w:top w:val="nil"/>
              <w:left w:val="nil"/>
              <w:bottom w:val="nil"/>
              <w:right w:val="nil"/>
            </w:tcBorders>
            <w:shd w:val="clear" w:color="auto" w:fill="auto"/>
            <w:vAlign w:val="bottom"/>
            <w:hideMark/>
          </w:tcPr>
          <w:p w:rsidRPr="000435C0" w:rsidR="0080262C" w:rsidP="000435C0" w:rsidRDefault="00812AEF">
            <w:pPr>
              <w:spacing w:line="240" w:lineRule="exact"/>
              <w:jc w:val="right"/>
              <w:rPr>
                <w:rFonts w:ascii="Verdana" w:hAnsi="Verdana"/>
                <w:sz w:val="18"/>
                <w:szCs w:val="18"/>
              </w:rPr>
            </w:pPr>
            <w:r>
              <w:rPr>
                <w:rFonts w:ascii="Verdana" w:hAnsi="Verdana"/>
                <w:sz w:val="18"/>
                <w:szCs w:val="18"/>
              </w:rPr>
              <w:t>-10,6</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Accres Gemeentefonds</w:t>
            </w:r>
          </w:p>
        </w:tc>
        <w:tc>
          <w:tcPr>
            <w:tcW w:w="924" w:type="pct"/>
            <w:tcBorders>
              <w:top w:val="nil"/>
              <w:left w:val="nil"/>
              <w:bottom w:val="nil"/>
              <w:right w:val="nil"/>
            </w:tcBorders>
            <w:shd w:val="clear" w:color="auto" w:fill="auto"/>
            <w:vAlign w:val="bottom"/>
            <w:hideMark/>
          </w:tcPr>
          <w:p w:rsidRPr="000435C0" w:rsidR="0080262C" w:rsidP="000435C0" w:rsidRDefault="00725269">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35C0" w:rsidR="0080262C" w:rsidP="000435C0" w:rsidRDefault="00725269">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Accres Provinciefonds</w:t>
            </w:r>
          </w:p>
        </w:tc>
        <w:tc>
          <w:tcPr>
            <w:tcW w:w="924" w:type="pct"/>
            <w:tcBorders>
              <w:top w:val="nil"/>
              <w:left w:val="nil"/>
              <w:bottom w:val="nil"/>
              <w:right w:val="nil"/>
            </w:tcBorders>
            <w:shd w:val="clear" w:color="auto" w:fill="auto"/>
            <w:vAlign w:val="bottom"/>
            <w:hideMark/>
          </w:tcPr>
          <w:p w:rsidRPr="000435C0" w:rsidR="0080262C" w:rsidP="000435C0" w:rsidRDefault="00725269">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35C0" w:rsidR="0080262C" w:rsidP="000435C0" w:rsidRDefault="00725269">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BES fonds</w:t>
            </w:r>
          </w:p>
        </w:tc>
        <w:tc>
          <w:tcPr>
            <w:tcW w:w="924" w:type="pct"/>
            <w:tcBorders>
              <w:top w:val="nil"/>
              <w:left w:val="nil"/>
              <w:bottom w:val="nil"/>
              <w:right w:val="nil"/>
            </w:tcBorders>
            <w:shd w:val="clear" w:color="auto" w:fill="auto"/>
            <w:vAlign w:val="bottom"/>
            <w:hideMark/>
          </w:tcPr>
          <w:p w:rsidRPr="000435C0" w:rsidR="0080262C" w:rsidP="000435C0" w:rsidRDefault="00725269">
            <w:pPr>
              <w:spacing w:line="240" w:lineRule="exact"/>
              <w:jc w:val="right"/>
              <w:rPr>
                <w:rFonts w:ascii="Verdana" w:hAnsi="Verdana"/>
                <w:sz w:val="18"/>
                <w:szCs w:val="18"/>
              </w:rPr>
            </w:pPr>
            <w:r w:rsidRPr="000435C0">
              <w:rPr>
                <w:rFonts w:ascii="Verdana" w:hAnsi="Verdana"/>
                <w:sz w:val="18"/>
                <w:szCs w:val="18"/>
              </w:rPr>
              <w:t>8,0</w:t>
            </w:r>
          </w:p>
        </w:tc>
        <w:tc>
          <w:tcPr>
            <w:tcW w:w="961" w:type="pct"/>
            <w:tcBorders>
              <w:top w:val="nil"/>
              <w:left w:val="nil"/>
              <w:bottom w:val="nil"/>
              <w:right w:val="nil"/>
            </w:tcBorders>
            <w:shd w:val="clear" w:color="auto" w:fill="auto"/>
            <w:vAlign w:val="bottom"/>
            <w:hideMark/>
          </w:tcPr>
          <w:p w:rsidRPr="000435C0" w:rsidR="0080262C" w:rsidP="000435C0" w:rsidRDefault="00725269">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Deltafonds</w:t>
            </w:r>
          </w:p>
        </w:tc>
        <w:tc>
          <w:tcPr>
            <w:tcW w:w="924"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sidRPr="000435C0">
              <w:rPr>
                <w:rFonts w:ascii="Verdana" w:hAnsi="Verdana"/>
                <w:sz w:val="18"/>
                <w:szCs w:val="18"/>
              </w:rPr>
              <w:t>-140,8</w:t>
            </w:r>
          </w:p>
        </w:tc>
        <w:tc>
          <w:tcPr>
            <w:tcW w:w="961"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Pr>
                <w:rFonts w:ascii="Verdana" w:hAnsi="Verdana"/>
                <w:sz w:val="18"/>
                <w:szCs w:val="18"/>
              </w:rPr>
              <w:t>-10,7</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Prijsbijstelling</w:t>
            </w:r>
          </w:p>
        </w:tc>
        <w:tc>
          <w:tcPr>
            <w:tcW w:w="924"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Arbeidsvoorwaarden</w:t>
            </w:r>
          </w:p>
        </w:tc>
        <w:tc>
          <w:tcPr>
            <w:tcW w:w="924"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Koppeling Uitkeringen</w:t>
            </w:r>
          </w:p>
        </w:tc>
        <w:tc>
          <w:tcPr>
            <w:tcW w:w="924"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35C0" w:rsidR="0080262C" w:rsidP="000435C0" w:rsidRDefault="006A3F20">
            <w:pPr>
              <w:spacing w:line="240" w:lineRule="exact"/>
              <w:jc w:val="right"/>
              <w:rPr>
                <w:rFonts w:ascii="Verdana" w:hAnsi="Verdana"/>
                <w:sz w:val="18"/>
                <w:szCs w:val="18"/>
              </w:rPr>
            </w:pPr>
            <w:r>
              <w:rPr>
                <w:rFonts w:ascii="Verdana" w:hAnsi="Verdana"/>
                <w:sz w:val="18"/>
                <w:szCs w:val="18"/>
              </w:rPr>
              <w:t>0,0</w:t>
            </w:r>
          </w:p>
        </w:tc>
      </w:tr>
      <w:tr w:rsidRPr="000435C0" w:rsidR="0080262C" w:rsidTr="00987044">
        <w:trPr>
          <w:trHeight w:val="180"/>
        </w:trPr>
        <w:tc>
          <w:tcPr>
            <w:tcW w:w="414" w:type="pct"/>
            <w:tcBorders>
              <w:top w:val="nil"/>
              <w:left w:val="nil"/>
              <w:bottom w:val="nil"/>
              <w:right w:val="nil"/>
            </w:tcBorders>
            <w:shd w:val="clear" w:color="auto" w:fill="auto"/>
            <w:vAlign w:val="bottom"/>
            <w:hideMark/>
          </w:tcPr>
          <w:p w:rsidRPr="000435C0" w:rsidR="0080262C" w:rsidP="000435C0" w:rsidRDefault="0080262C">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357C2F" w:rsidR="0080262C" w:rsidP="000435C0" w:rsidRDefault="0080262C">
            <w:pPr>
              <w:spacing w:line="240" w:lineRule="exact"/>
              <w:rPr>
                <w:rFonts w:ascii="Verdana" w:hAnsi="Verdana"/>
                <w:sz w:val="18"/>
                <w:szCs w:val="18"/>
              </w:rPr>
            </w:pPr>
            <w:r w:rsidRPr="00357C2F">
              <w:rPr>
                <w:rFonts w:ascii="Verdana" w:hAnsi="Verdana"/>
                <w:sz w:val="18"/>
                <w:szCs w:val="18"/>
              </w:rPr>
              <w:t>Aanvullende Post Algemeen</w:t>
            </w:r>
          </w:p>
        </w:tc>
        <w:tc>
          <w:tcPr>
            <w:tcW w:w="924" w:type="pct"/>
            <w:tcBorders>
              <w:top w:val="nil"/>
              <w:left w:val="nil"/>
              <w:bottom w:val="nil"/>
              <w:right w:val="nil"/>
            </w:tcBorders>
            <w:shd w:val="clear" w:color="auto" w:fill="auto"/>
            <w:vAlign w:val="bottom"/>
            <w:hideMark/>
          </w:tcPr>
          <w:p w:rsidRPr="00357C2F" w:rsidR="0080262C" w:rsidP="000435C0" w:rsidRDefault="00BB6F9E">
            <w:pPr>
              <w:spacing w:line="240" w:lineRule="exact"/>
              <w:jc w:val="right"/>
              <w:rPr>
                <w:rFonts w:ascii="Verdana" w:hAnsi="Verdana"/>
                <w:sz w:val="18"/>
                <w:szCs w:val="18"/>
              </w:rPr>
            </w:pPr>
            <w:r>
              <w:rPr>
                <w:rFonts w:ascii="Verdana" w:hAnsi="Verdana"/>
                <w:sz w:val="18"/>
                <w:szCs w:val="18"/>
              </w:rPr>
              <w:t>1.2</w:t>
            </w:r>
            <w:r w:rsidRPr="00357C2F" w:rsidR="00357C2F">
              <w:rPr>
                <w:rFonts w:ascii="Verdana" w:hAnsi="Verdana"/>
                <w:sz w:val="18"/>
                <w:szCs w:val="18"/>
              </w:rPr>
              <w:t>95,9</w:t>
            </w:r>
          </w:p>
        </w:tc>
        <w:tc>
          <w:tcPr>
            <w:tcW w:w="961" w:type="pct"/>
            <w:tcBorders>
              <w:top w:val="nil"/>
              <w:left w:val="nil"/>
              <w:bottom w:val="nil"/>
              <w:right w:val="nil"/>
            </w:tcBorders>
            <w:shd w:val="clear" w:color="auto" w:fill="auto"/>
            <w:vAlign w:val="bottom"/>
            <w:hideMark/>
          </w:tcPr>
          <w:p w:rsidRPr="00357C2F" w:rsidR="0080262C" w:rsidP="000435C0" w:rsidRDefault="00357C2F">
            <w:pPr>
              <w:spacing w:line="240" w:lineRule="exact"/>
              <w:jc w:val="right"/>
              <w:rPr>
                <w:rFonts w:ascii="Verdana" w:hAnsi="Verdana"/>
                <w:sz w:val="18"/>
                <w:szCs w:val="18"/>
              </w:rPr>
            </w:pPr>
            <w:r w:rsidRPr="00357C2F">
              <w:rPr>
                <w:rFonts w:ascii="Verdana" w:hAnsi="Verdana"/>
                <w:sz w:val="18"/>
                <w:szCs w:val="18"/>
              </w:rPr>
              <w:t>0,0</w:t>
            </w:r>
          </w:p>
        </w:tc>
      </w:tr>
      <w:tr w:rsidRPr="000435C0" w:rsidR="0080262C" w:rsidTr="00987044">
        <w:trPr>
          <w:trHeight w:val="195"/>
        </w:trPr>
        <w:tc>
          <w:tcPr>
            <w:tcW w:w="414" w:type="pct"/>
            <w:tcBorders>
              <w:top w:val="nil"/>
              <w:left w:val="nil"/>
              <w:bottom w:val="single" w:color="auto" w:sz="8" w:space="0"/>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 </w:t>
            </w:r>
          </w:p>
        </w:tc>
        <w:tc>
          <w:tcPr>
            <w:tcW w:w="2701" w:type="pct"/>
            <w:tcBorders>
              <w:top w:val="nil"/>
              <w:left w:val="nil"/>
              <w:bottom w:val="single" w:color="auto" w:sz="8" w:space="0"/>
              <w:right w:val="nil"/>
            </w:tcBorders>
            <w:shd w:val="clear" w:color="auto" w:fill="auto"/>
            <w:vAlign w:val="bottom"/>
            <w:hideMark/>
          </w:tcPr>
          <w:p w:rsidRPr="000435C0" w:rsidR="0080262C" w:rsidP="000435C0" w:rsidRDefault="0080262C">
            <w:pPr>
              <w:spacing w:line="240" w:lineRule="exact"/>
              <w:rPr>
                <w:rFonts w:ascii="Verdana" w:hAnsi="Verdana"/>
                <w:sz w:val="18"/>
                <w:szCs w:val="18"/>
              </w:rPr>
            </w:pPr>
            <w:r w:rsidRPr="000435C0">
              <w:rPr>
                <w:rFonts w:ascii="Verdana" w:hAnsi="Verdana"/>
                <w:sz w:val="18"/>
                <w:szCs w:val="18"/>
              </w:rPr>
              <w:t>Homogene Groep Internationale Samenwerking</w:t>
            </w:r>
          </w:p>
        </w:tc>
        <w:tc>
          <w:tcPr>
            <w:tcW w:w="924" w:type="pct"/>
            <w:tcBorders>
              <w:top w:val="nil"/>
              <w:left w:val="nil"/>
              <w:bottom w:val="single" w:color="auto" w:sz="8" w:space="0"/>
              <w:right w:val="nil"/>
            </w:tcBorders>
            <w:shd w:val="clear" w:color="auto" w:fill="auto"/>
            <w:hideMark/>
          </w:tcPr>
          <w:p w:rsidRPr="000435C0" w:rsidR="0080262C" w:rsidP="000435C0" w:rsidRDefault="006A3F20">
            <w:pPr>
              <w:spacing w:line="240" w:lineRule="exact"/>
              <w:jc w:val="right"/>
              <w:rPr>
                <w:rFonts w:ascii="Verdana" w:hAnsi="Verdana"/>
                <w:sz w:val="18"/>
                <w:szCs w:val="18"/>
                <w:highlight w:val="yellow"/>
              </w:rPr>
            </w:pPr>
            <w:r w:rsidRPr="000435C0">
              <w:rPr>
                <w:rFonts w:ascii="Verdana" w:hAnsi="Verdana"/>
                <w:sz w:val="18"/>
                <w:szCs w:val="18"/>
              </w:rPr>
              <w:t>370,5</w:t>
            </w:r>
          </w:p>
        </w:tc>
        <w:tc>
          <w:tcPr>
            <w:tcW w:w="961" w:type="pct"/>
            <w:tcBorders>
              <w:top w:val="nil"/>
              <w:left w:val="nil"/>
              <w:bottom w:val="single" w:color="auto" w:sz="8" w:space="0"/>
              <w:right w:val="nil"/>
            </w:tcBorders>
            <w:shd w:val="clear" w:color="auto" w:fill="auto"/>
            <w:hideMark/>
          </w:tcPr>
          <w:p w:rsidRPr="000435C0" w:rsidR="0080262C" w:rsidP="000435C0" w:rsidRDefault="006A3F20">
            <w:pPr>
              <w:spacing w:line="240" w:lineRule="exact"/>
              <w:jc w:val="right"/>
              <w:rPr>
                <w:rFonts w:ascii="Verdana" w:hAnsi="Verdana"/>
                <w:sz w:val="18"/>
                <w:szCs w:val="18"/>
                <w:highlight w:val="yellow"/>
              </w:rPr>
            </w:pPr>
            <w:r w:rsidRPr="006A3F20">
              <w:rPr>
                <w:rFonts w:ascii="Verdana" w:hAnsi="Verdana"/>
                <w:sz w:val="18"/>
                <w:szCs w:val="18"/>
              </w:rPr>
              <w:t>60,3</w:t>
            </w:r>
          </w:p>
        </w:tc>
      </w:tr>
    </w:tbl>
    <w:p w:rsidRPr="000435C0" w:rsidR="00AD374F" w:rsidP="000435C0" w:rsidRDefault="00AD374F">
      <w:pPr>
        <w:spacing w:line="240" w:lineRule="exact"/>
        <w:rPr>
          <w:rFonts w:ascii="Verdana" w:hAnsi="Verdana" w:cs="Verdana"/>
          <w:b/>
          <w:bCs/>
          <w:sz w:val="18"/>
          <w:szCs w:val="18"/>
        </w:rPr>
      </w:pPr>
      <w:r w:rsidRPr="000435C0">
        <w:rPr>
          <w:rFonts w:ascii="Verdana" w:hAnsi="Verdana" w:cs="Verdana"/>
          <w:b/>
          <w:bCs/>
          <w:sz w:val="18"/>
          <w:szCs w:val="18"/>
        </w:rPr>
        <w:lastRenderedPageBreak/>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De Koning</w:t>
      </w:r>
    </w:p>
    <w:tbl>
      <w:tblPr>
        <w:tblW w:w="9170" w:type="dxa"/>
        <w:tblCellMar>
          <w:top w:w="15" w:type="dxa"/>
          <w:left w:w="15" w:type="dxa"/>
          <w:bottom w:w="15" w:type="dxa"/>
          <w:right w:w="15" w:type="dxa"/>
        </w:tblCellMar>
        <w:tblLook w:val="04A0"/>
      </w:tblPr>
      <w:tblGrid>
        <w:gridCol w:w="8237"/>
        <w:gridCol w:w="933"/>
      </w:tblGrid>
      <w:tr w:rsidRPr="000435C0" w:rsidR="00F211F6" w:rsidTr="0028262A">
        <w:tc>
          <w:tcPr>
            <w:tcW w:w="8237" w:type="dxa"/>
            <w:tcBorders>
              <w:left w:val="nil"/>
              <w:right w:val="nil"/>
            </w:tcBorders>
            <w:hideMark/>
          </w:tcPr>
          <w:p w:rsidRPr="000435C0" w:rsidR="00F211F6" w:rsidP="000435C0" w:rsidRDefault="00F211F6">
            <w:pPr>
              <w:spacing w:line="240" w:lineRule="exact"/>
              <w:rPr>
                <w:rFonts w:ascii="Verdana" w:hAnsi="Verdana"/>
                <w:sz w:val="18"/>
                <w:szCs w:val="18"/>
              </w:rPr>
            </w:pPr>
            <w:r w:rsidRPr="000435C0">
              <w:rPr>
                <w:rFonts w:ascii="Verdana" w:hAnsi="Verdana"/>
                <w:sz w:val="18"/>
                <w:szCs w:val="18"/>
              </w:rPr>
              <w:t> </w:t>
            </w:r>
          </w:p>
        </w:tc>
        <w:tc>
          <w:tcPr>
            <w:tcW w:w="933" w:type="dxa"/>
            <w:tcBorders>
              <w:left w:val="nil"/>
              <w:right w:val="nil"/>
            </w:tcBorders>
            <w:hideMark/>
          </w:tcPr>
          <w:p w:rsidRPr="000435C0" w:rsidR="00F211F6" w:rsidP="000435C0" w:rsidRDefault="00F211F6">
            <w:pPr>
              <w:spacing w:line="240" w:lineRule="exact"/>
              <w:rPr>
                <w:rFonts w:ascii="Verdana" w:hAnsi="Verdana"/>
                <w:sz w:val="18"/>
                <w:szCs w:val="18"/>
              </w:rPr>
            </w:pPr>
            <w:r w:rsidRPr="000435C0">
              <w:rPr>
                <w:rFonts w:ascii="Verdana" w:hAnsi="Verdana"/>
                <w:sz w:val="18"/>
                <w:szCs w:val="18"/>
              </w:rPr>
              <w:t> </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 DE KONING: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41,3</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41,3</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41,3</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 DE KONING: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bl>
    <w:p w:rsidRPr="000435C0" w:rsidR="00F17D33" w:rsidP="000435C0" w:rsidRDefault="00F17D33">
      <w:pPr>
        <w:spacing w:line="240" w:lineRule="exact"/>
        <w:rPr>
          <w:rFonts w:ascii="Verdana" w:hAnsi="Verdana" w:cs="Verdana"/>
          <w:b/>
          <w:bCs/>
          <w:sz w:val="18"/>
          <w:szCs w:val="18"/>
        </w:rPr>
      </w:pPr>
    </w:p>
    <w:p w:rsidRPr="000435C0" w:rsidR="00F17D33" w:rsidP="000435C0" w:rsidRDefault="00F17D33">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730F6F"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Staten-Generaal</w:t>
      </w:r>
    </w:p>
    <w:p w:rsidRPr="000435C0" w:rsidR="00F17D33" w:rsidP="000435C0" w:rsidRDefault="00F17D33">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548"/>
        <w:gridCol w:w="554"/>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IIA STATEN-GENERAAL: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9000"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147,2</w:t>
            </w: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9000"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9000"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-2,5</w:t>
            </w: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-2,5</w:t>
            </w: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-2,5</w:t>
            </w: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144,7</w:t>
            </w: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144,7</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IIA STATEN-GENERAAL: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4,3</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4,3</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4,3</w:t>
            </w:r>
          </w:p>
        </w:tc>
      </w:tr>
    </w:tbl>
    <w:p w:rsidRPr="000435C0" w:rsidR="00BF0B0A" w:rsidP="000435C0" w:rsidRDefault="00BF0B0A">
      <w:pPr>
        <w:spacing w:line="240" w:lineRule="exact"/>
        <w:rPr>
          <w:rFonts w:ascii="Verdana" w:hAnsi="Verdana" w:cs="Verdana"/>
          <w:b/>
          <w:bCs/>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w:t>
      </w:r>
    </w:p>
    <w:p w:rsidRPr="000435C0" w:rsidR="00BF0B0A" w:rsidP="000435C0" w:rsidRDefault="00BF0B0A">
      <w:pPr>
        <w:spacing w:line="240" w:lineRule="exact"/>
        <w:contextualSpacing/>
        <w:rPr>
          <w:rFonts w:ascii="Verdana" w:hAnsi="Verdana"/>
          <w:sz w:val="18"/>
          <w:szCs w:val="18"/>
        </w:rPr>
      </w:pPr>
      <w:r w:rsidRPr="000435C0">
        <w:rPr>
          <w:rFonts w:ascii="Verdana" w:hAnsi="Verdana"/>
          <w:sz w:val="18"/>
          <w:szCs w:val="18"/>
        </w:rPr>
        <w:t>Een aantal overlopende verplichtingen leidt tot onderuitputting bij de Eerste Kamer (0,1 mln.) en Tweede Kamer (1,2 mln.). Daarnaast vindt er een kasschuif plaats naar 2017 omdat wijzigingen in de projectuitvoering voor Dienst Automatisering ervoor zorgt dat de activiteiten pas in 2017 hun vervolg krijgen.</w:t>
      </w:r>
    </w:p>
    <w:p w:rsidRPr="000435C0" w:rsidR="00283CE9" w:rsidP="000435C0" w:rsidRDefault="00283CE9">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512EDB" w:rsidP="000435C0" w:rsidRDefault="00904079">
      <w:pPr>
        <w:spacing w:line="240" w:lineRule="exact"/>
        <w:rPr>
          <w:rFonts w:ascii="Verdana" w:hAnsi="Verdana" w:cs="Verdana"/>
          <w:b/>
          <w:bCs/>
          <w:sz w:val="18"/>
          <w:szCs w:val="18"/>
        </w:rPr>
      </w:pPr>
      <w:r w:rsidRPr="000435C0">
        <w:rPr>
          <w:rFonts w:ascii="Verdana" w:hAnsi="Verdana" w:cs="Verdana"/>
          <w:b/>
          <w:bCs/>
          <w:sz w:val="18"/>
          <w:szCs w:val="18"/>
        </w:rPr>
        <w:t>H</w:t>
      </w:r>
      <w:r w:rsidRPr="000435C0" w:rsidR="00C05141">
        <w:rPr>
          <w:rFonts w:ascii="Verdana" w:hAnsi="Verdana" w:cs="Verdana"/>
          <w:b/>
          <w:bCs/>
          <w:sz w:val="18"/>
          <w:szCs w:val="18"/>
        </w:rPr>
        <w:t>oge Colleges van Staat</w:t>
      </w:r>
      <w:bookmarkStart w:name="OLE_LINK2" w:id="0"/>
      <w:r w:rsidRPr="000435C0" w:rsidR="00512EDB">
        <w:rPr>
          <w:rFonts w:ascii="Verdana" w:hAnsi="Verdana" w:cs="Verdana"/>
          <w:b/>
          <w:bCs/>
          <w:sz w:val="18"/>
          <w:szCs w:val="18"/>
        </w:rPr>
        <w:t xml:space="preserve"> en Kabinetten</w:t>
      </w:r>
    </w:p>
    <w:p w:rsidRPr="000435C0" w:rsidR="00F17D33" w:rsidP="000435C0" w:rsidRDefault="00F17D33">
      <w:pPr>
        <w:spacing w:line="240" w:lineRule="exact"/>
        <w:rPr>
          <w:rFonts w:ascii="Verdana" w:hAnsi="Verdana" w:cs="Verdana"/>
          <w:b/>
          <w:bCs/>
          <w:sz w:val="18"/>
          <w:szCs w:val="18"/>
        </w:rPr>
      </w:pPr>
    </w:p>
    <w:tbl>
      <w:tblPr>
        <w:tblW w:w="9087" w:type="dxa"/>
        <w:tblCellMar>
          <w:top w:w="15" w:type="dxa"/>
          <w:left w:w="15" w:type="dxa"/>
          <w:bottom w:w="15" w:type="dxa"/>
          <w:right w:w="15" w:type="dxa"/>
        </w:tblCellMar>
        <w:tblLook w:val="04A0"/>
      </w:tblPr>
      <w:tblGrid>
        <w:gridCol w:w="8237"/>
        <w:gridCol w:w="850"/>
      </w:tblGrid>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IIB OVERIGE HOGE COLLEGES VAN STAAT EN KABINETTEN: UITGAVEN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119,1</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Mee- en tegenvallers</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-1,2</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-1,2</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0,8</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0,8</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-3,3</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115,8</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115,8</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IIB OVERIGE HOGE COLLEGES VAN STAAT EN KABINETTEN: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5,8</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6,4</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6,4</w:t>
            </w:r>
          </w:p>
        </w:tc>
      </w:tr>
    </w:tbl>
    <w:p w:rsidRPr="000435C0" w:rsidR="00BF0B0A" w:rsidP="000435C0" w:rsidRDefault="00BF0B0A">
      <w:pPr>
        <w:spacing w:line="240" w:lineRule="exact"/>
        <w:rPr>
          <w:rFonts w:ascii="Verdana" w:hAnsi="Verdana" w:cs="Verdana"/>
          <w:b/>
          <w:bCs/>
          <w:sz w:val="18"/>
          <w:szCs w:val="18"/>
        </w:rPr>
      </w:pPr>
    </w:p>
    <w:p w:rsidRPr="000435C0" w:rsidR="00BF0B0A" w:rsidP="000435C0" w:rsidRDefault="00BF0B0A">
      <w:pPr>
        <w:spacing w:line="240" w:lineRule="exact"/>
        <w:contextualSpacing/>
        <w:rPr>
          <w:rFonts w:ascii="Verdana" w:hAnsi="Verdana"/>
          <w:i/>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 (mee- en tegenvallers - uitgaven)</w:t>
      </w:r>
    </w:p>
    <w:p w:rsidRPr="000435C0" w:rsidR="00BF0B0A" w:rsidP="000435C0" w:rsidRDefault="00BF0B0A">
      <w:pPr>
        <w:spacing w:line="240" w:lineRule="exact"/>
        <w:contextualSpacing/>
        <w:rPr>
          <w:rFonts w:ascii="Verdana" w:hAnsi="Verdana"/>
          <w:sz w:val="18"/>
          <w:szCs w:val="18"/>
        </w:rPr>
      </w:pPr>
      <w:r w:rsidRPr="000435C0">
        <w:rPr>
          <w:rFonts w:ascii="Verdana" w:hAnsi="Verdana"/>
          <w:sz w:val="18"/>
          <w:szCs w:val="18"/>
        </w:rPr>
        <w:t xml:space="preserve">Bij de Voorjaarsnota 2016 is de instroom van het aantal zaken bij de Vreemdelingenkamer in 2016 geraamd op 7.880. Op basis van de instroom- en productiecijfers t/m ultimo september is deze raming verlaagd tot 6.350 zaken. Dit leidt tot een meevaller van 1,2 mln. </w:t>
      </w:r>
    </w:p>
    <w:p w:rsidRPr="000435C0" w:rsidR="00BF0B0A" w:rsidP="000435C0" w:rsidRDefault="00BF0B0A">
      <w:pPr>
        <w:spacing w:line="240" w:lineRule="exact"/>
        <w:contextualSpacing/>
        <w:rPr>
          <w:rFonts w:ascii="Verdana" w:hAnsi="Verdana"/>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 (beleidsmatige mutaties - uitgaven)</w:t>
      </w:r>
    </w:p>
    <w:p w:rsidRPr="000435C0" w:rsidR="00BF0B0A" w:rsidP="000435C0" w:rsidRDefault="00EE3410">
      <w:pPr>
        <w:spacing w:line="240" w:lineRule="exact"/>
        <w:contextualSpacing/>
        <w:rPr>
          <w:rFonts w:ascii="Verdana" w:hAnsi="Verdana"/>
          <w:sz w:val="18"/>
          <w:szCs w:val="18"/>
        </w:rPr>
      </w:pPr>
      <w:r w:rsidRPr="000435C0">
        <w:rPr>
          <w:rFonts w:ascii="Verdana" w:hAnsi="Verdana"/>
          <w:sz w:val="18"/>
          <w:szCs w:val="18"/>
        </w:rPr>
        <w:t>Bij de Algemene Rekenkamer, de Kanselerij der Nederlandse Orde</w:t>
      </w:r>
      <w:r>
        <w:rPr>
          <w:rFonts w:ascii="Verdana" w:hAnsi="Verdana"/>
          <w:sz w:val="18"/>
          <w:szCs w:val="18"/>
        </w:rPr>
        <w:t>n</w:t>
      </w:r>
      <w:r w:rsidRPr="000435C0">
        <w:rPr>
          <w:rFonts w:ascii="Verdana" w:hAnsi="Verdana"/>
          <w:sz w:val="18"/>
          <w:szCs w:val="18"/>
        </w:rPr>
        <w:t xml:space="preserve"> en de Raad van State is er sprake van een onderuitputting van in totaal 0,9 mln. D</w:t>
      </w:r>
      <w:r>
        <w:rPr>
          <w:rFonts w:ascii="Verdana" w:hAnsi="Verdana"/>
          <w:sz w:val="18"/>
          <w:szCs w:val="18"/>
        </w:rPr>
        <w:t>aarnaast zijn er extra uitgaven bij de</w:t>
      </w:r>
      <w:r w:rsidRPr="000435C0">
        <w:rPr>
          <w:rFonts w:ascii="Verdana" w:hAnsi="Verdana"/>
          <w:sz w:val="18"/>
          <w:szCs w:val="18"/>
        </w:rPr>
        <w:t xml:space="preserve"> digitalisering van de organisatie bij de Algemene Rekenkamer (0,1 mln.), digitalisering bij de Nationale Ombudsman (0,2 mln</w:t>
      </w:r>
      <w:r>
        <w:rPr>
          <w:rFonts w:ascii="Verdana" w:hAnsi="Verdana"/>
          <w:sz w:val="18"/>
          <w:szCs w:val="18"/>
        </w:rPr>
        <w:t>.</w:t>
      </w:r>
      <w:r w:rsidRPr="000435C0">
        <w:rPr>
          <w:rFonts w:ascii="Verdana" w:hAnsi="Verdana"/>
          <w:sz w:val="18"/>
          <w:szCs w:val="18"/>
        </w:rPr>
        <w:t>) en</w:t>
      </w:r>
      <w:r>
        <w:rPr>
          <w:rFonts w:ascii="Verdana" w:hAnsi="Verdana"/>
          <w:sz w:val="18"/>
          <w:szCs w:val="18"/>
        </w:rPr>
        <w:t xml:space="preserve"> zijn</w:t>
      </w:r>
      <w:r w:rsidRPr="000435C0">
        <w:rPr>
          <w:rFonts w:ascii="Verdana" w:hAnsi="Verdana"/>
          <w:sz w:val="18"/>
          <w:szCs w:val="18"/>
        </w:rPr>
        <w:t xml:space="preserve"> </w:t>
      </w:r>
      <w:r>
        <w:rPr>
          <w:rFonts w:ascii="Verdana" w:hAnsi="Verdana"/>
          <w:sz w:val="18"/>
          <w:szCs w:val="18"/>
        </w:rPr>
        <w:t xml:space="preserve">er bij de Ombudsman </w:t>
      </w:r>
      <w:r w:rsidRPr="000435C0">
        <w:rPr>
          <w:rFonts w:ascii="Verdana" w:hAnsi="Verdana"/>
          <w:sz w:val="18"/>
          <w:szCs w:val="18"/>
        </w:rPr>
        <w:t xml:space="preserve">hogere kosten </w:t>
      </w:r>
      <w:r>
        <w:rPr>
          <w:rFonts w:ascii="Verdana" w:hAnsi="Verdana"/>
          <w:sz w:val="18"/>
          <w:szCs w:val="18"/>
        </w:rPr>
        <w:t>voor</w:t>
      </w:r>
      <w:r w:rsidRPr="000435C0">
        <w:rPr>
          <w:rFonts w:ascii="Verdana" w:hAnsi="Verdana"/>
          <w:sz w:val="18"/>
          <w:szCs w:val="18"/>
        </w:rPr>
        <w:t xml:space="preserve"> oud ambtsdragers (0,1 mln.). Daarnaast vinden een drietal kasschuiven plaats naar 2017 voor digitalisering </w:t>
      </w:r>
      <w:r>
        <w:rPr>
          <w:rFonts w:ascii="Verdana" w:hAnsi="Verdana"/>
          <w:sz w:val="18"/>
          <w:szCs w:val="18"/>
        </w:rPr>
        <w:t>bij de Raad van State</w:t>
      </w:r>
      <w:r w:rsidRPr="000435C0">
        <w:rPr>
          <w:rFonts w:ascii="Verdana" w:hAnsi="Verdana"/>
          <w:sz w:val="18"/>
          <w:szCs w:val="18"/>
        </w:rPr>
        <w:t xml:space="preserve"> (1 mln.), voor de financiering van de transitiekosten voor de reorganisatie van de Algemene Rekenkamer (0,6 mln.) en </w:t>
      </w:r>
      <w:r>
        <w:rPr>
          <w:rFonts w:ascii="Verdana" w:hAnsi="Verdana"/>
          <w:sz w:val="18"/>
          <w:szCs w:val="18"/>
        </w:rPr>
        <w:t xml:space="preserve">bij de Kanselarij </w:t>
      </w:r>
      <w:r w:rsidRPr="000435C0">
        <w:rPr>
          <w:rFonts w:ascii="Verdana" w:hAnsi="Verdana"/>
          <w:sz w:val="18"/>
          <w:szCs w:val="18"/>
        </w:rPr>
        <w:t>voor het nieuwe systeem LINT</w:t>
      </w:r>
      <w:r>
        <w:rPr>
          <w:rFonts w:ascii="Verdana" w:hAnsi="Verdana"/>
          <w:sz w:val="18"/>
          <w:szCs w:val="18"/>
        </w:rPr>
        <w:t xml:space="preserve"> </w:t>
      </w:r>
      <w:r w:rsidRPr="000435C0">
        <w:rPr>
          <w:rFonts w:ascii="Verdana" w:hAnsi="Verdana"/>
          <w:sz w:val="18"/>
          <w:szCs w:val="18"/>
        </w:rPr>
        <w:t>(1 mln.). Vanwege een langere doorlooptijd van de Europese aanbesteding is het contract voor de bouw van het nieuwe systeem LINT in 2016 later ondertekend dan gepland.</w:t>
      </w:r>
    </w:p>
    <w:p w:rsidRPr="000435C0" w:rsidR="00BF0B0A" w:rsidP="000435C0" w:rsidRDefault="00BF0B0A">
      <w:pPr>
        <w:spacing w:line="240" w:lineRule="exact"/>
        <w:contextualSpacing/>
        <w:rPr>
          <w:rFonts w:ascii="Verdana" w:hAnsi="Verdana"/>
          <w:sz w:val="18"/>
          <w:szCs w:val="18"/>
        </w:rPr>
      </w:pPr>
    </w:p>
    <w:p w:rsidRPr="000435C0" w:rsidR="00BF0B0A" w:rsidP="000435C0" w:rsidRDefault="00BF0B0A">
      <w:pPr>
        <w:spacing w:line="240" w:lineRule="exact"/>
        <w:contextualSpacing/>
        <w:rPr>
          <w:rFonts w:ascii="Verdana" w:hAnsi="Verdana"/>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 (technische mutaties – uitgaven/ontvangsten)</w:t>
      </w:r>
    </w:p>
    <w:p w:rsidRPr="000435C0" w:rsidR="00D57CD6" w:rsidP="000435C0" w:rsidRDefault="00BF0B0A">
      <w:pPr>
        <w:spacing w:line="240" w:lineRule="exact"/>
        <w:rPr>
          <w:rFonts w:ascii="Verdana" w:hAnsi="Verdana" w:cs="Verdana"/>
          <w:b/>
          <w:bCs/>
          <w:sz w:val="18"/>
          <w:szCs w:val="18"/>
        </w:rPr>
      </w:pPr>
      <w:r w:rsidRPr="000435C0">
        <w:rPr>
          <w:rFonts w:ascii="Verdana" w:hAnsi="Verdana" w:cs="Arial"/>
          <w:sz w:val="18"/>
          <w:szCs w:val="18"/>
        </w:rPr>
        <w:t>Dit betreft onder meer diverse desalderingen voor in totaal 0,6 mln., voor ontvangen subsidies voor uitgevoerde projecten in het buitenland, uitvoering adviespunt klokkenluiders tot 1 juli en klachtenbehandeling voor provincies, waterschappen en gemeenten.</w:t>
      </w:r>
      <w:r w:rsidRPr="000435C0" w:rsidR="00D57CD6">
        <w:rPr>
          <w:rFonts w:ascii="Verdana" w:hAnsi="Verdana" w:cs="Verdana"/>
          <w:b/>
          <w:bCs/>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Algemene Zaken</w:t>
      </w:r>
      <w:bookmarkEnd w:id="0"/>
      <w:r w:rsidRPr="000435C0" w:rsidR="00C811E5">
        <w:rPr>
          <w:rFonts w:ascii="Verdana" w:hAnsi="Verdana" w:cs="Verdana"/>
          <w:b/>
          <w:bCs/>
          <w:sz w:val="18"/>
          <w:szCs w:val="18"/>
        </w:rPr>
        <w:t xml:space="preserve"> </w:t>
      </w:r>
    </w:p>
    <w:p w:rsidRPr="000435C0" w:rsidR="00F17D33" w:rsidP="000435C0" w:rsidRDefault="00F17D33">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III ALGEMENE ZAKEN: UITGAVEN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62,7</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-2,1</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-2,1</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-2,1</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60,6</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60,6</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III ALGEMENE ZAKEN: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7,1</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6,6</w:t>
            </w:r>
          </w:p>
        </w:tc>
      </w:tr>
    </w:tbl>
    <w:p w:rsidRPr="000435C0" w:rsidR="00D57CD6" w:rsidP="000435C0" w:rsidRDefault="00D57CD6">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9726DB" w:rsidP="000435C0" w:rsidRDefault="0043332A">
      <w:pPr>
        <w:spacing w:line="240" w:lineRule="exact"/>
        <w:rPr>
          <w:rFonts w:ascii="Verdana" w:hAnsi="Verdana" w:cs="Verdana"/>
          <w:b/>
          <w:bCs/>
          <w:sz w:val="18"/>
          <w:szCs w:val="18"/>
        </w:rPr>
      </w:pPr>
      <w:r w:rsidRPr="000435C0">
        <w:rPr>
          <w:rFonts w:ascii="Verdana" w:hAnsi="Verdana" w:cs="Verdana"/>
          <w:b/>
          <w:bCs/>
          <w:sz w:val="18"/>
          <w:szCs w:val="18"/>
        </w:rPr>
        <w:t>Koninkrijksrelaties</w:t>
      </w:r>
    </w:p>
    <w:tbl>
      <w:tblPr>
        <w:tblW w:w="9087" w:type="dxa"/>
        <w:tblCellMar>
          <w:top w:w="15" w:type="dxa"/>
          <w:left w:w="15" w:type="dxa"/>
          <w:bottom w:w="15" w:type="dxa"/>
          <w:right w:w="15" w:type="dxa"/>
        </w:tblCellMar>
        <w:tblLook w:val="04A0"/>
      </w:tblPr>
      <w:tblGrid>
        <w:gridCol w:w="8241"/>
        <w:gridCol w:w="846"/>
      </w:tblGrid>
      <w:tr w:rsidRPr="000435C0" w:rsidR="0074624C" w:rsidTr="004B3DF4">
        <w:tc>
          <w:tcPr>
            <w:tcW w:w="8241" w:type="dxa"/>
            <w:tcBorders>
              <w:left w:val="nil"/>
              <w:right w:val="nil"/>
            </w:tcBorders>
            <w:hideMark/>
          </w:tcPr>
          <w:p w:rsidRPr="000435C0" w:rsidR="0074624C" w:rsidP="000435C0" w:rsidRDefault="0074624C">
            <w:pPr>
              <w:spacing w:line="240" w:lineRule="exact"/>
              <w:rPr>
                <w:rFonts w:ascii="Verdana" w:hAnsi="Verdana"/>
                <w:sz w:val="18"/>
                <w:szCs w:val="18"/>
              </w:rPr>
            </w:pPr>
            <w:r w:rsidRPr="000435C0">
              <w:rPr>
                <w:rFonts w:ascii="Verdana" w:hAnsi="Verdana"/>
                <w:sz w:val="18"/>
                <w:szCs w:val="18"/>
              </w:rPr>
              <w:t> </w:t>
            </w:r>
          </w:p>
        </w:tc>
        <w:tc>
          <w:tcPr>
            <w:tcW w:w="846" w:type="dxa"/>
            <w:tcBorders>
              <w:left w:val="nil"/>
              <w:right w:val="nil"/>
            </w:tcBorders>
            <w:hideMark/>
          </w:tcPr>
          <w:p w:rsidRPr="000435C0" w:rsidR="0074624C" w:rsidP="000435C0" w:rsidRDefault="0074624C">
            <w:pPr>
              <w:spacing w:line="240" w:lineRule="exact"/>
              <w:rPr>
                <w:rFonts w:ascii="Verdana" w:hAnsi="Verdana"/>
                <w:sz w:val="18"/>
                <w:szCs w:val="18"/>
              </w:rPr>
            </w:pPr>
            <w:r w:rsidRPr="000435C0">
              <w:rPr>
                <w:rFonts w:ascii="Verdana" w:hAnsi="Verdana"/>
                <w:sz w:val="18"/>
                <w:szCs w:val="18"/>
              </w:rPr>
              <w:t> </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IV KONINKRIJKSRELATIES: UITGAVEN</w:t>
            </w:r>
          </w:p>
        </w:tc>
        <w:tc>
          <w:tcPr>
            <w:tcW w:w="846" w:type="dxa"/>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846"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846"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274,0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846" w:type="dxa"/>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46" w:type="dxa"/>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46"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0,3</w:t>
            </w:r>
          </w:p>
        </w:tc>
      </w:tr>
      <w:tr w:rsidRPr="000435C0" w:rsidR="00F17D33" w:rsidTr="004B3DF4">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846" w:type="dxa"/>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Lopende inschrijving curacao 2016</w:t>
            </w:r>
          </w:p>
        </w:tc>
        <w:tc>
          <w:tcPr>
            <w:tcW w:w="846"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29,7</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46"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846"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46" w:type="dxa"/>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846"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304,0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846"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846"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304,0</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IV KONINKRIJKSRELATIES: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42,8</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1,8</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1,8</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7,7</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50,5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50,5</w:t>
            </w:r>
          </w:p>
        </w:tc>
      </w:tr>
    </w:tbl>
    <w:p w:rsidRPr="000435C0" w:rsidR="00BF0B0A" w:rsidP="000435C0" w:rsidRDefault="00BF0B0A">
      <w:pPr>
        <w:spacing w:line="240" w:lineRule="exact"/>
        <w:rPr>
          <w:rFonts w:ascii="Verdana" w:hAnsi="Verdana" w:cs="Verdana"/>
          <w:b/>
          <w:bCs/>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 (technische mutaties – uitgaven)</w:t>
      </w:r>
    </w:p>
    <w:p w:rsidRPr="000435C0" w:rsidR="00BF0B0A" w:rsidP="000435C0" w:rsidRDefault="00BF0B0A">
      <w:pPr>
        <w:spacing w:line="240" w:lineRule="exact"/>
        <w:rPr>
          <w:rFonts w:ascii="Verdana" w:hAnsi="Verdana" w:cs="Arial"/>
          <w:sz w:val="18"/>
          <w:szCs w:val="18"/>
        </w:rPr>
      </w:pPr>
      <w:r w:rsidRPr="000435C0">
        <w:rPr>
          <w:rFonts w:ascii="Verdana" w:hAnsi="Verdana" w:cs="Arial"/>
          <w:sz w:val="18"/>
          <w:szCs w:val="18"/>
        </w:rPr>
        <w:t xml:space="preserve">Er is sprake van een tekort op het BES-fonds als gevolg van de wisselkoers. Dit tekort wordt vanuit de wisselkoersreserve gecompenseerd. De wisselkoersreserve wordt aangevuld vanuit Waarborgfunctie (artikel 1), Bevorderen sociaaleconomische structuur (artikel 4) en </w:t>
      </w:r>
      <w:bookmarkStart w:name="linknaam18" w:id="1"/>
      <w:r w:rsidRPr="000435C0">
        <w:rPr>
          <w:rFonts w:ascii="Verdana" w:hAnsi="Verdana" w:cs="Arial"/>
          <w:sz w:val="18"/>
          <w:szCs w:val="18"/>
        </w:rPr>
        <w:t>Schuldsanering/lopende inschrijving/leningen</w:t>
      </w:r>
      <w:bookmarkEnd w:id="1"/>
      <w:r w:rsidRPr="000435C0">
        <w:rPr>
          <w:rFonts w:ascii="Verdana" w:hAnsi="Verdana" w:cs="Arial"/>
          <w:sz w:val="18"/>
          <w:szCs w:val="18"/>
        </w:rPr>
        <w:t xml:space="preserve"> (artikel 5), waar sprake is van meerontvangsten door de huidige wisselkoers op renteontvangsten van verstrekte leningen en bijdragen vanuit de Caribische landen. </w:t>
      </w:r>
    </w:p>
    <w:p w:rsidRPr="000435C0" w:rsidR="00BF0B0A" w:rsidP="000435C0" w:rsidRDefault="00BF0B0A">
      <w:pPr>
        <w:spacing w:line="240" w:lineRule="exact"/>
        <w:contextualSpacing/>
        <w:rPr>
          <w:rFonts w:ascii="Verdana" w:hAnsi="Verdana"/>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Lopende inschrijving Curaçao 2016</w:t>
      </w:r>
    </w:p>
    <w:p w:rsidRPr="000435C0" w:rsidR="00BF0B0A" w:rsidP="000435C0" w:rsidRDefault="00BF0B0A">
      <w:pPr>
        <w:spacing w:line="240" w:lineRule="exact"/>
        <w:contextualSpacing/>
        <w:rPr>
          <w:rFonts w:ascii="Verdana" w:hAnsi="Verdana"/>
          <w:sz w:val="18"/>
          <w:szCs w:val="18"/>
        </w:rPr>
      </w:pPr>
      <w:r w:rsidRPr="000435C0">
        <w:rPr>
          <w:rFonts w:ascii="Verdana" w:hAnsi="Verdana"/>
          <w:sz w:val="18"/>
          <w:szCs w:val="18"/>
        </w:rPr>
        <w:t xml:space="preserve">De landen Curaçao en Sint Maarten hebben op grond van de rijkswet Financieel toezicht de mogelijkheid om, via een lopende inschrijving met Nederland, leningen voor investeringen aan te gaan. De geldleningen waarop Nederland inschrijft dienen te voldoen aan de normen en criteria van de rijkswet, zoals een positief advies van het College financieel toezicht. Curaçao is op 6 juni 2016 een lening aangegaan middels de lopende inschrijving bij Nederland. De lening is ten behoeve van de financiering van onder andere  wegeninfrastructuur en de nieuwbouw en renovatie van schoolgebouwen. </w:t>
      </w:r>
    </w:p>
    <w:p w:rsidR="00BF0B0A" w:rsidP="000435C0" w:rsidRDefault="00BF0B0A">
      <w:pPr>
        <w:spacing w:line="240" w:lineRule="exact"/>
        <w:contextualSpacing/>
        <w:rPr>
          <w:rFonts w:ascii="Verdana" w:hAnsi="Verdana"/>
          <w:sz w:val="18"/>
          <w:szCs w:val="18"/>
        </w:rPr>
      </w:pPr>
    </w:p>
    <w:p w:rsidR="0028262A" w:rsidP="000435C0" w:rsidRDefault="0028262A">
      <w:pPr>
        <w:spacing w:line="240" w:lineRule="exact"/>
        <w:contextualSpacing/>
        <w:rPr>
          <w:rFonts w:ascii="Verdana" w:hAnsi="Verdana"/>
          <w:sz w:val="18"/>
          <w:szCs w:val="18"/>
        </w:rPr>
      </w:pPr>
    </w:p>
    <w:p w:rsidRPr="000435C0" w:rsidR="0028262A" w:rsidP="000435C0" w:rsidRDefault="0028262A">
      <w:pPr>
        <w:spacing w:line="240" w:lineRule="exact"/>
        <w:contextualSpacing/>
        <w:rPr>
          <w:rFonts w:ascii="Verdana" w:hAnsi="Verdana"/>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 (beleidsmatige mutaties – ontvangsten)</w:t>
      </w:r>
    </w:p>
    <w:p w:rsidRPr="000435C0" w:rsidR="00BF0B0A" w:rsidP="000435C0" w:rsidRDefault="00BF0B0A">
      <w:pPr>
        <w:spacing w:line="240" w:lineRule="exact"/>
        <w:contextualSpacing/>
        <w:rPr>
          <w:rFonts w:ascii="Verdana" w:hAnsi="Verdana"/>
          <w:sz w:val="18"/>
          <w:szCs w:val="18"/>
        </w:rPr>
      </w:pPr>
      <w:r w:rsidRPr="000435C0">
        <w:rPr>
          <w:rFonts w:ascii="Verdana" w:hAnsi="Verdana"/>
          <w:sz w:val="18"/>
          <w:szCs w:val="18"/>
        </w:rPr>
        <w:t xml:space="preserve">Dit betreffen hogere rente ontvangsten (1,8 mln.) </w:t>
      </w:r>
      <w:r w:rsidRPr="000435C0">
        <w:rPr>
          <w:rFonts w:ascii="Verdana" w:hAnsi="Verdana" w:cs="Arial"/>
          <w:sz w:val="18"/>
          <w:szCs w:val="18"/>
        </w:rPr>
        <w:t xml:space="preserve">als gevolg van </w:t>
      </w:r>
      <w:r w:rsidRPr="000435C0">
        <w:rPr>
          <w:rFonts w:ascii="Verdana" w:hAnsi="Verdana"/>
          <w:sz w:val="18"/>
          <w:szCs w:val="18"/>
        </w:rPr>
        <w:t>leningen die de landen via lopende inschrijving hebben afgesloten.</w:t>
      </w:r>
    </w:p>
    <w:p w:rsidRPr="000435C0" w:rsidR="00BF0B0A" w:rsidP="000435C0" w:rsidRDefault="00BF0B0A">
      <w:pPr>
        <w:spacing w:line="240" w:lineRule="exact"/>
        <w:contextualSpacing/>
        <w:rPr>
          <w:rFonts w:ascii="Verdana" w:hAnsi="Verdana"/>
          <w:i/>
          <w:sz w:val="18"/>
          <w:szCs w:val="18"/>
        </w:rPr>
      </w:pP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 (technische mutaties – ontvangsten)</w:t>
      </w:r>
    </w:p>
    <w:p w:rsidRPr="000435C0" w:rsidR="009726DB" w:rsidP="000435C0" w:rsidRDefault="00BF0B0A">
      <w:pPr>
        <w:spacing w:line="240" w:lineRule="exact"/>
        <w:rPr>
          <w:rFonts w:ascii="Verdana" w:hAnsi="Verdana" w:cs="Verdana"/>
          <w:b/>
          <w:bCs/>
          <w:sz w:val="18"/>
          <w:szCs w:val="18"/>
        </w:rPr>
      </w:pPr>
      <w:r w:rsidRPr="000435C0">
        <w:rPr>
          <w:rFonts w:ascii="Verdana" w:hAnsi="Verdana"/>
          <w:sz w:val="18"/>
          <w:szCs w:val="18"/>
        </w:rPr>
        <w:t>Op de rente-inkomsten op uitstaande leningen (in dollars) aan de landen in het Koninkrijk zijn wisselkoersmeevallers. Deze worden gebruikt om de wisselkoerstegenvaller op het BES-fonds op te vangen.</w:t>
      </w:r>
      <w:r w:rsidRPr="000435C0" w:rsidR="009726DB">
        <w:rPr>
          <w:rFonts w:ascii="Verdana" w:hAnsi="Verdana" w:cs="Verdana"/>
          <w:b/>
          <w:bCs/>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Buitenlandse Zaken</w:t>
      </w:r>
    </w:p>
    <w:tbl>
      <w:tblPr>
        <w:tblW w:w="9087" w:type="dxa"/>
        <w:tblCellMar>
          <w:top w:w="15" w:type="dxa"/>
          <w:left w:w="15" w:type="dxa"/>
          <w:bottom w:w="15" w:type="dxa"/>
          <w:right w:w="15" w:type="dxa"/>
        </w:tblCellMar>
        <w:tblLook w:val="04A0"/>
      </w:tblPr>
      <w:tblGrid>
        <w:gridCol w:w="8208"/>
        <w:gridCol w:w="879"/>
      </w:tblGrid>
      <w:tr w:rsidRPr="000435C0" w:rsidR="00414336" w:rsidTr="004B3DF4">
        <w:tc>
          <w:tcPr>
            <w:tcW w:w="8208" w:type="dxa"/>
            <w:tcBorders>
              <w:left w:val="nil"/>
              <w:right w:val="nil"/>
            </w:tcBorders>
            <w:hideMark/>
          </w:tcPr>
          <w:p w:rsidRPr="000435C0" w:rsidR="00414336" w:rsidP="000435C0" w:rsidRDefault="00414336">
            <w:pPr>
              <w:spacing w:line="240" w:lineRule="exact"/>
              <w:rPr>
                <w:rFonts w:ascii="Verdana" w:hAnsi="Verdana"/>
                <w:sz w:val="18"/>
                <w:szCs w:val="18"/>
              </w:rPr>
            </w:pPr>
          </w:p>
        </w:tc>
        <w:tc>
          <w:tcPr>
            <w:tcW w:w="879" w:type="dxa"/>
            <w:tcBorders>
              <w:left w:val="nil"/>
              <w:right w:val="nil"/>
            </w:tcBorders>
            <w:hideMark/>
          </w:tcPr>
          <w:p w:rsidRPr="000435C0" w:rsidR="00414336" w:rsidP="000435C0" w:rsidRDefault="00414336">
            <w:pPr>
              <w:spacing w:line="240" w:lineRule="exact"/>
              <w:rPr>
                <w:rFonts w:ascii="Verdana" w:hAnsi="Verdana"/>
                <w:sz w:val="18"/>
                <w:szCs w:val="18"/>
              </w:rPr>
            </w:pPr>
            <w:r w:rsidRPr="000435C0">
              <w:rPr>
                <w:rFonts w:ascii="Verdana" w:hAnsi="Verdana"/>
                <w:sz w:val="18"/>
                <w:szCs w:val="18"/>
              </w:rPr>
              <w:t> </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 BUITENLANDSE ZAKEN: UITGAVEN</w:t>
            </w:r>
          </w:p>
        </w:tc>
        <w:tc>
          <w:tcPr>
            <w:tcW w:w="879" w:type="dxa"/>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879"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879"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8.299,0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879"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79" w:type="dxa"/>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879"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8.299,0</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879"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1.433,6</w:t>
            </w:r>
          </w:p>
        </w:tc>
      </w:tr>
      <w:tr w:rsidRPr="000435C0" w:rsidR="00F17D33" w:rsidTr="004B3DF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879"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9.732,6</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23"/>
        <w:gridCol w:w="879"/>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 BUITENLANDSE ZAKEN: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3.414,2</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Vijfde aanvullende begroting ec 2016 perceptiekostenvergoeding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-40,8</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Vijfde aanvullende begroting ec 2016 verschuiven nl korting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-2.717,7</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-2.758,5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-2.758,5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655,7</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89,1</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744,8</w:t>
            </w:r>
          </w:p>
        </w:tc>
      </w:tr>
    </w:tbl>
    <w:p w:rsidRPr="000435C0" w:rsidR="00AA4A16" w:rsidP="000435C0" w:rsidRDefault="00AA4A16">
      <w:pPr>
        <w:spacing w:line="240" w:lineRule="exact"/>
        <w:rPr>
          <w:rFonts w:ascii="Verdana" w:hAnsi="Verdana"/>
          <w:sz w:val="18"/>
          <w:szCs w:val="18"/>
        </w:rPr>
      </w:pPr>
    </w:p>
    <w:p w:rsidRPr="001A4C86" w:rsidR="001A4C86" w:rsidP="001A4C86" w:rsidRDefault="001A4C86">
      <w:pPr>
        <w:spacing w:line="240" w:lineRule="exact"/>
        <w:contextualSpacing/>
        <w:rPr>
          <w:rFonts w:ascii="Verdana" w:hAnsi="Verdana"/>
          <w:sz w:val="18"/>
          <w:szCs w:val="18"/>
        </w:rPr>
      </w:pPr>
      <w:r w:rsidRPr="001A4C86">
        <w:rPr>
          <w:rFonts w:ascii="Verdana" w:hAnsi="Verdana"/>
          <w:sz w:val="18"/>
          <w:szCs w:val="18"/>
        </w:rPr>
        <w:t>Een overzicht van de mutaties van de EU-afdrachten sinds de Miljoenennota 2017 treft u aan in de tabel hierboven. Het Eigen Middelen Besluit is per 1 oktober in werking getreden.</w:t>
      </w:r>
      <w:r w:rsidRPr="001A4C86">
        <w:rPr>
          <w:rFonts w:ascii="Verdana" w:hAnsi="Verdana"/>
          <w:sz w:val="18"/>
        </w:rPr>
        <w:footnoteReference w:id="1"/>
      </w:r>
      <w:r w:rsidRPr="001A4C86">
        <w:rPr>
          <w:rFonts w:ascii="Verdana" w:hAnsi="Verdana"/>
          <w:sz w:val="18"/>
          <w:szCs w:val="18"/>
        </w:rPr>
        <w:t xml:space="preserve"> Dit heeft twee effecten voor Nederland die onderstaand worden toegelicht. Het kabinet heeft besloten om het kader te corrigeren voor deze effecten, aangezien de omvang van het bedrag, in combinatie met de mate waarin het kabinet hierop nog kan sturen, op gespannen voet staat het uitgangspunt dat de begrotingsregels bestuurlijke rust, eenvoud en duidelijkheid vooraf moeten bieden.</w:t>
      </w:r>
    </w:p>
    <w:p w:rsidRPr="001A4C86" w:rsidR="001A4C86" w:rsidP="001A4C86" w:rsidRDefault="001A4C86">
      <w:pPr>
        <w:spacing w:line="240" w:lineRule="exact"/>
        <w:contextualSpacing/>
        <w:rPr>
          <w:rFonts w:ascii="Verdana" w:hAnsi="Verdana"/>
          <w:sz w:val="18"/>
          <w:szCs w:val="18"/>
        </w:rPr>
      </w:pPr>
    </w:p>
    <w:p w:rsidRPr="001A4C86" w:rsidR="001A4C86" w:rsidP="001A4C86" w:rsidRDefault="001A4C86">
      <w:pPr>
        <w:spacing w:line="240" w:lineRule="exact"/>
        <w:contextualSpacing/>
        <w:rPr>
          <w:rFonts w:ascii="Verdana" w:hAnsi="Verdana"/>
          <w:i/>
          <w:sz w:val="18"/>
          <w:szCs w:val="18"/>
        </w:rPr>
      </w:pPr>
      <w:r w:rsidRPr="001A4C86">
        <w:rPr>
          <w:rFonts w:ascii="Verdana" w:hAnsi="Verdana"/>
          <w:i/>
          <w:sz w:val="18"/>
          <w:szCs w:val="18"/>
        </w:rPr>
        <w:t>Vijfde aanvullende begroting EC 2016 perceptiekostenvergoeding</w:t>
      </w:r>
    </w:p>
    <w:p w:rsidRPr="001A4C86" w:rsidR="001A4C86" w:rsidP="001A4C86" w:rsidRDefault="001A4C86">
      <w:pPr>
        <w:spacing w:line="240" w:lineRule="exact"/>
        <w:contextualSpacing/>
        <w:rPr>
          <w:rFonts w:ascii="Verdana" w:hAnsi="Verdana"/>
          <w:sz w:val="18"/>
          <w:szCs w:val="18"/>
        </w:rPr>
      </w:pPr>
      <w:r w:rsidRPr="001A4C86">
        <w:rPr>
          <w:rFonts w:ascii="Verdana" w:hAnsi="Verdana"/>
          <w:sz w:val="18"/>
          <w:szCs w:val="18"/>
        </w:rPr>
        <w:t>De verlaging van de perceptiekostenvergoeding voor de invoerrechten wordt per 1 oktober 2016 ingevoerd. Daardoor heeft Nederland in de maanden oktober tot en met december recht op 20% vergoeding in plaats van 25%. Dit zorgt in het laatste kwartaal van 2016 voor lager dan verwachte perceptiekostenvergoedingen en netto hogere Nederlandse afdrachten van 41 mln.</w:t>
      </w:r>
    </w:p>
    <w:p w:rsidRPr="001A4C86" w:rsidR="001A4C86" w:rsidP="001A4C86" w:rsidRDefault="001A4C86">
      <w:pPr>
        <w:spacing w:line="240" w:lineRule="exact"/>
        <w:contextualSpacing/>
        <w:rPr>
          <w:rFonts w:ascii="Verdana" w:hAnsi="Verdana"/>
          <w:sz w:val="18"/>
          <w:szCs w:val="18"/>
        </w:rPr>
      </w:pPr>
    </w:p>
    <w:p w:rsidRPr="001A4C86" w:rsidR="001A4C86" w:rsidP="001A4C86" w:rsidRDefault="001A4C86">
      <w:pPr>
        <w:spacing w:line="240" w:lineRule="exact"/>
        <w:contextualSpacing/>
        <w:rPr>
          <w:rFonts w:ascii="Verdana" w:hAnsi="Verdana"/>
          <w:i/>
          <w:sz w:val="18"/>
          <w:szCs w:val="18"/>
        </w:rPr>
      </w:pPr>
      <w:r w:rsidRPr="001A4C86">
        <w:rPr>
          <w:rFonts w:ascii="Verdana" w:hAnsi="Verdana"/>
          <w:i/>
          <w:sz w:val="18"/>
          <w:szCs w:val="18"/>
        </w:rPr>
        <w:t>Vijfde aanvullende begroting EC 2016 verschuiven Nederlandse korting</w:t>
      </w:r>
    </w:p>
    <w:p w:rsidRPr="001A4C86" w:rsidR="001A4C86" w:rsidP="001A4C86" w:rsidRDefault="001A4C86">
      <w:pPr>
        <w:spacing w:line="240" w:lineRule="exact"/>
        <w:contextualSpacing/>
        <w:rPr>
          <w:rFonts w:ascii="Verdana" w:hAnsi="Verdana"/>
          <w:sz w:val="18"/>
          <w:szCs w:val="18"/>
        </w:rPr>
      </w:pPr>
      <w:r w:rsidRPr="001A4C86">
        <w:rPr>
          <w:rFonts w:ascii="Verdana" w:hAnsi="Verdana"/>
          <w:sz w:val="18"/>
          <w:szCs w:val="18"/>
        </w:rPr>
        <w:t xml:space="preserve">Met de ratificatie van het Eigen Middelenbesluit zijn de kortingen op de nationale afdrachten geëffectueerd. Dit wijzigt de omvang van de nationale afdrachten en is door de Europese Commissie verwerkt in een aanvullende begroting. De aanname van deze aanvullende begroting door het Europees Parlement vindt waarschijnlijk pas laat in 2016 plaats, waardoor de feitelijke kasontvangst van de Nederlandse korting doorschuift naar 2017. </w:t>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sz w:val="18"/>
          <w:szCs w:val="18"/>
        </w:rPr>
        <w:br w:type="page"/>
      </w:r>
      <w:r w:rsidRPr="000435C0">
        <w:rPr>
          <w:rFonts w:ascii="Verdana" w:hAnsi="Verdana" w:cs="Verdana"/>
          <w:b/>
          <w:bCs/>
          <w:sz w:val="18"/>
          <w:szCs w:val="18"/>
        </w:rPr>
        <w:t>Veiligheid en Justitie</w:t>
      </w:r>
    </w:p>
    <w:tbl>
      <w:tblPr>
        <w:tblW w:w="9209" w:type="dxa"/>
        <w:tblCellMar>
          <w:top w:w="15" w:type="dxa"/>
          <w:left w:w="15" w:type="dxa"/>
          <w:bottom w:w="15" w:type="dxa"/>
          <w:right w:w="15" w:type="dxa"/>
        </w:tblCellMar>
        <w:tblLook w:val="04A0"/>
      </w:tblPr>
      <w:tblGrid>
        <w:gridCol w:w="8237"/>
        <w:gridCol w:w="972"/>
      </w:tblGrid>
      <w:tr w:rsidRPr="000435C0" w:rsidR="006C6CC2" w:rsidTr="0028262A">
        <w:tc>
          <w:tcPr>
            <w:tcW w:w="8237" w:type="dxa"/>
            <w:tcBorders>
              <w:left w:val="nil"/>
              <w:right w:val="nil"/>
            </w:tcBorders>
            <w:hideMark/>
          </w:tcPr>
          <w:p w:rsidRPr="000435C0" w:rsidR="006C6CC2" w:rsidP="000435C0" w:rsidRDefault="006C6CC2">
            <w:pPr>
              <w:spacing w:line="240" w:lineRule="exact"/>
              <w:rPr>
                <w:rFonts w:ascii="Verdana" w:hAnsi="Verdana"/>
                <w:sz w:val="18"/>
                <w:szCs w:val="18"/>
              </w:rPr>
            </w:pPr>
          </w:p>
        </w:tc>
        <w:tc>
          <w:tcPr>
            <w:tcW w:w="972" w:type="dxa"/>
            <w:tcBorders>
              <w:left w:val="nil"/>
              <w:right w:val="nil"/>
            </w:tcBorders>
            <w:hideMark/>
          </w:tcPr>
          <w:p w:rsidRPr="000435C0" w:rsidR="006C6CC2" w:rsidP="000435C0" w:rsidRDefault="006C6CC2">
            <w:pPr>
              <w:spacing w:line="240" w:lineRule="exact"/>
              <w:rPr>
                <w:rFonts w:ascii="Verdana" w:hAnsi="Verdana"/>
                <w:sz w:val="18"/>
                <w:szCs w:val="18"/>
              </w:rPr>
            </w:pPr>
            <w:r w:rsidRPr="000435C0">
              <w:rPr>
                <w:rFonts w:ascii="Verdana" w:hAnsi="Verdana"/>
                <w:sz w:val="18"/>
                <w:szCs w:val="18"/>
              </w:rPr>
              <w:t> </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VI VEILIGHEID EN JUSTITIE: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13.396,9</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Asiel: correctie dubbeltelling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-31,0</w:t>
            </w:r>
          </w:p>
        </w:tc>
      </w:tr>
      <w:tr w:rsidRPr="000435C0" w:rsidR="00F17D33" w:rsidTr="0028262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Asiel: oda-toerekening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-290,0</w:t>
            </w:r>
          </w:p>
        </w:tc>
      </w:tr>
      <w:tr w:rsidRPr="000435C0" w:rsidR="00F17D33" w:rsidTr="0028262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Dji van werk naar werk</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-25,0</w:t>
            </w:r>
          </w:p>
        </w:tc>
      </w:tr>
      <w:tr w:rsidRPr="000435C0" w:rsidR="00F17D33" w:rsidTr="0028262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Inzet lpo</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-21,5</w:t>
            </w:r>
          </w:p>
        </w:tc>
      </w:tr>
      <w:tr w:rsidRPr="000435C0" w:rsidR="00F17D33" w:rsidTr="0028262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21,8</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-345,7</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Asiel: inzet asielreserve</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173,5</w:t>
            </w:r>
          </w:p>
        </w:tc>
      </w:tr>
      <w:tr w:rsidRPr="000435C0" w:rsidR="00F17D33" w:rsidTr="0028262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-4,1</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169,4</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-176,3</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13.220,7</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34,3</w:t>
            </w:r>
          </w:p>
        </w:tc>
      </w:tr>
      <w:tr w:rsidRPr="000435C0" w:rsidR="00F17D33" w:rsidTr="0028262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13.255,0</w:t>
            </w:r>
          </w:p>
        </w:tc>
      </w:tr>
    </w:tbl>
    <w:p w:rsidRPr="000435C0" w:rsidR="00F17D33" w:rsidP="000435C0" w:rsidRDefault="00F17D33">
      <w:pPr>
        <w:spacing w:line="240" w:lineRule="exact"/>
        <w:rPr>
          <w:rFonts w:ascii="Verdana" w:hAnsi="Verdana"/>
          <w:vanish/>
          <w:sz w:val="18"/>
          <w:szCs w:val="18"/>
        </w:rPr>
      </w:pPr>
    </w:p>
    <w:tbl>
      <w:tblPr>
        <w:tblW w:w="9900" w:type="dxa"/>
        <w:tblCellMar>
          <w:top w:w="15" w:type="dxa"/>
          <w:left w:w="15" w:type="dxa"/>
          <w:bottom w:w="15" w:type="dxa"/>
          <w:right w:w="15" w:type="dxa"/>
        </w:tblCellMar>
        <w:tblLook w:val="04A0"/>
      </w:tblPr>
      <w:tblGrid>
        <w:gridCol w:w="8222"/>
        <w:gridCol w:w="1678"/>
      </w:tblGrid>
      <w:tr w:rsidRPr="000435C0" w:rsidR="00F17D33" w:rsidTr="00E661C4">
        <w:tc>
          <w:tcPr>
            <w:tcW w:w="8222"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1678"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VI VEILIGHEID EN JUSTITIE: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E661C4">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2.364,2</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E661C4">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00E661C4" w:rsidTr="00E661C4">
        <w:tc>
          <w:tcPr>
            <w:tcW w:w="0" w:type="auto"/>
            <w:tcBorders>
              <w:left w:val="nil"/>
              <w:right w:val="nil"/>
            </w:tcBorders>
            <w:tcMar>
              <w:top w:w="15" w:type="dxa"/>
              <w:left w:w="360" w:type="dxa"/>
              <w:bottom w:w="15" w:type="dxa"/>
              <w:right w:w="15" w:type="dxa"/>
            </w:tcMar>
            <w:vAlign w:val="both"/>
            <w:hideMark/>
          </w:tcPr>
          <w:p w:rsidR="00E661C4" w:rsidP="00431559" w:rsidRDefault="000012FE">
            <w:pPr>
              <w:ind w:firstLine="360" w:firstLineChars="200"/>
              <w:rPr>
                <w:rFonts w:ascii="Verdana" w:hAnsi="Verdana"/>
                <w:sz w:val="18"/>
                <w:szCs w:val="18"/>
              </w:rPr>
            </w:pPr>
            <w:r>
              <w:rPr>
                <w:rFonts w:ascii="Verdana" w:hAnsi="Verdana"/>
                <w:sz w:val="18"/>
                <w:szCs w:val="18"/>
              </w:rPr>
              <w:t>Tegenvaller boetes</w:t>
            </w:r>
            <w:r w:rsidR="00E661C4">
              <w:rPr>
                <w:rFonts w:ascii="Verdana" w:hAnsi="Verdana"/>
                <w:sz w:val="18"/>
                <w:szCs w:val="18"/>
              </w:rPr>
              <w:t xml:space="preserve"> en transacties</w:t>
            </w:r>
          </w:p>
        </w:tc>
        <w:tc>
          <w:tcPr>
            <w:tcW w:w="0" w:type="auto"/>
            <w:tcBorders>
              <w:left w:val="nil"/>
              <w:right w:val="nil"/>
            </w:tcBorders>
            <w:hideMark/>
          </w:tcPr>
          <w:p w:rsidR="00E661C4" w:rsidP="00431559" w:rsidRDefault="00E661C4">
            <w:pPr>
              <w:jc w:val="right"/>
              <w:rPr>
                <w:rFonts w:ascii="Verdana" w:hAnsi="Verdana"/>
                <w:sz w:val="18"/>
                <w:szCs w:val="18"/>
              </w:rPr>
            </w:pPr>
            <w:r>
              <w:rPr>
                <w:rFonts w:ascii="Verdana" w:hAnsi="Verdana"/>
                <w:sz w:val="18"/>
                <w:szCs w:val="18"/>
              </w:rPr>
              <w:t>-100,0</w:t>
            </w:r>
          </w:p>
        </w:tc>
      </w:tr>
      <w:tr w:rsidRPr="000435C0" w:rsidR="00F17D33" w:rsidTr="00E661C4">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Tegenvaller griffierechten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-23,8</w:t>
            </w:r>
          </w:p>
        </w:tc>
      </w:tr>
      <w:tr w:rsidRPr="000435C0" w:rsidR="00F17D33" w:rsidTr="00E661C4">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10,8</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w:t>
            </w:r>
            <w:r w:rsidR="00E661C4">
              <w:rPr>
                <w:rFonts w:ascii="Verdana" w:hAnsi="Verdana"/>
                <w:sz w:val="18"/>
                <w:szCs w:val="18"/>
              </w:rPr>
              <w:t>1</w:t>
            </w:r>
            <w:r w:rsidRPr="000435C0">
              <w:rPr>
                <w:rFonts w:ascii="Verdana" w:hAnsi="Verdana"/>
                <w:sz w:val="18"/>
                <w:szCs w:val="18"/>
              </w:rPr>
              <w:t>13,0</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E661C4">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E661C4">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Asiel: inzet asielreserve</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173,5</w:t>
            </w:r>
          </w:p>
        </w:tc>
      </w:tr>
      <w:tr w:rsidRPr="000435C0" w:rsidR="00F17D33" w:rsidTr="00E661C4">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-3,7</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169,8</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56,8</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E661C4">
            <w:pPr>
              <w:spacing w:line="240" w:lineRule="exact"/>
              <w:jc w:val="right"/>
              <w:rPr>
                <w:rFonts w:ascii="Verdana" w:hAnsi="Verdana"/>
                <w:sz w:val="18"/>
                <w:szCs w:val="18"/>
              </w:rPr>
            </w:pPr>
            <w:r>
              <w:rPr>
                <w:rFonts w:ascii="Verdana" w:hAnsi="Verdana"/>
                <w:sz w:val="18"/>
                <w:szCs w:val="18"/>
              </w:rPr>
              <w:t>2.4</w:t>
            </w:r>
            <w:r w:rsidRPr="000435C0" w:rsidR="00F17D33">
              <w:rPr>
                <w:rFonts w:ascii="Verdana" w:hAnsi="Verdana"/>
                <w:sz w:val="18"/>
                <w:szCs w:val="18"/>
              </w:rPr>
              <w:t>21,0</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E661C4">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E661C4">
            <w:pPr>
              <w:spacing w:line="240" w:lineRule="exact"/>
              <w:jc w:val="right"/>
              <w:rPr>
                <w:rFonts w:ascii="Verdana" w:hAnsi="Verdana"/>
                <w:sz w:val="18"/>
                <w:szCs w:val="18"/>
              </w:rPr>
            </w:pPr>
            <w:r>
              <w:rPr>
                <w:rFonts w:ascii="Verdana" w:hAnsi="Verdana"/>
                <w:sz w:val="18"/>
                <w:szCs w:val="18"/>
              </w:rPr>
              <w:t>2.4</w:t>
            </w:r>
            <w:r w:rsidRPr="000435C0" w:rsidR="00F17D33">
              <w:rPr>
                <w:rFonts w:ascii="Verdana" w:hAnsi="Verdana"/>
                <w:sz w:val="18"/>
                <w:szCs w:val="18"/>
              </w:rPr>
              <w:t>21,0</w:t>
            </w:r>
          </w:p>
        </w:tc>
      </w:tr>
    </w:tbl>
    <w:p w:rsidRPr="000435C0" w:rsidR="00BF0B0A" w:rsidP="000435C0" w:rsidRDefault="00BF0B0A">
      <w:pPr>
        <w:spacing w:line="240" w:lineRule="exact"/>
        <w:rPr>
          <w:rFonts w:ascii="Verdana" w:hAnsi="Verdana" w:cs="Verdana"/>
          <w:b/>
          <w:bCs/>
          <w:sz w:val="18"/>
          <w:szCs w:val="18"/>
        </w:rPr>
      </w:pPr>
    </w:p>
    <w:p w:rsidRPr="000435C0" w:rsidR="00BF0B0A" w:rsidP="000435C0" w:rsidRDefault="00BF0B0A">
      <w:pPr>
        <w:spacing w:line="240" w:lineRule="exact"/>
        <w:rPr>
          <w:rFonts w:ascii="Verdana" w:hAnsi="Verdana"/>
          <w:sz w:val="18"/>
          <w:szCs w:val="18"/>
        </w:rPr>
      </w:pPr>
      <w:r w:rsidRPr="000435C0">
        <w:rPr>
          <w:rFonts w:ascii="Verdana" w:hAnsi="Verdana"/>
          <w:i/>
          <w:sz w:val="18"/>
          <w:szCs w:val="18"/>
        </w:rPr>
        <w:t xml:space="preserve">Asiel: Correctie </w:t>
      </w:r>
      <w:r w:rsidR="0052686D">
        <w:rPr>
          <w:rFonts w:ascii="Verdana" w:hAnsi="Verdana"/>
          <w:i/>
          <w:sz w:val="18"/>
          <w:szCs w:val="18"/>
        </w:rPr>
        <w:t>toerrekening</w:t>
      </w:r>
      <w:r w:rsidRPr="000435C0">
        <w:rPr>
          <w:rFonts w:ascii="Verdana" w:hAnsi="Verdana"/>
          <w:i/>
          <w:sz w:val="18"/>
          <w:szCs w:val="18"/>
        </w:rPr>
        <w:br/>
      </w:r>
      <w:r w:rsidRPr="0052686D" w:rsidR="0052686D">
        <w:rPr>
          <w:rFonts w:ascii="Verdana" w:hAnsi="Verdana"/>
          <w:sz w:val="18"/>
          <w:szCs w:val="18"/>
        </w:rPr>
        <w:t>Uit een herrekening van de ODA-toerekening van eerstejaarsopvangkosten asiel volgt een correctie op de toerekening 2015 en 2016. Het bedrag wordt overgeboekt van de VenJ-begroting naar de BHOS-begroting</w:t>
      </w:r>
      <w:r w:rsidRPr="000435C0">
        <w:rPr>
          <w:rFonts w:ascii="Verdana" w:hAnsi="Verdana"/>
          <w:i/>
          <w:sz w:val="18"/>
          <w:szCs w:val="18"/>
        </w:rPr>
        <w:br/>
      </w:r>
    </w:p>
    <w:p w:rsidRPr="000435C0" w:rsidR="00BF0B0A" w:rsidP="000435C0" w:rsidRDefault="00BF0B0A">
      <w:pPr>
        <w:spacing w:line="240" w:lineRule="exact"/>
        <w:rPr>
          <w:rFonts w:ascii="Verdana" w:hAnsi="Verdana"/>
          <w:i/>
          <w:sz w:val="18"/>
          <w:szCs w:val="18"/>
        </w:rPr>
      </w:pPr>
      <w:r w:rsidRPr="000435C0">
        <w:rPr>
          <w:rFonts w:ascii="Verdana" w:hAnsi="Verdana"/>
          <w:i/>
          <w:sz w:val="18"/>
          <w:szCs w:val="18"/>
        </w:rPr>
        <w:t xml:space="preserve">Asiel: ODA-toerekening </w:t>
      </w:r>
      <w:r w:rsidRPr="000435C0">
        <w:rPr>
          <w:rFonts w:ascii="Verdana" w:hAnsi="Verdana"/>
          <w:sz w:val="18"/>
          <w:szCs w:val="18"/>
        </w:rPr>
        <w:br/>
        <w:t xml:space="preserve">Als gevolg van de lager dan verwachte asielinstroom in 2016 moet VenJ een deel van de ODA-toerekening voor de eerstejaarsopvang van asielzoekers terugboeken naar de begroting Buitenlandse Handel en Ontwikkelingssamenwerking. Dit wordt gedekt door meevallers bij COA, IND, Nidos en DT&amp;V. Het resterende tekort wordt opgevangen door inzet van de asielreserve (zie ook </w:t>
      </w:r>
      <w:r w:rsidRPr="000435C0">
        <w:rPr>
          <w:rFonts w:ascii="Verdana" w:hAnsi="Verdana"/>
          <w:i/>
          <w:sz w:val="18"/>
          <w:szCs w:val="18"/>
        </w:rPr>
        <w:t>Ontvangsten – Asiel: inzet asielreserve</w:t>
      </w:r>
      <w:r w:rsidRPr="000435C0">
        <w:rPr>
          <w:rFonts w:ascii="Verdana" w:hAnsi="Verdana"/>
          <w:sz w:val="18"/>
          <w:szCs w:val="18"/>
        </w:rPr>
        <w:t xml:space="preserve">). </w:t>
      </w:r>
      <w:r w:rsidRPr="000435C0">
        <w:rPr>
          <w:rFonts w:ascii="Verdana" w:hAnsi="Verdana"/>
          <w:sz w:val="18"/>
          <w:szCs w:val="18"/>
        </w:rPr>
        <w:br/>
      </w:r>
      <w:r w:rsidRPr="000435C0">
        <w:rPr>
          <w:rFonts w:ascii="Verdana" w:hAnsi="Verdana"/>
          <w:sz w:val="18"/>
          <w:szCs w:val="18"/>
        </w:rPr>
        <w:br/>
      </w:r>
      <w:r w:rsidRPr="000435C0">
        <w:rPr>
          <w:rFonts w:ascii="Verdana" w:hAnsi="Verdana"/>
          <w:i/>
          <w:sz w:val="18"/>
          <w:szCs w:val="18"/>
        </w:rPr>
        <w:t>DJI van werk naar werk</w:t>
      </w:r>
    </w:p>
    <w:p w:rsidRPr="000435C0" w:rsidR="00BF0B0A" w:rsidP="000435C0" w:rsidRDefault="00BF0B0A">
      <w:pPr>
        <w:spacing w:line="240" w:lineRule="exact"/>
        <w:rPr>
          <w:rFonts w:ascii="Verdana" w:hAnsi="Verdana"/>
          <w:sz w:val="18"/>
          <w:szCs w:val="18"/>
        </w:rPr>
      </w:pPr>
      <w:r w:rsidRPr="000435C0">
        <w:rPr>
          <w:rFonts w:ascii="Verdana" w:hAnsi="Verdana"/>
          <w:sz w:val="18"/>
          <w:szCs w:val="18"/>
        </w:rPr>
        <w:t>De kasbehoefte in 2016 bij DJI voor het VWNW-beleid is lager dan het beschikbare budget. Deels gaat de uitstroom in de vrijwillige fase voorspoediger dan geraamd. Daarnaast is een deel van de uitgaven reeds in 2015 gefinancierd uit het resultaat van DJI.  Midd</w:t>
      </w:r>
      <w:bookmarkStart w:name="_GoBack" w:id="2"/>
      <w:bookmarkEnd w:id="2"/>
      <w:r w:rsidRPr="000435C0">
        <w:rPr>
          <w:rFonts w:ascii="Verdana" w:hAnsi="Verdana"/>
          <w:sz w:val="18"/>
          <w:szCs w:val="18"/>
        </w:rPr>
        <w:t>els deze mutatie wordt het beschikbaar budget met de behoefte in lijn gebracht.</w:t>
      </w:r>
      <w:r w:rsidRPr="000435C0">
        <w:rPr>
          <w:rFonts w:ascii="Verdana" w:hAnsi="Verdana"/>
          <w:sz w:val="18"/>
          <w:szCs w:val="18"/>
        </w:rPr>
        <w:br/>
      </w:r>
    </w:p>
    <w:p w:rsidRPr="000435C0" w:rsidR="00BF0B0A" w:rsidP="000435C0" w:rsidRDefault="00BF0B0A">
      <w:pPr>
        <w:spacing w:line="240" w:lineRule="exact"/>
        <w:rPr>
          <w:rFonts w:ascii="Verdana" w:hAnsi="Verdana"/>
          <w:sz w:val="18"/>
          <w:szCs w:val="18"/>
        </w:rPr>
      </w:pPr>
      <w:r w:rsidRPr="000435C0">
        <w:rPr>
          <w:rFonts w:ascii="Verdana" w:hAnsi="Verdana"/>
          <w:i/>
          <w:sz w:val="18"/>
          <w:szCs w:val="18"/>
        </w:rPr>
        <w:t>Inzet LPO</w:t>
      </w:r>
      <w:r w:rsidRPr="000435C0">
        <w:rPr>
          <w:rFonts w:ascii="Verdana" w:hAnsi="Verdana"/>
          <w:i/>
          <w:sz w:val="18"/>
          <w:szCs w:val="18"/>
        </w:rPr>
        <w:br/>
      </w:r>
      <w:r w:rsidRPr="000435C0">
        <w:rPr>
          <w:rFonts w:ascii="Verdana" w:hAnsi="Verdana"/>
          <w:sz w:val="18"/>
          <w:szCs w:val="18"/>
        </w:rPr>
        <w:t xml:space="preserve">De  prijsbijstelling 2016 wordt ingezet ter dekking van problematiek op de VenJ-begroting. </w:t>
      </w:r>
      <w:r w:rsidRPr="000435C0">
        <w:rPr>
          <w:rFonts w:ascii="Verdana" w:hAnsi="Verdana"/>
          <w:i/>
          <w:sz w:val="18"/>
          <w:szCs w:val="18"/>
        </w:rPr>
        <w:br/>
      </w:r>
      <w:r w:rsidRPr="000435C0">
        <w:rPr>
          <w:rFonts w:ascii="Verdana" w:hAnsi="Verdana"/>
          <w:i/>
          <w:sz w:val="18"/>
          <w:szCs w:val="18"/>
        </w:rPr>
        <w:br/>
        <w:t>Diversen (beleidmatige mutaties)</w:t>
      </w:r>
      <w:r w:rsidRPr="000435C0">
        <w:rPr>
          <w:rFonts w:ascii="Verdana" w:hAnsi="Verdana"/>
          <w:i/>
          <w:sz w:val="18"/>
          <w:szCs w:val="18"/>
        </w:rPr>
        <w:br/>
      </w:r>
      <w:r w:rsidRPr="000435C0">
        <w:rPr>
          <w:rFonts w:ascii="Verdana" w:hAnsi="Verdana"/>
          <w:sz w:val="18"/>
          <w:szCs w:val="18"/>
        </w:rPr>
        <w:t xml:space="preserve">De post diversen is een optelling van verschillende mee- en tegenvallers, waaronder een tegenvaller van 8 mln. bij het OM en tegenvaller van 5,5 mln. gerechtskosten bij het OM. </w:t>
      </w:r>
    </w:p>
    <w:p w:rsidRPr="000435C0" w:rsidR="00BF0B0A" w:rsidP="000435C0" w:rsidRDefault="00BF0B0A">
      <w:pPr>
        <w:spacing w:line="240" w:lineRule="exact"/>
        <w:rPr>
          <w:rFonts w:ascii="Verdana" w:hAnsi="Verdana"/>
          <w:sz w:val="18"/>
          <w:szCs w:val="18"/>
        </w:rPr>
      </w:pPr>
    </w:p>
    <w:p w:rsidRPr="000435C0" w:rsidR="00BF0B0A" w:rsidP="000435C0" w:rsidRDefault="00BF0B0A">
      <w:pPr>
        <w:spacing w:line="240" w:lineRule="exact"/>
        <w:rPr>
          <w:rFonts w:ascii="Verdana" w:hAnsi="Verdana"/>
          <w:i/>
          <w:sz w:val="18"/>
          <w:szCs w:val="18"/>
        </w:rPr>
      </w:pPr>
      <w:r w:rsidRPr="000435C0">
        <w:rPr>
          <w:rFonts w:ascii="Verdana" w:hAnsi="Verdana"/>
          <w:i/>
          <w:sz w:val="18"/>
          <w:szCs w:val="18"/>
        </w:rPr>
        <w:t>Asiel: inzet asielreserve</w:t>
      </w:r>
      <w:r w:rsidRPr="000435C0">
        <w:rPr>
          <w:rFonts w:ascii="Verdana" w:hAnsi="Verdana"/>
          <w:i/>
          <w:sz w:val="18"/>
          <w:szCs w:val="18"/>
        </w:rPr>
        <w:br/>
      </w:r>
      <w:r w:rsidRPr="000435C0">
        <w:rPr>
          <w:rFonts w:ascii="Verdana" w:hAnsi="Verdana"/>
          <w:sz w:val="18"/>
          <w:szCs w:val="18"/>
        </w:rPr>
        <w:t xml:space="preserve">Als gevolg van de lager dan verwachte asielinstroom in 2016, moet VenJ een deel van de ODA-toerekening voor de eerstejaarsopvang van asielzoekers terugboeken naar de begroting van Buitenlandse Handel en Ontwikkelingssamenwerking, terwijl een deel van de besparingen pas later optreedt. Via de asielreserve wordt dit probleem in timing opgevangen (zie ook </w:t>
      </w:r>
      <w:r w:rsidRPr="000435C0">
        <w:rPr>
          <w:rFonts w:ascii="Verdana" w:hAnsi="Verdana"/>
          <w:i/>
          <w:sz w:val="18"/>
          <w:szCs w:val="18"/>
        </w:rPr>
        <w:t>Ontvangsten – Asiel: inzet asielreserve)</w:t>
      </w:r>
    </w:p>
    <w:p w:rsidRPr="000012FE" w:rsidR="00BF0B0A" w:rsidP="00867E4F" w:rsidRDefault="00BF0B0A">
      <w:pPr>
        <w:spacing w:line="240" w:lineRule="exact"/>
        <w:rPr>
          <w:rFonts w:ascii="Verdana" w:hAnsi="Verdana"/>
          <w:sz w:val="18"/>
          <w:szCs w:val="18"/>
        </w:rPr>
      </w:pPr>
    </w:p>
    <w:p w:rsidRPr="000012FE" w:rsidR="000012FE" w:rsidP="00867E4F" w:rsidRDefault="000012FE">
      <w:pPr>
        <w:spacing w:line="240" w:lineRule="exact"/>
        <w:rPr>
          <w:rFonts w:ascii="Verdana" w:hAnsi="Verdana"/>
          <w:i/>
          <w:iCs/>
          <w:sz w:val="18"/>
          <w:szCs w:val="18"/>
        </w:rPr>
      </w:pPr>
      <w:r w:rsidRPr="000012FE">
        <w:rPr>
          <w:rFonts w:ascii="Verdana" w:hAnsi="Verdana"/>
          <w:i/>
          <w:iCs/>
          <w:sz w:val="18"/>
          <w:szCs w:val="18"/>
        </w:rPr>
        <w:t>Tegenvaller boetes en transacties</w:t>
      </w:r>
      <w:r w:rsidRPr="000012FE">
        <w:rPr>
          <w:rFonts w:ascii="Verdana" w:hAnsi="Verdana"/>
          <w:i/>
          <w:iCs/>
          <w:sz w:val="18"/>
          <w:szCs w:val="18"/>
        </w:rPr>
        <w:br/>
      </w:r>
      <w:r w:rsidRPr="000012FE">
        <w:rPr>
          <w:rFonts w:ascii="Verdana" w:hAnsi="Verdana"/>
          <w:sz w:val="18"/>
          <w:szCs w:val="18"/>
        </w:rPr>
        <w:t xml:space="preserve">Er doet zich een tegenvaller voor van 100 mln. bij boetes en transacties. De tegenvaller kan o.a. verklaard worden door het lagere aantal boetes dat ten opzichte van de raming is opgelegd door de teams Verkeer en de basisteams van de politie en het aantal strafbeschikkingen dat is opgelegd. Voor de teams Verkeer van de politie geldt dat er een relatief hoog vacaturepercentage is, die door de reorganisatie tijdelijk niet konden worden ingevuld. Daarnaast heeft er in het voorjaar een software-update van de mobiele radarsets plaatsgevonden, waardoor deze een periode niet konden worden gebruikt. Ook werken de na-effecten van de CAO-acties van de politie nog enige tijd door en hebben de basisteams van de politie andere prioriteiten gekregen. </w:t>
      </w:r>
    </w:p>
    <w:p w:rsidR="000012FE" w:rsidP="00867E4F" w:rsidRDefault="000012FE">
      <w:pPr>
        <w:spacing w:line="240" w:lineRule="exact"/>
        <w:rPr>
          <w:rFonts w:ascii="Verdana" w:hAnsi="Verdana"/>
          <w:i/>
          <w:sz w:val="18"/>
          <w:szCs w:val="18"/>
        </w:rPr>
      </w:pPr>
    </w:p>
    <w:p w:rsidRPr="000435C0" w:rsidR="00BF0B0A" w:rsidP="00867E4F" w:rsidRDefault="00BF0B0A">
      <w:pPr>
        <w:spacing w:line="240" w:lineRule="exact"/>
        <w:rPr>
          <w:rFonts w:ascii="Verdana" w:hAnsi="Verdana"/>
          <w:i/>
          <w:sz w:val="18"/>
          <w:szCs w:val="18"/>
        </w:rPr>
      </w:pPr>
      <w:r w:rsidRPr="000435C0">
        <w:rPr>
          <w:rFonts w:ascii="Verdana" w:hAnsi="Verdana"/>
          <w:i/>
          <w:sz w:val="18"/>
          <w:szCs w:val="18"/>
        </w:rPr>
        <w:t>Tegenvaller griffierechten</w:t>
      </w:r>
    </w:p>
    <w:p w:rsidRPr="000435C0" w:rsidR="00BF0B0A" w:rsidP="00867E4F" w:rsidRDefault="00BF0B0A">
      <w:pPr>
        <w:spacing w:line="240" w:lineRule="exact"/>
        <w:ind w:hanging="1"/>
        <w:rPr>
          <w:rFonts w:ascii="Verdana" w:hAnsi="Verdana"/>
          <w:sz w:val="18"/>
          <w:szCs w:val="18"/>
        </w:rPr>
      </w:pPr>
      <w:r w:rsidRPr="000435C0">
        <w:rPr>
          <w:rFonts w:ascii="Verdana" w:hAnsi="Verdana"/>
          <w:sz w:val="18"/>
          <w:szCs w:val="18"/>
        </w:rPr>
        <w:t>Bij de griffie ontvangst wordt een lagere instroom van zaken verwacht dan eerder geraamd. Deze tegenvaller wordt in  het totaalbeeld binnen VenJ verwerkt.</w:t>
      </w:r>
    </w:p>
    <w:p w:rsidRPr="000435C0" w:rsidR="00BF0B0A" w:rsidP="000435C0" w:rsidRDefault="00BF0B0A">
      <w:pPr>
        <w:spacing w:line="240" w:lineRule="exact"/>
        <w:rPr>
          <w:rFonts w:ascii="Verdana" w:hAnsi="Verdana"/>
          <w:sz w:val="18"/>
          <w:szCs w:val="18"/>
        </w:rPr>
      </w:pPr>
    </w:p>
    <w:p w:rsidRPr="000435C0" w:rsidR="00BF0B0A" w:rsidP="000435C0" w:rsidRDefault="00BF0B0A">
      <w:pPr>
        <w:spacing w:line="240" w:lineRule="exact"/>
        <w:rPr>
          <w:rFonts w:ascii="Verdana" w:hAnsi="Verdana"/>
          <w:sz w:val="18"/>
          <w:szCs w:val="18"/>
        </w:rPr>
      </w:pPr>
      <w:r w:rsidRPr="000435C0">
        <w:rPr>
          <w:rFonts w:ascii="Verdana" w:hAnsi="Verdana"/>
          <w:i/>
          <w:sz w:val="18"/>
          <w:szCs w:val="18"/>
        </w:rPr>
        <w:t>Diversen (beleidmatige mutaties)</w:t>
      </w:r>
      <w:r w:rsidRPr="000435C0">
        <w:rPr>
          <w:rFonts w:ascii="Verdana" w:hAnsi="Verdana"/>
          <w:i/>
          <w:sz w:val="18"/>
          <w:szCs w:val="18"/>
        </w:rPr>
        <w:br/>
      </w:r>
      <w:r w:rsidRPr="000435C0">
        <w:rPr>
          <w:rFonts w:ascii="Verdana" w:hAnsi="Verdana"/>
          <w:sz w:val="18"/>
          <w:szCs w:val="18"/>
        </w:rPr>
        <w:t xml:space="preserve">De post diversen is een optelling van verschillende mee- en tegenvallers, waaronder een schikking met automobielhandel Pon van ca. 12 mln. die grotendeels vrijvalt t.b.v. het generale beeld.  </w:t>
      </w:r>
    </w:p>
    <w:p w:rsidRPr="000435C0" w:rsidR="00BF0B0A" w:rsidP="000435C0" w:rsidRDefault="00BF0B0A">
      <w:pPr>
        <w:spacing w:line="240" w:lineRule="exact"/>
        <w:rPr>
          <w:rFonts w:ascii="Verdana" w:hAnsi="Verdana"/>
          <w:sz w:val="18"/>
          <w:szCs w:val="18"/>
        </w:rPr>
      </w:pPr>
    </w:p>
    <w:p w:rsidRPr="000435C0" w:rsidR="00BF0B0A" w:rsidP="000435C0" w:rsidRDefault="00BF0B0A">
      <w:pPr>
        <w:spacing w:line="240" w:lineRule="exact"/>
        <w:rPr>
          <w:rFonts w:ascii="Verdana" w:hAnsi="Verdana"/>
          <w:i/>
          <w:sz w:val="18"/>
          <w:szCs w:val="18"/>
        </w:rPr>
      </w:pPr>
      <w:r w:rsidRPr="000435C0">
        <w:rPr>
          <w:rFonts w:ascii="Verdana" w:hAnsi="Verdana"/>
          <w:i/>
          <w:sz w:val="18"/>
          <w:szCs w:val="18"/>
        </w:rPr>
        <w:t>Asiel: inzet asielreserve</w:t>
      </w:r>
    </w:p>
    <w:p w:rsidRPr="000435C0" w:rsidR="00D57CD6" w:rsidP="000435C0" w:rsidRDefault="00BF0B0A">
      <w:pPr>
        <w:spacing w:line="240" w:lineRule="exact"/>
        <w:rPr>
          <w:rFonts w:ascii="Verdana" w:hAnsi="Verdana" w:cs="Verdana"/>
          <w:b/>
          <w:bCs/>
          <w:sz w:val="18"/>
          <w:szCs w:val="18"/>
        </w:rPr>
      </w:pPr>
      <w:r w:rsidRPr="000435C0">
        <w:rPr>
          <w:rFonts w:ascii="Verdana" w:hAnsi="Verdana"/>
          <w:sz w:val="18"/>
          <w:szCs w:val="18"/>
        </w:rPr>
        <w:t xml:space="preserve">Als gevolg van de lager dan verwachte asielinstroom in 2016, moet VenJ een deel van de ODA-toerekening voor de eerstejaarsopvang van asielzoekers terugboeken naar de begroting van Buitenlandse Handel en Ontwikkelingssamenwerking, terwijl een deel van de besparingen pas later optreedt. Via de asielreserve wordt dit probleem in timing opgevangen. </w:t>
      </w:r>
      <w:r w:rsidRPr="000435C0" w:rsidR="00D57CD6">
        <w:rPr>
          <w:rFonts w:ascii="Verdana" w:hAnsi="Verdana" w:cs="Verdana"/>
          <w:b/>
          <w:bCs/>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Binnenlandse Zaken</w:t>
      </w:r>
    </w:p>
    <w:p w:rsidRPr="000435C0" w:rsidR="00F17D33" w:rsidP="000435C0" w:rsidRDefault="00F17D33">
      <w:pPr>
        <w:spacing w:line="240" w:lineRule="exact"/>
        <w:rPr>
          <w:rFonts w:ascii="Verdana" w:hAnsi="Verdana" w:cs="Courier New"/>
          <w:sz w:val="18"/>
          <w:szCs w:val="18"/>
        </w:rPr>
      </w:pPr>
    </w:p>
    <w:tbl>
      <w:tblPr>
        <w:tblW w:w="0" w:type="auto"/>
        <w:tblCellMar>
          <w:top w:w="15" w:type="dxa"/>
          <w:left w:w="15" w:type="dxa"/>
          <w:bottom w:w="15" w:type="dxa"/>
          <w:right w:w="15" w:type="dxa"/>
        </w:tblCellMar>
        <w:tblLook w:val="04A0"/>
      </w:tblPr>
      <w:tblGrid>
        <w:gridCol w:w="8237"/>
        <w:gridCol w:w="850"/>
      </w:tblGrid>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VII BINNENLANDSE ZAKEN EN KONINKRIJKSRELATIES: UITGAVEN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BF0B0A">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902,5</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BF0B0A">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BF0B0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-3,8</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-3,8</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BF0B0A">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BF0B0A">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47,2</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47,2</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43,4</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17D33" w:rsidP="000435C0" w:rsidRDefault="00F17D33">
            <w:pPr>
              <w:spacing w:line="240" w:lineRule="exact"/>
              <w:rPr>
                <w:rFonts w:ascii="Verdana" w:hAnsi="Verdana"/>
                <w:sz w:val="18"/>
                <w:szCs w:val="18"/>
              </w:rPr>
            </w:pP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945,8</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0,2</w:t>
            </w:r>
          </w:p>
        </w:tc>
      </w:tr>
      <w:tr w:rsidRPr="000435C0" w:rsidR="00F17D33" w:rsidTr="00BF0B0A">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946,0</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2"/>
        <w:gridCol w:w="860"/>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VII BINNENLANDSE ZAKEN EN KONINKRIJKSRELATIES: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204,1</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225,0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225,0</w:t>
            </w:r>
          </w:p>
        </w:tc>
      </w:tr>
    </w:tbl>
    <w:p w:rsidRPr="000435C0" w:rsidR="00265F81" w:rsidP="000435C0" w:rsidRDefault="00265F81">
      <w:pPr>
        <w:spacing w:line="240" w:lineRule="exact"/>
        <w:rPr>
          <w:rFonts w:ascii="Verdana" w:hAnsi="Verdana" w:cs="Courier New"/>
          <w:sz w:val="18"/>
          <w:szCs w:val="18"/>
        </w:rPr>
      </w:pPr>
      <w:r w:rsidRPr="000435C0">
        <w:rPr>
          <w:rFonts w:ascii="Verdana" w:hAnsi="Verdana" w:cs="Courier New"/>
          <w:sz w:val="18"/>
          <w:szCs w:val="18"/>
        </w:rPr>
        <w:t xml:space="preserve"> </w:t>
      </w:r>
    </w:p>
    <w:p w:rsidRPr="000435C0" w:rsidR="00BF0B0A" w:rsidP="000435C0" w:rsidRDefault="00BF0B0A">
      <w:pPr>
        <w:spacing w:line="240" w:lineRule="exact"/>
        <w:contextualSpacing/>
        <w:rPr>
          <w:rFonts w:ascii="Verdana" w:hAnsi="Verdana"/>
          <w:i/>
          <w:sz w:val="18"/>
          <w:szCs w:val="18"/>
        </w:rPr>
      </w:pPr>
      <w:r w:rsidRPr="000435C0">
        <w:rPr>
          <w:rFonts w:ascii="Verdana" w:hAnsi="Verdana"/>
          <w:i/>
          <w:sz w:val="18"/>
          <w:szCs w:val="18"/>
        </w:rPr>
        <w:t>Diversen (technische mutaties – uitgaven/ontvangsten)</w:t>
      </w:r>
    </w:p>
    <w:p w:rsidR="00BF0B0A" w:rsidP="000435C0" w:rsidRDefault="00BF0B0A">
      <w:pPr>
        <w:spacing w:line="240" w:lineRule="exact"/>
        <w:contextualSpacing/>
        <w:rPr>
          <w:rFonts w:ascii="Verdana" w:hAnsi="Verdana"/>
          <w:sz w:val="18"/>
          <w:szCs w:val="18"/>
        </w:rPr>
      </w:pPr>
      <w:r w:rsidRPr="000435C0">
        <w:rPr>
          <w:rFonts w:ascii="Verdana" w:hAnsi="Verdana"/>
          <w:sz w:val="18"/>
          <w:szCs w:val="18"/>
        </w:rPr>
        <w:t xml:space="preserve">De departementen die betrokken zijn bij de Generieke Digitale Infrastructuur boeken hun aandeel in de doorbelastingsopgave voor 2017 en 2018 nu over naar de begroting van Binnenlandse Zaken en Koninkrijksrelaties (totaal 24,8 mln.). </w:t>
      </w:r>
    </w:p>
    <w:p w:rsidRPr="000435C0" w:rsidR="00EE3410" w:rsidP="000435C0" w:rsidRDefault="00EE3410">
      <w:pPr>
        <w:spacing w:line="240" w:lineRule="exact"/>
        <w:contextualSpacing/>
        <w:rPr>
          <w:rFonts w:ascii="Verdana" w:hAnsi="Verdana"/>
          <w:sz w:val="18"/>
          <w:szCs w:val="18"/>
        </w:rPr>
      </w:pPr>
    </w:p>
    <w:p w:rsidRPr="000435C0" w:rsidR="00EE3410" w:rsidP="00EE3410" w:rsidRDefault="00EE3410">
      <w:pPr>
        <w:spacing w:line="240" w:lineRule="exact"/>
        <w:contextualSpacing/>
        <w:rPr>
          <w:rFonts w:ascii="Verdana" w:hAnsi="Verdana"/>
          <w:sz w:val="18"/>
          <w:szCs w:val="18"/>
        </w:rPr>
      </w:pPr>
      <w:r w:rsidRPr="000435C0">
        <w:rPr>
          <w:rFonts w:ascii="Verdana" w:hAnsi="Verdana"/>
          <w:sz w:val="18"/>
          <w:szCs w:val="18"/>
        </w:rPr>
        <w:t xml:space="preserve">Daarnaast </w:t>
      </w:r>
      <w:r>
        <w:rPr>
          <w:rFonts w:ascii="Verdana" w:hAnsi="Verdana"/>
          <w:sz w:val="18"/>
          <w:szCs w:val="18"/>
        </w:rPr>
        <w:t>valt</w:t>
      </w:r>
      <w:r w:rsidRPr="000435C0">
        <w:rPr>
          <w:rFonts w:ascii="Verdana" w:hAnsi="Verdana"/>
          <w:sz w:val="18"/>
          <w:szCs w:val="18"/>
        </w:rPr>
        <w:t xml:space="preserve"> </w:t>
      </w:r>
      <w:r w:rsidRPr="000435C0">
        <w:rPr>
          <w:rFonts w:ascii="Verdana" w:hAnsi="Verdana" w:cs="Arial"/>
          <w:color w:val="000000"/>
          <w:sz w:val="18"/>
          <w:szCs w:val="18"/>
        </w:rPr>
        <w:t xml:space="preserve">de omvang van  de </w:t>
      </w:r>
      <w:r w:rsidRPr="000435C0">
        <w:rPr>
          <w:rFonts w:ascii="Verdana" w:hAnsi="Verdana"/>
          <w:sz w:val="18"/>
          <w:szCs w:val="18"/>
        </w:rPr>
        <w:t>Dienstverlenings-overeenkomsten 2016 (DVA) over de dienstverlening tussen de baten-lastenagentschappen die via het kerndepartement lopen 9 mln. hoger uit.</w:t>
      </w:r>
    </w:p>
    <w:p w:rsidRPr="000435C0" w:rsidR="00C14317" w:rsidP="000435C0" w:rsidRDefault="00C14317">
      <w:pPr>
        <w:spacing w:line="240" w:lineRule="exact"/>
        <w:rPr>
          <w:rFonts w:ascii="Verdana" w:hAnsi="Verdana" w:cs="Courier New"/>
          <w:i/>
          <w:sz w:val="18"/>
          <w:szCs w:val="18"/>
        </w:rPr>
      </w:pPr>
      <w:r w:rsidRPr="000435C0">
        <w:rPr>
          <w:rFonts w:ascii="Verdana" w:hAnsi="Verdana" w:cs="Courier New"/>
          <w:i/>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Onderwijs, Cultuur en wetenschap</w:t>
      </w:r>
    </w:p>
    <w:p w:rsidRPr="000435C0" w:rsidR="00F17D33" w:rsidP="000435C0" w:rsidRDefault="00F17D33">
      <w:pPr>
        <w:spacing w:line="240" w:lineRule="exact"/>
        <w:rPr>
          <w:rFonts w:ascii="Verdana" w:hAnsi="Verdana"/>
          <w:b/>
          <w:sz w:val="18"/>
          <w:szCs w:val="18"/>
        </w:rPr>
      </w:pPr>
    </w:p>
    <w:tbl>
      <w:tblPr>
        <w:tblW w:w="0" w:type="auto"/>
        <w:tblCellMar>
          <w:top w:w="15" w:type="dxa"/>
          <w:left w:w="15" w:type="dxa"/>
          <w:bottom w:w="15" w:type="dxa"/>
          <w:right w:w="15" w:type="dxa"/>
        </w:tblCellMar>
        <w:tblLook w:val="04A0"/>
      </w:tblPr>
      <w:tblGrid>
        <w:gridCol w:w="8237"/>
        <w:gridCol w:w="848"/>
      </w:tblGrid>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VIII ONDERWIJS, CULTUUR EN WETENSCHAP: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38.722,9</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Mee- en tegenvallers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-65,8</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-65,8</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-3,7</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-3,7</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-6,6</w:t>
            </w: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15,0</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8,4</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-61,1</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38.661,8</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63,0</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38.724,7</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22"/>
        <w:gridCol w:w="880"/>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VIII ONDERWIJS, CULTUUR EN WETENSCHAP: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1.312,5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Mee- en tegenvallers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-11,2</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-11,2</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11,8</w:t>
            </w: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-15,0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-3,2</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-14,4</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1.298,1</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1.298,1</w:t>
            </w:r>
          </w:p>
        </w:tc>
      </w:tr>
    </w:tbl>
    <w:p w:rsidRPr="000435C0" w:rsidR="004B3DF4" w:rsidP="000435C0" w:rsidRDefault="004B3DF4">
      <w:pPr>
        <w:spacing w:line="240" w:lineRule="exact"/>
        <w:rPr>
          <w:rFonts w:ascii="Verdana" w:hAnsi="Verdana"/>
          <w:b/>
          <w:sz w:val="18"/>
          <w:szCs w:val="18"/>
        </w:rPr>
      </w:pPr>
    </w:p>
    <w:p w:rsidRPr="000435C0" w:rsidR="008D7566" w:rsidP="008D7566" w:rsidRDefault="008D7566">
      <w:pPr>
        <w:spacing w:line="240" w:lineRule="exact"/>
        <w:rPr>
          <w:rFonts w:ascii="Verdana" w:hAnsi="Verdana"/>
          <w:i/>
          <w:sz w:val="18"/>
          <w:szCs w:val="18"/>
        </w:rPr>
      </w:pPr>
      <w:r w:rsidRPr="000435C0">
        <w:rPr>
          <w:rFonts w:ascii="Verdana" w:hAnsi="Verdana"/>
          <w:i/>
          <w:sz w:val="18"/>
          <w:szCs w:val="18"/>
        </w:rPr>
        <w:t>Diversen (mee- en tegenvallers)</w:t>
      </w:r>
    </w:p>
    <w:p w:rsidRPr="000435C0" w:rsidR="008D7566" w:rsidP="008D7566" w:rsidRDefault="008D7566">
      <w:pPr>
        <w:spacing w:line="240" w:lineRule="exact"/>
        <w:rPr>
          <w:rFonts w:ascii="Verdana" w:hAnsi="Verdana"/>
          <w:sz w:val="18"/>
          <w:szCs w:val="18"/>
        </w:rPr>
      </w:pPr>
      <w:r w:rsidRPr="000435C0">
        <w:rPr>
          <w:rFonts w:ascii="Verdana" w:hAnsi="Verdana"/>
          <w:sz w:val="18"/>
          <w:szCs w:val="18"/>
        </w:rPr>
        <w:t>Dit betreft het saldo van diverse mee- en tegenvallers. Voorbeelden hiervan zijn tegenvallers in het voortgezet onderwijs doordat de realisatie van het aantal leerlingen hoger is dan wat was geraamd (12,8 ml</w:t>
      </w:r>
      <w:r>
        <w:rPr>
          <w:rFonts w:ascii="Verdana" w:hAnsi="Verdana"/>
          <w:sz w:val="18"/>
          <w:szCs w:val="18"/>
        </w:rPr>
        <w:t xml:space="preserve">n.) </w:t>
      </w:r>
      <w:r w:rsidRPr="008D7566">
        <w:rPr>
          <w:rFonts w:ascii="Verdana" w:hAnsi="Verdana"/>
          <w:sz w:val="18"/>
          <w:szCs w:val="18"/>
        </w:rPr>
        <w:t>en door de doorwerking van een grotere instroom van asielzoekers en vreemdelingen</w:t>
      </w:r>
      <w:r w:rsidRPr="000435C0">
        <w:rPr>
          <w:rFonts w:ascii="Verdana" w:hAnsi="Verdana"/>
          <w:sz w:val="18"/>
          <w:szCs w:val="18"/>
        </w:rPr>
        <w:t xml:space="preserve"> (23,4 mln.). Daartegenover staan meevallers in het primair onderwijs op de subsidies (-21 mln.) en op de bekostiging door de afloop van tijdelijke regelingen (-14 mln.). In het beroepsonderwijs is er een meevaller van 19 mln. op de regeling voortijdig schoolverlaten. Tenslotte zijn de uitgaven aan de basisbeurs en de aanvullende beurs naar beneden bijgesteld op basis van realisatiecijfers (-18 mln.).  </w:t>
      </w:r>
    </w:p>
    <w:p w:rsidRPr="000435C0" w:rsidR="008D7566" w:rsidP="008D7566" w:rsidRDefault="008D7566">
      <w:pPr>
        <w:spacing w:line="240" w:lineRule="exact"/>
        <w:rPr>
          <w:rFonts w:ascii="Verdana" w:hAnsi="Verdana"/>
          <w:i/>
          <w:sz w:val="18"/>
          <w:szCs w:val="18"/>
        </w:rPr>
      </w:pPr>
    </w:p>
    <w:p w:rsidRPr="000435C0" w:rsidR="008D7566" w:rsidP="008D7566" w:rsidRDefault="008D7566">
      <w:pPr>
        <w:spacing w:line="240" w:lineRule="exact"/>
        <w:rPr>
          <w:rFonts w:ascii="Verdana" w:hAnsi="Verdana"/>
          <w:i/>
          <w:sz w:val="18"/>
          <w:szCs w:val="18"/>
        </w:rPr>
      </w:pPr>
      <w:r w:rsidRPr="000435C0">
        <w:rPr>
          <w:rFonts w:ascii="Verdana" w:hAnsi="Verdana"/>
          <w:i/>
          <w:sz w:val="18"/>
          <w:szCs w:val="18"/>
        </w:rPr>
        <w:t>Diversen (beleidsmatige mutaties)</w:t>
      </w:r>
    </w:p>
    <w:p w:rsidRPr="000435C0" w:rsidR="008D7566" w:rsidP="008D7566" w:rsidRDefault="008D7566">
      <w:pPr>
        <w:spacing w:line="240" w:lineRule="exact"/>
        <w:rPr>
          <w:rFonts w:ascii="Verdana" w:hAnsi="Verdana"/>
          <w:sz w:val="18"/>
          <w:szCs w:val="18"/>
        </w:rPr>
      </w:pPr>
      <w:r w:rsidRPr="000435C0">
        <w:rPr>
          <w:rFonts w:ascii="Verdana" w:hAnsi="Verdana"/>
          <w:sz w:val="18"/>
          <w:szCs w:val="18"/>
        </w:rPr>
        <w:t xml:space="preserve">Op diverse artikelen zijn er verplichtingen die niet meer tot uitgaven zullen leiden in 2016, maar wel in 2017. </w:t>
      </w:r>
    </w:p>
    <w:p w:rsidRPr="000435C0" w:rsidR="008D7566" w:rsidP="008D7566" w:rsidRDefault="008D7566">
      <w:pPr>
        <w:spacing w:line="240" w:lineRule="exact"/>
        <w:rPr>
          <w:rFonts w:ascii="Verdana" w:hAnsi="Verdana"/>
          <w:i/>
          <w:sz w:val="18"/>
          <w:szCs w:val="18"/>
        </w:rPr>
      </w:pPr>
    </w:p>
    <w:p w:rsidRPr="000435C0" w:rsidR="008D7566" w:rsidP="008D7566" w:rsidRDefault="008D7566">
      <w:pPr>
        <w:spacing w:line="240" w:lineRule="exact"/>
        <w:rPr>
          <w:rFonts w:ascii="Verdana" w:hAnsi="Verdana"/>
          <w:i/>
          <w:sz w:val="18"/>
          <w:szCs w:val="18"/>
        </w:rPr>
      </w:pPr>
      <w:r w:rsidRPr="000435C0">
        <w:rPr>
          <w:rFonts w:ascii="Verdana" w:hAnsi="Verdana"/>
          <w:i/>
          <w:sz w:val="18"/>
          <w:szCs w:val="18"/>
        </w:rPr>
        <w:t>Diversen (technische, kaderrelevante mutaties)</w:t>
      </w:r>
    </w:p>
    <w:p w:rsidRPr="000435C0" w:rsidR="008D7566" w:rsidP="008D7566" w:rsidRDefault="008D7566">
      <w:pPr>
        <w:spacing w:line="240" w:lineRule="exact"/>
        <w:rPr>
          <w:rFonts w:ascii="Verdana" w:hAnsi="Verdana"/>
          <w:color w:val="FF0000"/>
          <w:sz w:val="18"/>
          <w:szCs w:val="18"/>
        </w:rPr>
      </w:pPr>
      <w:r w:rsidRPr="000435C0">
        <w:rPr>
          <w:rFonts w:ascii="Verdana" w:hAnsi="Verdana"/>
          <w:sz w:val="18"/>
          <w:szCs w:val="18"/>
        </w:rPr>
        <w:t xml:space="preserve">Deze post is het saldo van twee desalderingen en een aantal overboekingen van en naar andere departementen. De eerste desaldering doet zich voor op het gebied van cultuur (1,8 mln.). Middelen ontvangen van de Rijksdienst voor Ondernemend Nederland in het kader van het project Erfgoed en Locatie worden ingezet voor indicentele uitgaven op dit gebied. De tweede desaldering betreft een terugstorting in het Participatiefonds van de terugvorderingen bij scholen als gevolg van onterechte declaraties van wachtgeldkosten (10 mln.). </w:t>
      </w:r>
    </w:p>
    <w:p w:rsidRPr="000435C0" w:rsidR="008D7566" w:rsidP="008D7566" w:rsidRDefault="008D7566">
      <w:pPr>
        <w:spacing w:line="240" w:lineRule="exact"/>
        <w:rPr>
          <w:rFonts w:ascii="Verdana" w:hAnsi="Verdana"/>
          <w:i/>
          <w:sz w:val="18"/>
          <w:szCs w:val="18"/>
        </w:rPr>
      </w:pPr>
    </w:p>
    <w:p w:rsidRPr="000435C0" w:rsidR="008D7566" w:rsidP="008D7566" w:rsidRDefault="008D7566">
      <w:pPr>
        <w:spacing w:line="240" w:lineRule="exact"/>
        <w:rPr>
          <w:rFonts w:ascii="Verdana" w:hAnsi="Verdana"/>
          <w:i/>
          <w:sz w:val="18"/>
          <w:szCs w:val="18"/>
        </w:rPr>
      </w:pPr>
      <w:r w:rsidRPr="000435C0">
        <w:rPr>
          <w:rFonts w:ascii="Verdana" w:hAnsi="Verdana"/>
          <w:i/>
          <w:sz w:val="18"/>
          <w:szCs w:val="18"/>
        </w:rPr>
        <w:t>Diversen (technische, niet-kaderrelevante mutaties)</w:t>
      </w:r>
    </w:p>
    <w:p w:rsidRPr="000435C0" w:rsidR="008D7566" w:rsidP="008D7566" w:rsidRDefault="008D7566">
      <w:pPr>
        <w:spacing w:line="240" w:lineRule="exact"/>
        <w:rPr>
          <w:rFonts w:ascii="Verdana" w:hAnsi="Verdana"/>
          <w:sz w:val="18"/>
          <w:szCs w:val="18"/>
        </w:rPr>
      </w:pPr>
      <w:r w:rsidRPr="000435C0">
        <w:rPr>
          <w:rFonts w:ascii="Verdana" w:hAnsi="Verdana"/>
          <w:sz w:val="18"/>
          <w:szCs w:val="18"/>
        </w:rPr>
        <w:t xml:space="preserve">De niet-kaderrelevante uitgaven voor studiefinanciering zijn hoger dan geraamd. Dit is het gevolg van zowel een toename in het aantal studenten dat leent, als de gemiddeld geleende bedragen. </w:t>
      </w:r>
    </w:p>
    <w:p w:rsidRPr="000435C0" w:rsidR="008D7566" w:rsidP="008D7566" w:rsidRDefault="008D7566">
      <w:pPr>
        <w:spacing w:line="240" w:lineRule="exact"/>
        <w:rPr>
          <w:rFonts w:ascii="Verdana" w:hAnsi="Verdana"/>
          <w:i/>
          <w:sz w:val="18"/>
          <w:szCs w:val="18"/>
        </w:rPr>
      </w:pPr>
    </w:p>
    <w:p w:rsidRPr="000435C0" w:rsidR="008D7566" w:rsidP="008D7566" w:rsidRDefault="008D7566">
      <w:pPr>
        <w:spacing w:line="240" w:lineRule="exact"/>
        <w:rPr>
          <w:rFonts w:ascii="Verdana" w:hAnsi="Verdana"/>
          <w:i/>
          <w:sz w:val="18"/>
          <w:szCs w:val="18"/>
        </w:rPr>
      </w:pPr>
      <w:r w:rsidRPr="000435C0">
        <w:rPr>
          <w:rFonts w:ascii="Verdana" w:hAnsi="Verdana"/>
          <w:i/>
          <w:sz w:val="18"/>
          <w:szCs w:val="18"/>
        </w:rPr>
        <w:t>Diversen (mee- en tegenvallers niet-belastingontvangsten)</w:t>
      </w:r>
    </w:p>
    <w:p w:rsidRPr="000435C0" w:rsidR="008D7566" w:rsidP="008D7566" w:rsidRDefault="008D7566">
      <w:pPr>
        <w:spacing w:line="240" w:lineRule="exact"/>
        <w:rPr>
          <w:rFonts w:ascii="Verdana" w:hAnsi="Verdana"/>
          <w:sz w:val="18"/>
          <w:szCs w:val="18"/>
        </w:rPr>
      </w:pPr>
      <w:r w:rsidRPr="000435C0">
        <w:rPr>
          <w:rFonts w:ascii="Verdana" w:hAnsi="Verdana"/>
          <w:sz w:val="18"/>
          <w:szCs w:val="18"/>
        </w:rPr>
        <w:t>Dit betreft het saldo van diverse mee- en tegenvallers aan de kant van de niet-belastingontvangsten. Onder andere bij studiefinanciering zijn er minder ontvangsten op kortlopende vorderingen (-10 mln.) en door lagere renteontvangsten (-3 mln.).</w:t>
      </w:r>
    </w:p>
    <w:p w:rsidRPr="000435C0" w:rsidR="008D7566" w:rsidP="008D7566" w:rsidRDefault="008D7566">
      <w:pPr>
        <w:spacing w:line="240" w:lineRule="exact"/>
        <w:rPr>
          <w:rFonts w:ascii="Verdana" w:hAnsi="Verdana"/>
          <w:sz w:val="18"/>
          <w:szCs w:val="18"/>
        </w:rPr>
      </w:pPr>
    </w:p>
    <w:p w:rsidRPr="000435C0" w:rsidR="008D7566" w:rsidP="008D7566" w:rsidRDefault="008D7566">
      <w:pPr>
        <w:spacing w:line="240" w:lineRule="exact"/>
        <w:rPr>
          <w:rFonts w:ascii="Verdana" w:hAnsi="Verdana"/>
          <w:i/>
          <w:sz w:val="18"/>
          <w:szCs w:val="18"/>
        </w:rPr>
      </w:pPr>
      <w:r w:rsidRPr="000435C0">
        <w:rPr>
          <w:rFonts w:ascii="Verdana" w:hAnsi="Verdana"/>
          <w:i/>
          <w:sz w:val="18"/>
          <w:szCs w:val="18"/>
        </w:rPr>
        <w:t>Diversen (technische, kaderrelevante mutaties niet-belastingontvangsten)</w:t>
      </w:r>
    </w:p>
    <w:p w:rsidRPr="000435C0" w:rsidR="008D7566" w:rsidP="008D7566" w:rsidRDefault="008D7566">
      <w:pPr>
        <w:spacing w:line="240" w:lineRule="exact"/>
        <w:rPr>
          <w:rFonts w:ascii="Verdana" w:hAnsi="Verdana"/>
          <w:sz w:val="18"/>
          <w:szCs w:val="18"/>
        </w:rPr>
      </w:pPr>
      <w:r w:rsidRPr="000435C0">
        <w:rPr>
          <w:rFonts w:ascii="Verdana" w:hAnsi="Verdana"/>
          <w:sz w:val="18"/>
          <w:szCs w:val="18"/>
        </w:rPr>
        <w:t xml:space="preserve">Dit betreft de optelsom van de twee eerdergenoemde desalderingen. </w:t>
      </w:r>
    </w:p>
    <w:p w:rsidRPr="000435C0" w:rsidR="008D7566" w:rsidP="008D7566" w:rsidRDefault="008D7566">
      <w:pPr>
        <w:spacing w:line="240" w:lineRule="exact"/>
        <w:rPr>
          <w:rFonts w:ascii="Verdana" w:hAnsi="Verdana"/>
          <w:i/>
          <w:sz w:val="18"/>
          <w:szCs w:val="18"/>
        </w:rPr>
      </w:pPr>
    </w:p>
    <w:p w:rsidRPr="000435C0" w:rsidR="008D7566" w:rsidP="008D7566" w:rsidRDefault="008D7566">
      <w:pPr>
        <w:spacing w:line="240" w:lineRule="exact"/>
        <w:rPr>
          <w:rFonts w:ascii="Verdana" w:hAnsi="Verdana"/>
          <w:i/>
          <w:sz w:val="18"/>
          <w:szCs w:val="18"/>
        </w:rPr>
      </w:pPr>
      <w:r w:rsidRPr="000435C0">
        <w:rPr>
          <w:rFonts w:ascii="Verdana" w:hAnsi="Verdana"/>
          <w:i/>
          <w:sz w:val="18"/>
          <w:szCs w:val="18"/>
        </w:rPr>
        <w:t>Diversen (technische, niet-kaderrelevante mutaties niet-belastingontvangsten)</w:t>
      </w:r>
    </w:p>
    <w:p w:rsidRPr="000435C0" w:rsidR="004B3DF4" w:rsidP="008D7566" w:rsidRDefault="008D7566">
      <w:pPr>
        <w:spacing w:line="240" w:lineRule="exact"/>
        <w:rPr>
          <w:rFonts w:ascii="Verdana" w:hAnsi="Verdana"/>
          <w:sz w:val="18"/>
          <w:szCs w:val="18"/>
        </w:rPr>
      </w:pPr>
      <w:r w:rsidRPr="000435C0">
        <w:rPr>
          <w:rFonts w:ascii="Verdana" w:hAnsi="Verdana"/>
          <w:sz w:val="18"/>
          <w:szCs w:val="18"/>
        </w:rPr>
        <w:t xml:space="preserve">De niet-kaderrelevante ontvangsten zijn naar beneden bijgesteld doordat uit de maandelijkse realisatiecijfers </w:t>
      </w:r>
      <w:r w:rsidRPr="008D7566">
        <w:rPr>
          <w:rFonts w:ascii="Verdana" w:hAnsi="Verdana"/>
          <w:sz w:val="18"/>
          <w:szCs w:val="18"/>
        </w:rPr>
        <w:t>blijkt dat oud-studenten minder extra terugbetalingen doen op de hoofdsom van hun studieleningen dan eerder geraamd.</w:t>
      </w:r>
    </w:p>
    <w:p w:rsidRPr="000435C0" w:rsidR="00D57CD6" w:rsidP="000435C0" w:rsidRDefault="00D57CD6">
      <w:pPr>
        <w:spacing w:line="240" w:lineRule="exact"/>
        <w:rPr>
          <w:rFonts w:ascii="Verdana" w:hAnsi="Verdana"/>
          <w:b/>
          <w:sz w:val="18"/>
          <w:szCs w:val="18"/>
        </w:rPr>
      </w:pPr>
      <w:r w:rsidRPr="000435C0">
        <w:rPr>
          <w:rFonts w:ascii="Verdana" w:hAnsi="Verdana"/>
          <w:b/>
          <w:sz w:val="18"/>
          <w:szCs w:val="18"/>
        </w:rPr>
        <w:br w:type="page"/>
      </w:r>
    </w:p>
    <w:p w:rsidRPr="000435C0" w:rsidR="00BE1815" w:rsidP="000435C0" w:rsidRDefault="00BE1815">
      <w:pPr>
        <w:spacing w:line="240" w:lineRule="exact"/>
        <w:rPr>
          <w:rFonts w:ascii="Verdana" w:hAnsi="Verdana"/>
          <w:b/>
          <w:sz w:val="18"/>
          <w:szCs w:val="18"/>
        </w:rPr>
      </w:pPr>
      <w:r w:rsidRPr="000435C0">
        <w:rPr>
          <w:rFonts w:ascii="Verdana" w:hAnsi="Verdana"/>
          <w:b/>
          <w:sz w:val="18"/>
          <w:szCs w:val="18"/>
        </w:rPr>
        <w:t>Nationale Schuld</w:t>
      </w:r>
    </w:p>
    <w:p w:rsidRPr="000435C0" w:rsidR="008C3BA2" w:rsidP="000435C0" w:rsidRDefault="008C3BA2">
      <w:pPr>
        <w:spacing w:line="240" w:lineRule="exact"/>
        <w:rPr>
          <w:rFonts w:ascii="Verdana" w:hAnsi="Verdana"/>
          <w:sz w:val="18"/>
          <w:szCs w:val="18"/>
        </w:rPr>
      </w:pPr>
    </w:p>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37"/>
        <w:gridCol w:w="850"/>
      </w:tblGrid>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IXA NATIONALE SCHULD (TRANSACTIEBASIS): UITGAVEN</w:t>
            </w:r>
          </w:p>
        </w:tc>
        <w:tc>
          <w:tcPr>
            <w:tcW w:w="850" w:type="dxa"/>
            <w:hideMark/>
          </w:tcPr>
          <w:p w:rsidR="006A1BAF" w:rsidP="00C22373" w:rsidRDefault="006A1BAF">
            <w:pPr>
              <w:rPr>
                <w:sz w:val="20"/>
                <w:szCs w:val="20"/>
              </w:rPr>
            </w:pPr>
          </w:p>
        </w:tc>
      </w:tr>
      <w:tr w:rsidR="006A1BAF" w:rsidTr="006A1BAF">
        <w:tc>
          <w:tcPr>
            <w:tcW w:w="8237" w:type="dxa"/>
            <w:tcBorders>
              <w:top w:val="single" w:color="000000" w:sz="6" w:space="0"/>
              <w:left w:val="nil"/>
              <w:bottom w:val="single" w:color="000000" w:sz="6" w:space="0"/>
              <w:right w:val="nil"/>
            </w:tcBorders>
            <w:hideMark/>
          </w:tcPr>
          <w:p w:rsidR="006A1BAF" w:rsidP="00C22373" w:rsidRDefault="006A1BAF">
            <w:pPr>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006A1BAF" w:rsidP="00C22373" w:rsidRDefault="006A1BAF">
            <w:pPr>
              <w:jc w:val="right"/>
              <w:rPr>
                <w:rFonts w:ascii="Verdana" w:hAnsi="Verdana"/>
                <w:sz w:val="18"/>
                <w:szCs w:val="18"/>
              </w:rPr>
            </w:pPr>
            <w:r>
              <w:rPr>
                <w:rFonts w:ascii="Verdana" w:hAnsi="Verdana"/>
                <w:sz w:val="18"/>
                <w:szCs w:val="18"/>
              </w:rPr>
              <w:t>2016</w:t>
            </w: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Stand Miljoenennota 2017 (excl. IS)</w:t>
            </w:r>
          </w:p>
        </w:tc>
        <w:tc>
          <w:tcPr>
            <w:tcW w:w="850" w:type="dxa"/>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9.111,7</w:t>
            </w: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Technische mutaties</w:t>
            </w:r>
          </w:p>
        </w:tc>
        <w:tc>
          <w:tcPr>
            <w:tcW w:w="850" w:type="dxa"/>
            <w:hideMark/>
          </w:tcPr>
          <w:p w:rsidR="006A1BAF" w:rsidP="00C22373" w:rsidRDefault="006A1BAF">
            <w:pPr>
              <w:rPr>
                <w:sz w:val="20"/>
                <w:szCs w:val="20"/>
              </w:rPr>
            </w:pPr>
          </w:p>
        </w:tc>
      </w:tr>
      <w:tr w:rsidR="006A1BAF" w:rsidTr="006A1BAF">
        <w:tc>
          <w:tcPr>
            <w:tcW w:w="8237" w:type="dxa"/>
            <w:tcBorders>
              <w:left w:val="nil"/>
              <w:right w:val="nil"/>
            </w:tcBorders>
            <w:tcMar>
              <w:top w:w="15" w:type="dxa"/>
              <w:left w:w="180" w:type="dxa"/>
              <w:bottom w:w="15" w:type="dxa"/>
              <w:right w:w="15" w:type="dxa"/>
            </w:tcMar>
            <w:vAlign w:val="both"/>
            <w:hideMark/>
          </w:tcPr>
          <w:p w:rsidR="006A1BAF" w:rsidP="00C22373" w:rsidRDefault="006A1BAF">
            <w:pPr>
              <w:ind w:firstLine="180" w:firstLineChars="100"/>
              <w:rPr>
                <w:rFonts w:ascii="Verdana" w:hAnsi="Verdana"/>
                <w:sz w:val="18"/>
                <w:szCs w:val="18"/>
              </w:rPr>
            </w:pPr>
            <w:r>
              <w:rPr>
                <w:rFonts w:ascii="Verdana" w:hAnsi="Verdana"/>
                <w:sz w:val="18"/>
                <w:szCs w:val="18"/>
              </w:rPr>
              <w:t>Niet tot een ijklijn behorend</w:t>
            </w:r>
          </w:p>
        </w:tc>
        <w:tc>
          <w:tcPr>
            <w:tcW w:w="850" w:type="dxa"/>
            <w:hideMark/>
          </w:tcPr>
          <w:p w:rsidR="006A1BAF" w:rsidP="00C22373" w:rsidRDefault="006A1BAF">
            <w:pPr>
              <w:rPr>
                <w:sz w:val="20"/>
                <w:szCs w:val="20"/>
              </w:rPr>
            </w:pPr>
          </w:p>
        </w:tc>
      </w:tr>
      <w:tr w:rsidR="006A1BAF" w:rsidTr="006A1BAF">
        <w:tc>
          <w:tcPr>
            <w:tcW w:w="8237" w:type="dxa"/>
            <w:tcBorders>
              <w:left w:val="nil"/>
              <w:right w:val="nil"/>
            </w:tcBorders>
            <w:tcMar>
              <w:top w:w="15" w:type="dxa"/>
              <w:left w:w="360" w:type="dxa"/>
              <w:bottom w:w="15" w:type="dxa"/>
              <w:right w:w="15" w:type="dxa"/>
            </w:tcMar>
            <w:vAlign w:val="both"/>
            <w:hideMark/>
          </w:tcPr>
          <w:p w:rsidR="006A1BAF" w:rsidP="00C22373" w:rsidRDefault="006A1BAF">
            <w:pPr>
              <w:ind w:firstLine="360" w:firstLineChars="200"/>
              <w:rPr>
                <w:rFonts w:ascii="Verdana" w:hAnsi="Verdana"/>
                <w:sz w:val="18"/>
                <w:szCs w:val="18"/>
              </w:rPr>
            </w:pPr>
            <w:r>
              <w:rPr>
                <w:rFonts w:ascii="Verdana" w:hAnsi="Verdana"/>
                <w:sz w:val="18"/>
                <w:szCs w:val="18"/>
              </w:rPr>
              <w:t>Diversen</w:t>
            </w:r>
          </w:p>
        </w:tc>
        <w:tc>
          <w:tcPr>
            <w:tcW w:w="850" w:type="dxa"/>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-2,3</w:t>
            </w: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 </w:t>
            </w:r>
          </w:p>
        </w:tc>
        <w:tc>
          <w:tcPr>
            <w:tcW w:w="850" w:type="dxa"/>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-2,3</w:t>
            </w: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Totaal mutaties sinds Miljoenennota 2017</w:t>
            </w:r>
          </w:p>
        </w:tc>
        <w:tc>
          <w:tcPr>
            <w:tcW w:w="850" w:type="dxa"/>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-2,3</w:t>
            </w: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 </w:t>
            </w:r>
          </w:p>
        </w:tc>
        <w:tc>
          <w:tcPr>
            <w:tcW w:w="850" w:type="dxa"/>
            <w:hideMark/>
          </w:tcPr>
          <w:p w:rsidR="006A1BAF" w:rsidP="00C22373" w:rsidRDefault="006A1BAF">
            <w:pPr>
              <w:rPr>
                <w:sz w:val="20"/>
                <w:szCs w:val="20"/>
              </w:rPr>
            </w:pP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Stand Najaarsnota 2016 (subtotaal)</w:t>
            </w:r>
          </w:p>
        </w:tc>
        <w:tc>
          <w:tcPr>
            <w:tcW w:w="850" w:type="dxa"/>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9.109,3</w:t>
            </w: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Totaal Internationale samenwerking</w:t>
            </w:r>
          </w:p>
        </w:tc>
        <w:tc>
          <w:tcPr>
            <w:tcW w:w="850" w:type="dxa"/>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0,0</w:t>
            </w:r>
          </w:p>
        </w:tc>
      </w:tr>
      <w:tr w:rsidR="006A1BAF" w:rsidTr="006A1BAF">
        <w:tc>
          <w:tcPr>
            <w:tcW w:w="8237"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Stand Najaarsnota 2016</w:t>
            </w:r>
          </w:p>
        </w:tc>
        <w:tc>
          <w:tcPr>
            <w:tcW w:w="850" w:type="dxa"/>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9.109,3</w:t>
            </w:r>
          </w:p>
        </w:tc>
      </w:tr>
    </w:tbl>
    <w:p w:rsidR="006A1BAF" w:rsidP="006A1BAF" w:rsidRDefault="006A1BAF">
      <w:pPr>
        <w:rPr>
          <w:rFonts w:ascii="Verdana" w:hAnsi="Verdana"/>
          <w:vanish/>
          <w:sz w:val="14"/>
          <w:szCs w:val="14"/>
        </w:rPr>
      </w:pPr>
    </w:p>
    <w:tbl>
      <w:tblPr>
        <w:tblW w:w="0" w:type="auto"/>
        <w:tblCellMar>
          <w:top w:w="15" w:type="dxa"/>
          <w:left w:w="15" w:type="dxa"/>
          <w:bottom w:w="15" w:type="dxa"/>
          <w:right w:w="15" w:type="dxa"/>
        </w:tblCellMar>
        <w:tblLook w:val="04A0"/>
      </w:tblPr>
      <w:tblGrid>
        <w:gridCol w:w="8208"/>
        <w:gridCol w:w="894"/>
      </w:tblGrid>
      <w:tr w:rsidR="006A1BAF" w:rsidTr="00C22373">
        <w:tc>
          <w:tcPr>
            <w:tcW w:w="9000"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 </w:t>
            </w:r>
          </w:p>
        </w:tc>
        <w:tc>
          <w:tcPr>
            <w:tcW w:w="900" w:type="dxa"/>
            <w:tcBorders>
              <w:left w:val="nil"/>
              <w:right w:val="nil"/>
            </w:tcBorders>
            <w:hideMark/>
          </w:tcPr>
          <w:p w:rsidR="006A1BAF" w:rsidP="00C22373" w:rsidRDefault="006A1BAF">
            <w:pPr>
              <w:rPr>
                <w:rFonts w:ascii="Verdana" w:hAnsi="Verdana"/>
                <w:sz w:val="18"/>
                <w:szCs w:val="18"/>
              </w:rPr>
            </w:pPr>
            <w:r>
              <w:rPr>
                <w:rFonts w:ascii="Verdana" w:hAnsi="Verdana"/>
                <w:sz w:val="18"/>
                <w:szCs w:val="18"/>
              </w:rPr>
              <w:t> </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IXA NATIONALE SCHULD (TRANSACTIEBASIS): NIET-BELASTINGONTVANGSTEN</w:t>
            </w:r>
          </w:p>
        </w:tc>
        <w:tc>
          <w:tcPr>
            <w:tcW w:w="0" w:type="auto"/>
            <w:hideMark/>
          </w:tcPr>
          <w:p w:rsidR="006A1BAF" w:rsidP="00C22373" w:rsidRDefault="006A1BAF">
            <w:pPr>
              <w:rPr>
                <w:sz w:val="20"/>
                <w:szCs w:val="20"/>
              </w:rPr>
            </w:pPr>
          </w:p>
        </w:tc>
      </w:tr>
      <w:tr w:rsidR="006A1BAF" w:rsidTr="00C22373">
        <w:tc>
          <w:tcPr>
            <w:tcW w:w="0" w:type="auto"/>
            <w:tcBorders>
              <w:top w:val="single" w:color="000000" w:sz="6" w:space="0"/>
              <w:left w:val="nil"/>
              <w:bottom w:val="single" w:color="000000" w:sz="6" w:space="0"/>
              <w:right w:val="nil"/>
            </w:tcBorders>
            <w:hideMark/>
          </w:tcPr>
          <w:p w:rsidR="006A1BAF" w:rsidP="00C22373" w:rsidRDefault="006A1BAF">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6A1BAF" w:rsidP="00C22373" w:rsidRDefault="006A1BAF">
            <w:pPr>
              <w:jc w:val="right"/>
              <w:rPr>
                <w:rFonts w:ascii="Verdana" w:hAnsi="Verdana"/>
                <w:sz w:val="18"/>
                <w:szCs w:val="18"/>
              </w:rPr>
            </w:pPr>
            <w:r>
              <w:rPr>
                <w:rFonts w:ascii="Verdana" w:hAnsi="Verdana"/>
                <w:sz w:val="18"/>
                <w:szCs w:val="18"/>
              </w:rPr>
              <w:t>2016</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Stand Miljoenennota 2017 (excl. IS)</w:t>
            </w:r>
          </w:p>
        </w:tc>
        <w:tc>
          <w:tcPr>
            <w:tcW w:w="0" w:type="auto"/>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13.275,1</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Technische mutaties</w:t>
            </w:r>
          </w:p>
        </w:tc>
        <w:tc>
          <w:tcPr>
            <w:tcW w:w="0" w:type="auto"/>
            <w:hideMark/>
          </w:tcPr>
          <w:p w:rsidR="006A1BAF" w:rsidP="00C22373" w:rsidRDefault="006A1BAF">
            <w:pPr>
              <w:rPr>
                <w:sz w:val="20"/>
                <w:szCs w:val="20"/>
              </w:rPr>
            </w:pPr>
          </w:p>
        </w:tc>
      </w:tr>
      <w:tr w:rsidR="006A1BAF" w:rsidTr="00C22373">
        <w:tc>
          <w:tcPr>
            <w:tcW w:w="0" w:type="auto"/>
            <w:tcBorders>
              <w:left w:val="nil"/>
              <w:right w:val="nil"/>
            </w:tcBorders>
            <w:tcMar>
              <w:top w:w="15" w:type="dxa"/>
              <w:left w:w="180" w:type="dxa"/>
              <w:bottom w:w="15" w:type="dxa"/>
              <w:right w:w="15" w:type="dxa"/>
            </w:tcMar>
            <w:vAlign w:val="both"/>
            <w:hideMark/>
          </w:tcPr>
          <w:p w:rsidR="006A1BAF" w:rsidP="00C22373" w:rsidRDefault="006A1BAF">
            <w:pPr>
              <w:ind w:firstLine="180" w:firstLineChars="100"/>
              <w:rPr>
                <w:rFonts w:ascii="Verdana" w:hAnsi="Verdana"/>
                <w:sz w:val="18"/>
                <w:szCs w:val="18"/>
              </w:rPr>
            </w:pPr>
            <w:r>
              <w:rPr>
                <w:rFonts w:ascii="Verdana" w:hAnsi="Verdana"/>
                <w:sz w:val="18"/>
                <w:szCs w:val="18"/>
              </w:rPr>
              <w:t>Niet tot een ijklijn behorend</w:t>
            </w:r>
          </w:p>
        </w:tc>
        <w:tc>
          <w:tcPr>
            <w:tcW w:w="0" w:type="auto"/>
            <w:hideMark/>
          </w:tcPr>
          <w:p w:rsidR="006A1BAF" w:rsidP="00C22373" w:rsidRDefault="006A1BAF">
            <w:pPr>
              <w:rPr>
                <w:sz w:val="20"/>
                <w:szCs w:val="20"/>
              </w:rPr>
            </w:pPr>
          </w:p>
        </w:tc>
      </w:tr>
      <w:tr w:rsidR="006A1BAF" w:rsidTr="00C22373">
        <w:tc>
          <w:tcPr>
            <w:tcW w:w="0" w:type="auto"/>
            <w:tcBorders>
              <w:left w:val="nil"/>
              <w:right w:val="nil"/>
            </w:tcBorders>
            <w:tcMar>
              <w:top w:w="15" w:type="dxa"/>
              <w:left w:w="360" w:type="dxa"/>
              <w:bottom w:w="15" w:type="dxa"/>
              <w:right w:w="15" w:type="dxa"/>
            </w:tcMar>
            <w:vAlign w:val="both"/>
            <w:hideMark/>
          </w:tcPr>
          <w:p w:rsidR="006A1BAF" w:rsidP="00C22373" w:rsidRDefault="006A1BAF">
            <w:pPr>
              <w:ind w:firstLine="360" w:firstLineChars="200"/>
              <w:rPr>
                <w:rFonts w:ascii="Verdana" w:hAnsi="Verdana"/>
                <w:sz w:val="18"/>
                <w:szCs w:val="18"/>
              </w:rPr>
            </w:pPr>
            <w:r>
              <w:rPr>
                <w:rFonts w:ascii="Verdana" w:hAnsi="Verdana"/>
                <w:sz w:val="18"/>
                <w:szCs w:val="18"/>
              </w:rPr>
              <w:t>Beeindiging derivaten</w:t>
            </w:r>
          </w:p>
        </w:tc>
        <w:tc>
          <w:tcPr>
            <w:tcW w:w="0" w:type="auto"/>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462,0</w:t>
            </w:r>
          </w:p>
        </w:tc>
      </w:tr>
      <w:tr w:rsidR="006A1BAF" w:rsidTr="00C22373">
        <w:tc>
          <w:tcPr>
            <w:tcW w:w="0" w:type="auto"/>
            <w:tcBorders>
              <w:left w:val="nil"/>
              <w:right w:val="nil"/>
            </w:tcBorders>
            <w:tcMar>
              <w:top w:w="15" w:type="dxa"/>
              <w:left w:w="360" w:type="dxa"/>
              <w:bottom w:w="15" w:type="dxa"/>
              <w:right w:w="15" w:type="dxa"/>
            </w:tcMar>
            <w:vAlign w:val="both"/>
            <w:hideMark/>
          </w:tcPr>
          <w:p w:rsidR="006A1BAF" w:rsidP="00C22373" w:rsidRDefault="006A1BAF">
            <w:pPr>
              <w:ind w:firstLine="360" w:firstLineChars="200"/>
              <w:rPr>
                <w:rFonts w:ascii="Verdana" w:hAnsi="Verdana"/>
                <w:sz w:val="18"/>
                <w:szCs w:val="18"/>
              </w:rPr>
            </w:pPr>
            <w:r>
              <w:rPr>
                <w:rFonts w:ascii="Verdana" w:hAnsi="Verdana"/>
                <w:sz w:val="18"/>
                <w:szCs w:val="18"/>
              </w:rPr>
              <w:t>Mutaties in rekening-courant en deposito</w:t>
            </w:r>
          </w:p>
        </w:tc>
        <w:tc>
          <w:tcPr>
            <w:tcW w:w="0" w:type="auto"/>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2.239,0</w:t>
            </w:r>
          </w:p>
        </w:tc>
      </w:tr>
      <w:tr w:rsidR="006A1BAF" w:rsidTr="00C22373">
        <w:tc>
          <w:tcPr>
            <w:tcW w:w="0" w:type="auto"/>
            <w:tcBorders>
              <w:left w:val="nil"/>
              <w:right w:val="nil"/>
            </w:tcBorders>
            <w:tcMar>
              <w:top w:w="15" w:type="dxa"/>
              <w:left w:w="360" w:type="dxa"/>
              <w:bottom w:w="15" w:type="dxa"/>
              <w:right w:w="15" w:type="dxa"/>
            </w:tcMar>
            <w:vAlign w:val="both"/>
            <w:hideMark/>
          </w:tcPr>
          <w:p w:rsidR="006A1BAF" w:rsidP="00C22373" w:rsidRDefault="006A1BAF">
            <w:pPr>
              <w:ind w:firstLine="360" w:firstLineChars="200"/>
              <w:rPr>
                <w:rFonts w:ascii="Verdana" w:hAnsi="Verdana"/>
                <w:sz w:val="18"/>
                <w:szCs w:val="18"/>
              </w:rPr>
            </w:pPr>
            <w:r>
              <w:rPr>
                <w:rFonts w:ascii="Verdana" w:hAnsi="Verdana"/>
                <w:sz w:val="18"/>
                <w:szCs w:val="18"/>
              </w:rPr>
              <w:t>Rente vlottende schuld</w:t>
            </w:r>
          </w:p>
        </w:tc>
        <w:tc>
          <w:tcPr>
            <w:tcW w:w="0" w:type="auto"/>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-50,0</w:t>
            </w:r>
          </w:p>
        </w:tc>
      </w:tr>
      <w:tr w:rsidR="006A1BAF" w:rsidTr="00C22373">
        <w:tc>
          <w:tcPr>
            <w:tcW w:w="0" w:type="auto"/>
            <w:tcBorders>
              <w:left w:val="nil"/>
              <w:right w:val="nil"/>
            </w:tcBorders>
            <w:tcMar>
              <w:top w:w="15" w:type="dxa"/>
              <w:left w:w="360" w:type="dxa"/>
              <w:bottom w:w="15" w:type="dxa"/>
              <w:right w:w="15" w:type="dxa"/>
            </w:tcMar>
            <w:vAlign w:val="both"/>
            <w:hideMark/>
          </w:tcPr>
          <w:p w:rsidR="006A1BAF" w:rsidP="00C22373" w:rsidRDefault="006A1BAF">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1,9</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2.652,9</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Totaal mutaties sinds Miljoenennota 2017</w:t>
            </w:r>
          </w:p>
        </w:tc>
        <w:tc>
          <w:tcPr>
            <w:tcW w:w="0" w:type="auto"/>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2.652,9</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 </w:t>
            </w:r>
          </w:p>
        </w:tc>
        <w:tc>
          <w:tcPr>
            <w:tcW w:w="0" w:type="auto"/>
            <w:hideMark/>
          </w:tcPr>
          <w:p w:rsidR="006A1BAF" w:rsidP="00C22373" w:rsidRDefault="006A1BAF">
            <w:pPr>
              <w:rPr>
                <w:sz w:val="20"/>
                <w:szCs w:val="20"/>
              </w:rPr>
            </w:pP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Stand Najaarsnota 2016 (subtotaal)</w:t>
            </w:r>
          </w:p>
        </w:tc>
        <w:tc>
          <w:tcPr>
            <w:tcW w:w="0" w:type="auto"/>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15.927,9</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0,0</w:t>
            </w:r>
          </w:p>
        </w:tc>
      </w:tr>
      <w:tr w:rsidR="006A1BAF" w:rsidTr="00C22373">
        <w:tc>
          <w:tcPr>
            <w:tcW w:w="0" w:type="auto"/>
            <w:tcBorders>
              <w:left w:val="nil"/>
              <w:right w:val="nil"/>
            </w:tcBorders>
            <w:hideMark/>
          </w:tcPr>
          <w:p w:rsidR="006A1BAF" w:rsidP="00C22373" w:rsidRDefault="006A1BAF">
            <w:pPr>
              <w:rPr>
                <w:rFonts w:ascii="Verdana" w:hAnsi="Verdana"/>
                <w:sz w:val="18"/>
                <w:szCs w:val="18"/>
              </w:rPr>
            </w:pPr>
            <w:r>
              <w:rPr>
                <w:rFonts w:ascii="Verdana" w:hAnsi="Verdana"/>
                <w:sz w:val="18"/>
                <w:szCs w:val="18"/>
              </w:rPr>
              <w:t>Stand Najaarsnota 2016</w:t>
            </w:r>
          </w:p>
        </w:tc>
        <w:tc>
          <w:tcPr>
            <w:tcW w:w="0" w:type="auto"/>
            <w:tcBorders>
              <w:top w:val="single" w:color="000000" w:sz="6" w:space="0"/>
              <w:left w:val="nil"/>
              <w:right w:val="nil"/>
            </w:tcBorders>
            <w:hideMark/>
          </w:tcPr>
          <w:p w:rsidR="006A1BAF" w:rsidP="00C22373" w:rsidRDefault="006A1BAF">
            <w:pPr>
              <w:jc w:val="right"/>
              <w:rPr>
                <w:rFonts w:ascii="Verdana" w:hAnsi="Verdana"/>
                <w:sz w:val="18"/>
                <w:szCs w:val="18"/>
              </w:rPr>
            </w:pPr>
            <w:r>
              <w:rPr>
                <w:rFonts w:ascii="Verdana" w:hAnsi="Verdana"/>
                <w:sz w:val="18"/>
                <w:szCs w:val="18"/>
              </w:rPr>
              <w:t>15.927,9</w:t>
            </w:r>
          </w:p>
        </w:tc>
      </w:tr>
    </w:tbl>
    <w:p w:rsidRPr="000435C0" w:rsidR="00F17D33" w:rsidP="000435C0" w:rsidRDefault="00F17D33">
      <w:pPr>
        <w:spacing w:line="240" w:lineRule="exact"/>
        <w:rPr>
          <w:rFonts w:ascii="Verdana" w:hAnsi="Verdana"/>
          <w:sz w:val="18"/>
          <w:szCs w:val="18"/>
        </w:rPr>
      </w:pPr>
    </w:p>
    <w:p w:rsidRPr="00C22373" w:rsidR="0011453A" w:rsidP="000435C0" w:rsidRDefault="0011453A">
      <w:pPr>
        <w:spacing w:line="240" w:lineRule="exact"/>
        <w:rPr>
          <w:rFonts w:ascii="Verdana" w:hAnsi="Verdana"/>
          <w:sz w:val="18"/>
          <w:szCs w:val="18"/>
        </w:rPr>
      </w:pPr>
    </w:p>
    <w:p w:rsidRPr="00C22373" w:rsidR="00C22373" w:rsidP="00C22373" w:rsidRDefault="00C22373">
      <w:pPr>
        <w:rPr>
          <w:rFonts w:ascii="Verdana" w:hAnsi="Verdana"/>
          <w:sz w:val="18"/>
          <w:szCs w:val="18"/>
        </w:rPr>
      </w:pPr>
      <w:r w:rsidRPr="00C22373">
        <w:rPr>
          <w:rFonts w:ascii="Verdana" w:hAnsi="Verdana"/>
          <w:i/>
          <w:sz w:val="18"/>
          <w:szCs w:val="18"/>
        </w:rPr>
        <w:t>Beëindiging derivaten</w:t>
      </w:r>
      <w:r w:rsidRPr="00C22373">
        <w:rPr>
          <w:rFonts w:ascii="Verdana" w:hAnsi="Verdana"/>
          <w:sz w:val="18"/>
          <w:szCs w:val="18"/>
        </w:rPr>
        <w:br/>
        <w:t xml:space="preserve">Enkele rentederivaten zijn voortijdig beëindigd. Bij het beëindigen van een rentederivaat wordt de actuele marktwaarde van het derivaat verrekend tussen beide partijen. Doordat de derivaten voortijdig worden beëindigd wordt de meerjarige ontvangst in een keer ontvangen. </w:t>
      </w:r>
    </w:p>
    <w:p w:rsidR="00C22373" w:rsidP="00C22373" w:rsidRDefault="00C22373">
      <w:pPr>
        <w:rPr>
          <w:rFonts w:ascii="Verdana" w:hAnsi="Verdana"/>
          <w:i/>
          <w:sz w:val="18"/>
          <w:szCs w:val="18"/>
        </w:rPr>
      </w:pPr>
    </w:p>
    <w:p w:rsidRPr="00C22373" w:rsidR="00C22373" w:rsidP="00C22373" w:rsidRDefault="00C22373">
      <w:pPr>
        <w:rPr>
          <w:rFonts w:ascii="Verdana" w:hAnsi="Verdana"/>
          <w:sz w:val="18"/>
          <w:szCs w:val="18"/>
        </w:rPr>
      </w:pPr>
      <w:r w:rsidRPr="00C22373">
        <w:rPr>
          <w:rFonts w:ascii="Verdana" w:hAnsi="Verdana"/>
          <w:i/>
          <w:sz w:val="18"/>
          <w:szCs w:val="18"/>
        </w:rPr>
        <w:t>Mutaties in rekening-courant en deposito</w:t>
      </w:r>
      <w:r w:rsidRPr="00C22373">
        <w:rPr>
          <w:rFonts w:ascii="Verdana" w:hAnsi="Verdana"/>
          <w:i/>
          <w:sz w:val="18"/>
          <w:szCs w:val="18"/>
        </w:rPr>
        <w:br/>
      </w:r>
      <w:r w:rsidRPr="00C22373">
        <w:rPr>
          <w:rFonts w:ascii="Verdana" w:hAnsi="Verdana"/>
          <w:sz w:val="18"/>
          <w:szCs w:val="18"/>
        </w:rPr>
        <w:t>De inleg van sociale fondsen is gewijzigd als gevolg van mutaties in de premieontvangsten en de premiegefinancierde uitgaven.</w:t>
      </w:r>
    </w:p>
    <w:p w:rsidR="00C22373" w:rsidP="00C22373" w:rsidRDefault="00C22373">
      <w:pPr>
        <w:rPr>
          <w:rFonts w:ascii="Verdana" w:hAnsi="Verdana"/>
          <w:i/>
          <w:sz w:val="18"/>
          <w:szCs w:val="18"/>
        </w:rPr>
      </w:pPr>
    </w:p>
    <w:p w:rsidRPr="00C22373" w:rsidR="00C22373" w:rsidP="00C22373" w:rsidRDefault="00C22373">
      <w:pPr>
        <w:rPr>
          <w:rFonts w:ascii="Verdana" w:hAnsi="Verdana"/>
          <w:sz w:val="18"/>
          <w:szCs w:val="18"/>
        </w:rPr>
      </w:pPr>
      <w:r w:rsidRPr="00C22373">
        <w:rPr>
          <w:rFonts w:ascii="Verdana" w:hAnsi="Verdana"/>
          <w:i/>
          <w:sz w:val="18"/>
          <w:szCs w:val="18"/>
        </w:rPr>
        <w:t>Rente vlottende schuld</w:t>
      </w:r>
      <w:r w:rsidRPr="00C22373">
        <w:rPr>
          <w:rFonts w:ascii="Verdana" w:hAnsi="Verdana"/>
          <w:i/>
          <w:sz w:val="18"/>
          <w:szCs w:val="18"/>
        </w:rPr>
        <w:br/>
      </w:r>
      <w:r w:rsidRPr="00C22373">
        <w:rPr>
          <w:rFonts w:ascii="Verdana" w:hAnsi="Verdana"/>
          <w:sz w:val="18"/>
          <w:szCs w:val="18"/>
        </w:rPr>
        <w:t>Gemiddeld genomen is tegen een hoger tarief gefinancierd dan de verwachte rente ten tijde van de Miljoenennota.</w:t>
      </w:r>
    </w:p>
    <w:p w:rsidRPr="00C22373" w:rsidR="00552602" w:rsidP="000435C0" w:rsidRDefault="00552602">
      <w:pPr>
        <w:pStyle w:val="Geenafstand"/>
        <w:spacing w:line="240" w:lineRule="exact"/>
        <w:rPr>
          <w:rFonts w:ascii="Verdana" w:hAnsi="Verdana"/>
          <w:sz w:val="18"/>
          <w:szCs w:val="18"/>
        </w:rPr>
      </w:pPr>
      <w:r w:rsidRPr="00C22373">
        <w:rPr>
          <w:rFonts w:ascii="Verdana" w:hAnsi="Verdana"/>
          <w:sz w:val="18"/>
          <w:szCs w:val="18"/>
        </w:rPr>
        <w:br w:type="page"/>
      </w:r>
    </w:p>
    <w:p w:rsidRPr="000435C0" w:rsidR="0055652F"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Financiën</w:t>
      </w:r>
    </w:p>
    <w:p w:rsidRPr="000435C0" w:rsidR="00760152" w:rsidP="000435C0" w:rsidRDefault="00760152">
      <w:pPr>
        <w:spacing w:line="240" w:lineRule="exact"/>
        <w:rPr>
          <w:rFonts w:ascii="Verdana" w:hAnsi="Verdana" w:cs="Verdana"/>
          <w:b/>
          <w:bCs/>
          <w:sz w:val="18"/>
          <w:szCs w:val="18"/>
        </w:rPr>
      </w:pPr>
    </w:p>
    <w:p w:rsidRPr="000435C0" w:rsidR="00F17D33" w:rsidP="000435C0" w:rsidRDefault="00F17D33">
      <w:pPr>
        <w:spacing w:line="240" w:lineRule="exact"/>
        <w:rPr>
          <w:rFonts w:ascii="Verdana" w:hAnsi="Verdana"/>
          <w:vanish/>
          <w:sz w:val="18"/>
          <w:szCs w:val="18"/>
        </w:rPr>
      </w:pPr>
    </w:p>
    <w:p w:rsidR="009E450C" w:rsidP="009E450C" w:rsidRDefault="009E450C">
      <w:pPr>
        <w:rPr>
          <w:rFonts w:ascii="Verdana" w:hAnsi="Verdana"/>
          <w:vanish/>
          <w:sz w:val="14"/>
          <w:szCs w:val="14"/>
        </w:rPr>
      </w:pPr>
    </w:p>
    <w:tbl>
      <w:tblPr>
        <w:tblW w:w="0" w:type="auto"/>
        <w:tblCellMar>
          <w:top w:w="15" w:type="dxa"/>
          <w:left w:w="15" w:type="dxa"/>
          <w:bottom w:w="15" w:type="dxa"/>
          <w:right w:w="15" w:type="dxa"/>
        </w:tblCellMar>
        <w:tblLook w:val="04A0"/>
      </w:tblPr>
      <w:tblGrid>
        <w:gridCol w:w="8237"/>
        <w:gridCol w:w="734"/>
      </w:tblGrid>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IXB FINANCIEN: UITGAVEN</w:t>
            </w:r>
          </w:p>
        </w:tc>
        <w:tc>
          <w:tcPr>
            <w:tcW w:w="0" w:type="auto"/>
            <w:hideMark/>
          </w:tcPr>
          <w:p w:rsidR="00C327A3" w:rsidP="008E4C6A" w:rsidRDefault="00C327A3">
            <w:pPr>
              <w:rPr>
                <w:sz w:val="20"/>
                <w:szCs w:val="20"/>
              </w:rPr>
            </w:pPr>
          </w:p>
        </w:tc>
      </w:tr>
      <w:tr w:rsidR="00C327A3" w:rsidTr="00C327A3">
        <w:tc>
          <w:tcPr>
            <w:tcW w:w="8237" w:type="dxa"/>
            <w:tcBorders>
              <w:top w:val="single" w:color="000000" w:sz="6" w:space="0"/>
              <w:left w:val="nil"/>
              <w:bottom w:val="single" w:color="000000" w:sz="6" w:space="0"/>
              <w:right w:val="nil"/>
            </w:tcBorders>
            <w:hideMark/>
          </w:tcPr>
          <w:p w:rsidR="00C327A3" w:rsidP="008E4C6A" w:rsidRDefault="00C327A3">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C327A3" w:rsidP="008E4C6A" w:rsidRDefault="00C327A3">
            <w:pPr>
              <w:jc w:val="right"/>
              <w:rPr>
                <w:rFonts w:ascii="Verdana" w:hAnsi="Verdana"/>
                <w:sz w:val="18"/>
                <w:szCs w:val="18"/>
              </w:rPr>
            </w:pPr>
            <w:r>
              <w:rPr>
                <w:rFonts w:ascii="Verdana" w:hAnsi="Verdana"/>
                <w:sz w:val="18"/>
                <w:szCs w:val="18"/>
              </w:rPr>
              <w:t>2016</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Stand Miljoenennota 2017 (excl. IS)</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9.240,5</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Beleidsmatige mutaties</w:t>
            </w:r>
          </w:p>
        </w:tc>
        <w:tc>
          <w:tcPr>
            <w:tcW w:w="0" w:type="auto"/>
            <w:hideMark/>
          </w:tcPr>
          <w:p w:rsidR="00C327A3" w:rsidP="008E4C6A" w:rsidRDefault="00C327A3">
            <w:pPr>
              <w:rPr>
                <w:sz w:val="20"/>
                <w:szCs w:val="20"/>
              </w:rPr>
            </w:pPr>
          </w:p>
        </w:tc>
      </w:tr>
      <w:tr w:rsidR="00C327A3" w:rsidTr="00C327A3">
        <w:tc>
          <w:tcPr>
            <w:tcW w:w="8237" w:type="dxa"/>
            <w:tcBorders>
              <w:left w:val="nil"/>
              <w:right w:val="nil"/>
            </w:tcBorders>
            <w:tcMar>
              <w:top w:w="15" w:type="dxa"/>
              <w:left w:w="180" w:type="dxa"/>
              <w:bottom w:w="15" w:type="dxa"/>
              <w:right w:w="15" w:type="dxa"/>
            </w:tcMar>
            <w:vAlign w:val="both"/>
            <w:hideMark/>
          </w:tcPr>
          <w:p w:rsidR="00C327A3" w:rsidP="008E4C6A" w:rsidRDefault="00C327A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C327A3" w:rsidP="008E4C6A" w:rsidRDefault="00C327A3">
            <w:pPr>
              <w:rPr>
                <w:sz w:val="20"/>
                <w:szCs w:val="20"/>
              </w:rPr>
            </w:pP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Afdrachten staatsloterij</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98,7</w:t>
            </w: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Belasting- en invorderingsrente</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-15,0</w:t>
            </w: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Schade-uitkering ekv</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-34,9</w:t>
            </w: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Storting begrotingsreserve</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123,7</w:t>
            </w: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Vrijval reservering bir</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-30,0</w:t>
            </w: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-15,5</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127,0</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Technische mutaties</w:t>
            </w:r>
          </w:p>
        </w:tc>
        <w:tc>
          <w:tcPr>
            <w:tcW w:w="0" w:type="auto"/>
            <w:hideMark/>
          </w:tcPr>
          <w:p w:rsidR="00C327A3" w:rsidP="008E4C6A" w:rsidRDefault="00C327A3">
            <w:pPr>
              <w:rPr>
                <w:sz w:val="20"/>
                <w:szCs w:val="20"/>
              </w:rPr>
            </w:pPr>
          </w:p>
        </w:tc>
      </w:tr>
      <w:tr w:rsidR="00C327A3" w:rsidTr="00C327A3">
        <w:tc>
          <w:tcPr>
            <w:tcW w:w="8237" w:type="dxa"/>
            <w:tcBorders>
              <w:left w:val="nil"/>
              <w:right w:val="nil"/>
            </w:tcBorders>
            <w:tcMar>
              <w:top w:w="15" w:type="dxa"/>
              <w:left w:w="180" w:type="dxa"/>
              <w:bottom w:w="15" w:type="dxa"/>
              <w:right w:w="15" w:type="dxa"/>
            </w:tcMar>
            <w:vAlign w:val="both"/>
            <w:hideMark/>
          </w:tcPr>
          <w:p w:rsidR="00C327A3" w:rsidP="008E4C6A" w:rsidRDefault="00C327A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C327A3" w:rsidP="008E4C6A" w:rsidRDefault="00C327A3">
            <w:pPr>
              <w:rPr>
                <w:sz w:val="20"/>
                <w:szCs w:val="20"/>
              </w:rPr>
            </w:pP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-0,3</w:t>
            </w:r>
          </w:p>
        </w:tc>
      </w:tr>
      <w:tr w:rsidR="00C327A3" w:rsidTr="00C327A3">
        <w:tc>
          <w:tcPr>
            <w:tcW w:w="8237" w:type="dxa"/>
            <w:tcBorders>
              <w:left w:val="nil"/>
              <w:right w:val="nil"/>
            </w:tcBorders>
            <w:tcMar>
              <w:top w:w="15" w:type="dxa"/>
              <w:left w:w="180" w:type="dxa"/>
              <w:bottom w:w="15" w:type="dxa"/>
              <w:right w:w="15" w:type="dxa"/>
            </w:tcMar>
            <w:vAlign w:val="both"/>
            <w:hideMark/>
          </w:tcPr>
          <w:p w:rsidR="00C327A3" w:rsidP="008E4C6A" w:rsidRDefault="00C327A3">
            <w:pPr>
              <w:ind w:firstLine="180" w:firstLineChars="100"/>
              <w:rPr>
                <w:rFonts w:ascii="Verdana" w:hAnsi="Verdana"/>
                <w:sz w:val="18"/>
                <w:szCs w:val="18"/>
              </w:rPr>
            </w:pPr>
            <w:r>
              <w:rPr>
                <w:rFonts w:ascii="Verdana" w:hAnsi="Verdana"/>
                <w:sz w:val="18"/>
                <w:szCs w:val="18"/>
              </w:rPr>
              <w:t>Niet tot een ijklijn behorend</w:t>
            </w:r>
          </w:p>
        </w:tc>
        <w:tc>
          <w:tcPr>
            <w:tcW w:w="0" w:type="auto"/>
            <w:hideMark/>
          </w:tcPr>
          <w:p w:rsidR="00C327A3" w:rsidP="008E4C6A" w:rsidRDefault="00C327A3">
            <w:pPr>
              <w:rPr>
                <w:sz w:val="20"/>
                <w:szCs w:val="20"/>
              </w:rPr>
            </w:pPr>
          </w:p>
        </w:tc>
      </w:tr>
      <w:tr w:rsidR="00C327A3" w:rsidTr="00C327A3">
        <w:tc>
          <w:tcPr>
            <w:tcW w:w="8237" w:type="dxa"/>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7,5</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7,2</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Totaal mutaties sinds Miljoenennota 2017</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134,1</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c>
          <w:tcPr>
            <w:tcW w:w="0" w:type="auto"/>
            <w:hideMark/>
          </w:tcPr>
          <w:p w:rsidR="00C327A3" w:rsidP="008E4C6A" w:rsidRDefault="00C327A3">
            <w:pPr>
              <w:rPr>
                <w:sz w:val="20"/>
                <w:szCs w:val="20"/>
              </w:rPr>
            </w:pP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Stand Najaarsnota 2016 (subtotaal)</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9.374,6</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522,8</w:t>
            </w:r>
          </w:p>
        </w:tc>
      </w:tr>
      <w:tr w:rsidR="00C327A3" w:rsidTr="00C327A3">
        <w:tc>
          <w:tcPr>
            <w:tcW w:w="8237"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Stand Najaarsnota 2016</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9.897,4</w:t>
            </w:r>
          </w:p>
        </w:tc>
      </w:tr>
    </w:tbl>
    <w:p w:rsidR="00C327A3" w:rsidP="00C327A3" w:rsidRDefault="00C327A3">
      <w:pPr>
        <w:rPr>
          <w:rFonts w:ascii="Verdana" w:hAnsi="Verdana"/>
          <w:vanish/>
          <w:sz w:val="14"/>
          <w:szCs w:val="14"/>
        </w:rPr>
      </w:pPr>
    </w:p>
    <w:tbl>
      <w:tblPr>
        <w:tblW w:w="0" w:type="auto"/>
        <w:tblCellMar>
          <w:top w:w="15" w:type="dxa"/>
          <w:left w:w="15" w:type="dxa"/>
          <w:bottom w:w="15" w:type="dxa"/>
          <w:right w:w="15" w:type="dxa"/>
        </w:tblCellMar>
        <w:tblLook w:val="04A0"/>
      </w:tblPr>
      <w:tblGrid>
        <w:gridCol w:w="8222"/>
        <w:gridCol w:w="880"/>
      </w:tblGrid>
      <w:tr w:rsidR="00C327A3" w:rsidTr="008E4C6A">
        <w:tc>
          <w:tcPr>
            <w:tcW w:w="9000"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c>
          <w:tcPr>
            <w:tcW w:w="900" w:type="dxa"/>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IXB FINANCIEN: NIET-BELASTINGONTVANGSTEN</w:t>
            </w:r>
          </w:p>
        </w:tc>
        <w:tc>
          <w:tcPr>
            <w:tcW w:w="0" w:type="auto"/>
            <w:hideMark/>
          </w:tcPr>
          <w:p w:rsidR="00C327A3" w:rsidP="008E4C6A" w:rsidRDefault="00C327A3">
            <w:pPr>
              <w:rPr>
                <w:sz w:val="20"/>
                <w:szCs w:val="20"/>
              </w:rPr>
            </w:pPr>
          </w:p>
        </w:tc>
      </w:tr>
      <w:tr w:rsidR="00C327A3" w:rsidTr="008E4C6A">
        <w:tc>
          <w:tcPr>
            <w:tcW w:w="0" w:type="auto"/>
            <w:tcBorders>
              <w:top w:val="single" w:color="000000" w:sz="6" w:space="0"/>
              <w:left w:val="nil"/>
              <w:bottom w:val="single" w:color="000000" w:sz="6" w:space="0"/>
              <w:right w:val="nil"/>
            </w:tcBorders>
            <w:hideMark/>
          </w:tcPr>
          <w:p w:rsidR="00C327A3" w:rsidP="008E4C6A" w:rsidRDefault="00C327A3">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C327A3" w:rsidP="008E4C6A" w:rsidRDefault="00C327A3">
            <w:pPr>
              <w:jc w:val="right"/>
              <w:rPr>
                <w:rFonts w:ascii="Verdana" w:hAnsi="Verdana"/>
                <w:sz w:val="18"/>
                <w:szCs w:val="18"/>
              </w:rPr>
            </w:pPr>
            <w:r>
              <w:rPr>
                <w:rFonts w:ascii="Verdana" w:hAnsi="Verdana"/>
                <w:sz w:val="18"/>
                <w:szCs w:val="18"/>
              </w:rPr>
              <w:t>2016</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Stand Miljoenennota 2017 (excl. IS)</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7.527,8</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Beleidsmatige mutaties</w:t>
            </w:r>
          </w:p>
        </w:tc>
        <w:tc>
          <w:tcPr>
            <w:tcW w:w="0" w:type="auto"/>
            <w:hideMark/>
          </w:tcPr>
          <w:p w:rsidR="00C327A3" w:rsidP="008E4C6A" w:rsidRDefault="00C327A3">
            <w:pPr>
              <w:rPr>
                <w:sz w:val="20"/>
                <w:szCs w:val="20"/>
              </w:rPr>
            </w:pPr>
          </w:p>
        </w:tc>
      </w:tr>
      <w:tr w:rsidR="00C327A3" w:rsidTr="008E4C6A">
        <w:tc>
          <w:tcPr>
            <w:tcW w:w="0" w:type="auto"/>
            <w:tcBorders>
              <w:left w:val="nil"/>
              <w:right w:val="nil"/>
            </w:tcBorders>
            <w:tcMar>
              <w:top w:w="15" w:type="dxa"/>
              <w:left w:w="180" w:type="dxa"/>
              <w:bottom w:w="15" w:type="dxa"/>
              <w:right w:w="15" w:type="dxa"/>
            </w:tcMar>
            <w:vAlign w:val="both"/>
            <w:hideMark/>
          </w:tcPr>
          <w:p w:rsidR="00C327A3" w:rsidP="008E4C6A" w:rsidRDefault="00C327A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C327A3" w:rsidP="008E4C6A" w:rsidRDefault="00C327A3">
            <w:pPr>
              <w:rPr>
                <w:sz w:val="20"/>
                <w:szCs w:val="20"/>
              </w:rPr>
            </w:pP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Afdrachten staatsloterij</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98,7</w:t>
            </w: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Dividenden en afdrachten staatsdeelnemingen</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51,0</w:t>
            </w: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Kosten vervolging</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-20,0</w:t>
            </w: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Premies ekv</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50,0</w:t>
            </w: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Schaderestituties ekv</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38,8</w:t>
            </w: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13,6</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232,1</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Technische mutaties</w:t>
            </w:r>
          </w:p>
        </w:tc>
        <w:tc>
          <w:tcPr>
            <w:tcW w:w="0" w:type="auto"/>
            <w:hideMark/>
          </w:tcPr>
          <w:p w:rsidR="00C327A3" w:rsidP="008E4C6A" w:rsidRDefault="00C327A3">
            <w:pPr>
              <w:rPr>
                <w:sz w:val="20"/>
                <w:szCs w:val="20"/>
              </w:rPr>
            </w:pPr>
          </w:p>
        </w:tc>
      </w:tr>
      <w:tr w:rsidR="00C327A3" w:rsidTr="008E4C6A">
        <w:tc>
          <w:tcPr>
            <w:tcW w:w="0" w:type="auto"/>
            <w:tcBorders>
              <w:left w:val="nil"/>
              <w:right w:val="nil"/>
            </w:tcBorders>
            <w:tcMar>
              <w:top w:w="15" w:type="dxa"/>
              <w:left w:w="180" w:type="dxa"/>
              <w:bottom w:w="15" w:type="dxa"/>
              <w:right w:w="15" w:type="dxa"/>
            </w:tcMar>
            <w:vAlign w:val="both"/>
            <w:hideMark/>
          </w:tcPr>
          <w:p w:rsidR="00C327A3" w:rsidP="008E4C6A" w:rsidRDefault="00C327A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C327A3" w:rsidP="008E4C6A" w:rsidRDefault="00C327A3">
            <w:pPr>
              <w:rPr>
                <w:sz w:val="20"/>
                <w:szCs w:val="20"/>
              </w:rPr>
            </w:pP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-6,4</w:t>
            </w:r>
          </w:p>
        </w:tc>
      </w:tr>
      <w:tr w:rsidR="00C327A3" w:rsidTr="008E4C6A">
        <w:tc>
          <w:tcPr>
            <w:tcW w:w="0" w:type="auto"/>
            <w:tcBorders>
              <w:left w:val="nil"/>
              <w:right w:val="nil"/>
            </w:tcBorders>
            <w:tcMar>
              <w:top w:w="15" w:type="dxa"/>
              <w:left w:w="180" w:type="dxa"/>
              <w:bottom w:w="15" w:type="dxa"/>
              <w:right w:w="15" w:type="dxa"/>
            </w:tcMar>
            <w:vAlign w:val="both"/>
            <w:hideMark/>
          </w:tcPr>
          <w:p w:rsidR="00C327A3" w:rsidP="008E4C6A" w:rsidRDefault="00C327A3">
            <w:pPr>
              <w:ind w:firstLine="180" w:firstLineChars="100"/>
              <w:rPr>
                <w:rFonts w:ascii="Verdana" w:hAnsi="Verdana"/>
                <w:sz w:val="18"/>
                <w:szCs w:val="18"/>
              </w:rPr>
            </w:pPr>
            <w:r>
              <w:rPr>
                <w:rFonts w:ascii="Verdana" w:hAnsi="Verdana"/>
                <w:sz w:val="18"/>
                <w:szCs w:val="18"/>
              </w:rPr>
              <w:t>Niet tot een ijklijn behorend</w:t>
            </w:r>
          </w:p>
        </w:tc>
        <w:tc>
          <w:tcPr>
            <w:tcW w:w="0" w:type="auto"/>
            <w:hideMark/>
          </w:tcPr>
          <w:p w:rsidR="00C327A3" w:rsidP="008E4C6A" w:rsidRDefault="00C327A3">
            <w:pPr>
              <w:rPr>
                <w:sz w:val="20"/>
                <w:szCs w:val="20"/>
              </w:rPr>
            </w:pP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Tweede tranche abn amro</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1.326,0</w:t>
            </w:r>
          </w:p>
        </w:tc>
      </w:tr>
      <w:tr w:rsidR="00C327A3" w:rsidTr="008E4C6A">
        <w:tc>
          <w:tcPr>
            <w:tcW w:w="0" w:type="auto"/>
            <w:tcBorders>
              <w:left w:val="nil"/>
              <w:right w:val="nil"/>
            </w:tcBorders>
            <w:tcMar>
              <w:top w:w="15" w:type="dxa"/>
              <w:left w:w="360" w:type="dxa"/>
              <w:bottom w:w="15" w:type="dxa"/>
              <w:right w:w="15" w:type="dxa"/>
            </w:tcMar>
            <w:vAlign w:val="both"/>
            <w:hideMark/>
          </w:tcPr>
          <w:p w:rsidR="00C327A3" w:rsidP="008E4C6A" w:rsidRDefault="00C327A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26,8</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1.346,4</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Totaal mutaties sinds Miljoenennota 2017</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1.578,6</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 </w:t>
            </w:r>
          </w:p>
        </w:tc>
        <w:tc>
          <w:tcPr>
            <w:tcW w:w="0" w:type="auto"/>
            <w:hideMark/>
          </w:tcPr>
          <w:p w:rsidR="00C327A3" w:rsidP="008E4C6A" w:rsidRDefault="00C327A3">
            <w:pPr>
              <w:rPr>
                <w:sz w:val="20"/>
                <w:szCs w:val="20"/>
              </w:rPr>
            </w:pP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Stand Najaarsnota 2016 (subtotaal)</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9.106,4</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3,9</w:t>
            </w:r>
          </w:p>
        </w:tc>
      </w:tr>
      <w:tr w:rsidR="00C327A3" w:rsidTr="008E4C6A">
        <w:tc>
          <w:tcPr>
            <w:tcW w:w="0" w:type="auto"/>
            <w:tcBorders>
              <w:left w:val="nil"/>
              <w:right w:val="nil"/>
            </w:tcBorders>
            <w:hideMark/>
          </w:tcPr>
          <w:p w:rsidR="00C327A3" w:rsidP="008E4C6A" w:rsidRDefault="00C327A3">
            <w:pPr>
              <w:rPr>
                <w:rFonts w:ascii="Verdana" w:hAnsi="Verdana"/>
                <w:sz w:val="18"/>
                <w:szCs w:val="18"/>
              </w:rPr>
            </w:pPr>
            <w:r>
              <w:rPr>
                <w:rFonts w:ascii="Verdana" w:hAnsi="Verdana"/>
                <w:sz w:val="18"/>
                <w:szCs w:val="18"/>
              </w:rPr>
              <w:t>Stand Najaarsnota 2016</w:t>
            </w:r>
          </w:p>
        </w:tc>
        <w:tc>
          <w:tcPr>
            <w:tcW w:w="0" w:type="auto"/>
            <w:tcBorders>
              <w:top w:val="single" w:color="000000" w:sz="6" w:space="0"/>
              <w:left w:val="nil"/>
              <w:right w:val="nil"/>
            </w:tcBorders>
            <w:hideMark/>
          </w:tcPr>
          <w:p w:rsidR="00C327A3" w:rsidP="008E4C6A" w:rsidRDefault="00C327A3">
            <w:pPr>
              <w:jc w:val="right"/>
              <w:rPr>
                <w:rFonts w:ascii="Verdana" w:hAnsi="Verdana"/>
                <w:sz w:val="18"/>
                <w:szCs w:val="18"/>
              </w:rPr>
            </w:pPr>
            <w:r>
              <w:rPr>
                <w:rFonts w:ascii="Verdana" w:hAnsi="Verdana"/>
                <w:sz w:val="18"/>
                <w:szCs w:val="18"/>
              </w:rPr>
              <w:t>9.110,3</w:t>
            </w:r>
          </w:p>
        </w:tc>
      </w:tr>
    </w:tbl>
    <w:p w:rsidRPr="000435C0" w:rsidR="00312FEE" w:rsidP="000435C0" w:rsidRDefault="00312FEE">
      <w:pPr>
        <w:spacing w:line="240" w:lineRule="exact"/>
        <w:rPr>
          <w:rFonts w:ascii="Verdana" w:hAnsi="Verdana"/>
          <w:b/>
          <w:sz w:val="18"/>
          <w:szCs w:val="18"/>
        </w:rPr>
      </w:pPr>
    </w:p>
    <w:p w:rsidR="00885DF5" w:rsidP="00885DF5" w:rsidRDefault="00885DF5">
      <w:pPr>
        <w:rPr>
          <w:rFonts w:ascii="Verdana" w:hAnsi="Verdana"/>
          <w:i/>
          <w:sz w:val="18"/>
          <w:szCs w:val="18"/>
        </w:rPr>
      </w:pPr>
    </w:p>
    <w:p w:rsidR="009E450C" w:rsidP="00885DF5" w:rsidRDefault="009E450C">
      <w:pPr>
        <w:rPr>
          <w:rFonts w:ascii="Verdana" w:hAnsi="Verdana"/>
          <w:i/>
          <w:sz w:val="18"/>
          <w:szCs w:val="18"/>
        </w:rPr>
      </w:pPr>
    </w:p>
    <w:p w:rsidR="009E450C" w:rsidP="00885DF5" w:rsidRDefault="009E450C">
      <w:pPr>
        <w:rPr>
          <w:rFonts w:ascii="Verdana" w:hAnsi="Verdana"/>
          <w:i/>
          <w:sz w:val="18"/>
          <w:szCs w:val="18"/>
        </w:rPr>
      </w:pPr>
    </w:p>
    <w:p w:rsidR="00885DF5" w:rsidP="00885DF5" w:rsidRDefault="004B3DF4">
      <w:pPr>
        <w:rPr>
          <w:rFonts w:ascii="Verdana" w:hAnsi="Verdana"/>
          <w:i/>
          <w:iCs/>
          <w:sz w:val="18"/>
          <w:szCs w:val="18"/>
        </w:rPr>
      </w:pPr>
      <w:r w:rsidRPr="000435C0">
        <w:rPr>
          <w:rFonts w:ascii="Verdana" w:hAnsi="Verdana"/>
          <w:i/>
          <w:sz w:val="18"/>
          <w:szCs w:val="18"/>
        </w:rPr>
        <w:t>Afdrachten Staatslo</w:t>
      </w:r>
      <w:r w:rsidR="00885DF5">
        <w:rPr>
          <w:rFonts w:ascii="Verdana" w:hAnsi="Verdana"/>
          <w:i/>
          <w:sz w:val="18"/>
          <w:szCs w:val="18"/>
        </w:rPr>
        <w:t>terij (uitgaven en ontvangsten)</w:t>
      </w:r>
    </w:p>
    <w:p w:rsidRPr="00885DF5" w:rsidR="00885DF5" w:rsidP="00885DF5" w:rsidRDefault="00885DF5">
      <w:pPr>
        <w:spacing w:line="240" w:lineRule="exact"/>
        <w:rPr>
          <w:rFonts w:ascii="Verdana" w:hAnsi="Verdana"/>
          <w:sz w:val="18"/>
          <w:szCs w:val="18"/>
        </w:rPr>
      </w:pPr>
      <w:r w:rsidRPr="00885DF5">
        <w:rPr>
          <w:rFonts w:ascii="Verdana" w:hAnsi="Verdana"/>
          <w:sz w:val="18"/>
          <w:szCs w:val="18"/>
        </w:rPr>
        <w:t>Uit de Wet op de Kansspelen (WoK) volgt dat alle winsten van de Staatsloterij moeten toekomen aan de staat. Tot 1 april 2016 was dit ook het geval. Na de fusie van de Staatsloterij en Lotto is de staat aandeelhouder van de Nederlandse Loterij. Sinds de fusie ontvangt de staat een deel van de afdrachten en winsten van de fusieorganisatie volgens een vastgestelde verdeelsleutel. De geldstromen verlopen via een zogenaamde escrow rekening om te voldoen aan de eisen in de WoK. In de begroting en verantwoording komt dit tot uiting door een raming op te nemen van de afdrachten en winsten van de Staatsloterij in 2016 aan zowel uitgaven- als ontvangstenkant. Deze mutatie betreft alleen de verrekening die is opgenomen als technische post bij de uitgaven en ontvangsten (beide 98.7 mln.).</w:t>
      </w:r>
    </w:p>
    <w:p w:rsidRPr="000435C0" w:rsidR="004B3DF4" w:rsidP="000435C0" w:rsidRDefault="004B3DF4">
      <w:pPr>
        <w:spacing w:line="240" w:lineRule="exact"/>
        <w:rPr>
          <w:rFonts w:ascii="Verdana" w:hAnsi="Verdana"/>
          <w:i/>
          <w:sz w:val="18"/>
          <w:szCs w:val="18"/>
        </w:rPr>
      </w:pPr>
    </w:p>
    <w:p w:rsidRPr="000435C0" w:rsidR="004B3DF4" w:rsidP="000435C0" w:rsidRDefault="004B3DF4">
      <w:pPr>
        <w:spacing w:line="240" w:lineRule="exact"/>
        <w:rPr>
          <w:rFonts w:ascii="Verdana" w:hAnsi="Verdana"/>
          <w:sz w:val="18"/>
          <w:szCs w:val="18"/>
        </w:rPr>
      </w:pPr>
      <w:r w:rsidRPr="000435C0">
        <w:rPr>
          <w:rFonts w:ascii="Verdana" w:hAnsi="Verdana"/>
          <w:i/>
          <w:sz w:val="18"/>
          <w:szCs w:val="18"/>
        </w:rPr>
        <w:t>Belasting- en invorderingsrente</w:t>
      </w:r>
      <w:r w:rsidRPr="000435C0">
        <w:rPr>
          <w:rFonts w:ascii="Verdana" w:hAnsi="Verdana"/>
          <w:sz w:val="18"/>
          <w:szCs w:val="18"/>
        </w:rPr>
        <w:t xml:space="preserve"> </w:t>
      </w:r>
      <w:r w:rsidRPr="000435C0">
        <w:rPr>
          <w:rFonts w:ascii="Verdana" w:hAnsi="Verdana"/>
          <w:sz w:val="18"/>
          <w:szCs w:val="18"/>
        </w:rPr>
        <w:br/>
        <w:t xml:space="preserve">De raming van de rente-uitgaven wordt </w:t>
      </w:r>
      <w:r w:rsidRPr="000435C0">
        <w:rPr>
          <w:rFonts w:ascii="Verdana" w:hAnsi="Verdana" w:cs="Univers"/>
          <w:sz w:val="18"/>
          <w:szCs w:val="18"/>
        </w:rPr>
        <w:t xml:space="preserve">met 15 mln. naar beneden bijgesteld. Dit komt doordat de Belastingdienst minder rente hoeft te vergoeden bij het vaststellen van definitieve aanslagen. </w:t>
      </w:r>
    </w:p>
    <w:p w:rsidRPr="000435C0" w:rsidR="004B3DF4" w:rsidP="000435C0" w:rsidRDefault="004B3DF4">
      <w:pPr>
        <w:spacing w:line="240" w:lineRule="exact"/>
        <w:rPr>
          <w:rFonts w:ascii="Verdana" w:hAnsi="Verdana"/>
          <w:i/>
          <w:sz w:val="18"/>
          <w:szCs w:val="18"/>
        </w:rPr>
      </w:pPr>
    </w:p>
    <w:p w:rsidRPr="000435C0" w:rsidR="004B3DF4" w:rsidP="000435C0" w:rsidRDefault="004B3DF4">
      <w:pPr>
        <w:spacing w:line="240" w:lineRule="exact"/>
        <w:rPr>
          <w:rFonts w:ascii="Verdana" w:hAnsi="Verdana"/>
          <w:sz w:val="18"/>
          <w:szCs w:val="18"/>
        </w:rPr>
      </w:pPr>
      <w:r w:rsidRPr="000435C0">
        <w:rPr>
          <w:rFonts w:ascii="Verdana" w:hAnsi="Verdana"/>
          <w:i/>
          <w:sz w:val="18"/>
          <w:szCs w:val="18"/>
        </w:rPr>
        <w:t xml:space="preserve">Schade-uitkering EKV en storting begrotingsreserve (uitgaven), premies ekv en schaderestituties </w:t>
      </w:r>
      <w:r w:rsidR="009E450C">
        <w:rPr>
          <w:rFonts w:ascii="Verdana" w:hAnsi="Verdana"/>
          <w:i/>
          <w:sz w:val="18"/>
          <w:szCs w:val="18"/>
        </w:rPr>
        <w:t xml:space="preserve">ekv </w:t>
      </w:r>
      <w:r w:rsidRPr="000435C0">
        <w:rPr>
          <w:rFonts w:ascii="Verdana" w:hAnsi="Verdana"/>
          <w:i/>
          <w:sz w:val="18"/>
          <w:szCs w:val="18"/>
        </w:rPr>
        <w:t>(ontvangsten)</w:t>
      </w:r>
      <w:r w:rsidRPr="000435C0">
        <w:rPr>
          <w:rFonts w:ascii="Verdana" w:hAnsi="Verdana"/>
          <w:sz w:val="18"/>
          <w:szCs w:val="18"/>
        </w:rPr>
        <w:br/>
        <w:t xml:space="preserve">Via de exportkredietverzekeringen worden Nederlandse exporteurs en hun financiers gedekt tegen het politieke en commerciële risico dat zij lopen bij middellange en langlopende exportcontracten naar landen met een (ver)hoog(d) risico en/of buitenlandse afnemers met een relatief hoog risicoprofiel. De schade-uitkeringen bij de exportkredietverzekeringen zijn lager uitgevallen dan eerder begroot (-34.9 mln.). Daarnaast treden er meevallers op bij de premieontvangsten (50 mln.) en recuperatieontvangsten (38.8 mln.). Deze meevallers komen ten gunste aan de begrotingsreserve die getroffen is voor uitstaande risico’s.  </w:t>
      </w:r>
      <w:r w:rsidRPr="000435C0">
        <w:rPr>
          <w:rFonts w:ascii="Verdana" w:hAnsi="Verdana"/>
          <w:sz w:val="18"/>
          <w:szCs w:val="18"/>
        </w:rPr>
        <w:br/>
      </w:r>
      <w:r w:rsidRPr="000435C0">
        <w:rPr>
          <w:rFonts w:ascii="Verdana" w:hAnsi="Verdana"/>
          <w:i/>
          <w:sz w:val="18"/>
          <w:szCs w:val="18"/>
        </w:rPr>
        <w:br/>
      </w:r>
      <w:r w:rsidRPr="000435C0">
        <w:rPr>
          <w:rFonts w:ascii="Verdana" w:hAnsi="Verdana"/>
          <w:i/>
          <w:iCs/>
          <w:sz w:val="18"/>
          <w:szCs w:val="18"/>
        </w:rPr>
        <w:t>Vrijval reservering BIR</w:t>
      </w:r>
      <w:r w:rsidRPr="000435C0">
        <w:rPr>
          <w:rFonts w:ascii="Verdana" w:hAnsi="Verdana"/>
          <w:i/>
          <w:iCs/>
          <w:sz w:val="18"/>
          <w:szCs w:val="18"/>
        </w:rPr>
        <w:br/>
      </w:r>
      <w:r w:rsidRPr="000435C0">
        <w:rPr>
          <w:rFonts w:ascii="Verdana" w:hAnsi="Verdana"/>
          <w:sz w:val="18"/>
          <w:szCs w:val="18"/>
        </w:rPr>
        <w:t>Bij Voorjaarsnota 2016 is een reservering getroffen voor een mogelijke tegenvaller op de Belasting- en Invorderingsrente. Het grootste gedeelte van deze reservering komt te vervallen, omdat de tegenvaller zich niet heeft voorgedaan.</w:t>
      </w:r>
    </w:p>
    <w:p w:rsidRPr="000435C0" w:rsidR="004B3DF4" w:rsidP="000435C0" w:rsidRDefault="004B3DF4">
      <w:pPr>
        <w:spacing w:line="240" w:lineRule="exact"/>
        <w:rPr>
          <w:rFonts w:ascii="Verdana" w:hAnsi="Verdana"/>
          <w:i/>
          <w:sz w:val="18"/>
          <w:szCs w:val="18"/>
        </w:rPr>
      </w:pPr>
    </w:p>
    <w:p w:rsidRPr="000435C0" w:rsidR="004B3DF4" w:rsidP="000435C0" w:rsidRDefault="004B3DF4">
      <w:pPr>
        <w:spacing w:line="240" w:lineRule="exact"/>
        <w:rPr>
          <w:rFonts w:ascii="Verdana" w:hAnsi="Verdana"/>
          <w:sz w:val="18"/>
          <w:szCs w:val="18"/>
        </w:rPr>
      </w:pPr>
      <w:r w:rsidRPr="000435C0">
        <w:rPr>
          <w:rFonts w:ascii="Verdana" w:hAnsi="Verdana"/>
          <w:i/>
          <w:sz w:val="18"/>
          <w:szCs w:val="18"/>
        </w:rPr>
        <w:t>Diversen (uitgaven en ontvangsten, rijksbegroting enge zin, technische en niet tot een ijklijn behorende mutaties)</w:t>
      </w:r>
      <w:r w:rsidRPr="000435C0">
        <w:rPr>
          <w:rFonts w:ascii="Verdana" w:hAnsi="Verdana"/>
          <w:i/>
          <w:sz w:val="18"/>
          <w:szCs w:val="18"/>
        </w:rPr>
        <w:br/>
      </w:r>
      <w:r w:rsidRPr="000435C0">
        <w:rPr>
          <w:rFonts w:ascii="Verdana" w:hAnsi="Verdana"/>
          <w:sz w:val="18"/>
          <w:szCs w:val="18"/>
        </w:rPr>
        <w:t>Dit betreft een saldo van mutaties van onder andere een meevaller op muntcirculatie en meer ontvangsten door ontwaarde munten die hoger zijn uitgevallen dan aanvankelijk was voorzien.</w:t>
      </w:r>
      <w:r w:rsidRPr="000435C0">
        <w:rPr>
          <w:rFonts w:ascii="Verdana" w:hAnsi="Verdana"/>
          <w:sz w:val="18"/>
          <w:szCs w:val="18"/>
        </w:rPr>
        <w:br/>
      </w:r>
      <w:r w:rsidRPr="000435C0">
        <w:rPr>
          <w:rFonts w:ascii="Verdana" w:hAnsi="Verdana"/>
          <w:i/>
          <w:sz w:val="18"/>
          <w:szCs w:val="18"/>
        </w:rPr>
        <w:br/>
        <w:t>Dividenden en afdrachten staatsdeelnemingen</w:t>
      </w:r>
      <w:r w:rsidRPr="000435C0">
        <w:rPr>
          <w:rFonts w:ascii="Verdana" w:hAnsi="Verdana"/>
          <w:i/>
          <w:sz w:val="18"/>
          <w:szCs w:val="18"/>
        </w:rPr>
        <w:br/>
      </w:r>
      <w:r w:rsidRPr="000435C0">
        <w:rPr>
          <w:rFonts w:ascii="Verdana" w:hAnsi="Verdana"/>
          <w:sz w:val="18"/>
          <w:szCs w:val="18"/>
        </w:rPr>
        <w:t>De meest recente raming van de dividenden en afdrachten in 2016 leidt tot een verhoging van 51 miljoen euro ten opzichte van de vorige raming. Dit wordt veroorzaakt door hogere afdrachten van de Nederlandse Loterij en doordat er zich geen onvoorziene risico’s hebben voorgedaan dit jaar.</w:t>
      </w:r>
    </w:p>
    <w:p w:rsidRPr="000435C0" w:rsidR="004B3DF4" w:rsidP="000435C0" w:rsidRDefault="004B3DF4">
      <w:pPr>
        <w:spacing w:line="240" w:lineRule="exact"/>
        <w:rPr>
          <w:rFonts w:ascii="Verdana" w:hAnsi="Verdana"/>
          <w:i/>
          <w:sz w:val="18"/>
          <w:szCs w:val="18"/>
        </w:rPr>
      </w:pPr>
    </w:p>
    <w:p w:rsidRPr="000435C0" w:rsidR="004B3DF4" w:rsidP="000435C0" w:rsidRDefault="004B3DF4">
      <w:pPr>
        <w:spacing w:line="240" w:lineRule="exact"/>
        <w:rPr>
          <w:rFonts w:ascii="Verdana" w:hAnsi="Verdana"/>
          <w:sz w:val="18"/>
          <w:szCs w:val="18"/>
        </w:rPr>
      </w:pPr>
      <w:r w:rsidRPr="000435C0">
        <w:rPr>
          <w:rFonts w:ascii="Verdana" w:hAnsi="Verdana"/>
          <w:i/>
          <w:sz w:val="18"/>
          <w:szCs w:val="18"/>
        </w:rPr>
        <w:t>Kosten vervolging</w:t>
      </w:r>
      <w:r w:rsidRPr="000435C0">
        <w:rPr>
          <w:rFonts w:ascii="Verdana" w:hAnsi="Verdana"/>
          <w:i/>
          <w:sz w:val="18"/>
          <w:szCs w:val="18"/>
        </w:rPr>
        <w:br/>
      </w:r>
      <w:r w:rsidRPr="000435C0">
        <w:rPr>
          <w:rFonts w:ascii="Verdana" w:hAnsi="Verdana"/>
          <w:sz w:val="18"/>
          <w:szCs w:val="18"/>
        </w:rPr>
        <w:t>De begrote ontvangsten van de doorberekende tarieven van de Kostenwet blijven achter. Dit leidt in 2016 tot 20 mln. lagere ontvangsten dan oorspronkelijk geraamd.</w:t>
      </w:r>
    </w:p>
    <w:p w:rsidR="009E450C" w:rsidP="000435C0" w:rsidRDefault="009E450C">
      <w:pPr>
        <w:spacing w:line="240" w:lineRule="exact"/>
        <w:rPr>
          <w:rFonts w:ascii="Verdana" w:hAnsi="Verdana" w:cs="Verdana"/>
          <w:b/>
          <w:bCs/>
          <w:sz w:val="18"/>
          <w:szCs w:val="18"/>
        </w:rPr>
      </w:pPr>
    </w:p>
    <w:p w:rsidR="009E450C" w:rsidP="009E450C" w:rsidRDefault="009E450C">
      <w:pPr>
        <w:rPr>
          <w:rFonts w:ascii="Verdana" w:hAnsi="Verdana"/>
          <w:i/>
          <w:iCs/>
          <w:sz w:val="18"/>
          <w:szCs w:val="18"/>
        </w:rPr>
      </w:pPr>
      <w:r>
        <w:rPr>
          <w:rFonts w:ascii="Verdana" w:hAnsi="Verdana"/>
          <w:i/>
          <w:iCs/>
          <w:sz w:val="18"/>
          <w:szCs w:val="18"/>
        </w:rPr>
        <w:t>Tweede tranche ABN AMRO</w:t>
      </w:r>
    </w:p>
    <w:p w:rsidRPr="000435C0" w:rsidR="00D57CD6" w:rsidP="009E450C" w:rsidRDefault="009E450C">
      <w:pPr>
        <w:spacing w:line="240" w:lineRule="exact"/>
        <w:rPr>
          <w:rFonts w:ascii="Verdana" w:hAnsi="Verdana" w:cs="Verdana"/>
          <w:b/>
          <w:bCs/>
          <w:sz w:val="18"/>
          <w:szCs w:val="18"/>
        </w:rPr>
      </w:pPr>
      <w:r>
        <w:rPr>
          <w:rFonts w:ascii="Verdana" w:hAnsi="Verdana"/>
          <w:sz w:val="18"/>
          <w:szCs w:val="18"/>
        </w:rPr>
        <w:t>Op 17 november 2016 is een 2e tranche aandelen van ABN Amro naar de beurs gebrach</w:t>
      </w:r>
      <w:r w:rsidR="00C327A3">
        <w:rPr>
          <w:rFonts w:ascii="Verdana" w:hAnsi="Verdana"/>
          <w:sz w:val="18"/>
          <w:szCs w:val="18"/>
        </w:rPr>
        <w:t xml:space="preserve">t (7%). Deze transactie heeft </w:t>
      </w:r>
      <w:r>
        <w:rPr>
          <w:rFonts w:ascii="Verdana" w:hAnsi="Verdana"/>
          <w:sz w:val="18"/>
          <w:szCs w:val="18"/>
        </w:rPr>
        <w:t>1,3 mld. opgeleverd.</w:t>
      </w:r>
      <w:r w:rsidRPr="000435C0" w:rsidR="00D57CD6">
        <w:rPr>
          <w:rFonts w:ascii="Verdana" w:hAnsi="Verdana" w:cs="Verdana"/>
          <w:b/>
          <w:bCs/>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Defensie</w:t>
      </w:r>
    </w:p>
    <w:p w:rsidRPr="000435C0" w:rsidR="0069331B" w:rsidP="000435C0" w:rsidRDefault="0069331B">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734"/>
      </w:tblGrid>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 DEFENSIE: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8.062,5</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Doorwerking ontvangsten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35,9</w:t>
            </w: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1,3</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37,2</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38,3</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8.100,8</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325,7</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8.426,5</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2"/>
        <w:gridCol w:w="860"/>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 DEFENSIE: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267,1</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Bijstellen ontvangsten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35,9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35,9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35,9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303,1</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39,5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342,6</w:t>
            </w:r>
          </w:p>
        </w:tc>
      </w:tr>
    </w:tbl>
    <w:p w:rsidRPr="000435C0" w:rsidR="005D48AD" w:rsidP="000435C0" w:rsidRDefault="005D48AD">
      <w:pPr>
        <w:spacing w:line="240" w:lineRule="exact"/>
        <w:rPr>
          <w:rFonts w:ascii="Verdana" w:hAnsi="Verdana" w:cs="Verdana"/>
          <w:b/>
          <w:bCs/>
          <w:sz w:val="18"/>
          <w:szCs w:val="18"/>
        </w:rPr>
      </w:pPr>
    </w:p>
    <w:p w:rsidRPr="000435C0" w:rsidR="005D48AD" w:rsidP="000435C0" w:rsidRDefault="005D48AD">
      <w:pPr>
        <w:spacing w:line="240" w:lineRule="exact"/>
        <w:rPr>
          <w:rFonts w:ascii="Verdana" w:hAnsi="Verdana" w:cs="Courier New"/>
          <w:color w:val="000000"/>
          <w:sz w:val="18"/>
          <w:szCs w:val="18"/>
        </w:rPr>
      </w:pPr>
    </w:p>
    <w:p w:rsidRPr="000435C0" w:rsidR="00AB3803" w:rsidP="00AB3803" w:rsidRDefault="00AB3803">
      <w:pPr>
        <w:spacing w:line="240" w:lineRule="exact"/>
        <w:rPr>
          <w:rFonts w:ascii="Verdana" w:hAnsi="Verdana"/>
          <w:i/>
          <w:sz w:val="18"/>
          <w:szCs w:val="18"/>
        </w:rPr>
      </w:pPr>
      <w:r w:rsidRPr="000435C0">
        <w:rPr>
          <w:rFonts w:ascii="Verdana" w:hAnsi="Verdana"/>
          <w:i/>
          <w:sz w:val="18"/>
          <w:szCs w:val="18"/>
        </w:rPr>
        <w:t>Doorwerking ontvangsten</w:t>
      </w:r>
    </w:p>
    <w:p w:rsidRPr="000435C0" w:rsidR="00AB3803" w:rsidP="00AB3803" w:rsidRDefault="00AB3803">
      <w:pPr>
        <w:spacing w:line="240" w:lineRule="exact"/>
        <w:rPr>
          <w:rFonts w:ascii="Verdana" w:hAnsi="Verdana"/>
          <w:sz w:val="18"/>
          <w:szCs w:val="18"/>
        </w:rPr>
      </w:pPr>
      <w:r>
        <w:rPr>
          <w:rFonts w:ascii="Verdana" w:hAnsi="Verdana"/>
          <w:sz w:val="18"/>
          <w:szCs w:val="18"/>
        </w:rPr>
        <w:t xml:space="preserve">De verhoging van de ontvangsten komt voor het grootste gedeelte door huuropbrengsten van het Nationaal Militair Museum (NMM) en hogere opbrengsten door verkoop van goederen. </w:t>
      </w:r>
      <w:r w:rsidRPr="000435C0">
        <w:rPr>
          <w:rFonts w:ascii="Verdana" w:hAnsi="Verdana"/>
          <w:sz w:val="18"/>
          <w:szCs w:val="18"/>
        </w:rPr>
        <w:t xml:space="preserve">Defensie verhuurt de </w:t>
      </w:r>
      <w:r>
        <w:rPr>
          <w:rFonts w:ascii="Verdana" w:hAnsi="Verdana"/>
          <w:sz w:val="18"/>
          <w:szCs w:val="18"/>
        </w:rPr>
        <w:t xml:space="preserve">nieuwe </w:t>
      </w:r>
      <w:r w:rsidRPr="000435C0">
        <w:rPr>
          <w:rFonts w:ascii="Verdana" w:hAnsi="Verdana"/>
          <w:sz w:val="18"/>
          <w:szCs w:val="18"/>
        </w:rPr>
        <w:t xml:space="preserve">locatie in Soesterberg van het </w:t>
      </w:r>
      <w:r>
        <w:rPr>
          <w:rFonts w:ascii="Verdana" w:hAnsi="Verdana"/>
          <w:sz w:val="18"/>
          <w:szCs w:val="18"/>
        </w:rPr>
        <w:t>NMM</w:t>
      </w:r>
      <w:r w:rsidRPr="000435C0">
        <w:rPr>
          <w:rFonts w:ascii="Verdana" w:hAnsi="Verdana"/>
          <w:sz w:val="18"/>
          <w:szCs w:val="18"/>
        </w:rPr>
        <w:t xml:space="preserve"> aan de Koninklijke Stichting Defensie Musea. Defensie (CDC) betaalt een gebruiksvergoeding aan het consortium dat verantwoordelijk is voor de locatie. Dit betekent voor het CDC dat zowel de ontvangsten (huur) als de uitgaven (gebruiksvergoeding) stijgen</w:t>
      </w:r>
      <w:r>
        <w:rPr>
          <w:rFonts w:ascii="Verdana" w:hAnsi="Verdana"/>
          <w:sz w:val="18"/>
          <w:szCs w:val="18"/>
        </w:rPr>
        <w:t>.</w:t>
      </w:r>
      <w:r w:rsidRPr="000435C0">
        <w:rPr>
          <w:rFonts w:ascii="Verdana" w:hAnsi="Verdana"/>
          <w:sz w:val="18"/>
          <w:szCs w:val="18"/>
        </w:rPr>
        <w:t xml:space="preserve"> De doorwerking van ontvangsten door verkoop van goederen komt ter beschikking van investeringen.</w:t>
      </w:r>
    </w:p>
    <w:p w:rsidRPr="000435C0" w:rsidR="00AB3803" w:rsidP="00AB3803" w:rsidRDefault="00AB3803">
      <w:pPr>
        <w:spacing w:line="240" w:lineRule="exact"/>
        <w:rPr>
          <w:rFonts w:ascii="Verdana" w:hAnsi="Verdana"/>
          <w:i/>
          <w:sz w:val="18"/>
          <w:szCs w:val="18"/>
        </w:rPr>
      </w:pPr>
    </w:p>
    <w:p w:rsidRPr="000435C0" w:rsidR="00AB3803" w:rsidP="00AB3803" w:rsidRDefault="00AB3803">
      <w:pPr>
        <w:spacing w:line="240" w:lineRule="exact"/>
        <w:rPr>
          <w:rFonts w:ascii="Verdana" w:hAnsi="Verdana"/>
          <w:i/>
          <w:sz w:val="18"/>
          <w:szCs w:val="18"/>
        </w:rPr>
      </w:pPr>
      <w:r w:rsidRPr="000435C0">
        <w:rPr>
          <w:rFonts w:ascii="Verdana" w:hAnsi="Verdana"/>
          <w:i/>
          <w:sz w:val="18"/>
          <w:szCs w:val="18"/>
        </w:rPr>
        <w:t>Bijstellen ontvangsten</w:t>
      </w:r>
    </w:p>
    <w:p w:rsidRPr="000435C0" w:rsidR="00AB3803" w:rsidP="00AB3803" w:rsidRDefault="00AB3803">
      <w:pPr>
        <w:spacing w:line="240" w:lineRule="exact"/>
        <w:rPr>
          <w:rFonts w:ascii="Verdana" w:hAnsi="Verdana"/>
          <w:i/>
          <w:sz w:val="18"/>
          <w:szCs w:val="18"/>
        </w:rPr>
      </w:pPr>
      <w:r w:rsidRPr="000435C0">
        <w:rPr>
          <w:rFonts w:ascii="Verdana" w:hAnsi="Verdana"/>
          <w:sz w:val="18"/>
          <w:szCs w:val="18"/>
        </w:rPr>
        <w:t xml:space="preserve">Dit betreft onder meer de verhoogde inkomsten door huur en gebruik van de </w:t>
      </w:r>
      <w:r>
        <w:rPr>
          <w:rFonts w:ascii="Verdana" w:hAnsi="Verdana"/>
          <w:sz w:val="18"/>
          <w:szCs w:val="18"/>
        </w:rPr>
        <w:t xml:space="preserve">nieuwe </w:t>
      </w:r>
      <w:r w:rsidRPr="000435C0">
        <w:rPr>
          <w:rFonts w:ascii="Verdana" w:hAnsi="Verdana"/>
          <w:sz w:val="18"/>
          <w:szCs w:val="18"/>
        </w:rPr>
        <w:t xml:space="preserve">locatie </w:t>
      </w:r>
      <w:r>
        <w:rPr>
          <w:rFonts w:ascii="Verdana" w:hAnsi="Verdana"/>
          <w:sz w:val="18"/>
          <w:szCs w:val="18"/>
        </w:rPr>
        <w:t xml:space="preserve">in </w:t>
      </w:r>
      <w:r w:rsidRPr="000435C0">
        <w:rPr>
          <w:rFonts w:ascii="Verdana" w:hAnsi="Verdana"/>
          <w:sz w:val="18"/>
          <w:szCs w:val="18"/>
        </w:rPr>
        <w:t>Soesterberg door de Stichting Defensie Musea voor het Nationaal Militair museum. Daarnaast vindt de verkoop van tanks aan Finland eerder plaats dan verwacht.</w:t>
      </w:r>
    </w:p>
    <w:p w:rsidRPr="000435C0" w:rsidR="00D57CD6" w:rsidP="000435C0" w:rsidRDefault="00D57CD6">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Infrastructuur en Milieu</w:t>
      </w:r>
    </w:p>
    <w:p w:rsidRPr="000435C0" w:rsidR="004F664C" w:rsidP="000435C0" w:rsidRDefault="004F664C">
      <w:pPr>
        <w:spacing w:line="240" w:lineRule="exact"/>
        <w:rPr>
          <w:rFonts w:ascii="Verdana" w:hAnsi="Verdana"/>
          <w:i/>
          <w:sz w:val="18"/>
          <w:szCs w:val="18"/>
        </w:rPr>
      </w:pPr>
    </w:p>
    <w:tbl>
      <w:tblPr>
        <w:tblW w:w="0" w:type="auto"/>
        <w:tblCellMar>
          <w:top w:w="15" w:type="dxa"/>
          <w:left w:w="15" w:type="dxa"/>
          <w:bottom w:w="15" w:type="dxa"/>
          <w:right w:w="15" w:type="dxa"/>
        </w:tblCellMar>
        <w:tblLook w:val="04A0"/>
      </w:tblPr>
      <w:tblGrid>
        <w:gridCol w:w="8237"/>
        <w:gridCol w:w="734"/>
      </w:tblGrid>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XII INFRASTRUCTUUR EN MILIEU: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8.003,4</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Regeringsvliegtuig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-40,0</w:t>
            </w: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-2,9</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-42,9</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-76,9</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-76,9</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-119,8</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7.883,5</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26,8</w:t>
            </w:r>
          </w:p>
        </w:tc>
      </w:tr>
      <w:tr w:rsidRPr="000435C0" w:rsidR="00F17D33" w:rsidTr="004B3DF4">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7.910,3</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2"/>
        <w:gridCol w:w="860"/>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XII INFRASTRUCTUUR EN MILIEU: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246,0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-0,8</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-0,8</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11,5</w:t>
            </w: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Ets-veilingopbrengsten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-54,0</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-44,5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-45,3</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200,7</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206,6</w:t>
            </w:r>
          </w:p>
        </w:tc>
      </w:tr>
    </w:tbl>
    <w:p w:rsidRPr="000435C0" w:rsidR="004B3DF4" w:rsidP="000435C0" w:rsidRDefault="004B3DF4">
      <w:pPr>
        <w:spacing w:line="240" w:lineRule="exact"/>
        <w:rPr>
          <w:rFonts w:ascii="Verdana" w:hAnsi="Verdana" w:cs="Verdana"/>
          <w:b/>
          <w:bCs/>
          <w:sz w:val="18"/>
          <w:szCs w:val="18"/>
        </w:rPr>
      </w:pPr>
    </w:p>
    <w:p w:rsidRPr="00140CE5" w:rsidR="00140CE5" w:rsidP="00140CE5" w:rsidRDefault="00140CE5">
      <w:pPr>
        <w:spacing w:line="240" w:lineRule="atLeast"/>
        <w:rPr>
          <w:rFonts w:ascii="Verdana" w:hAnsi="Verdana"/>
          <w:i/>
          <w:sz w:val="18"/>
          <w:szCs w:val="18"/>
        </w:rPr>
      </w:pPr>
      <w:r w:rsidRPr="00140CE5">
        <w:rPr>
          <w:rFonts w:ascii="Verdana" w:hAnsi="Verdana"/>
          <w:i/>
          <w:sz w:val="18"/>
          <w:szCs w:val="18"/>
        </w:rPr>
        <w:t>Regeringsvliegtuig</w:t>
      </w:r>
    </w:p>
    <w:p w:rsidRPr="00140CE5" w:rsidR="00140CE5" w:rsidP="00140CE5" w:rsidRDefault="00140CE5">
      <w:pPr>
        <w:spacing w:line="240" w:lineRule="atLeast"/>
        <w:rPr>
          <w:rFonts w:ascii="Verdana" w:hAnsi="Verdana"/>
          <w:sz w:val="18"/>
          <w:szCs w:val="18"/>
        </w:rPr>
      </w:pPr>
      <w:r w:rsidRPr="00140CE5">
        <w:rPr>
          <w:rFonts w:ascii="Verdana" w:hAnsi="Verdana"/>
          <w:sz w:val="18"/>
          <w:szCs w:val="18"/>
        </w:rPr>
        <w:t xml:space="preserve">De Tweede Kamer is op 8 juli 2016 geïnformeerd over de aanschaf van een vervangend regeringsvliegtuig (Kamerstukken II 2015–2016 33 400, nr. 79). De middelen die het kabinet ter dekking bij Miljoenennota 2017 als eerste stap heeft toegevoegd aan de begroting van IenM, komen niet in 2016 tot besteding en schuiven door naar 2017. </w:t>
      </w:r>
    </w:p>
    <w:p w:rsidRPr="00140CE5" w:rsidR="00140CE5" w:rsidP="00140CE5" w:rsidRDefault="00140CE5">
      <w:pPr>
        <w:spacing w:line="240" w:lineRule="atLeast"/>
        <w:rPr>
          <w:rFonts w:ascii="Verdana" w:hAnsi="Verdana"/>
          <w:i/>
          <w:sz w:val="18"/>
          <w:szCs w:val="18"/>
        </w:rPr>
      </w:pPr>
    </w:p>
    <w:p w:rsidRPr="00140CE5" w:rsidR="00140CE5" w:rsidP="00140CE5" w:rsidRDefault="00140CE5">
      <w:pPr>
        <w:spacing w:line="240" w:lineRule="atLeast"/>
        <w:rPr>
          <w:rFonts w:ascii="Verdana" w:hAnsi="Verdana"/>
          <w:i/>
          <w:sz w:val="18"/>
          <w:szCs w:val="18"/>
        </w:rPr>
      </w:pPr>
      <w:r w:rsidRPr="00140CE5">
        <w:rPr>
          <w:rFonts w:ascii="Verdana" w:hAnsi="Verdana"/>
          <w:i/>
          <w:sz w:val="18"/>
          <w:szCs w:val="18"/>
        </w:rPr>
        <w:t xml:space="preserve">Diversen - </w:t>
      </w:r>
      <w:r w:rsidRPr="00140CE5">
        <w:rPr>
          <w:rFonts w:ascii="Verdana" w:hAnsi="Verdana"/>
          <w:i/>
          <w:iCs/>
          <w:sz w:val="18"/>
          <w:szCs w:val="18"/>
        </w:rPr>
        <w:t>technische mutaties uitgaven</w:t>
      </w:r>
    </w:p>
    <w:p w:rsidRPr="00140CE5" w:rsidR="00140CE5" w:rsidP="00140CE5" w:rsidRDefault="00140CE5">
      <w:pPr>
        <w:spacing w:line="240" w:lineRule="atLeast"/>
        <w:rPr>
          <w:rFonts w:ascii="Verdana" w:hAnsi="Verdana"/>
          <w:sz w:val="18"/>
          <w:szCs w:val="18"/>
        </w:rPr>
      </w:pPr>
      <w:r w:rsidRPr="00140CE5">
        <w:rPr>
          <w:rFonts w:ascii="Verdana" w:hAnsi="Verdana"/>
          <w:sz w:val="18"/>
          <w:szCs w:val="18"/>
        </w:rPr>
        <w:t>Dit betreft diverse interdepartementale overboekingen en overboekingen naar het Provinciefonds, Gemeentefonds en Btw-compensatiefonds. De vier grootste mutaties zijn (1) een overboeking van 20,6 mln. naar het Provinciefonds voor de rijksbijdrage aan het project Ooijen-Wanssum; (2) een overboeking van 12,8 mln. naar het Provinciefonds ten behoeve van hydrologische maatregelen door provincies. De dekking hiervan komt uit de opbrengsten van grondverkopen door de Rijksdienst voor Ondernemend Nederland</w:t>
      </w:r>
      <w:r w:rsidRPr="00140CE5">
        <w:rPr>
          <w:rFonts w:ascii="Verdana" w:hAnsi="Verdana"/>
          <w:color w:val="000000"/>
          <w:sz w:val="18"/>
          <w:szCs w:val="18"/>
        </w:rPr>
        <w:t xml:space="preserve"> en beëindiging van de rekening-courantfaciliteit van het Nationaal Groenfonds</w:t>
      </w:r>
      <w:r w:rsidRPr="00140CE5">
        <w:rPr>
          <w:rFonts w:ascii="Verdana" w:hAnsi="Verdana"/>
          <w:sz w:val="18"/>
          <w:szCs w:val="18"/>
        </w:rPr>
        <w:t xml:space="preserve">; (3) een overboeking naar het Provinciefonds van 11,3 mln. in totaal in verband met een bijdrage aan de provincie Noord-Holland en gemeente Weesp voor het programma OV SAAL; (4) bijdragen aan provincies en gemeenten van in totaal 7,0 mln. voor projecten in het programma Beter Benutten. </w:t>
      </w:r>
    </w:p>
    <w:p w:rsidRPr="00140CE5" w:rsidR="00140CE5" w:rsidP="00140CE5" w:rsidRDefault="00140CE5">
      <w:pPr>
        <w:spacing w:line="240" w:lineRule="atLeast"/>
        <w:rPr>
          <w:rFonts w:ascii="Verdana" w:hAnsi="Verdana"/>
          <w:i/>
          <w:sz w:val="18"/>
          <w:szCs w:val="18"/>
        </w:rPr>
      </w:pPr>
    </w:p>
    <w:p w:rsidRPr="00140CE5" w:rsidR="00140CE5" w:rsidP="00140CE5" w:rsidRDefault="00140CE5">
      <w:pPr>
        <w:spacing w:line="240" w:lineRule="atLeast"/>
        <w:rPr>
          <w:rFonts w:ascii="Verdana" w:hAnsi="Verdana"/>
          <w:i/>
          <w:sz w:val="18"/>
          <w:szCs w:val="18"/>
        </w:rPr>
      </w:pPr>
      <w:r w:rsidRPr="00140CE5">
        <w:rPr>
          <w:rFonts w:ascii="Verdana" w:hAnsi="Verdana"/>
          <w:i/>
          <w:sz w:val="18"/>
          <w:szCs w:val="18"/>
        </w:rPr>
        <w:t xml:space="preserve">Diversen - </w:t>
      </w:r>
      <w:r w:rsidRPr="00140CE5">
        <w:rPr>
          <w:rFonts w:ascii="Verdana" w:hAnsi="Verdana"/>
          <w:i/>
          <w:iCs/>
          <w:sz w:val="18"/>
          <w:szCs w:val="18"/>
        </w:rPr>
        <w:t>technische mutaties niet-belastingontvangsten</w:t>
      </w:r>
    </w:p>
    <w:p w:rsidRPr="00140CE5" w:rsidR="00140CE5" w:rsidP="00140CE5" w:rsidRDefault="00140CE5">
      <w:pPr>
        <w:spacing w:line="240" w:lineRule="atLeast"/>
        <w:rPr>
          <w:rFonts w:ascii="Verdana" w:hAnsi="Verdana"/>
          <w:color w:val="000000"/>
          <w:sz w:val="18"/>
          <w:szCs w:val="18"/>
        </w:rPr>
      </w:pPr>
      <w:r w:rsidRPr="00140CE5">
        <w:rPr>
          <w:rFonts w:ascii="Verdana" w:hAnsi="Verdana"/>
          <w:color w:val="000000"/>
          <w:sz w:val="18"/>
          <w:szCs w:val="18"/>
        </w:rPr>
        <w:t xml:space="preserve">Deze post bestaat voor 10 mln. uit ontvangsten uit grondverkopen door de Rijksdienst voor Ondernemend Nederland en beëindiging van de rekening-courantfaciliteit van het Nationaal Groenfonds. Deze ontvangsten worden ingezet ten behoeve van hydrologische maatregelen door provincies. </w:t>
      </w:r>
    </w:p>
    <w:p w:rsidRPr="00140CE5" w:rsidR="00140CE5" w:rsidP="00140CE5" w:rsidRDefault="00140CE5">
      <w:pPr>
        <w:spacing w:line="240" w:lineRule="atLeast"/>
        <w:rPr>
          <w:rFonts w:ascii="Verdana" w:hAnsi="Verdana"/>
          <w:i/>
          <w:color w:val="000000"/>
          <w:sz w:val="18"/>
          <w:szCs w:val="18"/>
        </w:rPr>
      </w:pPr>
    </w:p>
    <w:p w:rsidRPr="00140CE5" w:rsidR="00140CE5" w:rsidP="00140CE5" w:rsidRDefault="00140CE5">
      <w:pPr>
        <w:spacing w:line="240" w:lineRule="atLeast"/>
        <w:rPr>
          <w:rFonts w:ascii="Verdana" w:hAnsi="Verdana"/>
          <w:i/>
          <w:color w:val="000000"/>
          <w:sz w:val="18"/>
          <w:szCs w:val="18"/>
        </w:rPr>
      </w:pPr>
      <w:r w:rsidRPr="00140CE5">
        <w:rPr>
          <w:rFonts w:ascii="Verdana" w:hAnsi="Verdana"/>
          <w:i/>
          <w:color w:val="000000"/>
          <w:sz w:val="18"/>
          <w:szCs w:val="18"/>
        </w:rPr>
        <w:t>ETS veilingopbrengsten</w:t>
      </w:r>
    </w:p>
    <w:p w:rsidRPr="00140CE5" w:rsidR="00140CE5" w:rsidP="00140CE5" w:rsidRDefault="00140CE5">
      <w:pPr>
        <w:spacing w:line="240" w:lineRule="atLeast"/>
        <w:rPr>
          <w:rFonts w:ascii="Verdana" w:hAnsi="Verdana"/>
          <w:sz w:val="18"/>
          <w:szCs w:val="18"/>
        </w:rPr>
      </w:pPr>
      <w:r w:rsidRPr="00140CE5">
        <w:rPr>
          <w:rFonts w:ascii="Verdana" w:hAnsi="Verdana"/>
          <w:sz w:val="18"/>
          <w:szCs w:val="18"/>
        </w:rPr>
        <w:t>De raming van de veilingopbrengsten emissiehandel (ETS) wordt neerwaarts bijgesteld omdat de gemiddelde veilingprijs per emissierecht naar verwachting lager uitvalt.</w:t>
      </w:r>
    </w:p>
    <w:p w:rsidRPr="000435C0" w:rsidR="00283CE9" w:rsidP="000435C0" w:rsidRDefault="00283CE9">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697E35" w:rsidP="000435C0" w:rsidRDefault="00512EDB">
      <w:pPr>
        <w:spacing w:line="240" w:lineRule="exact"/>
        <w:rPr>
          <w:rFonts w:ascii="Verdana" w:hAnsi="Verdana" w:cs="Verdana"/>
          <w:bCs/>
          <w:sz w:val="18"/>
          <w:szCs w:val="18"/>
        </w:rPr>
      </w:pPr>
      <w:r w:rsidRPr="000435C0">
        <w:rPr>
          <w:rFonts w:ascii="Verdana" w:hAnsi="Verdana" w:cs="Verdana"/>
          <w:b/>
          <w:bCs/>
          <w:sz w:val="18"/>
          <w:szCs w:val="18"/>
        </w:rPr>
        <w:t>E</w:t>
      </w:r>
      <w:r w:rsidRPr="000435C0" w:rsidR="007A4321">
        <w:rPr>
          <w:rFonts w:ascii="Verdana" w:hAnsi="Verdana" w:cs="Verdana"/>
          <w:b/>
          <w:bCs/>
          <w:sz w:val="18"/>
          <w:szCs w:val="18"/>
        </w:rPr>
        <w:t>conomische Zaken</w:t>
      </w:r>
      <w:r w:rsidRPr="000435C0" w:rsidR="00104F23">
        <w:rPr>
          <w:rFonts w:ascii="Verdana" w:hAnsi="Verdana" w:cs="Verdana"/>
          <w:b/>
          <w:bCs/>
          <w:sz w:val="18"/>
          <w:szCs w:val="18"/>
        </w:rPr>
        <w:t xml:space="preserve"> </w:t>
      </w:r>
    </w:p>
    <w:p w:rsidRPr="000435C0" w:rsidR="004E4AFD" w:rsidP="000435C0" w:rsidRDefault="004E4AFD">
      <w:pPr>
        <w:spacing w:line="240" w:lineRule="exact"/>
        <w:rPr>
          <w:rFonts w:ascii="Verdana" w:hAnsi="Verdana"/>
          <w:i/>
          <w:sz w:val="18"/>
          <w:szCs w:val="18"/>
        </w:rPr>
      </w:pPr>
    </w:p>
    <w:tbl>
      <w:tblPr>
        <w:tblW w:w="0" w:type="auto"/>
        <w:tblCellMar>
          <w:top w:w="15" w:type="dxa"/>
          <w:left w:w="15" w:type="dxa"/>
          <w:bottom w:w="15" w:type="dxa"/>
          <w:right w:w="15" w:type="dxa"/>
        </w:tblCellMar>
        <w:tblLook w:val="04A0"/>
      </w:tblPr>
      <w:tblGrid>
        <w:gridCol w:w="8237"/>
        <w:gridCol w:w="734"/>
      </w:tblGrid>
      <w:tr w:rsidRPr="000435C0" w:rsidR="00F17D33" w:rsidTr="000154C8">
        <w:trPr>
          <w:trHeight w:val="370"/>
        </w:trPr>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XIII ECONOMISCHE ZAKEN: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5.183,6</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Onderzoek</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15,9</w:t>
            </w: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Verduurzaming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-18,5</w:t>
            </w: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-6,0</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-8,6</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Desaldering uitgaven eu-correcties apurement</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65,3</w:t>
            </w: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17,0</w:t>
            </w: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-17,6</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64,7</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56,2</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5.239,7</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50,6</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5.290,4</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22"/>
        <w:gridCol w:w="880"/>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XIII ECONOMISCHE ZAKEN: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3.512,4</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-8,5</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Desaldering uitgaven eu-correcties apurement</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65,3</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24,9</w:t>
            </w: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Bijstelling ode-ontvangsten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-64,0</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Bijstelling prognose gasbaten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-100,0</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-19,0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-92,8</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-101,2</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3.411,1</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3.411,1</w:t>
            </w:r>
          </w:p>
        </w:tc>
      </w:tr>
    </w:tbl>
    <w:p w:rsidRPr="000435C0" w:rsidR="00F17D33" w:rsidP="000435C0" w:rsidRDefault="00F17D33">
      <w:pPr>
        <w:spacing w:line="240" w:lineRule="exact"/>
        <w:rPr>
          <w:rFonts w:ascii="Verdana" w:hAnsi="Verdana"/>
          <w:i/>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Onderzoek</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Er vindt een herschikking plaats binnen de middelen voor de vermaatschappelijking van natuur en biodiversiteit en er zijn extra middelen benodigd voor onder meer de uitfinanciering van PRIMA-projecten (ICT) en voor uitgaven Idensys/eID en eIDAS.</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 xml:space="preserve">Verduurzaming </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Op het onderdeel Verduurzaming van het Meerjarenprogramma N</w:t>
      </w:r>
      <w:r>
        <w:rPr>
          <w:rFonts w:ascii="Verdana" w:hAnsi="Verdana"/>
          <w:sz w:val="18"/>
          <w:szCs w:val="18"/>
        </w:rPr>
        <w:t xml:space="preserve">ationaal </w:t>
      </w:r>
      <w:r w:rsidRPr="000435C0">
        <w:rPr>
          <w:rFonts w:ascii="Verdana" w:hAnsi="Verdana"/>
          <w:sz w:val="18"/>
          <w:szCs w:val="18"/>
        </w:rPr>
        <w:t>C</w:t>
      </w:r>
      <w:r>
        <w:rPr>
          <w:rFonts w:ascii="Verdana" w:hAnsi="Verdana"/>
          <w:sz w:val="18"/>
          <w:szCs w:val="18"/>
        </w:rPr>
        <w:t xml:space="preserve">oördinator </w:t>
      </w:r>
      <w:r w:rsidRPr="000435C0">
        <w:rPr>
          <w:rFonts w:ascii="Verdana" w:hAnsi="Verdana"/>
          <w:sz w:val="18"/>
          <w:szCs w:val="18"/>
        </w:rPr>
        <w:t>G</w:t>
      </w:r>
      <w:r>
        <w:rPr>
          <w:rFonts w:ascii="Verdana" w:hAnsi="Verdana"/>
          <w:sz w:val="18"/>
          <w:szCs w:val="18"/>
        </w:rPr>
        <w:t>roningen (NCG)</w:t>
      </w:r>
      <w:r w:rsidRPr="000435C0">
        <w:rPr>
          <w:rFonts w:ascii="Verdana" w:hAnsi="Verdana"/>
          <w:sz w:val="18"/>
          <w:szCs w:val="18"/>
        </w:rPr>
        <w:t xml:space="preserve"> is dit voorjaar binn</w:t>
      </w:r>
      <w:r>
        <w:rPr>
          <w:rFonts w:ascii="Verdana" w:hAnsi="Verdana"/>
          <w:sz w:val="18"/>
          <w:szCs w:val="18"/>
        </w:rPr>
        <w:t xml:space="preserve">en de EZ-begroting in totaal </w:t>
      </w:r>
      <w:r w:rsidRPr="000435C0">
        <w:rPr>
          <w:rFonts w:ascii="Verdana" w:hAnsi="Verdana"/>
          <w:sz w:val="18"/>
          <w:szCs w:val="18"/>
        </w:rPr>
        <w:t>40 mln.</w:t>
      </w:r>
      <w:r>
        <w:rPr>
          <w:rFonts w:ascii="Verdana" w:hAnsi="Verdana"/>
          <w:sz w:val="18"/>
          <w:szCs w:val="18"/>
        </w:rPr>
        <w:t xml:space="preserve"> beschikbaar gemaakt, waarvan </w:t>
      </w:r>
      <w:r w:rsidRPr="000435C0">
        <w:rPr>
          <w:rFonts w:ascii="Verdana" w:hAnsi="Verdana"/>
          <w:sz w:val="18"/>
          <w:szCs w:val="18"/>
        </w:rPr>
        <w:t>18,5 mln</w:t>
      </w:r>
      <w:r>
        <w:rPr>
          <w:rFonts w:ascii="Verdana" w:hAnsi="Verdana"/>
          <w:sz w:val="18"/>
          <w:szCs w:val="18"/>
        </w:rPr>
        <w:t>.</w:t>
      </w:r>
      <w:r w:rsidRPr="000435C0">
        <w:rPr>
          <w:rFonts w:ascii="Verdana" w:hAnsi="Verdana"/>
          <w:sz w:val="18"/>
          <w:szCs w:val="18"/>
        </w:rPr>
        <w:t xml:space="preserve"> in 2016. Deze 18,5 mln. wordt dit jaar niet benut. Alle huidige meerjarige budgetten van de NCG zijn gebaseerd op ramingen die stapsgewijs door de NCG onderbouwd worden om uiteindelijk te komen tot juridisch gebonden budgetten. Voor het budget dat meerjarig beschikbaar is voor verduurzaming in combinatie met versterking worden op dit moment inspecties uitgevoerd die uiteindelijk leiden tot concrete plannen voor de versterkingsopgave.</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Diversen (beleidsmatige mutaties RBG eng uitgaven)</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 xml:space="preserve">Dit betreft het saldo van een aantal herprioriteringen binnen de EZ-begroting, alsmede diverse mutaties binnen het geheel van programmamiddelen, waaronder een verlaging van subsidies op beleidsartikel 16 en de bijdragen aan mede-overheden op beleidsartikel 18 als gevolg van uitgaven Westerschelde die in 2017 plaatsvinden. Ook vindt overheveling van middelen uit de </w:t>
      </w:r>
      <w:r>
        <w:rPr>
          <w:rFonts w:ascii="Verdana" w:hAnsi="Verdana"/>
          <w:sz w:val="18"/>
          <w:szCs w:val="18"/>
        </w:rPr>
        <w:t>Stimulering Duurzame Energieproductie (</w:t>
      </w:r>
      <w:r w:rsidRPr="000435C0">
        <w:rPr>
          <w:rFonts w:ascii="Verdana" w:hAnsi="Verdana"/>
          <w:sz w:val="18"/>
          <w:szCs w:val="18"/>
        </w:rPr>
        <w:t>SDE+</w:t>
      </w:r>
      <w:r>
        <w:rPr>
          <w:rFonts w:ascii="Verdana" w:hAnsi="Verdana"/>
          <w:sz w:val="18"/>
          <w:szCs w:val="18"/>
        </w:rPr>
        <w:t>)</w:t>
      </w:r>
      <w:r w:rsidRPr="000435C0">
        <w:rPr>
          <w:rFonts w:ascii="Verdana" w:hAnsi="Verdana"/>
          <w:sz w:val="18"/>
          <w:szCs w:val="18"/>
        </w:rPr>
        <w:t xml:space="preserve"> naar I&amp;M plaats voor flankerend beleid Wind op Zee. Met betrekking tot de herprioritering betreffen de uitgavenmutaties met name de investeringen in de Cloud Infrastructuur en licenties Microsoft Oracle door DICTU (12,6 mln.) en eenmalige ICT- en fu</w:t>
      </w:r>
      <w:r>
        <w:rPr>
          <w:rFonts w:ascii="Verdana" w:hAnsi="Verdana"/>
          <w:sz w:val="18"/>
          <w:szCs w:val="18"/>
        </w:rPr>
        <w:t>siegerelateerde kosten bij RVO (</w:t>
      </w:r>
      <w:r w:rsidRPr="000435C0">
        <w:rPr>
          <w:rFonts w:ascii="Verdana" w:hAnsi="Verdana"/>
          <w:sz w:val="18"/>
          <w:szCs w:val="18"/>
        </w:rPr>
        <w:t>11,1 mln.).</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Desaldering uitgaven EU-correcties apurement</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Als gevolg van opgelegde correcties voor niet EU-conforme uitvoering van voornamelijk de regeling Groenten en fr</w:t>
      </w:r>
      <w:r>
        <w:rPr>
          <w:rFonts w:ascii="Verdana" w:hAnsi="Verdana"/>
          <w:sz w:val="18"/>
          <w:szCs w:val="18"/>
        </w:rPr>
        <w:t xml:space="preserve">uit heeft een onttrekking van </w:t>
      </w:r>
      <w:r w:rsidRPr="000435C0">
        <w:rPr>
          <w:rFonts w:ascii="Verdana" w:hAnsi="Verdana"/>
          <w:sz w:val="18"/>
          <w:szCs w:val="18"/>
        </w:rPr>
        <w:t>65,3 mln</w:t>
      </w:r>
      <w:r>
        <w:rPr>
          <w:rFonts w:ascii="Verdana" w:hAnsi="Verdana"/>
          <w:sz w:val="18"/>
          <w:szCs w:val="18"/>
        </w:rPr>
        <w:t>.</w:t>
      </w:r>
      <w:r w:rsidRPr="000435C0">
        <w:rPr>
          <w:rFonts w:ascii="Verdana" w:hAnsi="Verdana"/>
          <w:sz w:val="18"/>
          <w:szCs w:val="18"/>
        </w:rPr>
        <w:t xml:space="preserve"> plaatsgevonden uit de begrotingsreserve apurement. </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Diversen (technische mutaties RBG eng uitgaven)</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Dit betreft o.a. de bijdrage van VWS v</w:t>
      </w:r>
      <w:r>
        <w:rPr>
          <w:rFonts w:ascii="Verdana" w:hAnsi="Verdana"/>
          <w:sz w:val="18"/>
          <w:szCs w:val="18"/>
        </w:rPr>
        <w:t xml:space="preserve">an </w:t>
      </w:r>
      <w:r w:rsidRPr="000435C0">
        <w:rPr>
          <w:rFonts w:ascii="Verdana" w:hAnsi="Verdana"/>
          <w:sz w:val="18"/>
          <w:szCs w:val="18"/>
        </w:rPr>
        <w:t>5,3 mln</w:t>
      </w:r>
      <w:r>
        <w:rPr>
          <w:rFonts w:ascii="Verdana" w:hAnsi="Verdana"/>
          <w:sz w:val="18"/>
          <w:szCs w:val="18"/>
        </w:rPr>
        <w:t>.</w:t>
      </w:r>
      <w:r w:rsidRPr="000435C0">
        <w:rPr>
          <w:rFonts w:ascii="Verdana" w:hAnsi="Verdana"/>
          <w:sz w:val="18"/>
          <w:szCs w:val="18"/>
        </w:rPr>
        <w:t xml:space="preserve"> in 2016 aan de versterking van het toezicht door de NVWA (TK 33 835, nr. 33) en de kapitaalinjectie voor </w:t>
      </w:r>
      <w:r>
        <w:rPr>
          <w:rFonts w:ascii="Verdana" w:hAnsi="Verdana"/>
          <w:sz w:val="18"/>
          <w:szCs w:val="18"/>
        </w:rPr>
        <w:t>Energieonderzoek Centrum Nederland/</w:t>
      </w:r>
      <w:r w:rsidRPr="00C15ECE">
        <w:rPr>
          <w:rFonts w:ascii="Verdana" w:hAnsi="Verdana"/>
          <w:color w:val="585859"/>
          <w:sz w:val="18"/>
          <w:szCs w:val="18"/>
        </w:rPr>
        <w:t xml:space="preserve"> </w:t>
      </w:r>
      <w:r>
        <w:rPr>
          <w:rFonts w:ascii="Verdana" w:hAnsi="Verdana"/>
          <w:color w:val="585859"/>
          <w:sz w:val="18"/>
          <w:szCs w:val="18"/>
        </w:rPr>
        <w:t>Nuclear Research and consultancy Group</w:t>
      </w:r>
      <w:r w:rsidRPr="000435C0">
        <w:rPr>
          <w:rFonts w:ascii="Verdana" w:hAnsi="Verdana"/>
          <w:sz w:val="18"/>
          <w:szCs w:val="18"/>
        </w:rPr>
        <w:t xml:space="preserve"> </w:t>
      </w:r>
      <w:r>
        <w:rPr>
          <w:rFonts w:ascii="Verdana" w:hAnsi="Verdana"/>
          <w:sz w:val="18"/>
          <w:szCs w:val="18"/>
        </w:rPr>
        <w:t>(</w:t>
      </w:r>
      <w:r w:rsidRPr="000435C0">
        <w:rPr>
          <w:rFonts w:ascii="Verdana" w:hAnsi="Verdana"/>
          <w:sz w:val="18"/>
          <w:szCs w:val="18"/>
        </w:rPr>
        <w:t>ECN/NRG</w:t>
      </w:r>
      <w:r>
        <w:rPr>
          <w:rFonts w:ascii="Verdana" w:hAnsi="Verdana"/>
          <w:sz w:val="18"/>
          <w:szCs w:val="18"/>
        </w:rPr>
        <w:t>)</w:t>
      </w:r>
      <w:r w:rsidRPr="000435C0">
        <w:rPr>
          <w:rFonts w:ascii="Verdana" w:hAnsi="Verdana"/>
          <w:sz w:val="18"/>
          <w:szCs w:val="18"/>
        </w:rPr>
        <w:t xml:space="preserve"> zoals aangekondigd in de brief van de minister van EZ dd. 30 september 2016 (TK 30 196, nr. 476). Verder wordt de bijdrage van de provincies voor de transitiekosten van </w:t>
      </w:r>
      <w:r>
        <w:rPr>
          <w:rFonts w:ascii="Verdana" w:hAnsi="Verdana"/>
          <w:sz w:val="18"/>
          <w:szCs w:val="18"/>
        </w:rPr>
        <w:t>Dienst Landelijk Gebied (</w:t>
      </w:r>
      <w:r w:rsidRPr="000435C0">
        <w:rPr>
          <w:rFonts w:ascii="Verdana" w:hAnsi="Verdana"/>
          <w:sz w:val="18"/>
          <w:szCs w:val="18"/>
        </w:rPr>
        <w:t>DLG</w:t>
      </w:r>
      <w:r>
        <w:rPr>
          <w:rFonts w:ascii="Verdana" w:hAnsi="Verdana"/>
          <w:sz w:val="18"/>
          <w:szCs w:val="18"/>
        </w:rPr>
        <w:t>)</w:t>
      </w:r>
      <w:r w:rsidRPr="000435C0">
        <w:rPr>
          <w:rFonts w:ascii="Verdana" w:hAnsi="Verdana"/>
          <w:sz w:val="18"/>
          <w:szCs w:val="18"/>
        </w:rPr>
        <w:t xml:space="preserve"> naar EZ overgeheveld.  </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Diversen (technische mutaties niet tot een ijklijn behorend uitgaven)</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 xml:space="preserve">Dit betreft de overboeking van budget aan het Gemeentefonds voor het scholenprogramma in Groningen. De eerste tranche van de rijksbijdrage wordt voor drie jaar vastgelegd en uitgekeerd als decentralisatie-uitkering in het Gemeentefonds aan de deelnemende gemeenten. OCW draagt hier vanaf 2017 ook aan bij. </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Diversen (beleidsmatige mutaties RBG eng ontvangsten)</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 xml:space="preserve">Dit betreft o.a. de tegenvallende inkomsten vanuit </w:t>
      </w:r>
      <w:r>
        <w:rPr>
          <w:rFonts w:ascii="Verdana" w:hAnsi="Verdana"/>
          <w:sz w:val="18"/>
          <w:szCs w:val="18"/>
        </w:rPr>
        <w:t>Autoriteit Consument en Markt (</w:t>
      </w:r>
      <w:r w:rsidRPr="000435C0">
        <w:rPr>
          <w:rFonts w:ascii="Verdana" w:hAnsi="Verdana"/>
          <w:sz w:val="18"/>
          <w:szCs w:val="18"/>
        </w:rPr>
        <w:t>ACM</w:t>
      </w:r>
      <w:r>
        <w:rPr>
          <w:rFonts w:ascii="Verdana" w:hAnsi="Verdana"/>
          <w:sz w:val="18"/>
          <w:szCs w:val="18"/>
        </w:rPr>
        <w:t>)</w:t>
      </w:r>
      <w:r w:rsidRPr="000435C0">
        <w:rPr>
          <w:rFonts w:ascii="Verdana" w:hAnsi="Verdana"/>
          <w:sz w:val="18"/>
          <w:szCs w:val="18"/>
        </w:rPr>
        <w:t xml:space="preserve"> doordat minder geld wordt ontvangen vanuit boetes en tegenvallende ontvangsten van Eurostars.</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Desaldering uitgaven eu-correcties apurement</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Als gevolg van opgelegde correcties voor niet EU-conforme uitvoering van voornamelijk de regeling Groenten en fru</w:t>
      </w:r>
      <w:r>
        <w:rPr>
          <w:rFonts w:ascii="Verdana" w:hAnsi="Verdana"/>
          <w:sz w:val="18"/>
          <w:szCs w:val="18"/>
        </w:rPr>
        <w:t xml:space="preserve">it heeft een onttrekking van </w:t>
      </w:r>
      <w:r w:rsidRPr="000435C0">
        <w:rPr>
          <w:rFonts w:ascii="Verdana" w:hAnsi="Verdana"/>
          <w:sz w:val="18"/>
          <w:szCs w:val="18"/>
        </w:rPr>
        <w:t>65,3 mln</w:t>
      </w:r>
      <w:r>
        <w:rPr>
          <w:rFonts w:ascii="Verdana" w:hAnsi="Verdana"/>
          <w:sz w:val="18"/>
          <w:szCs w:val="18"/>
        </w:rPr>
        <w:t>.</w:t>
      </w:r>
      <w:r w:rsidRPr="000435C0">
        <w:rPr>
          <w:rFonts w:ascii="Verdana" w:hAnsi="Verdana"/>
          <w:sz w:val="18"/>
          <w:szCs w:val="18"/>
        </w:rPr>
        <w:t xml:space="preserve"> plaatsgevonden uit de begrotingsreserve apurement. </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Diversen (technische mutaties RBG eng ontvangsten)</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 xml:space="preserve">Dit betreft o.a. een desaldering van uitgaven en ontvangsten bij het opdrachtenpakket voor RVO.NL, omdat in 2015 niet benutte middelen worden doorgeschoven naar 2016.  </w:t>
      </w:r>
    </w:p>
    <w:p w:rsidRPr="000435C0" w:rsidR="00027680" w:rsidP="00027680" w:rsidRDefault="00027680">
      <w:pPr>
        <w:spacing w:line="240" w:lineRule="exact"/>
        <w:rPr>
          <w:rFonts w:ascii="Verdana" w:hAnsi="Verdana"/>
          <w:sz w:val="18"/>
          <w:szCs w:val="18"/>
          <w:lang w:val="nl-BE"/>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Bijstelling ODE-ontvangsten</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 xml:space="preserve">De prognose </w:t>
      </w:r>
      <w:r>
        <w:rPr>
          <w:rFonts w:ascii="Verdana" w:hAnsi="Verdana"/>
          <w:sz w:val="18"/>
          <w:szCs w:val="18"/>
        </w:rPr>
        <w:t xml:space="preserve">van de Opslag Duurzame Energie ontvangsten (ODE-ontvangsten) is met </w:t>
      </w:r>
      <w:r w:rsidRPr="000435C0">
        <w:rPr>
          <w:rFonts w:ascii="Verdana" w:hAnsi="Verdana"/>
          <w:sz w:val="18"/>
          <w:szCs w:val="18"/>
        </w:rPr>
        <w:t>64 mln</w:t>
      </w:r>
      <w:r>
        <w:rPr>
          <w:rFonts w:ascii="Verdana" w:hAnsi="Verdana"/>
          <w:sz w:val="18"/>
          <w:szCs w:val="18"/>
        </w:rPr>
        <w:t>.</w:t>
      </w:r>
      <w:r w:rsidRPr="000435C0">
        <w:rPr>
          <w:rFonts w:ascii="Verdana" w:hAnsi="Verdana"/>
          <w:sz w:val="18"/>
          <w:szCs w:val="18"/>
        </w:rPr>
        <w:t xml:space="preserve"> naar beneden bijgesteld, omdat het energieverbruik (de grondslag voor de heffing) lager uitvalt dan eerder verwacht. De ontvangstenraming wordt hierop aangepast. </w:t>
      </w:r>
    </w:p>
    <w:p w:rsidRPr="000435C0"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i/>
          <w:sz w:val="18"/>
          <w:szCs w:val="18"/>
        </w:rPr>
      </w:pPr>
      <w:r w:rsidRPr="000435C0">
        <w:rPr>
          <w:rFonts w:ascii="Verdana" w:hAnsi="Verdana"/>
          <w:i/>
          <w:sz w:val="18"/>
          <w:szCs w:val="18"/>
        </w:rPr>
        <w:t>Bijstelling prognose gasbaten</w:t>
      </w:r>
    </w:p>
    <w:p w:rsidRPr="000435C0" w:rsidR="00027680" w:rsidP="00027680" w:rsidRDefault="00027680">
      <w:pPr>
        <w:spacing w:line="240" w:lineRule="exact"/>
        <w:rPr>
          <w:rFonts w:ascii="Verdana" w:hAnsi="Verdana"/>
          <w:sz w:val="18"/>
          <w:szCs w:val="18"/>
        </w:rPr>
      </w:pPr>
      <w:r w:rsidRPr="000435C0">
        <w:rPr>
          <w:rFonts w:ascii="Verdana" w:hAnsi="Verdana"/>
          <w:sz w:val="18"/>
          <w:szCs w:val="18"/>
        </w:rPr>
        <w:t xml:space="preserve">De raming van de aardgasbaten is naar beneden bijgesteld </w:t>
      </w:r>
      <w:r>
        <w:rPr>
          <w:rFonts w:ascii="Verdana" w:hAnsi="Verdana"/>
          <w:sz w:val="18"/>
          <w:szCs w:val="18"/>
        </w:rPr>
        <w:t>om</w:t>
      </w:r>
      <w:r w:rsidRPr="000435C0">
        <w:rPr>
          <w:rFonts w:ascii="Verdana" w:hAnsi="Verdana"/>
          <w:sz w:val="18"/>
          <w:szCs w:val="18"/>
        </w:rPr>
        <w:t xml:space="preserve">dat de gasprijs lager is dan </w:t>
      </w:r>
      <w:r>
        <w:rPr>
          <w:rFonts w:ascii="Verdana" w:hAnsi="Verdana"/>
          <w:sz w:val="18"/>
          <w:szCs w:val="18"/>
        </w:rPr>
        <w:t xml:space="preserve">eerder </w:t>
      </w:r>
      <w:r w:rsidRPr="000435C0">
        <w:rPr>
          <w:rFonts w:ascii="Verdana" w:hAnsi="Verdana"/>
          <w:sz w:val="18"/>
          <w:szCs w:val="18"/>
        </w:rPr>
        <w:t>geraamd.</w:t>
      </w:r>
    </w:p>
    <w:p w:rsidR="00027680" w:rsidP="00027680" w:rsidRDefault="00027680">
      <w:pPr>
        <w:spacing w:line="240" w:lineRule="exact"/>
        <w:rPr>
          <w:rFonts w:ascii="Verdana" w:hAnsi="Verdana"/>
          <w:sz w:val="18"/>
          <w:szCs w:val="18"/>
        </w:rPr>
      </w:pPr>
    </w:p>
    <w:p w:rsidRPr="000435C0" w:rsidR="00027680" w:rsidP="00027680" w:rsidRDefault="00027680">
      <w:pPr>
        <w:spacing w:line="240" w:lineRule="exact"/>
        <w:rPr>
          <w:rFonts w:ascii="Verdana" w:hAnsi="Verdana"/>
          <w:sz w:val="18"/>
          <w:szCs w:val="18"/>
        </w:rPr>
      </w:pPr>
    </w:p>
    <w:p w:rsidRPr="007619A7" w:rsidR="00027680" w:rsidP="00027680" w:rsidRDefault="00027680">
      <w:pPr>
        <w:spacing w:line="240" w:lineRule="exact"/>
        <w:rPr>
          <w:rFonts w:ascii="Verdana" w:hAnsi="Verdana"/>
          <w:i/>
          <w:sz w:val="18"/>
          <w:szCs w:val="18"/>
        </w:rPr>
      </w:pPr>
      <w:r w:rsidRPr="007619A7">
        <w:rPr>
          <w:rFonts w:ascii="Verdana" w:hAnsi="Verdana"/>
          <w:i/>
          <w:sz w:val="18"/>
          <w:szCs w:val="18"/>
        </w:rPr>
        <w:t>Diversen (technische mutaties niet tot een ijklijn behorend ontvangsten)</w:t>
      </w:r>
    </w:p>
    <w:p w:rsidRPr="000435C0" w:rsidR="003B0AD1" w:rsidP="00027680" w:rsidRDefault="00027680">
      <w:pPr>
        <w:spacing w:line="240" w:lineRule="exact"/>
        <w:rPr>
          <w:rFonts w:ascii="Verdana" w:hAnsi="Verdana"/>
          <w:i/>
          <w:sz w:val="18"/>
          <w:szCs w:val="18"/>
        </w:rPr>
      </w:pPr>
      <w:r w:rsidRPr="000435C0">
        <w:rPr>
          <w:rFonts w:ascii="Verdana" w:hAnsi="Verdana"/>
          <w:sz w:val="18"/>
          <w:szCs w:val="18"/>
        </w:rPr>
        <w:t>Dit betreft o.a. 10 mln. dividend van de</w:t>
      </w:r>
      <w:r>
        <w:rPr>
          <w:rFonts w:ascii="Verdana" w:hAnsi="Verdana"/>
          <w:sz w:val="18"/>
          <w:szCs w:val="18"/>
        </w:rPr>
        <w:t xml:space="preserve"> Noordelijke Ontwikkelings Maatschappij (</w:t>
      </w:r>
      <w:r w:rsidRPr="000435C0">
        <w:rPr>
          <w:rFonts w:ascii="Verdana" w:hAnsi="Verdana"/>
          <w:sz w:val="18"/>
          <w:szCs w:val="18"/>
        </w:rPr>
        <w:t>NOM</w:t>
      </w:r>
      <w:r>
        <w:rPr>
          <w:rFonts w:ascii="Verdana" w:hAnsi="Verdana"/>
          <w:sz w:val="18"/>
          <w:szCs w:val="18"/>
        </w:rPr>
        <w:t>)</w:t>
      </w:r>
      <w:r w:rsidRPr="000435C0">
        <w:rPr>
          <w:rFonts w:ascii="Verdana" w:hAnsi="Verdana"/>
          <w:sz w:val="18"/>
          <w:szCs w:val="18"/>
        </w:rPr>
        <w:t xml:space="preserve"> </w:t>
      </w:r>
      <w:r>
        <w:rPr>
          <w:rFonts w:ascii="Verdana" w:hAnsi="Verdana"/>
          <w:sz w:val="18"/>
          <w:szCs w:val="18"/>
        </w:rPr>
        <w:t>d</w:t>
      </w:r>
      <w:r w:rsidRPr="000435C0">
        <w:rPr>
          <w:rFonts w:ascii="Verdana" w:hAnsi="Verdana"/>
          <w:sz w:val="18"/>
          <w:szCs w:val="18"/>
        </w:rPr>
        <w:t xml:space="preserve">at niet in 2016 maar in 2017 wordt ontvangen. Ook is de raming voor de ontvangsten voor het verlengen van de FM vergunning van Veronica voor de periode 2011-2017 verlaagd op basis van de nieuwe berekening van de prijs die SEO heeft uitgevoerd omdat het </w:t>
      </w:r>
      <w:r w:rsidRPr="00E419F5">
        <w:rPr>
          <w:rFonts w:ascii="Verdana" w:hAnsi="Verdana"/>
          <w:sz w:val="18"/>
          <w:szCs w:val="18"/>
        </w:rPr>
        <w:t>College van Beroep voor het bedrijfsleven</w:t>
      </w:r>
      <w:r w:rsidRPr="000435C0">
        <w:rPr>
          <w:rFonts w:ascii="Verdana" w:hAnsi="Verdana"/>
          <w:sz w:val="18"/>
          <w:szCs w:val="18"/>
        </w:rPr>
        <w:t xml:space="preserve"> </w:t>
      </w:r>
      <w:r>
        <w:rPr>
          <w:rFonts w:ascii="Verdana" w:hAnsi="Verdana"/>
          <w:sz w:val="18"/>
          <w:szCs w:val="18"/>
        </w:rPr>
        <w:t>(</w:t>
      </w:r>
      <w:r w:rsidRPr="000435C0">
        <w:rPr>
          <w:rFonts w:ascii="Verdana" w:hAnsi="Verdana"/>
          <w:sz w:val="18"/>
          <w:szCs w:val="18"/>
        </w:rPr>
        <w:t>CBb</w:t>
      </w:r>
      <w:r>
        <w:rPr>
          <w:rFonts w:ascii="Verdana" w:hAnsi="Verdana"/>
          <w:sz w:val="18"/>
          <w:szCs w:val="18"/>
        </w:rPr>
        <w:t>)</w:t>
      </w:r>
      <w:r w:rsidRPr="000435C0">
        <w:rPr>
          <w:rFonts w:ascii="Verdana" w:hAnsi="Verdana"/>
          <w:sz w:val="18"/>
          <w:szCs w:val="18"/>
        </w:rPr>
        <w:t xml:space="preserve"> in 2015 heeft bepaald dat het oorspronkelijke bedrag onjuist was berekend.</w:t>
      </w:r>
      <w:r w:rsidRPr="000435C0" w:rsidR="003B0AD1">
        <w:rPr>
          <w:rFonts w:ascii="Verdana" w:hAnsi="Verdana"/>
          <w:i/>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Sociale Zaken en Werkgelegenheid</w:t>
      </w:r>
    </w:p>
    <w:p w:rsidRPr="000435C0" w:rsidR="000D0216" w:rsidP="000435C0" w:rsidRDefault="000D0216">
      <w:pPr>
        <w:spacing w:line="240" w:lineRule="exact"/>
        <w:rPr>
          <w:rFonts w:ascii="Verdana" w:hAnsi="Verdana"/>
          <w:sz w:val="18"/>
          <w:szCs w:val="18"/>
        </w:rPr>
      </w:pPr>
    </w:p>
    <w:tbl>
      <w:tblPr>
        <w:tblW w:w="0" w:type="auto"/>
        <w:tblCellMar>
          <w:top w:w="15" w:type="dxa"/>
          <w:left w:w="15" w:type="dxa"/>
          <w:bottom w:w="15" w:type="dxa"/>
          <w:right w:w="15" w:type="dxa"/>
        </w:tblCellMar>
        <w:tblLook w:val="04A0"/>
      </w:tblPr>
      <w:tblGrid>
        <w:gridCol w:w="8237"/>
        <w:gridCol w:w="848"/>
      </w:tblGrid>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XV SOCIALE ZAKEN EN WERKGELEGENHEID: UITGAVEN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31.856,4</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Mee- en tegenvallers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Wajong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20,0</w:t>
            </w: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-0,7</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19,3</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Sectorplannen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-22,1</w:t>
            </w: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-14,2</w:t>
            </w: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Maatschappelijke begeleiding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-32,3</w:t>
            </w: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-8,6</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-77,2</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-4,2</w:t>
            </w: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-5,4</w:t>
            </w:r>
          </w:p>
        </w:tc>
      </w:tr>
      <w:tr w:rsidRPr="000435C0" w:rsidR="00F17D33" w:rsidTr="000154C8">
        <w:tc>
          <w:tcPr>
            <w:tcW w:w="8237" w:type="dxa"/>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0,1</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-9,5</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-67,3</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31.789,1</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0,5</w:t>
            </w:r>
          </w:p>
        </w:tc>
      </w:tr>
      <w:tr w:rsidRPr="000435C0" w:rsidR="00F17D33" w:rsidTr="000154C8">
        <w:tc>
          <w:tcPr>
            <w:tcW w:w="8237"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31.789,6</w:t>
            </w:r>
          </w:p>
        </w:tc>
      </w:tr>
    </w:tbl>
    <w:p w:rsidRPr="000435C0" w:rsidR="00F17D33" w:rsidP="000435C0" w:rsidRDefault="00F17D33">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22"/>
        <w:gridCol w:w="880"/>
      </w:tblGrid>
      <w:tr w:rsidRPr="000435C0" w:rsidR="00F17D33" w:rsidTr="0041589F">
        <w:tc>
          <w:tcPr>
            <w:tcW w:w="90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XV SOCIALE ZAKEN EN WERKGELEGENHEID: NIET-BELASTINGONTVANGSTEN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1.884,9</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Mee- en tegenvallers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0,7</w:t>
            </w: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Afrekening bbz</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19,1</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Kinderopvangtoeslag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-20,0</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Kindgebonden budget</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-30,0</w:t>
            </w: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6,2</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-24,0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-4,0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-0,1</w:t>
            </w:r>
          </w:p>
        </w:tc>
      </w:tr>
      <w:tr w:rsidRPr="000435C0" w:rsidR="00F17D33" w:rsidTr="0041589F">
        <w:tc>
          <w:tcPr>
            <w:tcW w:w="0" w:type="auto"/>
            <w:tcBorders>
              <w:left w:val="nil"/>
              <w:right w:val="nil"/>
            </w:tcBorders>
            <w:tcMar>
              <w:top w:w="15" w:type="dxa"/>
              <w:left w:w="180" w:type="dxa"/>
              <w:bottom w:w="15" w:type="dxa"/>
              <w:right w:w="15" w:type="dxa"/>
            </w:tcMar>
            <w:vAlign w:val="both"/>
            <w:hideMark/>
          </w:tcPr>
          <w:p w:rsidRPr="000435C0" w:rsidR="00F17D33" w:rsidP="000435C0" w:rsidRDefault="00F17D33">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tcMar>
              <w:top w:w="15" w:type="dxa"/>
              <w:left w:w="360" w:type="dxa"/>
              <w:bottom w:w="15" w:type="dxa"/>
              <w:right w:w="15" w:type="dxa"/>
            </w:tcMar>
            <w:vAlign w:val="both"/>
            <w:hideMark/>
          </w:tcPr>
          <w:p w:rsidRPr="000435C0" w:rsidR="00F17D33" w:rsidP="000435C0" w:rsidRDefault="00F17D33">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1,7</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-26,4</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17D33" w:rsidP="000435C0" w:rsidRDefault="00F17D33">
            <w:pPr>
              <w:spacing w:line="240" w:lineRule="exact"/>
              <w:rPr>
                <w:rFonts w:ascii="Verdana" w:hAnsi="Verdana"/>
                <w:sz w:val="18"/>
                <w:szCs w:val="18"/>
              </w:rPr>
            </w:pP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1.858,6</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0,0</w:t>
            </w:r>
          </w:p>
        </w:tc>
      </w:tr>
      <w:tr w:rsidRPr="000435C0" w:rsidR="00F17D33" w:rsidTr="0041589F">
        <w:tc>
          <w:tcPr>
            <w:tcW w:w="0" w:type="auto"/>
            <w:tcBorders>
              <w:left w:val="nil"/>
              <w:right w:val="nil"/>
            </w:tcBorders>
            <w:hideMark/>
          </w:tcPr>
          <w:p w:rsidRPr="000435C0" w:rsidR="00F17D33" w:rsidP="000435C0" w:rsidRDefault="00F17D33">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17D33" w:rsidP="000435C0" w:rsidRDefault="00F17D33">
            <w:pPr>
              <w:spacing w:line="240" w:lineRule="exact"/>
              <w:jc w:val="right"/>
              <w:rPr>
                <w:rFonts w:ascii="Verdana" w:hAnsi="Verdana"/>
                <w:sz w:val="18"/>
                <w:szCs w:val="18"/>
              </w:rPr>
            </w:pPr>
            <w:r w:rsidRPr="000435C0">
              <w:rPr>
                <w:rFonts w:ascii="Verdana" w:hAnsi="Verdana"/>
                <w:sz w:val="18"/>
                <w:szCs w:val="18"/>
              </w:rPr>
              <w:t>1.858,6</w:t>
            </w:r>
          </w:p>
        </w:tc>
      </w:tr>
    </w:tbl>
    <w:p w:rsidRPr="000435C0" w:rsidR="000154C8" w:rsidP="000435C0" w:rsidRDefault="000154C8">
      <w:pPr>
        <w:spacing w:line="240" w:lineRule="exact"/>
        <w:rPr>
          <w:rFonts w:ascii="Verdana" w:hAnsi="Verdana" w:cs="Verdana"/>
          <w:b/>
          <w:bCs/>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Wajong</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 xml:space="preserve">Dit betreft een tegenvaller op de Wajong als gevolg </w:t>
      </w:r>
      <w:r>
        <w:rPr>
          <w:rFonts w:ascii="Verdana" w:hAnsi="Verdana"/>
          <w:sz w:val="18"/>
          <w:szCs w:val="18"/>
        </w:rPr>
        <w:t>van realisatiecijfers, waardoor</w:t>
      </w:r>
      <w:r w:rsidRPr="000435C0">
        <w:rPr>
          <w:rFonts w:ascii="Verdana" w:hAnsi="Verdana"/>
          <w:sz w:val="18"/>
          <w:szCs w:val="18"/>
        </w:rPr>
        <w:t xml:space="preserve"> de prijs en </w:t>
      </w:r>
      <w:r>
        <w:rPr>
          <w:rFonts w:ascii="Verdana" w:hAnsi="Verdana"/>
          <w:sz w:val="18"/>
          <w:szCs w:val="18"/>
        </w:rPr>
        <w:t xml:space="preserve">het </w:t>
      </w:r>
      <w:r w:rsidRPr="000435C0">
        <w:rPr>
          <w:rFonts w:ascii="Verdana" w:hAnsi="Verdana"/>
          <w:sz w:val="18"/>
          <w:szCs w:val="18"/>
        </w:rPr>
        <w:t>volume</w:t>
      </w:r>
      <w:r>
        <w:rPr>
          <w:rFonts w:ascii="Verdana" w:hAnsi="Verdana"/>
          <w:sz w:val="18"/>
          <w:szCs w:val="18"/>
        </w:rPr>
        <w:t xml:space="preserve"> omhoog zijn bijgesteld</w:t>
      </w:r>
      <w:r w:rsidRPr="000435C0">
        <w:rPr>
          <w:rFonts w:ascii="Verdana" w:hAnsi="Verdana"/>
          <w:sz w:val="18"/>
          <w:szCs w:val="18"/>
        </w:rPr>
        <w:t xml:space="preserve">. Het volume is naar boven bijgesteld vanwege een hogere instroom in de Wajong2015 en een lagere uitstroom uit de oude Wajong. </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sz w:val="18"/>
          <w:szCs w:val="18"/>
        </w:rPr>
      </w:pPr>
      <w:r w:rsidRPr="000435C0">
        <w:rPr>
          <w:rFonts w:ascii="Verdana" w:hAnsi="Verdana"/>
          <w:i/>
          <w:sz w:val="18"/>
          <w:szCs w:val="18"/>
        </w:rPr>
        <w:t>Sectorplannen</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Dit betreft een neerwaartse bijstelling op het budget voor de sectorplannen als gevolg van een fasering in de voorschotten. Dit budget zal via de eindejaarsmarge door worden geschoven naar 2017.</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Diversen RBG-eng (uitgaven)</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Dit betreft diverse beleidsmatige bijstellingen als gevolg van onderuitputting. Dit betreft onder andere de Rijksschoonmaakorganisatie (RSO) waardoor er minder beroep op het transitiebudget nodig is in 2016.</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Maatschappelijke begeleiding</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Het budget is neerwaarts bijgesteld omdat gemeenten in 2016 minder budget voor maatschappelijke begeleiding aanvragen dan eerder verwacht. Dat heeft deels te maken met vertraging in doorstroom van vergunninghouders naar gemeenten en deels doordat gemeenten minder snel dan verwacht budget voor maatschappelijke begeleiding aanvragen. De aanvragen worden alsnog verwacht in 2017.</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Diversen SZA (uitgaven)</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 xml:space="preserve">Dit betreft diverse beleidsmatige bijstellingen op het SZA-kader. De grootste is de overheveling van het budget voor Brug-WW van H15 naar H40. </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Afrekening BBZ</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Uit realisatiecijfers is gebleken dat een aantal gemeenten een te groot voorschot heeft ontvangen voor de bijstand van zelfstandigen. Gemeenten moeten het teveel ontvangen bedrag terugbetalen. Dit leidt tot ontvangsten voor SZW.</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Kinderopvangtoeslag</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Dit betreft een tegenvaller als gevolg van lagere terugontvangsten van kinderopvangtoeslag. Het geraamde totale bedrag aan terugvorderingen over oudere toeslagenjaren valt lager uit en daarnaast zal naar verwachting een hoger bedrag oninbaar blijken te zijn. Verder is het proces van definitief toekennen over 2015 later op gang gekomen dan vorige jaren, waardoor ook ontvangsten later binnenkomen.</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sz w:val="18"/>
          <w:szCs w:val="18"/>
        </w:rPr>
      </w:pPr>
      <w:r w:rsidRPr="000435C0">
        <w:rPr>
          <w:rFonts w:ascii="Verdana" w:hAnsi="Verdana"/>
          <w:i/>
          <w:sz w:val="18"/>
          <w:szCs w:val="18"/>
        </w:rPr>
        <w:t>Kindgebonden budget</w:t>
      </w:r>
    </w:p>
    <w:p w:rsidRPr="000435C0" w:rsidR="000154C8" w:rsidP="00357C2F" w:rsidRDefault="00357C2F">
      <w:pPr>
        <w:spacing w:line="240" w:lineRule="exact"/>
        <w:rPr>
          <w:rFonts w:ascii="Verdana" w:hAnsi="Verdana"/>
          <w:sz w:val="18"/>
          <w:szCs w:val="18"/>
        </w:rPr>
      </w:pPr>
      <w:r w:rsidRPr="000435C0">
        <w:rPr>
          <w:rFonts w:ascii="Verdana" w:hAnsi="Verdana"/>
          <w:sz w:val="18"/>
          <w:szCs w:val="18"/>
        </w:rPr>
        <w:t>Dit betreft een tegenvaller als gevolg van lagere terugontvangsten van het kindgebonden budget. Een deel van de ontvangsten komt later binnen dan verwacht en schuift daardoor over de jaargrens. Daarnaast zijn de verwachte vorderingen over toeslagjaren 2013 en 2014 licht naar beneden bijgesteld.</w:t>
      </w:r>
    </w:p>
    <w:p w:rsidRPr="000435C0" w:rsidR="00AF43DD" w:rsidP="000435C0" w:rsidRDefault="00AF43DD">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DD019D" w:rsidP="000435C0" w:rsidRDefault="00212804">
      <w:pPr>
        <w:spacing w:line="240" w:lineRule="exact"/>
        <w:rPr>
          <w:rFonts w:ascii="Verdana" w:hAnsi="Verdana" w:cs="Verdana"/>
          <w:b/>
          <w:bCs/>
          <w:sz w:val="18"/>
          <w:szCs w:val="18"/>
        </w:rPr>
      </w:pPr>
      <w:r w:rsidRPr="000435C0">
        <w:rPr>
          <w:rFonts w:ascii="Verdana" w:hAnsi="Verdana" w:cs="Verdana"/>
          <w:b/>
          <w:bCs/>
          <w:sz w:val="18"/>
          <w:szCs w:val="18"/>
        </w:rPr>
        <w:t>Soc</w:t>
      </w:r>
      <w:r w:rsidRPr="000435C0" w:rsidR="009862F9">
        <w:rPr>
          <w:rFonts w:ascii="Verdana" w:hAnsi="Verdana" w:cs="Verdana"/>
          <w:b/>
          <w:bCs/>
          <w:sz w:val="18"/>
          <w:szCs w:val="18"/>
        </w:rPr>
        <w:t>iale Zekerheid</w:t>
      </w:r>
    </w:p>
    <w:p w:rsidRPr="000435C0" w:rsidR="00BE7E54" w:rsidP="000435C0" w:rsidRDefault="00BE7E54">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48"/>
      </w:tblGrid>
      <w:tr w:rsidRPr="000435C0" w:rsidR="000154C8" w:rsidTr="000154C8">
        <w:tc>
          <w:tcPr>
            <w:tcW w:w="9085" w:type="dxa"/>
            <w:gridSpan w:val="2"/>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SOCIALE ZEKERHEID: UITGAVEN</w:t>
            </w:r>
          </w:p>
        </w:tc>
      </w:tr>
      <w:tr w:rsidRPr="000435C0" w:rsidR="000154C8" w:rsidTr="000154C8">
        <w:tc>
          <w:tcPr>
            <w:tcW w:w="8237" w:type="dxa"/>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2016</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Miljoenennota 2017</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77.877,1</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Mee- en tegenvallers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180"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360"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-9,4</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-9,4</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180"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360"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Maatschappelijke begeleiding</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-32,3</w:t>
            </w:r>
          </w:p>
        </w:tc>
      </w:tr>
      <w:tr w:rsidRPr="000435C0" w:rsidR="000154C8" w:rsidTr="000154C8">
        <w:tc>
          <w:tcPr>
            <w:tcW w:w="8237" w:type="dxa"/>
            <w:tcBorders>
              <w:left w:val="nil"/>
              <w:right w:val="nil"/>
            </w:tcBorders>
            <w:tcMar>
              <w:top w:w="15" w:type="dxa"/>
              <w:left w:w="360"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3,6</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-28,7</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180"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360"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0,7</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0,7</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-37,4</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77.839,7</w:t>
            </w:r>
          </w:p>
        </w:tc>
      </w:tr>
    </w:tbl>
    <w:p w:rsidRPr="000435C0" w:rsidR="000154C8" w:rsidP="000435C0" w:rsidRDefault="000154C8">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19"/>
        <w:gridCol w:w="883"/>
      </w:tblGrid>
      <w:tr w:rsidRPr="000435C0" w:rsidR="000154C8" w:rsidTr="003E508F">
        <w:tc>
          <w:tcPr>
            <w:tcW w:w="9000"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r>
      <w:tr w:rsidRPr="000435C0" w:rsidR="000154C8" w:rsidTr="003E508F">
        <w:tc>
          <w:tcPr>
            <w:tcW w:w="0" w:type="auto"/>
            <w:gridSpan w:val="2"/>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SOCIALE ZEKERHEID: NIET-BELASTINGONTVANGSTEN</w:t>
            </w:r>
          </w:p>
        </w:tc>
      </w:tr>
      <w:tr w:rsidRPr="000435C0" w:rsidR="000154C8" w:rsidTr="003E508F">
        <w:tc>
          <w:tcPr>
            <w:tcW w:w="0" w:type="auto"/>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2016</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Miljoenennota 2017</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1.151,5</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Mee- en tegenvallers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180"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360"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Kindgebonden budget</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-30,0</w:t>
            </w:r>
          </w:p>
        </w:tc>
      </w:tr>
      <w:tr w:rsidRPr="000435C0" w:rsidR="000154C8" w:rsidTr="003E508F">
        <w:tc>
          <w:tcPr>
            <w:tcW w:w="0" w:type="auto"/>
            <w:tcBorders>
              <w:left w:val="nil"/>
              <w:right w:val="nil"/>
            </w:tcBorders>
            <w:tcMar>
              <w:top w:w="15" w:type="dxa"/>
              <w:left w:w="360"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7,3</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-22,7</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180"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Sociale zekerheid</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360"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-4,0</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-4,0</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-26,7</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1.124,8</w:t>
            </w:r>
          </w:p>
        </w:tc>
      </w:tr>
    </w:tbl>
    <w:p w:rsidRPr="000435C0" w:rsidR="000154C8" w:rsidP="000435C0" w:rsidRDefault="000154C8">
      <w:pPr>
        <w:spacing w:line="240" w:lineRule="exact"/>
        <w:rPr>
          <w:rFonts w:ascii="Verdana" w:hAnsi="Verdana"/>
          <w:sz w:val="18"/>
          <w:szCs w:val="18"/>
        </w:rPr>
      </w:pPr>
    </w:p>
    <w:p w:rsidRPr="000435C0" w:rsidR="000154C8" w:rsidP="000435C0" w:rsidRDefault="000154C8">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Diversen</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Dit betreft verschillende bijstellingen als gevolg van uitvoeringsinformatie. De grootste bijstellingen betreffen een meevaller op de Kinderbijslag (AKW), een tegenvaller op de aanvullende inkomensvoorziening ouderen (AIO), een tegenvaller op de Wajong en een meevaller op de WAO.</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Maatschappelijke begeleiding</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Het budget is neerwaarts bijgesteld, omdat gemeenten in 2016 minder budget voor maatschappelijke begeleiding aanvragen dan eerder verwacht. Dat heeft deels te maken met vertraging in doorstroom van vergunninghouders naar gemeenten en deels doordat gemeenten minder snel dan verwacht budget voor maatschappelijke begeleiding aanvragen.</w:t>
      </w:r>
    </w:p>
    <w:p w:rsidRPr="000435C0" w:rsidR="00357C2F" w:rsidP="00357C2F" w:rsidRDefault="00357C2F">
      <w:pPr>
        <w:spacing w:line="240" w:lineRule="exact"/>
        <w:rPr>
          <w:rFonts w:ascii="Verdana" w:hAnsi="Verdana"/>
          <w:sz w:val="18"/>
          <w:szCs w:val="18"/>
        </w:rPr>
      </w:pPr>
    </w:p>
    <w:p w:rsidR="00357C2F" w:rsidP="00357C2F" w:rsidRDefault="00357C2F">
      <w:pPr>
        <w:spacing w:line="240" w:lineRule="exact"/>
        <w:rPr>
          <w:rFonts w:ascii="Verdana" w:hAnsi="Verdana"/>
          <w:i/>
          <w:iCs/>
          <w:sz w:val="18"/>
          <w:szCs w:val="18"/>
        </w:rPr>
      </w:pPr>
    </w:p>
    <w:p w:rsidRPr="000435C0" w:rsidR="00357C2F" w:rsidP="00357C2F" w:rsidRDefault="00357C2F">
      <w:pPr>
        <w:spacing w:line="240" w:lineRule="exact"/>
        <w:rPr>
          <w:rFonts w:ascii="Verdana" w:hAnsi="Verdana"/>
          <w:sz w:val="18"/>
          <w:szCs w:val="18"/>
        </w:rPr>
      </w:pPr>
      <w:r w:rsidRPr="000435C0">
        <w:rPr>
          <w:rFonts w:ascii="Verdana" w:hAnsi="Verdana"/>
          <w:i/>
          <w:iCs/>
          <w:sz w:val="18"/>
          <w:szCs w:val="18"/>
        </w:rPr>
        <w:t>Kindgebonden budget</w:t>
      </w:r>
    </w:p>
    <w:p w:rsidRPr="000435C0" w:rsidR="00357C2F" w:rsidP="00357C2F" w:rsidRDefault="00357C2F">
      <w:pPr>
        <w:spacing w:line="240" w:lineRule="exact"/>
        <w:rPr>
          <w:rFonts w:ascii="Verdana" w:hAnsi="Verdana"/>
          <w:sz w:val="18"/>
          <w:szCs w:val="18"/>
        </w:rPr>
      </w:pPr>
      <w:r w:rsidRPr="000435C0">
        <w:rPr>
          <w:rFonts w:ascii="Verdana" w:hAnsi="Verdana"/>
          <w:sz w:val="18"/>
          <w:szCs w:val="18"/>
        </w:rPr>
        <w:t>Dit betreft een tegenvaller als gevolg van lagere terugontvangsten van het kindgebonden budget. Een deel van de ontvangsten komt later binnen dan verwacht en schuift daardoor over de jaargrens. Daarnaast zijn de verwachte vorderingen over toeslagjaren 2013 en 2014 licht naar beneden bijgesteld.</w:t>
      </w:r>
    </w:p>
    <w:p w:rsidRPr="000435C0" w:rsidR="00357C2F" w:rsidP="00357C2F" w:rsidRDefault="00357C2F">
      <w:pPr>
        <w:spacing w:line="240" w:lineRule="exact"/>
        <w:rPr>
          <w:rFonts w:ascii="Verdana" w:hAnsi="Verdana"/>
          <w:sz w:val="18"/>
          <w:szCs w:val="18"/>
        </w:rPr>
      </w:pPr>
    </w:p>
    <w:p w:rsidRPr="000435C0" w:rsidR="00357C2F" w:rsidP="00357C2F" w:rsidRDefault="00357C2F">
      <w:pPr>
        <w:spacing w:line="240" w:lineRule="exact"/>
        <w:rPr>
          <w:rFonts w:ascii="Verdana" w:hAnsi="Verdana"/>
          <w:i/>
          <w:sz w:val="18"/>
          <w:szCs w:val="18"/>
        </w:rPr>
      </w:pPr>
      <w:r w:rsidRPr="000435C0">
        <w:rPr>
          <w:rFonts w:ascii="Verdana" w:hAnsi="Verdana"/>
          <w:i/>
          <w:sz w:val="18"/>
          <w:szCs w:val="18"/>
        </w:rPr>
        <w:t>Diversen (ontvangsten)</w:t>
      </w:r>
    </w:p>
    <w:p w:rsidRPr="000435C0" w:rsidR="000154C8" w:rsidP="00357C2F" w:rsidRDefault="00357C2F">
      <w:pPr>
        <w:spacing w:line="240" w:lineRule="exact"/>
        <w:rPr>
          <w:rFonts w:ascii="Verdana" w:hAnsi="Verdana"/>
          <w:sz w:val="18"/>
          <w:szCs w:val="18"/>
        </w:rPr>
      </w:pPr>
      <w:r w:rsidRPr="000435C0">
        <w:rPr>
          <w:rFonts w:ascii="Verdana" w:hAnsi="Verdana"/>
          <w:sz w:val="18"/>
          <w:szCs w:val="18"/>
        </w:rPr>
        <w:t>Dit betreft verschillende mee- en tegenvallers op de niet-belastingontvangsten, die per saldo een meevaller opleveren. De grootste mutaties betreffen een meevaller op de bijstand zelfstandigen (BBZ) en een tegenvaller op de Kinderopvangtoeslag (zie ook VT H15).</w:t>
      </w:r>
    </w:p>
    <w:p w:rsidRPr="000435C0" w:rsidR="000154C8" w:rsidP="000435C0" w:rsidRDefault="000154C8">
      <w:pPr>
        <w:spacing w:line="240" w:lineRule="exact"/>
        <w:rPr>
          <w:rFonts w:ascii="Verdana" w:hAnsi="Verdana"/>
          <w:sz w:val="18"/>
          <w:szCs w:val="18"/>
        </w:rPr>
      </w:pPr>
    </w:p>
    <w:p w:rsidRPr="000435C0" w:rsidR="00F17D33" w:rsidP="000435C0" w:rsidRDefault="00F17D33">
      <w:pPr>
        <w:spacing w:line="240" w:lineRule="exact"/>
        <w:rPr>
          <w:rFonts w:ascii="Verdana" w:hAnsi="Verdana" w:cs="Verdana"/>
          <w:b/>
          <w:bCs/>
          <w:sz w:val="18"/>
          <w:szCs w:val="18"/>
        </w:rPr>
      </w:pPr>
    </w:p>
    <w:p w:rsidRPr="000435C0" w:rsidR="00CF4484" w:rsidP="000435C0" w:rsidRDefault="00CF4484">
      <w:pPr>
        <w:spacing w:line="240" w:lineRule="exact"/>
        <w:rPr>
          <w:rFonts w:ascii="Verdana" w:hAnsi="Verdana" w:cs="Verdana"/>
          <w:b/>
          <w:bCs/>
          <w:sz w:val="18"/>
          <w:szCs w:val="18"/>
        </w:rPr>
      </w:pPr>
    </w:p>
    <w:p w:rsidRPr="000435C0" w:rsidR="00FD7153" w:rsidP="000435C0" w:rsidRDefault="00FD7153">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A36B02"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Volksgezondheid, Welzijn en Sport</w:t>
      </w:r>
      <w:r w:rsidRPr="000435C0" w:rsidR="00F176EB">
        <w:rPr>
          <w:rFonts w:ascii="Verdana" w:hAnsi="Verdana" w:cs="Verdana"/>
          <w:b/>
          <w:bCs/>
          <w:sz w:val="18"/>
          <w:szCs w:val="18"/>
        </w:rPr>
        <w:t xml:space="preserve"> </w:t>
      </w:r>
    </w:p>
    <w:p w:rsidRPr="000435C0" w:rsidR="000154C8" w:rsidP="000435C0" w:rsidRDefault="000154C8">
      <w:pPr>
        <w:spacing w:line="240" w:lineRule="exact"/>
        <w:rPr>
          <w:rFonts w:ascii="Verdana" w:hAnsi="Verdana"/>
          <w:sz w:val="18"/>
          <w:szCs w:val="18"/>
        </w:rPr>
      </w:pPr>
    </w:p>
    <w:tbl>
      <w:tblPr>
        <w:tblW w:w="0" w:type="auto"/>
        <w:tblCellMar>
          <w:top w:w="15" w:type="dxa"/>
          <w:left w:w="15" w:type="dxa"/>
          <w:bottom w:w="15" w:type="dxa"/>
          <w:right w:w="15" w:type="dxa"/>
        </w:tblCellMar>
        <w:tblLook w:val="04A0"/>
      </w:tblPr>
      <w:tblGrid>
        <w:gridCol w:w="8237"/>
        <w:gridCol w:w="848"/>
      </w:tblGrid>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XVI VOLKSGEZONDHEID, WELZIJN EN SPORT: UITGAVEN</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2016</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14.624,7</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206"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Compensatieregeling pgb</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-20,0</w:t>
            </w: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Opleiding tot verpleegkundig specialist</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-17,5</w:t>
            </w: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Subsidie transitie jeugd</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-35,0</w:t>
            </w: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Taakstellende onderuitputting</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55,0</w:t>
            </w: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-13,2</w:t>
            </w:r>
          </w:p>
        </w:tc>
      </w:tr>
      <w:tr w:rsidRPr="000435C0" w:rsidR="000154C8" w:rsidTr="000154C8">
        <w:tc>
          <w:tcPr>
            <w:tcW w:w="8237" w:type="dxa"/>
            <w:tcBorders>
              <w:left w:val="nil"/>
              <w:right w:val="nil"/>
            </w:tcBorders>
            <w:tcMar>
              <w:top w:w="15" w:type="dxa"/>
              <w:left w:w="206"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Zorg</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Overheveling transitieregeling medisch specialisten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-19,0</w:t>
            </w: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-11,2</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-60,9</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206"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Subsidie transitie jeugd</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-42,0</w:t>
            </w: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-15,8</w:t>
            </w:r>
          </w:p>
        </w:tc>
      </w:tr>
      <w:tr w:rsidRPr="000435C0" w:rsidR="000154C8" w:rsidTr="000154C8">
        <w:tc>
          <w:tcPr>
            <w:tcW w:w="8237" w:type="dxa"/>
            <w:tcBorders>
              <w:left w:val="nil"/>
              <w:right w:val="nil"/>
            </w:tcBorders>
            <w:tcMar>
              <w:top w:w="15" w:type="dxa"/>
              <w:left w:w="206"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Zorg</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-1,0</w:t>
            </w:r>
          </w:p>
        </w:tc>
      </w:tr>
      <w:tr w:rsidRPr="000435C0" w:rsidR="000154C8" w:rsidTr="000154C8">
        <w:tc>
          <w:tcPr>
            <w:tcW w:w="8237" w:type="dxa"/>
            <w:tcBorders>
              <w:left w:val="nil"/>
              <w:right w:val="nil"/>
            </w:tcBorders>
            <w:tcMar>
              <w:top w:w="15" w:type="dxa"/>
              <w:left w:w="206"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-0,9</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-59,7</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-120,6</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14.504,1</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5,1</w:t>
            </w:r>
          </w:p>
        </w:tc>
      </w:tr>
      <w:tr w:rsidRPr="000435C0" w:rsidR="000154C8" w:rsidTr="000154C8">
        <w:tc>
          <w:tcPr>
            <w:tcW w:w="8237"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14.509,2</w:t>
            </w:r>
          </w:p>
        </w:tc>
      </w:tr>
    </w:tbl>
    <w:p w:rsidRPr="000435C0" w:rsidR="000154C8" w:rsidP="000435C0" w:rsidRDefault="000154C8">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2"/>
        <w:gridCol w:w="860"/>
      </w:tblGrid>
      <w:tr w:rsidRPr="000435C0" w:rsidR="000154C8" w:rsidTr="003E508F">
        <w:tc>
          <w:tcPr>
            <w:tcW w:w="9000"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XVI VOLKSGEZONDHEID, WELZIJN EN SPORT: NIET-BELASTINGONTVANGSTEN</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2016</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195,8</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206"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Ontvangsten artikel 3</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16,2</w:t>
            </w:r>
          </w:p>
        </w:tc>
      </w:tr>
      <w:tr w:rsidRPr="000435C0" w:rsidR="000154C8" w:rsidTr="003E508F">
        <w:tc>
          <w:tcPr>
            <w:tcW w:w="0" w:type="auto"/>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Ontvangsten mantelzorgcompliment</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19,4</w:t>
            </w:r>
          </w:p>
        </w:tc>
      </w:tr>
      <w:tr w:rsidRPr="000435C0" w:rsidR="000154C8" w:rsidTr="003E508F">
        <w:tc>
          <w:tcPr>
            <w:tcW w:w="0" w:type="auto"/>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Ontvangsten wanbetalers</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20,2</w:t>
            </w:r>
          </w:p>
        </w:tc>
      </w:tr>
      <w:tr w:rsidRPr="000435C0" w:rsidR="000154C8" w:rsidTr="003E508F">
        <w:tc>
          <w:tcPr>
            <w:tcW w:w="0" w:type="auto"/>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11,1</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66,9</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206" w:type="dxa"/>
              <w:bottom w:w="15" w:type="dxa"/>
              <w:right w:w="15" w:type="dxa"/>
            </w:tcMar>
            <w:vAlign w:val="both"/>
            <w:hideMark/>
          </w:tcPr>
          <w:p w:rsidRPr="000435C0" w:rsidR="000154C8" w:rsidP="000435C0" w:rsidRDefault="000154C8">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Subsidie transitie jeugd</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-42,0</w:t>
            </w:r>
          </w:p>
        </w:tc>
      </w:tr>
      <w:tr w:rsidRPr="000435C0" w:rsidR="000154C8" w:rsidTr="003E508F">
        <w:tc>
          <w:tcPr>
            <w:tcW w:w="0" w:type="auto"/>
            <w:tcBorders>
              <w:left w:val="nil"/>
              <w:right w:val="nil"/>
            </w:tcBorders>
            <w:tcMar>
              <w:top w:w="15" w:type="dxa"/>
              <w:left w:w="411" w:type="dxa"/>
              <w:bottom w:w="15" w:type="dxa"/>
              <w:right w:w="15" w:type="dxa"/>
            </w:tcMar>
            <w:vAlign w:val="both"/>
            <w:hideMark/>
          </w:tcPr>
          <w:p w:rsidRPr="000435C0" w:rsidR="000154C8" w:rsidP="000435C0" w:rsidRDefault="000154C8">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9,2</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-32,8</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34,1</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0154C8" w:rsidP="000435C0" w:rsidRDefault="000154C8">
            <w:pPr>
              <w:spacing w:line="240" w:lineRule="exact"/>
              <w:rPr>
                <w:rFonts w:ascii="Verdana" w:hAnsi="Verdana"/>
                <w:sz w:val="18"/>
                <w:szCs w:val="18"/>
              </w:rPr>
            </w:pP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229,9</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0,0</w:t>
            </w:r>
          </w:p>
        </w:tc>
      </w:tr>
      <w:tr w:rsidRPr="000435C0" w:rsidR="000154C8" w:rsidTr="003E508F">
        <w:tc>
          <w:tcPr>
            <w:tcW w:w="0" w:type="auto"/>
            <w:tcBorders>
              <w:left w:val="nil"/>
              <w:right w:val="nil"/>
            </w:tcBorders>
            <w:hideMark/>
          </w:tcPr>
          <w:p w:rsidRPr="000435C0" w:rsidR="000154C8" w:rsidP="000435C0" w:rsidRDefault="000154C8">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0154C8" w:rsidP="000435C0" w:rsidRDefault="000154C8">
            <w:pPr>
              <w:spacing w:line="240" w:lineRule="exact"/>
              <w:jc w:val="right"/>
              <w:rPr>
                <w:rFonts w:ascii="Verdana" w:hAnsi="Verdana"/>
                <w:sz w:val="18"/>
                <w:szCs w:val="18"/>
              </w:rPr>
            </w:pPr>
            <w:r w:rsidRPr="000435C0">
              <w:rPr>
                <w:rFonts w:ascii="Verdana" w:hAnsi="Verdana"/>
                <w:sz w:val="18"/>
                <w:szCs w:val="18"/>
              </w:rPr>
              <w:t>229,9</w:t>
            </w:r>
          </w:p>
        </w:tc>
      </w:tr>
    </w:tbl>
    <w:p w:rsidRPr="000435C0" w:rsidR="00F17D33" w:rsidP="000435C0" w:rsidRDefault="00F17D33">
      <w:pPr>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Compensatieregeling PGB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De uitvoeringstoets van de compensatieregeling trekkingsrechten en de verwerking van de resultaten hiervan heeft meer tijd gekost dan beoogd. De gereserveerde middelen zullen daarom dit jaar niet meer tot besteding komen. </w:t>
      </w:r>
    </w:p>
    <w:p w:rsidRPr="000435C0" w:rsidR="000154C8" w:rsidP="000435C0" w:rsidRDefault="000154C8">
      <w:pPr>
        <w:pStyle w:val="Geenafstand"/>
        <w:spacing w:line="240" w:lineRule="exact"/>
        <w:rPr>
          <w:rFonts w:ascii="Verdana" w:hAnsi="Verdana"/>
          <w:i/>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Opleiding tot verpleegkundig specialist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Het opleidingsbudget voor de opleiding tot verpleegkundig specialist komt dit jaar niet volledig tot uitputting, omdat de instroom van het aantal studenten lager is dan geraamd.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sz w:val="18"/>
          <w:szCs w:val="18"/>
        </w:rPr>
      </w:pPr>
      <w:r w:rsidRPr="000435C0">
        <w:rPr>
          <w:rFonts w:ascii="Verdana" w:hAnsi="Verdana"/>
          <w:i/>
          <w:sz w:val="18"/>
          <w:szCs w:val="18"/>
        </w:rPr>
        <w:t>Subsidie transitie jeugd</w:t>
      </w:r>
      <w:r w:rsidR="00304DB4">
        <w:rPr>
          <w:rFonts w:ascii="Verdana" w:hAnsi="Verdana"/>
          <w:i/>
          <w:sz w:val="18"/>
          <w:szCs w:val="18"/>
        </w:rPr>
        <w:t xml:space="preserve"> – beleidsmatige mutaties – rijksbegroting in enge zin </w:t>
      </w:r>
      <w:r w:rsidRPr="000435C0">
        <w:rPr>
          <w:rFonts w:ascii="Verdana" w:hAnsi="Verdana"/>
          <w:sz w:val="18"/>
          <w:szCs w:val="18"/>
        </w:rPr>
        <w:t xml:space="preserve">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Er hebben zich minder jeugdinstellingen dan voorzien gemeld bij de Transitie Autoriteit Jeugd (TAJ). Het lagere beroep komt mede doordat de TAJ door bemiddeling tussen instellingen en gemeenten alsnog betalingsregelingen heeft kunnen treffen.</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Taakstellende onderuitputting</w:t>
      </w:r>
    </w:p>
    <w:p w:rsidRPr="000435C0" w:rsidR="000154C8" w:rsidP="000435C0" w:rsidRDefault="000154C8">
      <w:pPr>
        <w:pStyle w:val="Geenafstand"/>
        <w:spacing w:line="240" w:lineRule="exact"/>
        <w:rPr>
          <w:rFonts w:ascii="Verdana" w:hAnsi="Verdana" w:eastAsia="Verdana"/>
          <w:sz w:val="18"/>
          <w:szCs w:val="18"/>
        </w:rPr>
      </w:pPr>
      <w:r w:rsidRPr="000435C0">
        <w:rPr>
          <w:rFonts w:ascii="Verdana" w:hAnsi="Verdana" w:eastAsia="Verdana"/>
          <w:sz w:val="18"/>
          <w:szCs w:val="18"/>
        </w:rPr>
        <w:t>Dit betreft het invullen van de taakstellende onderuitputting. Deze wordt ingevuld met de bij de 2</w:t>
      </w:r>
      <w:r w:rsidRPr="000435C0">
        <w:rPr>
          <w:rFonts w:ascii="Verdana" w:hAnsi="Verdana" w:eastAsia="Verdana"/>
          <w:sz w:val="18"/>
          <w:szCs w:val="18"/>
          <w:vertAlign w:val="superscript"/>
        </w:rPr>
        <w:t>e</w:t>
      </w:r>
      <w:r w:rsidRPr="000435C0">
        <w:rPr>
          <w:rFonts w:ascii="Verdana" w:hAnsi="Verdana" w:eastAsia="Verdana"/>
          <w:sz w:val="18"/>
          <w:szCs w:val="18"/>
        </w:rPr>
        <w:t xml:space="preserve"> suppletoire begrotingswet gepresenteerde onderuitputting.</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Diversen – beleidsmatige mutaties – rijksbegroting in enge zin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Dit betreft de optelsom van een aantal mutaties waaronder de bijdrage van VWS aan de oplossing van de problematiek van de stichting ECN (12 mln.), meerkosten bij de SVB voor de uitvoering van de PGB-trekkingsrechten (8,8 mln.), hogere uitgaven op het gebied van informele zorg (8,1 mln.), de bijdrage van VWS voor de ontwikkeling van de generieke digitale infrastructuur (5,8 mln.) en lagere uitgaven aan subsidies op artikel 3 (-8,6 mln.).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Overheveling transitieregeling medisch specialisten</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In 2016 is beperkt gebruik gemaakt van de subsidieregeling voor medisch specialisten. De middelen die vrijvallen worden toegevoegd aan de BKZ-sector medisch specialistische zorg.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Diversen – beleidsmatige mutaties – zorg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Dit betreft een nabetaling op grond van de subsidieregeling abortusklinieken (1,4 mln.) en vrijval van 12,6 mln. voor een aantal opleidingen (waaronder sportartsen, arts verstandelijk gehandicapten en klinisch neuropsychologen).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Subsidie transitie jeugd </w:t>
      </w:r>
      <w:r w:rsidR="00304DB4">
        <w:rPr>
          <w:rFonts w:ascii="Verdana" w:hAnsi="Verdana"/>
          <w:i/>
          <w:sz w:val="18"/>
          <w:szCs w:val="18"/>
        </w:rPr>
        <w:t>– technische mutaties – rijksbegroting in enge zin – uitgaven en ontvangsten</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Provincies hebben tot en met 2016 egalisatiereserves beschikbaar gehouden voor jeugdinstellingen. In 2016 gaan de overgebleven reserves over naar de VWS-begroting, waar ze worden ingezet voor subsidieverlening aan jeugdinstellingen door de Transitie Autoriteit Jeugd. Provincies hebben in 2016 een groter deel van hun egalisatiereserves dan verwacht ingezet voor jeugdinstellingen. De ontvangsten op de VWS-begroting vallen hierdoor lager uit. Tegelijkertijd is hierdoor minder subsidieverlening nodig voor deze instellingen door de Transitie Autoriteit Jeugd. Op de VWS-begroting zijn daarom de ontvangsten en de uitgaven met hetzelfde bedrag verlaagd. </w:t>
      </w:r>
    </w:p>
    <w:p w:rsidRPr="000435C0" w:rsidR="000154C8" w:rsidP="000435C0" w:rsidRDefault="000154C8">
      <w:pPr>
        <w:pStyle w:val="Geenafstand"/>
        <w:spacing w:line="240" w:lineRule="exact"/>
        <w:rPr>
          <w:rFonts w:ascii="Verdana" w:hAnsi="Verdana"/>
          <w:sz w:val="18"/>
          <w:szCs w:val="18"/>
        </w:rPr>
      </w:pPr>
    </w:p>
    <w:p w:rsidRPr="000435C0" w:rsidR="0037410B" w:rsidP="0037410B" w:rsidRDefault="0037410B">
      <w:pPr>
        <w:pStyle w:val="Geenafstand"/>
        <w:spacing w:line="240" w:lineRule="exact"/>
        <w:rPr>
          <w:rFonts w:ascii="Verdana" w:hAnsi="Verdana"/>
          <w:i/>
          <w:sz w:val="18"/>
          <w:szCs w:val="18"/>
        </w:rPr>
      </w:pPr>
      <w:r w:rsidRPr="000435C0">
        <w:rPr>
          <w:rFonts w:ascii="Verdana" w:hAnsi="Verdana"/>
          <w:i/>
          <w:sz w:val="18"/>
          <w:szCs w:val="18"/>
        </w:rPr>
        <w:t xml:space="preserve">Diversen – technische mutaties – rijksbegroting in enge zin </w:t>
      </w:r>
    </w:p>
    <w:p w:rsidRPr="000435C0" w:rsidR="0037410B" w:rsidP="0037410B" w:rsidRDefault="0037410B">
      <w:pPr>
        <w:pStyle w:val="Geenafstand"/>
        <w:spacing w:line="240" w:lineRule="exact"/>
        <w:rPr>
          <w:rFonts w:ascii="Verdana" w:hAnsi="Verdana"/>
          <w:sz w:val="18"/>
          <w:szCs w:val="18"/>
        </w:rPr>
      </w:pPr>
      <w:r w:rsidRPr="000435C0">
        <w:rPr>
          <w:rFonts w:ascii="Verdana" w:hAnsi="Verdana"/>
          <w:sz w:val="18"/>
          <w:szCs w:val="18"/>
        </w:rPr>
        <w:t>Deze post bestaat onder andere uit de overboekingen van de VWS-bijdrage voor de oplossing voor de problematiek van de stichting ECN (</w:t>
      </w:r>
      <w:r>
        <w:rPr>
          <w:rFonts w:ascii="Verdana" w:hAnsi="Verdana"/>
          <w:sz w:val="18"/>
          <w:szCs w:val="18"/>
        </w:rPr>
        <w:t>-</w:t>
      </w:r>
      <w:r w:rsidRPr="000435C0">
        <w:rPr>
          <w:rFonts w:ascii="Verdana" w:hAnsi="Verdana"/>
          <w:sz w:val="18"/>
          <w:szCs w:val="18"/>
        </w:rPr>
        <w:t>12 mln.) en de VWS-bijdrage voor de ontwikkeling van de generieke digitale infrastructuur (</w:t>
      </w:r>
      <w:r>
        <w:rPr>
          <w:rFonts w:ascii="Verdana" w:hAnsi="Verdana"/>
          <w:sz w:val="18"/>
          <w:szCs w:val="18"/>
        </w:rPr>
        <w:t>-</w:t>
      </w:r>
      <w:r w:rsidRPr="000435C0">
        <w:rPr>
          <w:rFonts w:ascii="Verdana" w:hAnsi="Verdana"/>
          <w:sz w:val="18"/>
          <w:szCs w:val="18"/>
        </w:rPr>
        <w:t xml:space="preserve">5,8 mln.).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Diversen – technische mutaties – zorg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Het betreft een overboeking naar het CIBG ten behoeve van de uitvoering van onder ander de UZI-pas en de Wet BIG.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Diversen – technische mutaties – niet tot een ijklijn behorend</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Het betreft een bijdrage in de uitvoeringskosten van de Tegemoetkoming Specifieke Zorgkosten.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Ontvangsten artikel 3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De ontvangsten op artikel 3 vallen hoger uit door onder meer vrijval van reorganisatievoorzieningen van het CIZ (10 mln.) en terugontvangst van subsidies aan zorgkantoren in 2013 en 2014 (3,3 mln.).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Ontvangsten mantelzorgcompliment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Tot 2015 werd het mantelzorgcompliment gefinancierd vanuit de VWS-begroting, de SVB was verantwoordelijk voor de uitkering. Het betreft hier de terugontvangen middelen van de over 2014 uitgekeerde mantelzorgcomplimenten.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Ontvangsten wanbetalers</w:t>
      </w:r>
    </w:p>
    <w:p w:rsidRPr="000435C0" w:rsidR="000154C8" w:rsidP="000435C0" w:rsidRDefault="000154C8">
      <w:pPr>
        <w:pStyle w:val="Geenafstand"/>
        <w:spacing w:line="240" w:lineRule="exact"/>
        <w:rPr>
          <w:rFonts w:ascii="Verdana" w:hAnsi="Verdana" w:eastAsia="Verdana"/>
          <w:sz w:val="18"/>
          <w:szCs w:val="18"/>
        </w:rPr>
      </w:pPr>
      <w:r w:rsidRPr="000435C0">
        <w:rPr>
          <w:rFonts w:ascii="Verdana" w:hAnsi="Verdana" w:eastAsia="Verdana"/>
          <w:sz w:val="18"/>
          <w:szCs w:val="18"/>
        </w:rPr>
        <w:t xml:space="preserve">De ontvangsten in het kader van de wanbetalersregeling vallen hoger uit door een hoger dan verwacht inningspercentage.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 xml:space="preserve">Diversen – beleidsmatige mutaties </w:t>
      </w:r>
    </w:p>
    <w:p w:rsidRPr="000435C0" w:rsidR="000154C8" w:rsidP="000435C0" w:rsidRDefault="000154C8">
      <w:pPr>
        <w:pStyle w:val="Geenafstand"/>
        <w:spacing w:line="240" w:lineRule="exact"/>
        <w:rPr>
          <w:rFonts w:ascii="Verdana" w:hAnsi="Verdana"/>
          <w:sz w:val="18"/>
          <w:szCs w:val="18"/>
        </w:rPr>
      </w:pPr>
      <w:r w:rsidRPr="000435C0">
        <w:rPr>
          <w:rFonts w:ascii="Verdana" w:hAnsi="Verdana"/>
          <w:sz w:val="18"/>
          <w:szCs w:val="18"/>
        </w:rPr>
        <w:t xml:space="preserve">Deze post omvat onder andere terugontvangsten van subsidies op artikel 1 (8,5 mln.) en de invulling van de taakstellende ontvangstenmeevaller (5 mln.).  </w:t>
      </w:r>
    </w:p>
    <w:p w:rsidRPr="000435C0" w:rsidR="000154C8" w:rsidP="000435C0" w:rsidRDefault="000154C8">
      <w:pPr>
        <w:pStyle w:val="Geenafstand"/>
        <w:spacing w:line="240" w:lineRule="exact"/>
        <w:rPr>
          <w:rFonts w:ascii="Verdana" w:hAnsi="Verdana"/>
          <w:sz w:val="18"/>
          <w:szCs w:val="18"/>
        </w:rPr>
      </w:pPr>
    </w:p>
    <w:p w:rsidRPr="000435C0" w:rsidR="000154C8" w:rsidP="000435C0" w:rsidRDefault="000154C8">
      <w:pPr>
        <w:pStyle w:val="Geenafstand"/>
        <w:spacing w:line="240" w:lineRule="exact"/>
        <w:rPr>
          <w:rFonts w:ascii="Verdana" w:hAnsi="Verdana"/>
          <w:i/>
          <w:sz w:val="18"/>
          <w:szCs w:val="18"/>
        </w:rPr>
      </w:pPr>
      <w:r w:rsidRPr="000435C0">
        <w:rPr>
          <w:rFonts w:ascii="Verdana" w:hAnsi="Verdana"/>
          <w:i/>
          <w:sz w:val="18"/>
          <w:szCs w:val="18"/>
        </w:rPr>
        <w:t>Diversen – technische mutaties</w:t>
      </w:r>
    </w:p>
    <w:p w:rsidRPr="000435C0" w:rsidR="00F17D33" w:rsidP="000435C0" w:rsidRDefault="000154C8">
      <w:pPr>
        <w:spacing w:line="240" w:lineRule="exact"/>
        <w:rPr>
          <w:rFonts w:ascii="Verdana" w:hAnsi="Verdana"/>
          <w:vanish/>
          <w:sz w:val="18"/>
          <w:szCs w:val="18"/>
        </w:rPr>
      </w:pPr>
      <w:r w:rsidRPr="000435C0">
        <w:rPr>
          <w:rFonts w:ascii="Verdana" w:hAnsi="Verdana"/>
          <w:sz w:val="18"/>
          <w:szCs w:val="18"/>
        </w:rPr>
        <w:t>Het betreft de optelsom van verschillende kleine desalderingen.</w:t>
      </w:r>
    </w:p>
    <w:p w:rsidRPr="000435C0" w:rsidR="009422E0" w:rsidP="000435C0" w:rsidRDefault="009422E0">
      <w:pPr>
        <w:spacing w:line="240" w:lineRule="exact"/>
        <w:rPr>
          <w:rFonts w:ascii="Verdana" w:hAnsi="Verdana"/>
          <w:sz w:val="18"/>
          <w:szCs w:val="18"/>
        </w:rPr>
      </w:pPr>
    </w:p>
    <w:p w:rsidRPr="000435C0" w:rsidR="009422E0" w:rsidP="000435C0" w:rsidRDefault="009422E0">
      <w:pPr>
        <w:spacing w:line="240" w:lineRule="exact"/>
        <w:rPr>
          <w:rFonts w:ascii="Verdana" w:hAnsi="Verdana"/>
          <w:sz w:val="18"/>
          <w:szCs w:val="18"/>
        </w:rPr>
      </w:pPr>
      <w:r w:rsidRPr="000435C0">
        <w:rPr>
          <w:rFonts w:ascii="Verdana" w:hAnsi="Verdana"/>
          <w:sz w:val="18"/>
          <w:szCs w:val="18"/>
        </w:rPr>
        <w:br w:type="page"/>
      </w:r>
    </w:p>
    <w:p w:rsidR="00DD019D" w:rsidP="000435C0" w:rsidRDefault="00212804">
      <w:pPr>
        <w:spacing w:line="240" w:lineRule="exact"/>
        <w:rPr>
          <w:rFonts w:ascii="Verdana" w:hAnsi="Verdana" w:cs="Verdana"/>
          <w:b/>
          <w:bCs/>
          <w:sz w:val="18"/>
          <w:szCs w:val="18"/>
        </w:rPr>
      </w:pPr>
      <w:r w:rsidRPr="000435C0">
        <w:rPr>
          <w:rFonts w:ascii="Verdana" w:hAnsi="Verdana" w:cs="Verdana"/>
          <w:b/>
          <w:bCs/>
          <w:sz w:val="18"/>
          <w:szCs w:val="18"/>
        </w:rPr>
        <w:t>Budgettair Kader Zorg</w:t>
      </w:r>
    </w:p>
    <w:p w:rsidRPr="000435C0" w:rsidR="00063214" w:rsidP="000435C0" w:rsidRDefault="00063214">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48"/>
      </w:tblGrid>
      <w:tr w:rsidR="00063214" w:rsidTr="00063214">
        <w:tc>
          <w:tcPr>
            <w:tcW w:w="9085" w:type="dxa"/>
            <w:gridSpan w:val="2"/>
            <w:tcBorders>
              <w:left w:val="nil"/>
              <w:right w:val="nil"/>
            </w:tcBorders>
            <w:hideMark/>
          </w:tcPr>
          <w:p w:rsidR="00063214" w:rsidP="00063214" w:rsidRDefault="00063214">
            <w:pPr>
              <w:rPr>
                <w:rFonts w:ascii="Verdana" w:hAnsi="Verdana"/>
                <w:sz w:val="18"/>
                <w:szCs w:val="18"/>
              </w:rPr>
            </w:pPr>
            <w:r>
              <w:rPr>
                <w:rFonts w:ascii="Verdana" w:hAnsi="Verdana"/>
                <w:sz w:val="18"/>
                <w:szCs w:val="18"/>
              </w:rPr>
              <w:t>ZORG: UITGAVEN</w:t>
            </w:r>
          </w:p>
        </w:tc>
      </w:tr>
      <w:tr w:rsidR="00063214" w:rsidTr="00063214">
        <w:tc>
          <w:tcPr>
            <w:tcW w:w="8237" w:type="dxa"/>
            <w:tcBorders>
              <w:top w:val="single" w:color="000000" w:sz="6" w:space="0"/>
              <w:left w:val="nil"/>
              <w:bottom w:val="single" w:color="000000" w:sz="6" w:space="0"/>
              <w:right w:val="nil"/>
            </w:tcBorders>
            <w:hideMark/>
          </w:tcPr>
          <w:p w:rsidR="00063214" w:rsidP="00063214" w:rsidRDefault="0006321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063214" w:rsidP="00063214" w:rsidRDefault="00063214">
            <w:pPr>
              <w:jc w:val="right"/>
              <w:rPr>
                <w:rFonts w:ascii="Verdana" w:hAnsi="Verdana"/>
                <w:sz w:val="18"/>
                <w:szCs w:val="18"/>
              </w:rPr>
            </w:pPr>
            <w:r>
              <w:rPr>
                <w:rFonts w:ascii="Verdana" w:hAnsi="Verdana"/>
                <w:sz w:val="18"/>
                <w:szCs w:val="18"/>
              </w:rPr>
              <w:t>2016</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Stand Miljoenennota 2017</w:t>
            </w:r>
          </w:p>
        </w:tc>
        <w:tc>
          <w:tcPr>
            <w:tcW w:w="0" w:type="auto"/>
            <w:tcBorders>
              <w:top w:val="single" w:color="000000" w:sz="6" w:space="0"/>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72.150,1</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Mee- en tegenvallers</w:t>
            </w:r>
          </w:p>
        </w:tc>
        <w:tc>
          <w:tcPr>
            <w:tcW w:w="0" w:type="auto"/>
            <w:hideMark/>
          </w:tcPr>
          <w:p w:rsidR="00063214" w:rsidP="00063214" w:rsidRDefault="00063214">
            <w:pPr>
              <w:rPr>
                <w:sz w:val="20"/>
                <w:szCs w:val="20"/>
              </w:rPr>
            </w:pPr>
          </w:p>
        </w:tc>
      </w:tr>
      <w:tr w:rsidR="00063214" w:rsidTr="00063214">
        <w:tc>
          <w:tcPr>
            <w:tcW w:w="8237" w:type="dxa"/>
            <w:tcBorders>
              <w:left w:val="nil"/>
              <w:right w:val="nil"/>
            </w:tcBorders>
            <w:tcMar>
              <w:top w:w="15" w:type="dxa"/>
              <w:left w:w="163" w:type="dxa"/>
              <w:bottom w:w="15" w:type="dxa"/>
              <w:right w:w="15" w:type="dxa"/>
            </w:tcMar>
            <w:vAlign w:val="both"/>
            <w:hideMark/>
          </w:tcPr>
          <w:p w:rsidR="00063214" w:rsidP="00063214" w:rsidRDefault="00063214">
            <w:pPr>
              <w:ind w:firstLine="180" w:firstLineChars="100"/>
              <w:rPr>
                <w:rFonts w:ascii="Verdana" w:hAnsi="Verdana"/>
                <w:sz w:val="18"/>
                <w:szCs w:val="18"/>
              </w:rPr>
            </w:pPr>
            <w:r>
              <w:rPr>
                <w:rFonts w:ascii="Verdana" w:hAnsi="Verdana"/>
                <w:sz w:val="18"/>
                <w:szCs w:val="18"/>
              </w:rPr>
              <w:t>Zorg</w:t>
            </w:r>
          </w:p>
        </w:tc>
        <w:tc>
          <w:tcPr>
            <w:tcW w:w="0" w:type="auto"/>
            <w:hideMark/>
          </w:tcPr>
          <w:p w:rsidR="00063214" w:rsidP="00063214" w:rsidRDefault="00063214">
            <w:pPr>
              <w:rPr>
                <w:sz w:val="20"/>
                <w:szCs w:val="20"/>
              </w:rPr>
            </w:pPr>
          </w:p>
        </w:tc>
      </w:tr>
      <w:tr w:rsidR="00063214" w:rsidTr="00063214">
        <w:tc>
          <w:tcPr>
            <w:tcW w:w="8237" w:type="dxa"/>
            <w:tcBorders>
              <w:left w:val="nil"/>
              <w:right w:val="nil"/>
            </w:tcBorders>
            <w:tcMar>
              <w:top w:w="15" w:type="dxa"/>
              <w:left w:w="326" w:type="dxa"/>
              <w:bottom w:w="15" w:type="dxa"/>
              <w:right w:w="15" w:type="dxa"/>
            </w:tcMar>
            <w:vAlign w:val="both"/>
            <w:hideMark/>
          </w:tcPr>
          <w:p w:rsidR="00063214" w:rsidP="00063214" w:rsidRDefault="00063214">
            <w:pPr>
              <w:ind w:firstLine="360" w:firstLineChars="200"/>
              <w:rPr>
                <w:rFonts w:ascii="Verdana" w:hAnsi="Verdana"/>
                <w:sz w:val="18"/>
                <w:szCs w:val="18"/>
              </w:rPr>
            </w:pPr>
            <w:r>
              <w:rPr>
                <w:rFonts w:ascii="Verdana" w:hAnsi="Verdana"/>
                <w:sz w:val="18"/>
                <w:szCs w:val="18"/>
              </w:rPr>
              <w:t>Actualisering zorguitgaven</w:t>
            </w:r>
          </w:p>
        </w:tc>
        <w:tc>
          <w:tcPr>
            <w:tcW w:w="0" w:type="auto"/>
            <w:tcBorders>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-400,0</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-400,0</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Beleidsmatige mutaties</w:t>
            </w:r>
          </w:p>
        </w:tc>
        <w:tc>
          <w:tcPr>
            <w:tcW w:w="0" w:type="auto"/>
            <w:hideMark/>
          </w:tcPr>
          <w:p w:rsidR="00063214" w:rsidP="00063214" w:rsidRDefault="00063214">
            <w:pPr>
              <w:rPr>
                <w:sz w:val="20"/>
                <w:szCs w:val="20"/>
              </w:rPr>
            </w:pPr>
          </w:p>
        </w:tc>
      </w:tr>
      <w:tr w:rsidR="00063214" w:rsidTr="00063214">
        <w:tc>
          <w:tcPr>
            <w:tcW w:w="8237" w:type="dxa"/>
            <w:tcBorders>
              <w:left w:val="nil"/>
              <w:right w:val="nil"/>
            </w:tcBorders>
            <w:tcMar>
              <w:top w:w="15" w:type="dxa"/>
              <w:left w:w="163" w:type="dxa"/>
              <w:bottom w:w="15" w:type="dxa"/>
              <w:right w:w="15" w:type="dxa"/>
            </w:tcMar>
            <w:vAlign w:val="both"/>
            <w:hideMark/>
          </w:tcPr>
          <w:p w:rsidR="00063214" w:rsidP="00063214" w:rsidRDefault="00063214">
            <w:pPr>
              <w:ind w:firstLine="180" w:firstLineChars="100"/>
              <w:rPr>
                <w:rFonts w:ascii="Verdana" w:hAnsi="Verdana"/>
                <w:sz w:val="18"/>
                <w:szCs w:val="18"/>
              </w:rPr>
            </w:pPr>
            <w:r>
              <w:rPr>
                <w:rFonts w:ascii="Verdana" w:hAnsi="Verdana"/>
                <w:sz w:val="18"/>
                <w:szCs w:val="18"/>
              </w:rPr>
              <w:t>Zorg</w:t>
            </w:r>
          </w:p>
        </w:tc>
        <w:tc>
          <w:tcPr>
            <w:tcW w:w="0" w:type="auto"/>
            <w:hideMark/>
          </w:tcPr>
          <w:p w:rsidR="00063214" w:rsidP="00063214" w:rsidRDefault="00063214">
            <w:pPr>
              <w:rPr>
                <w:sz w:val="20"/>
                <w:szCs w:val="20"/>
              </w:rPr>
            </w:pPr>
          </w:p>
        </w:tc>
      </w:tr>
      <w:tr w:rsidR="00063214" w:rsidTr="00063214">
        <w:tc>
          <w:tcPr>
            <w:tcW w:w="8237" w:type="dxa"/>
            <w:tcBorders>
              <w:left w:val="nil"/>
              <w:right w:val="nil"/>
            </w:tcBorders>
            <w:tcMar>
              <w:top w:w="15" w:type="dxa"/>
              <w:left w:w="326" w:type="dxa"/>
              <w:bottom w:w="15" w:type="dxa"/>
              <w:right w:w="15" w:type="dxa"/>
            </w:tcMar>
            <w:vAlign w:val="both"/>
            <w:hideMark/>
          </w:tcPr>
          <w:p w:rsidR="00063214" w:rsidP="00063214" w:rsidRDefault="0006321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-2,5</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-2,5</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Technische mutaties</w:t>
            </w:r>
          </w:p>
        </w:tc>
        <w:tc>
          <w:tcPr>
            <w:tcW w:w="0" w:type="auto"/>
            <w:hideMark/>
          </w:tcPr>
          <w:p w:rsidR="00063214" w:rsidP="00063214" w:rsidRDefault="00063214">
            <w:pPr>
              <w:rPr>
                <w:sz w:val="20"/>
                <w:szCs w:val="20"/>
              </w:rPr>
            </w:pPr>
          </w:p>
        </w:tc>
      </w:tr>
      <w:tr w:rsidR="00063214" w:rsidTr="00063214">
        <w:tc>
          <w:tcPr>
            <w:tcW w:w="8237" w:type="dxa"/>
            <w:tcBorders>
              <w:left w:val="nil"/>
              <w:right w:val="nil"/>
            </w:tcBorders>
            <w:tcMar>
              <w:top w:w="15" w:type="dxa"/>
              <w:left w:w="163" w:type="dxa"/>
              <w:bottom w:w="15" w:type="dxa"/>
              <w:right w:w="15" w:type="dxa"/>
            </w:tcMar>
            <w:vAlign w:val="both"/>
            <w:hideMark/>
          </w:tcPr>
          <w:p w:rsidR="00063214" w:rsidP="00063214" w:rsidRDefault="00063214">
            <w:pPr>
              <w:ind w:firstLine="180" w:firstLineChars="100"/>
              <w:rPr>
                <w:rFonts w:ascii="Verdana" w:hAnsi="Verdana"/>
                <w:sz w:val="18"/>
                <w:szCs w:val="18"/>
              </w:rPr>
            </w:pPr>
            <w:r>
              <w:rPr>
                <w:rFonts w:ascii="Verdana" w:hAnsi="Verdana"/>
                <w:sz w:val="18"/>
                <w:szCs w:val="18"/>
              </w:rPr>
              <w:t>Zorg</w:t>
            </w:r>
          </w:p>
        </w:tc>
        <w:tc>
          <w:tcPr>
            <w:tcW w:w="0" w:type="auto"/>
            <w:hideMark/>
          </w:tcPr>
          <w:p w:rsidR="00063214" w:rsidP="00063214" w:rsidRDefault="00063214">
            <w:pPr>
              <w:rPr>
                <w:sz w:val="20"/>
                <w:szCs w:val="20"/>
              </w:rPr>
            </w:pPr>
          </w:p>
        </w:tc>
      </w:tr>
      <w:tr w:rsidR="00063214" w:rsidTr="00063214">
        <w:tc>
          <w:tcPr>
            <w:tcW w:w="8237" w:type="dxa"/>
            <w:tcBorders>
              <w:left w:val="nil"/>
              <w:right w:val="nil"/>
            </w:tcBorders>
            <w:tcMar>
              <w:top w:w="15" w:type="dxa"/>
              <w:left w:w="326" w:type="dxa"/>
              <w:bottom w:w="15" w:type="dxa"/>
              <w:right w:w="15" w:type="dxa"/>
            </w:tcMar>
            <w:vAlign w:val="both"/>
            <w:hideMark/>
          </w:tcPr>
          <w:p w:rsidR="00063214" w:rsidP="00063214" w:rsidRDefault="0006321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1,8</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1,8</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 </w:t>
            </w:r>
          </w:p>
        </w:tc>
        <w:tc>
          <w:tcPr>
            <w:tcW w:w="0" w:type="auto"/>
            <w:hideMark/>
          </w:tcPr>
          <w:p w:rsidR="00063214" w:rsidP="00063214" w:rsidRDefault="00063214">
            <w:pPr>
              <w:rPr>
                <w:sz w:val="20"/>
                <w:szCs w:val="20"/>
              </w:rPr>
            </w:pP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Totaal mutaties sinds Miljoenennota 2017</w:t>
            </w:r>
          </w:p>
        </w:tc>
        <w:tc>
          <w:tcPr>
            <w:tcW w:w="0" w:type="auto"/>
            <w:tcBorders>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-400,7</w:t>
            </w:r>
          </w:p>
        </w:tc>
      </w:tr>
      <w:tr w:rsidR="00063214" w:rsidTr="00063214">
        <w:tc>
          <w:tcPr>
            <w:tcW w:w="8237"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Stand Najaarsnota 2016</w:t>
            </w:r>
          </w:p>
        </w:tc>
        <w:tc>
          <w:tcPr>
            <w:tcW w:w="0" w:type="auto"/>
            <w:tcBorders>
              <w:top w:val="single" w:color="000000" w:sz="6" w:space="0"/>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71.749,4</w:t>
            </w:r>
          </w:p>
        </w:tc>
      </w:tr>
    </w:tbl>
    <w:p w:rsidR="00063214" w:rsidP="00063214" w:rsidRDefault="00063214">
      <w:pPr>
        <w:rPr>
          <w:rFonts w:ascii="Verdana" w:hAnsi="Verdana"/>
          <w:vanish/>
          <w:sz w:val="14"/>
          <w:szCs w:val="14"/>
        </w:rPr>
      </w:pPr>
    </w:p>
    <w:tbl>
      <w:tblPr>
        <w:tblW w:w="0" w:type="auto"/>
        <w:tblCellMar>
          <w:top w:w="15" w:type="dxa"/>
          <w:left w:w="15" w:type="dxa"/>
          <w:bottom w:w="15" w:type="dxa"/>
          <w:right w:w="15" w:type="dxa"/>
        </w:tblCellMar>
        <w:tblLook w:val="04A0"/>
      </w:tblPr>
      <w:tblGrid>
        <w:gridCol w:w="8216"/>
        <w:gridCol w:w="886"/>
      </w:tblGrid>
      <w:tr w:rsidR="00063214" w:rsidTr="00063214">
        <w:tc>
          <w:tcPr>
            <w:tcW w:w="9000"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 </w:t>
            </w:r>
          </w:p>
        </w:tc>
        <w:tc>
          <w:tcPr>
            <w:tcW w:w="900" w:type="dxa"/>
            <w:tcBorders>
              <w:left w:val="nil"/>
              <w:right w:val="nil"/>
            </w:tcBorders>
            <w:hideMark/>
          </w:tcPr>
          <w:p w:rsidR="00063214" w:rsidP="00063214" w:rsidRDefault="00063214">
            <w:pPr>
              <w:rPr>
                <w:rFonts w:ascii="Verdana" w:hAnsi="Verdana"/>
                <w:sz w:val="18"/>
                <w:szCs w:val="18"/>
              </w:rPr>
            </w:pPr>
            <w:r>
              <w:rPr>
                <w:rFonts w:ascii="Verdana" w:hAnsi="Verdana"/>
                <w:sz w:val="18"/>
                <w:szCs w:val="18"/>
              </w:rPr>
              <w:t> </w:t>
            </w:r>
          </w:p>
        </w:tc>
      </w:tr>
      <w:tr w:rsidR="00063214" w:rsidTr="00063214">
        <w:tc>
          <w:tcPr>
            <w:tcW w:w="0" w:type="auto"/>
            <w:gridSpan w:val="2"/>
            <w:tcBorders>
              <w:left w:val="nil"/>
              <w:right w:val="nil"/>
            </w:tcBorders>
            <w:hideMark/>
          </w:tcPr>
          <w:p w:rsidR="00063214" w:rsidP="00063214" w:rsidRDefault="00063214">
            <w:pPr>
              <w:rPr>
                <w:rFonts w:ascii="Verdana" w:hAnsi="Verdana"/>
                <w:sz w:val="18"/>
                <w:szCs w:val="18"/>
              </w:rPr>
            </w:pPr>
            <w:r>
              <w:rPr>
                <w:rFonts w:ascii="Verdana" w:hAnsi="Verdana"/>
                <w:sz w:val="18"/>
                <w:szCs w:val="18"/>
              </w:rPr>
              <w:t>ZORG: NIET-BELASTINGONTVANGSTEN</w:t>
            </w:r>
          </w:p>
        </w:tc>
      </w:tr>
      <w:tr w:rsidR="00063214" w:rsidTr="00063214">
        <w:tc>
          <w:tcPr>
            <w:tcW w:w="0" w:type="auto"/>
            <w:tcBorders>
              <w:top w:val="single" w:color="000000" w:sz="6" w:space="0"/>
              <w:left w:val="nil"/>
              <w:bottom w:val="single" w:color="000000" w:sz="6" w:space="0"/>
              <w:right w:val="nil"/>
            </w:tcBorders>
            <w:hideMark/>
          </w:tcPr>
          <w:p w:rsidR="00063214" w:rsidP="00063214" w:rsidRDefault="0006321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063214" w:rsidP="00063214" w:rsidRDefault="00063214">
            <w:pPr>
              <w:jc w:val="right"/>
              <w:rPr>
                <w:rFonts w:ascii="Verdana" w:hAnsi="Verdana"/>
                <w:sz w:val="18"/>
                <w:szCs w:val="18"/>
              </w:rPr>
            </w:pPr>
            <w:r>
              <w:rPr>
                <w:rFonts w:ascii="Verdana" w:hAnsi="Verdana"/>
                <w:sz w:val="18"/>
                <w:szCs w:val="18"/>
              </w:rPr>
              <w:t>2016</w:t>
            </w:r>
          </w:p>
        </w:tc>
      </w:tr>
      <w:tr w:rsidR="00063214" w:rsidTr="00063214">
        <w:tc>
          <w:tcPr>
            <w:tcW w:w="0" w:type="auto"/>
            <w:tcBorders>
              <w:left w:val="nil"/>
              <w:right w:val="nil"/>
            </w:tcBorders>
            <w:hideMark/>
          </w:tcPr>
          <w:p w:rsidR="00063214" w:rsidP="00063214" w:rsidRDefault="00063214">
            <w:pPr>
              <w:rPr>
                <w:rFonts w:ascii="Verdana" w:hAnsi="Verdana"/>
                <w:sz w:val="18"/>
                <w:szCs w:val="18"/>
              </w:rPr>
            </w:pPr>
            <w:r>
              <w:rPr>
                <w:rFonts w:ascii="Verdana" w:hAnsi="Verdana"/>
                <w:sz w:val="18"/>
                <w:szCs w:val="18"/>
              </w:rPr>
              <w:t>Stand Miljoenennota 2017</w:t>
            </w:r>
          </w:p>
        </w:tc>
        <w:tc>
          <w:tcPr>
            <w:tcW w:w="0" w:type="auto"/>
            <w:tcBorders>
              <w:top w:val="single" w:color="000000" w:sz="6" w:space="0"/>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5.020,9</w:t>
            </w:r>
          </w:p>
        </w:tc>
      </w:tr>
      <w:tr w:rsidR="00063214" w:rsidTr="00063214">
        <w:tc>
          <w:tcPr>
            <w:tcW w:w="0" w:type="auto"/>
            <w:tcBorders>
              <w:left w:val="nil"/>
              <w:right w:val="nil"/>
            </w:tcBorders>
            <w:hideMark/>
          </w:tcPr>
          <w:p w:rsidR="00063214" w:rsidP="00063214" w:rsidRDefault="00063214">
            <w:pPr>
              <w:rPr>
                <w:rFonts w:ascii="Verdana" w:hAnsi="Verdana"/>
                <w:sz w:val="18"/>
                <w:szCs w:val="18"/>
              </w:rPr>
            </w:pPr>
            <w:r>
              <w:rPr>
                <w:rFonts w:ascii="Verdana" w:hAnsi="Verdana"/>
                <w:sz w:val="18"/>
                <w:szCs w:val="18"/>
              </w:rPr>
              <w:t> </w:t>
            </w:r>
          </w:p>
        </w:tc>
        <w:tc>
          <w:tcPr>
            <w:tcW w:w="0" w:type="auto"/>
            <w:hideMark/>
          </w:tcPr>
          <w:p w:rsidR="00063214" w:rsidP="00063214" w:rsidRDefault="00063214">
            <w:pPr>
              <w:rPr>
                <w:sz w:val="20"/>
                <w:szCs w:val="20"/>
              </w:rPr>
            </w:pPr>
          </w:p>
        </w:tc>
      </w:tr>
      <w:tr w:rsidR="00063214" w:rsidTr="00063214">
        <w:tc>
          <w:tcPr>
            <w:tcW w:w="0" w:type="auto"/>
            <w:tcBorders>
              <w:left w:val="nil"/>
              <w:right w:val="nil"/>
            </w:tcBorders>
            <w:hideMark/>
          </w:tcPr>
          <w:p w:rsidR="00063214" w:rsidP="00063214" w:rsidRDefault="00063214">
            <w:pPr>
              <w:rPr>
                <w:rFonts w:ascii="Verdana" w:hAnsi="Verdana"/>
                <w:sz w:val="18"/>
                <w:szCs w:val="18"/>
              </w:rPr>
            </w:pPr>
            <w:r>
              <w:rPr>
                <w:rFonts w:ascii="Verdana" w:hAnsi="Verdana"/>
                <w:sz w:val="18"/>
                <w:szCs w:val="18"/>
              </w:rPr>
              <w:t>Totaal mutaties sinds Miljoenennota 2017</w:t>
            </w:r>
          </w:p>
        </w:tc>
        <w:tc>
          <w:tcPr>
            <w:tcW w:w="0" w:type="auto"/>
            <w:tcBorders>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0,0</w:t>
            </w:r>
          </w:p>
        </w:tc>
      </w:tr>
      <w:tr w:rsidR="00063214" w:rsidTr="00063214">
        <w:tc>
          <w:tcPr>
            <w:tcW w:w="0" w:type="auto"/>
            <w:tcBorders>
              <w:left w:val="nil"/>
              <w:right w:val="nil"/>
            </w:tcBorders>
            <w:hideMark/>
          </w:tcPr>
          <w:p w:rsidR="00063214" w:rsidP="00063214" w:rsidRDefault="00063214">
            <w:pPr>
              <w:rPr>
                <w:rFonts w:ascii="Verdana" w:hAnsi="Verdana"/>
                <w:sz w:val="18"/>
                <w:szCs w:val="18"/>
              </w:rPr>
            </w:pPr>
            <w:r>
              <w:rPr>
                <w:rFonts w:ascii="Verdana" w:hAnsi="Verdana"/>
                <w:sz w:val="18"/>
                <w:szCs w:val="18"/>
              </w:rPr>
              <w:t>Stand Najaarsnota 2016</w:t>
            </w:r>
          </w:p>
        </w:tc>
        <w:tc>
          <w:tcPr>
            <w:tcW w:w="0" w:type="auto"/>
            <w:tcBorders>
              <w:top w:val="single" w:color="000000" w:sz="6" w:space="0"/>
              <w:left w:val="nil"/>
              <w:right w:val="nil"/>
            </w:tcBorders>
            <w:hideMark/>
          </w:tcPr>
          <w:p w:rsidR="00063214" w:rsidP="00063214" w:rsidRDefault="00063214">
            <w:pPr>
              <w:jc w:val="right"/>
              <w:rPr>
                <w:rFonts w:ascii="Verdana" w:hAnsi="Verdana"/>
                <w:sz w:val="18"/>
                <w:szCs w:val="18"/>
              </w:rPr>
            </w:pPr>
            <w:r>
              <w:rPr>
                <w:rFonts w:ascii="Verdana" w:hAnsi="Verdana"/>
                <w:sz w:val="18"/>
                <w:szCs w:val="18"/>
              </w:rPr>
              <w:t>5.020,9</w:t>
            </w:r>
          </w:p>
        </w:tc>
      </w:tr>
    </w:tbl>
    <w:p w:rsidRPr="000435C0" w:rsidR="00610B7E" w:rsidP="000435C0" w:rsidRDefault="00610B7E">
      <w:pPr>
        <w:spacing w:line="240" w:lineRule="exact"/>
        <w:rPr>
          <w:rFonts w:ascii="Verdana" w:hAnsi="Verdana" w:cs="Verdana"/>
          <w:b/>
          <w:bCs/>
          <w:sz w:val="18"/>
          <w:szCs w:val="18"/>
        </w:rPr>
      </w:pPr>
    </w:p>
    <w:p w:rsidRPr="000435C0" w:rsidR="000154C8" w:rsidP="000435C0" w:rsidRDefault="000154C8">
      <w:pPr>
        <w:spacing w:line="240" w:lineRule="exact"/>
        <w:rPr>
          <w:rFonts w:ascii="Verdana" w:hAnsi="Verdana"/>
          <w:vanish/>
          <w:sz w:val="18"/>
          <w:szCs w:val="18"/>
        </w:rPr>
      </w:pPr>
    </w:p>
    <w:p w:rsidRPr="000435C0" w:rsidR="000154C8" w:rsidP="000435C0" w:rsidRDefault="000154C8">
      <w:pPr>
        <w:spacing w:line="240" w:lineRule="exact"/>
        <w:rPr>
          <w:rFonts w:ascii="Verdana" w:hAnsi="Verdana"/>
          <w:sz w:val="18"/>
          <w:szCs w:val="18"/>
        </w:rPr>
      </w:pPr>
    </w:p>
    <w:p w:rsidRPr="000435C0" w:rsidR="000154C8" w:rsidP="000435C0" w:rsidRDefault="000154C8">
      <w:pPr>
        <w:spacing w:line="240" w:lineRule="exact"/>
        <w:rPr>
          <w:rFonts w:ascii="Verdana" w:hAnsi="Verdana"/>
          <w:i/>
          <w:sz w:val="18"/>
          <w:szCs w:val="18"/>
        </w:rPr>
      </w:pPr>
      <w:r w:rsidRPr="000435C0">
        <w:rPr>
          <w:rFonts w:ascii="Verdana" w:hAnsi="Verdana"/>
          <w:i/>
          <w:sz w:val="18"/>
          <w:szCs w:val="18"/>
        </w:rPr>
        <w:t>Actualisering zorguitgaven</w:t>
      </w:r>
    </w:p>
    <w:p w:rsidRPr="000435C0" w:rsidR="000154C8" w:rsidP="000435C0" w:rsidRDefault="000154C8">
      <w:pPr>
        <w:spacing w:line="240" w:lineRule="exact"/>
        <w:rPr>
          <w:rFonts w:ascii="Verdana" w:hAnsi="Verdana"/>
          <w:sz w:val="18"/>
          <w:szCs w:val="18"/>
        </w:rPr>
      </w:pPr>
      <w:r w:rsidRPr="000435C0">
        <w:rPr>
          <w:rFonts w:ascii="Verdana" w:hAnsi="Verdana"/>
          <w:sz w:val="18"/>
          <w:szCs w:val="18"/>
        </w:rPr>
        <w:t xml:space="preserve">Op basis van voorlopige gegevens over het eerste half jaar van 2016 van het Zorginstituut Nederland (ZiNL) zijn de ramingen van de zorguitgaven 2016 geactualiseerd. Dit leidt tot een neerwaartse bijstelling van de uitgaven binnen de Zvw van 400 mln. </w:t>
      </w:r>
    </w:p>
    <w:p w:rsidRPr="000435C0" w:rsidR="000154C8" w:rsidP="000435C0" w:rsidRDefault="000154C8">
      <w:pPr>
        <w:spacing w:line="240" w:lineRule="exact"/>
        <w:rPr>
          <w:rFonts w:ascii="Verdana" w:hAnsi="Verdana"/>
          <w:sz w:val="18"/>
          <w:szCs w:val="18"/>
        </w:rPr>
      </w:pPr>
      <w:r w:rsidRPr="000435C0">
        <w:rPr>
          <w:rFonts w:ascii="Verdana" w:hAnsi="Verdana"/>
          <w:sz w:val="18"/>
          <w:szCs w:val="18"/>
        </w:rPr>
        <w:t>Deze geraamde onderschrijding kan nog wijzigen op grond van de realisatiecijfers over geheel 2016. Daarover wordt u in het jaarverslag 2016 nader gerapporteerd.</w:t>
      </w:r>
    </w:p>
    <w:p w:rsidRPr="000435C0" w:rsidR="00F17D33" w:rsidP="000435C0" w:rsidRDefault="00F17D33">
      <w:pPr>
        <w:spacing w:line="240" w:lineRule="exact"/>
        <w:rPr>
          <w:rFonts w:ascii="Verdana" w:hAnsi="Verdana" w:cs="Verdana"/>
          <w:b/>
          <w:bCs/>
          <w:sz w:val="18"/>
          <w:szCs w:val="18"/>
        </w:rPr>
      </w:pPr>
    </w:p>
    <w:p w:rsidRPr="000435C0" w:rsidR="00D23801" w:rsidP="000435C0" w:rsidRDefault="00D23801">
      <w:pPr>
        <w:spacing w:line="240" w:lineRule="exact"/>
        <w:rPr>
          <w:rFonts w:ascii="Verdana" w:hAnsi="Verdana"/>
          <w:vanish/>
          <w:sz w:val="18"/>
          <w:szCs w:val="18"/>
        </w:rPr>
      </w:pPr>
    </w:p>
    <w:p w:rsidRPr="000435C0" w:rsidR="000E759E" w:rsidP="000435C0" w:rsidRDefault="000E759E">
      <w:pPr>
        <w:spacing w:line="240" w:lineRule="exact"/>
        <w:rPr>
          <w:rFonts w:ascii="Verdana" w:hAnsi="Verdana" w:cs="Verdana"/>
          <w:b/>
          <w:bCs/>
          <w:sz w:val="18"/>
          <w:szCs w:val="18"/>
        </w:rPr>
      </w:pPr>
    </w:p>
    <w:p w:rsidRPr="000435C0" w:rsidR="0033147C" w:rsidP="000435C0" w:rsidRDefault="0033147C">
      <w:pPr>
        <w:spacing w:line="240" w:lineRule="exact"/>
        <w:rPr>
          <w:rFonts w:ascii="Verdana" w:hAnsi="Verdana"/>
          <w:i/>
          <w:sz w:val="18"/>
          <w:szCs w:val="18"/>
        </w:rPr>
      </w:pPr>
    </w:p>
    <w:p w:rsidRPr="000435C0" w:rsidR="000E759E" w:rsidP="000435C0" w:rsidRDefault="000E759E">
      <w:pPr>
        <w:spacing w:line="240" w:lineRule="exact"/>
        <w:rPr>
          <w:rFonts w:ascii="Verdana" w:hAnsi="Verdana"/>
          <w:sz w:val="18"/>
          <w:szCs w:val="18"/>
        </w:rPr>
      </w:pPr>
      <w:r w:rsidRPr="000435C0">
        <w:rPr>
          <w:rFonts w:ascii="Verdana" w:hAnsi="Verdana"/>
          <w:sz w:val="18"/>
          <w:szCs w:val="18"/>
        </w:rPr>
        <w:t xml:space="preserve"> </w:t>
      </w:r>
    </w:p>
    <w:p w:rsidRPr="000435C0" w:rsidR="00FD7153" w:rsidP="000435C0" w:rsidRDefault="00FD7153">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833C05" w:rsidP="000435C0" w:rsidRDefault="00833C05">
      <w:pPr>
        <w:spacing w:line="240" w:lineRule="exact"/>
        <w:rPr>
          <w:rFonts w:ascii="Verdana" w:hAnsi="Verdana" w:cs="Verdana"/>
          <w:b/>
          <w:bCs/>
          <w:sz w:val="18"/>
          <w:szCs w:val="18"/>
        </w:rPr>
      </w:pPr>
      <w:r w:rsidRPr="000435C0">
        <w:rPr>
          <w:rFonts w:ascii="Verdana" w:hAnsi="Verdana" w:cs="Verdana"/>
          <w:b/>
          <w:bCs/>
          <w:sz w:val="18"/>
          <w:szCs w:val="18"/>
        </w:rPr>
        <w:t>Bui</w:t>
      </w:r>
      <w:r w:rsidRPr="000435C0" w:rsidR="0057192F">
        <w:rPr>
          <w:rFonts w:ascii="Verdana" w:hAnsi="Verdana" w:cs="Verdana"/>
          <w:b/>
          <w:bCs/>
          <w:sz w:val="18"/>
          <w:szCs w:val="18"/>
        </w:rPr>
        <w:t>tenlandse Handel &amp; Ontwikkelingssamenwerking</w:t>
      </w:r>
    </w:p>
    <w:tbl>
      <w:tblPr>
        <w:tblW w:w="9172" w:type="dxa"/>
        <w:tblCellMar>
          <w:top w:w="15" w:type="dxa"/>
          <w:left w:w="15" w:type="dxa"/>
          <w:bottom w:w="15" w:type="dxa"/>
          <w:right w:w="15" w:type="dxa"/>
        </w:tblCellMar>
        <w:tblLook w:val="04A0"/>
      </w:tblPr>
      <w:tblGrid>
        <w:gridCol w:w="8237"/>
        <w:gridCol w:w="935"/>
      </w:tblGrid>
      <w:tr w:rsidRPr="000435C0" w:rsidR="007264A4" w:rsidTr="000154C8">
        <w:tc>
          <w:tcPr>
            <w:tcW w:w="8237" w:type="dxa"/>
            <w:tcBorders>
              <w:left w:val="nil"/>
              <w:right w:val="nil"/>
            </w:tcBorders>
            <w:hideMark/>
          </w:tcPr>
          <w:p w:rsidRPr="000435C0" w:rsidR="007264A4" w:rsidP="000435C0" w:rsidRDefault="007264A4">
            <w:pPr>
              <w:spacing w:line="240" w:lineRule="exact"/>
              <w:rPr>
                <w:rFonts w:ascii="Verdana" w:hAnsi="Verdana"/>
                <w:sz w:val="18"/>
                <w:szCs w:val="18"/>
              </w:rPr>
            </w:pPr>
          </w:p>
        </w:tc>
        <w:tc>
          <w:tcPr>
            <w:tcW w:w="935" w:type="dxa"/>
            <w:tcBorders>
              <w:left w:val="nil"/>
              <w:right w:val="nil"/>
            </w:tcBorders>
            <w:hideMark/>
          </w:tcPr>
          <w:p w:rsidRPr="000435C0" w:rsidR="007264A4" w:rsidP="000435C0" w:rsidRDefault="007264A4">
            <w:pPr>
              <w:spacing w:line="240" w:lineRule="exact"/>
              <w:rPr>
                <w:rFonts w:ascii="Verdana" w:hAnsi="Verdana"/>
                <w:sz w:val="18"/>
                <w:szCs w:val="18"/>
              </w:rPr>
            </w:pPr>
            <w:r w:rsidRPr="000435C0">
              <w:rPr>
                <w:rFonts w:ascii="Verdana" w:hAnsi="Verdana"/>
                <w:sz w:val="18"/>
                <w:szCs w:val="18"/>
              </w:rPr>
              <w:t> </w:t>
            </w:r>
          </w:p>
        </w:tc>
      </w:tr>
      <w:tr w:rsidRPr="000435C0" w:rsidR="00790381" w:rsidTr="000154C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XVII BUITENLANDSE HANDEL &amp; ONTWIKKELINGSSAMENWERKING: UITGAVEN</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0154C8">
        <w:tc>
          <w:tcPr>
            <w:tcW w:w="8237" w:type="dxa"/>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2016</w:t>
            </w:r>
          </w:p>
        </w:tc>
      </w:tr>
      <w:tr w:rsidRPr="000435C0" w:rsidR="00790381" w:rsidTr="000154C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0,0</w:t>
            </w:r>
          </w:p>
        </w:tc>
      </w:tr>
      <w:tr w:rsidRPr="000435C0" w:rsidR="00790381" w:rsidTr="000154C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0,0</w:t>
            </w:r>
          </w:p>
        </w:tc>
      </w:tr>
      <w:tr w:rsidRPr="000435C0" w:rsidR="00790381" w:rsidTr="000154C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0154C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0,0</w:t>
            </w:r>
          </w:p>
        </w:tc>
      </w:tr>
      <w:tr w:rsidRPr="000435C0" w:rsidR="00790381" w:rsidTr="000154C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3.163,4</w:t>
            </w:r>
          </w:p>
        </w:tc>
      </w:tr>
      <w:tr w:rsidRPr="000435C0" w:rsidR="00790381" w:rsidTr="000154C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3.163,4</w:t>
            </w:r>
          </w:p>
        </w:tc>
      </w:tr>
    </w:tbl>
    <w:p w:rsidRPr="000435C0" w:rsidR="00790381" w:rsidP="000435C0" w:rsidRDefault="00790381">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56"/>
        <w:gridCol w:w="846"/>
      </w:tblGrid>
      <w:tr w:rsidRPr="000435C0" w:rsidR="00790381" w:rsidTr="0041589F">
        <w:tc>
          <w:tcPr>
            <w:tcW w:w="9000"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XVII BUITENLANDSE HANDEL &amp; ONTWIKKELINGSSAMENWERKING: NIET-BELASTINGONTVANGSTEN</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2016</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16,4</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0,0</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16,4</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250,8</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267,3</w:t>
            </w:r>
          </w:p>
        </w:tc>
      </w:tr>
    </w:tbl>
    <w:p w:rsidRPr="000435C0" w:rsidR="004A30F5" w:rsidP="000435C0" w:rsidRDefault="004A30F5">
      <w:pPr>
        <w:spacing w:line="240" w:lineRule="exact"/>
        <w:rPr>
          <w:rFonts w:ascii="Verdana" w:hAnsi="Verdana" w:cs="Verdana"/>
          <w:b/>
          <w:bCs/>
          <w:sz w:val="18"/>
          <w:szCs w:val="18"/>
        </w:rPr>
      </w:pPr>
    </w:p>
    <w:p w:rsidRPr="000435C0" w:rsidR="004A30F5" w:rsidP="000435C0" w:rsidRDefault="004A30F5">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3C0598" w:rsidP="000435C0" w:rsidRDefault="003C0598">
      <w:pPr>
        <w:spacing w:line="240" w:lineRule="exact"/>
        <w:rPr>
          <w:rFonts w:ascii="Verdana" w:hAnsi="Verdana" w:cs="Verdana"/>
          <w:b/>
          <w:bCs/>
          <w:sz w:val="18"/>
          <w:szCs w:val="18"/>
        </w:rPr>
      </w:pPr>
      <w:r w:rsidRPr="000435C0">
        <w:rPr>
          <w:rFonts w:ascii="Verdana" w:hAnsi="Verdana" w:cs="Verdana"/>
          <w:b/>
          <w:bCs/>
          <w:sz w:val="18"/>
          <w:szCs w:val="18"/>
        </w:rPr>
        <w:t>Wonen &amp; Rijksdienst</w:t>
      </w:r>
    </w:p>
    <w:p w:rsidRPr="000435C0" w:rsidR="00790381" w:rsidP="000435C0" w:rsidRDefault="00790381">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734"/>
      </w:tblGrid>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XVIII WONEN &amp; RIJKSDIENST: UITGAVEN</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B04BA8">
        <w:tc>
          <w:tcPr>
            <w:tcW w:w="8237" w:type="dxa"/>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2016</w:t>
            </w: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4.247,6</w:t>
            </w: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B04BA8">
        <w:tc>
          <w:tcPr>
            <w:tcW w:w="8237" w:type="dxa"/>
            <w:tcBorders>
              <w:left w:val="nil"/>
              <w:right w:val="nil"/>
            </w:tcBorders>
            <w:tcMar>
              <w:top w:w="15" w:type="dxa"/>
              <w:left w:w="180" w:type="dxa"/>
              <w:bottom w:w="15" w:type="dxa"/>
              <w:right w:w="15" w:type="dxa"/>
            </w:tcMar>
            <w:vAlign w:val="both"/>
            <w:hideMark/>
          </w:tcPr>
          <w:p w:rsidRPr="000435C0" w:rsidR="00790381" w:rsidP="000435C0" w:rsidRDefault="00790381">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B04BA8">
        <w:tc>
          <w:tcPr>
            <w:tcW w:w="8237" w:type="dxa"/>
            <w:tcBorders>
              <w:left w:val="nil"/>
              <w:right w:val="nil"/>
            </w:tcBorders>
            <w:tcMar>
              <w:top w:w="15" w:type="dxa"/>
              <w:left w:w="360" w:type="dxa"/>
              <w:bottom w:w="15" w:type="dxa"/>
              <w:right w:w="15" w:type="dxa"/>
            </w:tcMar>
            <w:vAlign w:val="both"/>
            <w:hideMark/>
          </w:tcPr>
          <w:p w:rsidRPr="000435C0" w:rsidR="00790381" w:rsidP="000435C0" w:rsidRDefault="00790381">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5,9</w:t>
            </w: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5,9</w:t>
            </w: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5,9</w:t>
            </w: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4.253,5</w:t>
            </w: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0,0</w:t>
            </w:r>
          </w:p>
        </w:tc>
      </w:tr>
      <w:tr w:rsidRPr="000435C0" w:rsidR="00790381" w:rsidTr="00B04BA8">
        <w:tc>
          <w:tcPr>
            <w:tcW w:w="8237"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4.253,5</w:t>
            </w:r>
          </w:p>
        </w:tc>
      </w:tr>
    </w:tbl>
    <w:p w:rsidRPr="000435C0" w:rsidR="00790381" w:rsidP="000435C0" w:rsidRDefault="00790381">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2"/>
        <w:gridCol w:w="860"/>
      </w:tblGrid>
      <w:tr w:rsidRPr="000435C0" w:rsidR="00790381" w:rsidTr="0041589F">
        <w:tc>
          <w:tcPr>
            <w:tcW w:w="9000"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XVIII WONEN &amp; RIJKSDIENST: NIET-BELASTINGONTVANGSTEN</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2016</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848,9</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left w:val="nil"/>
              <w:right w:val="nil"/>
            </w:tcBorders>
            <w:tcMar>
              <w:top w:w="15" w:type="dxa"/>
              <w:left w:w="180" w:type="dxa"/>
              <w:bottom w:w="15" w:type="dxa"/>
              <w:right w:w="15" w:type="dxa"/>
            </w:tcMar>
            <w:vAlign w:val="both"/>
            <w:hideMark/>
          </w:tcPr>
          <w:p w:rsidRPr="000435C0" w:rsidR="00790381" w:rsidP="000435C0" w:rsidRDefault="00790381">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left w:val="nil"/>
              <w:right w:val="nil"/>
            </w:tcBorders>
            <w:tcMar>
              <w:top w:w="15" w:type="dxa"/>
              <w:left w:w="360" w:type="dxa"/>
              <w:bottom w:w="15" w:type="dxa"/>
              <w:right w:w="15" w:type="dxa"/>
            </w:tcMar>
            <w:vAlign w:val="both"/>
            <w:hideMark/>
          </w:tcPr>
          <w:p w:rsidRPr="000435C0" w:rsidR="00790381" w:rsidP="000435C0" w:rsidRDefault="00790381">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10,0</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10,0</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left w:val="nil"/>
              <w:right w:val="nil"/>
            </w:tcBorders>
            <w:tcMar>
              <w:top w:w="15" w:type="dxa"/>
              <w:left w:w="180" w:type="dxa"/>
              <w:bottom w:w="15" w:type="dxa"/>
              <w:right w:w="15" w:type="dxa"/>
            </w:tcMar>
            <w:vAlign w:val="both"/>
            <w:hideMark/>
          </w:tcPr>
          <w:p w:rsidRPr="000435C0" w:rsidR="00790381" w:rsidP="000435C0" w:rsidRDefault="00790381">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left w:val="nil"/>
              <w:right w:val="nil"/>
            </w:tcBorders>
            <w:tcMar>
              <w:top w:w="15" w:type="dxa"/>
              <w:left w:w="360" w:type="dxa"/>
              <w:bottom w:w="15" w:type="dxa"/>
              <w:right w:w="15" w:type="dxa"/>
            </w:tcMar>
            <w:vAlign w:val="both"/>
            <w:hideMark/>
          </w:tcPr>
          <w:p w:rsidRPr="000435C0" w:rsidR="00790381" w:rsidP="000435C0" w:rsidRDefault="00790381">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6,1</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6,1</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16,1</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790381" w:rsidP="000435C0" w:rsidRDefault="00790381">
            <w:pPr>
              <w:spacing w:line="240" w:lineRule="exact"/>
              <w:rPr>
                <w:rFonts w:ascii="Verdana" w:hAnsi="Verdana"/>
                <w:sz w:val="18"/>
                <w:szCs w:val="18"/>
              </w:rPr>
            </w:pP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865,0</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0,0</w:t>
            </w:r>
          </w:p>
        </w:tc>
      </w:tr>
      <w:tr w:rsidRPr="000435C0" w:rsidR="00790381" w:rsidTr="0041589F">
        <w:tc>
          <w:tcPr>
            <w:tcW w:w="0" w:type="auto"/>
            <w:tcBorders>
              <w:left w:val="nil"/>
              <w:right w:val="nil"/>
            </w:tcBorders>
            <w:hideMark/>
          </w:tcPr>
          <w:p w:rsidRPr="000435C0" w:rsidR="00790381" w:rsidP="000435C0" w:rsidRDefault="00790381">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90381" w:rsidP="000435C0" w:rsidRDefault="00790381">
            <w:pPr>
              <w:spacing w:line="240" w:lineRule="exact"/>
              <w:jc w:val="right"/>
              <w:rPr>
                <w:rFonts w:ascii="Verdana" w:hAnsi="Verdana"/>
                <w:sz w:val="18"/>
                <w:szCs w:val="18"/>
              </w:rPr>
            </w:pPr>
            <w:r w:rsidRPr="000435C0">
              <w:rPr>
                <w:rFonts w:ascii="Verdana" w:hAnsi="Verdana"/>
                <w:sz w:val="18"/>
                <w:szCs w:val="18"/>
              </w:rPr>
              <w:t>865,0</w:t>
            </w:r>
          </w:p>
        </w:tc>
      </w:tr>
    </w:tbl>
    <w:p w:rsidRPr="000435C0" w:rsidR="00B04BA8" w:rsidP="000435C0" w:rsidRDefault="00B04BA8">
      <w:pPr>
        <w:spacing w:line="240" w:lineRule="exact"/>
        <w:rPr>
          <w:rFonts w:ascii="Verdana" w:hAnsi="Verdana" w:cs="Verdana"/>
          <w:b/>
          <w:bCs/>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Diversen (technische mutaties-uitgaven en ontvangsten)</w:t>
      </w:r>
    </w:p>
    <w:p w:rsidRPr="000435C0" w:rsidR="00705449" w:rsidP="00705449" w:rsidRDefault="00705449">
      <w:pPr>
        <w:spacing w:line="240" w:lineRule="exact"/>
        <w:contextualSpacing/>
        <w:rPr>
          <w:rFonts w:ascii="Verdana" w:hAnsi="Verdana"/>
          <w:sz w:val="18"/>
          <w:szCs w:val="18"/>
        </w:rPr>
      </w:pPr>
      <w:r w:rsidRPr="000435C0">
        <w:rPr>
          <w:rFonts w:ascii="Verdana" w:hAnsi="Verdana"/>
          <w:sz w:val="18"/>
          <w:szCs w:val="18"/>
        </w:rPr>
        <w:t xml:space="preserve">Bij het rijksvastgoedbeleid is de raming voor de ontvangsten uit de grondverkoop neerwaarts bijgesteld door tegenvallende verkoopcijfers. Daar tegenover staan meerontvangsten voor ingebruikgevingen en zakelijke lasten. </w:t>
      </w:r>
      <w:r>
        <w:rPr>
          <w:rFonts w:ascii="Verdana" w:hAnsi="Verdana"/>
          <w:sz w:val="18"/>
          <w:szCs w:val="18"/>
        </w:rPr>
        <w:t>De p</w:t>
      </w:r>
      <w:r w:rsidRPr="000435C0">
        <w:rPr>
          <w:rFonts w:ascii="Verdana" w:hAnsi="Verdana"/>
          <w:sz w:val="18"/>
          <w:szCs w:val="18"/>
        </w:rPr>
        <w:t xml:space="preserve">er saldo </w:t>
      </w:r>
      <w:r>
        <w:rPr>
          <w:rFonts w:ascii="Verdana" w:hAnsi="Verdana"/>
          <w:sz w:val="18"/>
          <w:szCs w:val="18"/>
        </w:rPr>
        <w:t>meerontvangsten worden ingezet binnen de begroting Wonen en Rijksdienst, onder meer voor de meeruitgaven aan zakelijke lasten.</w:t>
      </w:r>
      <w:r w:rsidRPr="000435C0" w:rsidDel="0026159C">
        <w:rPr>
          <w:rFonts w:ascii="Verdana" w:hAnsi="Verdana"/>
          <w:sz w:val="18"/>
          <w:szCs w:val="18"/>
        </w:rPr>
        <w:t xml:space="preserve"> </w:t>
      </w:r>
    </w:p>
    <w:p w:rsidRPr="000435C0" w:rsidR="00B04BA8" w:rsidP="000435C0" w:rsidRDefault="00B04BA8">
      <w:pPr>
        <w:spacing w:line="240" w:lineRule="exact"/>
        <w:contextualSpacing/>
        <w:rPr>
          <w:rFonts w:ascii="Verdana" w:hAnsi="Verdana"/>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Diversen (beleidsmatige mutaties – ontvangsten)</w:t>
      </w:r>
    </w:p>
    <w:p w:rsidRPr="000435C0" w:rsidR="00B04BA8" w:rsidP="000435C0" w:rsidRDefault="00B04BA8">
      <w:pPr>
        <w:spacing w:line="240" w:lineRule="exact"/>
        <w:contextualSpacing/>
        <w:rPr>
          <w:rFonts w:ascii="Verdana" w:hAnsi="Verdana"/>
          <w:sz w:val="18"/>
          <w:szCs w:val="18"/>
        </w:rPr>
      </w:pPr>
      <w:r w:rsidRPr="000435C0">
        <w:rPr>
          <w:rFonts w:ascii="Verdana" w:hAnsi="Verdana"/>
          <w:sz w:val="18"/>
          <w:szCs w:val="18"/>
        </w:rPr>
        <w:t xml:space="preserve">De jaarlijkse benzineveilingen die het RVB organiseert  zijn hoger uitgevallen dan waar in de begroting rekening mee was gehouden. De hogere ontvangst bedraagt </w:t>
      </w:r>
      <w:r w:rsidRPr="000435C0">
        <w:rPr>
          <w:rFonts w:ascii="Verdana" w:hAnsi="Verdana" w:cs="Verdana"/>
          <w:sz w:val="18"/>
          <w:szCs w:val="18"/>
        </w:rPr>
        <w:t>10 mln.</w:t>
      </w:r>
    </w:p>
    <w:p w:rsidRPr="000435C0" w:rsidR="00FD7153" w:rsidP="000435C0" w:rsidRDefault="00FD7153">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F91DB9"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Gemeentefonds</w:t>
      </w:r>
    </w:p>
    <w:tbl>
      <w:tblPr>
        <w:tblW w:w="9209" w:type="dxa"/>
        <w:tblCellMar>
          <w:top w:w="15" w:type="dxa"/>
          <w:left w:w="15" w:type="dxa"/>
          <w:bottom w:w="15" w:type="dxa"/>
          <w:right w:w="15" w:type="dxa"/>
        </w:tblCellMar>
        <w:tblLook w:val="04A0"/>
      </w:tblPr>
      <w:tblGrid>
        <w:gridCol w:w="8237"/>
        <w:gridCol w:w="972"/>
      </w:tblGrid>
      <w:tr w:rsidRPr="000435C0" w:rsidR="00157048" w:rsidTr="000154C8">
        <w:tc>
          <w:tcPr>
            <w:tcW w:w="8237" w:type="dxa"/>
            <w:tcBorders>
              <w:left w:val="nil"/>
              <w:right w:val="nil"/>
            </w:tcBorders>
            <w:hideMark/>
          </w:tcPr>
          <w:p w:rsidRPr="000435C0" w:rsidR="00157048" w:rsidP="000435C0" w:rsidRDefault="00157048">
            <w:pPr>
              <w:spacing w:line="240" w:lineRule="exact"/>
              <w:rPr>
                <w:rFonts w:ascii="Verdana" w:hAnsi="Verdana"/>
                <w:sz w:val="18"/>
                <w:szCs w:val="18"/>
              </w:rPr>
            </w:pPr>
          </w:p>
        </w:tc>
        <w:tc>
          <w:tcPr>
            <w:tcW w:w="972" w:type="dxa"/>
            <w:tcBorders>
              <w:left w:val="nil"/>
              <w:right w:val="nil"/>
            </w:tcBorders>
            <w:hideMark/>
          </w:tcPr>
          <w:p w:rsidRPr="000435C0" w:rsidR="00157048" w:rsidP="000435C0" w:rsidRDefault="00157048">
            <w:pPr>
              <w:spacing w:line="240" w:lineRule="exact"/>
              <w:rPr>
                <w:rFonts w:ascii="Verdana" w:hAnsi="Verdana"/>
                <w:sz w:val="18"/>
                <w:szCs w:val="18"/>
              </w:rPr>
            </w:pPr>
            <w:r w:rsidRPr="000435C0">
              <w:rPr>
                <w:rFonts w:ascii="Verdana" w:hAnsi="Verdana"/>
                <w:sz w:val="18"/>
                <w:szCs w:val="18"/>
              </w:rPr>
              <w:t> </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B GEMEENTEFONDS: UITGAVEN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28.150,2</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48,2</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48,2</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48,2</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28.198,4</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28.198,4</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B GEMEENTEFONDS: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bl>
    <w:p w:rsidRPr="000435C0" w:rsidR="00B04BA8" w:rsidP="000435C0" w:rsidRDefault="00B04BA8">
      <w:pPr>
        <w:spacing w:line="240" w:lineRule="exact"/>
        <w:rPr>
          <w:rFonts w:ascii="Verdana" w:hAnsi="Verdana" w:cs="Verdana"/>
          <w:b/>
          <w:bCs/>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Diversen (Uitgaven)</w:t>
      </w:r>
    </w:p>
    <w:p w:rsidRPr="000435C0" w:rsidR="00B04BA8" w:rsidP="000435C0" w:rsidRDefault="00B04BA8">
      <w:pPr>
        <w:spacing w:line="240" w:lineRule="exact"/>
        <w:rPr>
          <w:rFonts w:ascii="Verdana" w:hAnsi="Verdana"/>
          <w:sz w:val="18"/>
          <w:szCs w:val="18"/>
        </w:rPr>
      </w:pPr>
      <w:r w:rsidRPr="000435C0">
        <w:rPr>
          <w:rFonts w:ascii="Verdana" w:hAnsi="Verdana"/>
          <w:sz w:val="18"/>
          <w:szCs w:val="18"/>
        </w:rPr>
        <w:t xml:space="preserve">Dit betreft diverse mutaties vanuit de begrotingen van BZK, EZ, IenM, SZW, OCW en VenJ. Het gaat onder meer om de implementatie van de Europese Energie-Efficiency richtlijn (5,0 mln.), huisvesting PO-VO COA (8,0 mln.) en het scholenprogramma in Groningen (17,6 mln.). Laatstgenoemde betreft een overboeking van EZ naar het gemeentefonds ten behoeve van het aardbevings- en toekomstbestendig maken van 101 schoolgebouwen in negen gemeenten in de provincie Groningen die te kampen hebben met de gevolgen van door gaswinning geïnduceerde aardbevingen. </w:t>
      </w:r>
    </w:p>
    <w:p w:rsidRPr="000435C0" w:rsidR="00FD7153" w:rsidP="000435C0" w:rsidRDefault="00FD7153">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Provinciefonds</w:t>
      </w:r>
    </w:p>
    <w:tbl>
      <w:tblPr>
        <w:tblW w:w="9196" w:type="dxa"/>
        <w:tblCellMar>
          <w:top w:w="15" w:type="dxa"/>
          <w:left w:w="15" w:type="dxa"/>
          <w:bottom w:w="15" w:type="dxa"/>
          <w:right w:w="15" w:type="dxa"/>
        </w:tblCellMar>
        <w:tblLook w:val="04A0"/>
      </w:tblPr>
      <w:tblGrid>
        <w:gridCol w:w="8237"/>
        <w:gridCol w:w="959"/>
      </w:tblGrid>
      <w:tr w:rsidRPr="000435C0" w:rsidR="00C50E86" w:rsidTr="000154C8">
        <w:tc>
          <w:tcPr>
            <w:tcW w:w="8237" w:type="dxa"/>
            <w:tcBorders>
              <w:left w:val="nil"/>
              <w:right w:val="nil"/>
            </w:tcBorders>
            <w:hideMark/>
          </w:tcPr>
          <w:p w:rsidRPr="000435C0" w:rsidR="00C50E86" w:rsidP="000435C0" w:rsidRDefault="00C50E86">
            <w:pPr>
              <w:spacing w:line="240" w:lineRule="exact"/>
              <w:rPr>
                <w:rFonts w:ascii="Verdana" w:hAnsi="Verdana"/>
                <w:sz w:val="18"/>
                <w:szCs w:val="18"/>
              </w:rPr>
            </w:pPr>
          </w:p>
        </w:tc>
        <w:tc>
          <w:tcPr>
            <w:tcW w:w="959" w:type="dxa"/>
            <w:tcBorders>
              <w:left w:val="nil"/>
              <w:right w:val="nil"/>
            </w:tcBorders>
            <w:hideMark/>
          </w:tcPr>
          <w:p w:rsidRPr="000435C0" w:rsidR="00C50E86" w:rsidP="000435C0" w:rsidRDefault="00C50E86">
            <w:pPr>
              <w:spacing w:line="240" w:lineRule="exact"/>
              <w:rPr>
                <w:rFonts w:ascii="Verdana" w:hAnsi="Verdana"/>
                <w:sz w:val="18"/>
                <w:szCs w:val="18"/>
              </w:rPr>
            </w:pPr>
            <w:r w:rsidRPr="000435C0">
              <w:rPr>
                <w:rFonts w:ascii="Verdana" w:hAnsi="Verdana"/>
                <w:sz w:val="18"/>
                <w:szCs w:val="18"/>
              </w:rPr>
              <w:t> </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C PROVINCIEFONDS: UITGAVEN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2.411,0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Dienst landelijk gebied</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-13,1</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Green deal</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11,0</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Hydrologische maatregelen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12,8</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Mit regeling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15,0</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Ooijen-wanssum</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20,6</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Spoor investering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13,2</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23,0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82,5</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82,6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2.493,6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2.493,6</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C PROVINCIEFONDS: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bl>
    <w:p w:rsidRPr="000435C0" w:rsidR="00B04BA8" w:rsidP="000435C0" w:rsidRDefault="00B04BA8">
      <w:pPr>
        <w:spacing w:line="240" w:lineRule="exact"/>
        <w:rPr>
          <w:rFonts w:ascii="Verdana" w:hAnsi="Verdana" w:cs="Verdana"/>
          <w:b/>
          <w:bCs/>
          <w:sz w:val="18"/>
          <w:szCs w:val="18"/>
        </w:rPr>
      </w:pPr>
    </w:p>
    <w:p w:rsidR="00063214" w:rsidP="000435C0" w:rsidRDefault="00063214">
      <w:pPr>
        <w:spacing w:line="240" w:lineRule="exact"/>
        <w:contextualSpacing/>
        <w:rPr>
          <w:rFonts w:ascii="Verdana" w:hAnsi="Verdana"/>
          <w:i/>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Dienst landelijk gebied</w:t>
      </w:r>
    </w:p>
    <w:p w:rsidRPr="000435C0" w:rsidR="00B04BA8" w:rsidP="000435C0" w:rsidRDefault="00B04BA8">
      <w:pPr>
        <w:spacing w:line="240" w:lineRule="exact"/>
        <w:contextualSpacing/>
        <w:rPr>
          <w:rFonts w:ascii="Verdana" w:hAnsi="Verdana"/>
          <w:sz w:val="18"/>
          <w:szCs w:val="18"/>
        </w:rPr>
      </w:pPr>
      <w:r w:rsidRPr="000435C0">
        <w:rPr>
          <w:rFonts w:ascii="Verdana" w:hAnsi="Verdana"/>
          <w:sz w:val="18"/>
          <w:szCs w:val="18"/>
        </w:rPr>
        <w:t>Dit betreft een eenmalige uitname uit het provinciefonds voor de transitiekosten van het EZ-agentschap Dienst Landelijk Gebied (DLG). Dit volgt uit het onderhandelingsakkoord decentralisaties natuur uit 2011.</w:t>
      </w:r>
    </w:p>
    <w:p w:rsidRPr="000435C0" w:rsidR="00B04BA8" w:rsidP="000435C0" w:rsidRDefault="00B04BA8">
      <w:pPr>
        <w:spacing w:line="240" w:lineRule="exact"/>
        <w:contextualSpacing/>
        <w:rPr>
          <w:rFonts w:ascii="Verdana" w:hAnsi="Verdana"/>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Green deal</w:t>
      </w:r>
    </w:p>
    <w:p w:rsidRPr="000435C0" w:rsidR="00B04BA8" w:rsidP="000435C0" w:rsidRDefault="00B04BA8">
      <w:pPr>
        <w:spacing w:line="240" w:lineRule="exact"/>
        <w:contextualSpacing/>
        <w:rPr>
          <w:rFonts w:ascii="Verdana" w:hAnsi="Verdana"/>
          <w:sz w:val="18"/>
          <w:szCs w:val="18"/>
        </w:rPr>
      </w:pPr>
      <w:r w:rsidRPr="000435C0">
        <w:rPr>
          <w:rFonts w:ascii="Verdana" w:hAnsi="Verdana"/>
          <w:sz w:val="18"/>
          <w:szCs w:val="18"/>
        </w:rPr>
        <w:t xml:space="preserve">Dit betreft overboekingen van EZ naar het Provinciefonds in verband met Green Deal-bijdrages aan Noord-Holland (0,6 mln.), Noord-Brabant (2,6 mln.), Zeeland (1,8 mln.), Overijssel (3,0 mln.) en Limburg (3,0 mln.). </w:t>
      </w:r>
    </w:p>
    <w:p w:rsidRPr="000435C0" w:rsidR="00B04BA8" w:rsidP="000435C0" w:rsidRDefault="00B04BA8">
      <w:pPr>
        <w:spacing w:line="240" w:lineRule="exact"/>
        <w:contextualSpacing/>
        <w:rPr>
          <w:rFonts w:ascii="Verdana" w:hAnsi="Verdana"/>
          <w:i/>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Hydrologische maatregelen</w:t>
      </w:r>
    </w:p>
    <w:p w:rsidRPr="000435C0" w:rsidR="00B04BA8" w:rsidP="000435C0" w:rsidRDefault="00B04BA8">
      <w:pPr>
        <w:spacing w:line="240" w:lineRule="exact"/>
        <w:contextualSpacing/>
        <w:rPr>
          <w:rFonts w:ascii="Verdana" w:hAnsi="Verdana"/>
          <w:sz w:val="18"/>
          <w:szCs w:val="18"/>
        </w:rPr>
      </w:pPr>
      <w:r w:rsidRPr="000435C0">
        <w:rPr>
          <w:rFonts w:ascii="Verdana" w:hAnsi="Verdana"/>
          <w:sz w:val="18"/>
          <w:szCs w:val="18"/>
        </w:rPr>
        <w:t>Conform bestuurlijke afspraken uit het Begrotingsakkoord 2013 wordt geld vrijgemaakt vanuit de opbrengsten van grondverkopen ten behoeve van hydrologische maatregelen door provincies. Mede door de opbrengsten uit grondverkopen van Rijksdienst voor Ondernemend Nederland (RVO) en de beëindiging van de rekening-courantfaciliteit van het Groenfonds wordt in de Najaarsnota 12,8 mln. beschikbaar gesteld voor hydrologische maatregelen. RVO geeft middelen aan IenM zodat die geld kunnen overmaken naar het Provinciefonds.</w:t>
      </w:r>
    </w:p>
    <w:p w:rsidRPr="000435C0" w:rsidR="00B04BA8" w:rsidP="000435C0" w:rsidRDefault="00B04BA8">
      <w:pPr>
        <w:spacing w:line="240" w:lineRule="exact"/>
        <w:contextualSpacing/>
        <w:rPr>
          <w:rFonts w:ascii="Verdana" w:hAnsi="Verdana"/>
          <w:i/>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MIT regeling</w:t>
      </w:r>
    </w:p>
    <w:p w:rsidRPr="000435C0" w:rsidR="00705449" w:rsidP="00705449" w:rsidRDefault="00705449">
      <w:pPr>
        <w:spacing w:line="240" w:lineRule="exact"/>
        <w:contextualSpacing/>
        <w:rPr>
          <w:rFonts w:ascii="Verdana" w:hAnsi="Verdana"/>
          <w:sz w:val="18"/>
          <w:szCs w:val="18"/>
        </w:rPr>
      </w:pPr>
      <w:r w:rsidRPr="000435C0">
        <w:rPr>
          <w:rFonts w:ascii="Verdana" w:hAnsi="Verdana"/>
          <w:sz w:val="18"/>
          <w:szCs w:val="18"/>
        </w:rPr>
        <w:t>Dit betreft een overboeking van EZ naar het Provinciefonds ten behoeve van de regeling MKB Innovatiestimulering Topsectoren (MIT)</w:t>
      </w:r>
      <w:r w:rsidRPr="00650CBE">
        <w:rPr>
          <w:rFonts w:ascii="Verdana" w:hAnsi="Verdana"/>
          <w:sz w:val="18"/>
          <w:szCs w:val="18"/>
        </w:rPr>
        <w:t xml:space="preserve"> </w:t>
      </w:r>
      <w:r>
        <w:rPr>
          <w:rFonts w:ascii="Verdana" w:hAnsi="Verdana"/>
          <w:sz w:val="18"/>
          <w:szCs w:val="18"/>
        </w:rPr>
        <w:t>vanwege (deels) decentrale uitvoering door de provincies</w:t>
      </w:r>
      <w:r w:rsidRPr="000435C0">
        <w:rPr>
          <w:rFonts w:ascii="Verdana" w:hAnsi="Verdana"/>
          <w:sz w:val="18"/>
          <w:szCs w:val="18"/>
        </w:rPr>
        <w:t xml:space="preserve">. </w:t>
      </w:r>
    </w:p>
    <w:p w:rsidR="00B04BA8" w:rsidP="000435C0" w:rsidRDefault="00B04BA8">
      <w:pPr>
        <w:spacing w:line="240" w:lineRule="exact"/>
        <w:contextualSpacing/>
        <w:rPr>
          <w:rFonts w:ascii="Verdana" w:hAnsi="Verdana"/>
          <w:i/>
          <w:sz w:val="18"/>
          <w:szCs w:val="18"/>
        </w:rPr>
      </w:pPr>
    </w:p>
    <w:p w:rsidRPr="000435C0" w:rsidR="00063214" w:rsidP="000435C0" w:rsidRDefault="00063214">
      <w:pPr>
        <w:spacing w:line="240" w:lineRule="exact"/>
        <w:contextualSpacing/>
        <w:rPr>
          <w:rFonts w:ascii="Verdana" w:hAnsi="Verdana"/>
          <w:i/>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Ooijen-wanssum</w:t>
      </w:r>
    </w:p>
    <w:p w:rsidRPr="000435C0" w:rsidR="00B04BA8" w:rsidP="000435C0" w:rsidRDefault="00B04BA8">
      <w:pPr>
        <w:spacing w:line="240" w:lineRule="exact"/>
        <w:contextualSpacing/>
        <w:rPr>
          <w:rFonts w:ascii="Verdana" w:hAnsi="Verdana"/>
          <w:sz w:val="18"/>
          <w:szCs w:val="18"/>
        </w:rPr>
      </w:pPr>
      <w:r w:rsidRPr="000435C0">
        <w:rPr>
          <w:rFonts w:ascii="Verdana" w:hAnsi="Verdana"/>
          <w:sz w:val="18"/>
          <w:szCs w:val="18"/>
        </w:rPr>
        <w:t>Dit betreft een bijdrage van IenM aan de voorbereiding- en uitvoeringskosten aan het project Ooijen-Wanssum. Deze bijdrage is bedoeld om maatregelen van de waterveiligheidsdoelstelling te realiseren.</w:t>
      </w:r>
    </w:p>
    <w:p w:rsidRPr="000435C0" w:rsidR="00B04BA8" w:rsidP="000435C0" w:rsidRDefault="00B04BA8">
      <w:pPr>
        <w:spacing w:line="240" w:lineRule="exact"/>
        <w:contextualSpacing/>
        <w:rPr>
          <w:rFonts w:ascii="Verdana" w:hAnsi="Verdana"/>
          <w:i/>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Spoor investering</w:t>
      </w:r>
    </w:p>
    <w:p w:rsidRPr="000435C0" w:rsidR="00B04BA8" w:rsidP="000435C0" w:rsidRDefault="00B04BA8">
      <w:pPr>
        <w:spacing w:line="240" w:lineRule="exact"/>
        <w:contextualSpacing/>
        <w:rPr>
          <w:rFonts w:ascii="Verdana" w:hAnsi="Verdana"/>
          <w:sz w:val="18"/>
          <w:szCs w:val="18"/>
        </w:rPr>
      </w:pPr>
      <w:r w:rsidRPr="000435C0">
        <w:rPr>
          <w:rFonts w:ascii="Verdana" w:hAnsi="Verdana"/>
          <w:sz w:val="18"/>
          <w:szCs w:val="18"/>
        </w:rPr>
        <w:t xml:space="preserve">Dit betreft twee overboekingen van IenM aan het Provinciefonds ten behoeve van investeringen in het spoor. In het kader van Openbaar Vervoer Schiphol–Amsterdam-Almere-Lelystad (OV SAAL) is 9,1 mln. gereserveerd voor een bijdrage aan hoogfrequent spoorvervoer in de regio. </w:t>
      </w:r>
      <w:r w:rsidRPr="008A1186" w:rsidR="008A1186">
        <w:rPr>
          <w:rFonts w:ascii="Verdana" w:hAnsi="Verdana"/>
          <w:sz w:val="18"/>
          <w:szCs w:val="18"/>
        </w:rPr>
        <w:t>Er wordt 4,1 mln. overgeboekt aan de provincie Utrecht ten behoeve van spoorkruising bij Amersfoort</w:t>
      </w:r>
      <w:r w:rsidRPr="000435C0">
        <w:rPr>
          <w:rFonts w:ascii="Verdana" w:hAnsi="Verdana"/>
          <w:sz w:val="18"/>
          <w:szCs w:val="18"/>
        </w:rPr>
        <w:t xml:space="preserve">. </w:t>
      </w:r>
    </w:p>
    <w:p w:rsidRPr="000435C0" w:rsidR="00B04BA8" w:rsidP="000435C0" w:rsidRDefault="00B04BA8">
      <w:pPr>
        <w:spacing w:line="240" w:lineRule="exact"/>
        <w:contextualSpacing/>
        <w:rPr>
          <w:rFonts w:ascii="Verdana" w:hAnsi="Verdana"/>
          <w:i/>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Diversen (Uitgaven)</w:t>
      </w:r>
    </w:p>
    <w:p w:rsidRPr="000435C0" w:rsidR="002E65E1" w:rsidP="000435C0" w:rsidRDefault="00B04BA8">
      <w:pPr>
        <w:spacing w:line="240" w:lineRule="exact"/>
        <w:rPr>
          <w:rFonts w:ascii="Verdana" w:hAnsi="Verdana" w:cs="Verdana"/>
          <w:b/>
          <w:bCs/>
          <w:sz w:val="18"/>
          <w:szCs w:val="18"/>
        </w:rPr>
      </w:pPr>
      <w:r w:rsidRPr="000435C0">
        <w:rPr>
          <w:rFonts w:ascii="Verdana" w:hAnsi="Verdana"/>
          <w:sz w:val="18"/>
          <w:szCs w:val="18"/>
        </w:rPr>
        <w:t xml:space="preserve">Dit betreft diverse mutaties voor verschillende provincies vanuit de ministeries van EZ en IenM. De onderwerpen met de grootste bedragen zijn de bodemsanering van het Olasfa terrein te Olst (6,9 mln.), transitiekosten naar collectiviteit bij kleine natuurbeheerders (4,8 mln.) en het programma Beter Benutten inzake een multimodale haven voor Flevoland (3,7 mln.). </w:t>
      </w:r>
      <w:r w:rsidRPr="000435C0" w:rsidR="002E65E1">
        <w:rPr>
          <w:rFonts w:ascii="Verdana" w:hAnsi="Verdana" w:cs="Verdana"/>
          <w:b/>
          <w:bCs/>
          <w:sz w:val="18"/>
          <w:szCs w:val="18"/>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Infrastructuurfonds</w:t>
      </w:r>
    </w:p>
    <w:p w:rsidRPr="000435C0" w:rsidR="00FD0672" w:rsidP="000435C0" w:rsidRDefault="00FD0672">
      <w:pPr>
        <w:spacing w:line="240" w:lineRule="exact"/>
        <w:rPr>
          <w:rFonts w:ascii="Verdana" w:hAnsi="Verdana" w:cs="Verdana"/>
          <w:sz w:val="18"/>
          <w:szCs w:val="18"/>
        </w:rPr>
      </w:pPr>
    </w:p>
    <w:tbl>
      <w:tblPr>
        <w:tblW w:w="0" w:type="auto"/>
        <w:tblCellMar>
          <w:top w:w="15" w:type="dxa"/>
          <w:left w:w="15" w:type="dxa"/>
          <w:bottom w:w="15" w:type="dxa"/>
          <w:right w:w="15" w:type="dxa"/>
        </w:tblCellMar>
        <w:tblLook w:val="04A0"/>
      </w:tblPr>
      <w:tblGrid>
        <w:gridCol w:w="8237"/>
        <w:gridCol w:w="734"/>
      </w:tblGrid>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A INFRASTRUCTUURFONDS: UITGAVEN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5.787,1</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Saldo 2016 hoofdvaarwegennet</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-121,9</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Saldo 2016 hoofdwegennet</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-170,2</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Saldo 2016 megaprojecten verkeer en vervoer</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-51,7</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Saldo 2016 overige uitgaven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39,8</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Saldo 2016 spoorwegen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-191,3</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-2,3</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-497,6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-36,9</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-36,9</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-534,6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5.252,6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5.252,6</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22"/>
        <w:gridCol w:w="880"/>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A INFRASTRUCTUURFONDS: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5.787,1</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Saldo 2016 hoofdwegennet</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25,0</w:t>
            </w:r>
          </w:p>
        </w:tc>
      </w:tr>
      <w:tr w:rsidRPr="000435C0" w:rsidR="00FD0672" w:rsidTr="0041589F">
        <w:tc>
          <w:tcPr>
            <w:tcW w:w="0" w:type="auto"/>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-22,8</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2,2</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-36,9</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-36,9</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-34,7</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5.752,4</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5.752,4</w:t>
            </w:r>
          </w:p>
        </w:tc>
      </w:tr>
    </w:tbl>
    <w:p w:rsidRPr="000435C0" w:rsidR="00DD0420" w:rsidP="000435C0" w:rsidRDefault="00DD0420">
      <w:pPr>
        <w:spacing w:line="240" w:lineRule="exact"/>
        <w:rPr>
          <w:rFonts w:ascii="Verdana" w:hAnsi="Verdana"/>
          <w:sz w:val="18"/>
          <w:szCs w:val="18"/>
        </w:rPr>
      </w:pPr>
      <w:r w:rsidRPr="000435C0">
        <w:rPr>
          <w:rFonts w:ascii="Verdana" w:hAnsi="Verdana" w:cs="Verdana"/>
          <w:sz w:val="18"/>
          <w:szCs w:val="18"/>
        </w:rPr>
        <w:t xml:space="preserve"> </w:t>
      </w:r>
    </w:p>
    <w:p w:rsidR="00063214" w:rsidP="000435C0" w:rsidRDefault="00063214">
      <w:pPr>
        <w:spacing w:line="240" w:lineRule="exact"/>
        <w:rPr>
          <w:rFonts w:ascii="Verdana" w:hAnsi="Verdana"/>
          <w:i/>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Saldo 2016 Hoofdvaarwegennet</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Er is 121,9 mln. aan onderuitputting op het artikel hoofdvaarwegennet. Dit bedrag bestaat uit drie componenten:</w:t>
      </w:r>
    </w:p>
    <w:p w:rsidRPr="00347569" w:rsidR="00347569" w:rsidP="00347569" w:rsidRDefault="00347569">
      <w:pPr>
        <w:pStyle w:val="Lijstalinea"/>
        <w:numPr>
          <w:ilvl w:val="0"/>
          <w:numId w:val="35"/>
        </w:numPr>
        <w:spacing w:line="240" w:lineRule="exact"/>
        <w:contextualSpacing/>
        <w:rPr>
          <w:rFonts w:ascii="Verdana" w:hAnsi="Verdana"/>
          <w:sz w:val="18"/>
          <w:szCs w:val="18"/>
        </w:rPr>
      </w:pPr>
      <w:r w:rsidRPr="00347569">
        <w:rPr>
          <w:rFonts w:ascii="Verdana" w:hAnsi="Verdana"/>
          <w:sz w:val="18"/>
          <w:szCs w:val="18"/>
        </w:rPr>
        <w:t xml:space="preserve">Op het BOV budget is 18,7 mln. minder uitgegeven dan begroot doordat het groot onderhoud van stuwen binnen het project RINK Limburg is getemporiseerd ten gunste van andere prioritaire projecten. Daarnaast is sprake van vertraging bij de realisatie van de maatregelen van twee bruggen binnen de Modernisering Objecten Bediening Zeeland (MOBZ). </w:t>
      </w:r>
    </w:p>
    <w:p w:rsidRPr="00347569" w:rsidR="00347569" w:rsidP="00347569" w:rsidRDefault="00347569">
      <w:pPr>
        <w:pStyle w:val="Lijstalinea"/>
        <w:numPr>
          <w:ilvl w:val="0"/>
          <w:numId w:val="35"/>
        </w:numPr>
        <w:spacing w:line="240" w:lineRule="exact"/>
        <w:contextualSpacing/>
        <w:rPr>
          <w:rFonts w:ascii="Verdana" w:hAnsi="Verdana"/>
          <w:sz w:val="18"/>
          <w:szCs w:val="18"/>
        </w:rPr>
      </w:pPr>
      <w:r w:rsidRPr="00347569">
        <w:rPr>
          <w:rFonts w:ascii="Verdana" w:hAnsi="Verdana"/>
          <w:sz w:val="18"/>
          <w:szCs w:val="18"/>
        </w:rPr>
        <w:t>Op het aanlegbudget is in totaal 83,8 mln. onderuitputting. Hiervan wordt 12 mln. verklaard door onderprogrammering. De overige 72 mln. wordt voornamelijk veroorzaakt door het project Nieuwe Sluis Terneuzen. Bij dit project is meer tijd nodig voor het bereiken van overeenstemming over grondverwerving en zijn verschuivingen in de kasplanning geweest.</w:t>
      </w:r>
    </w:p>
    <w:p w:rsidRPr="00347569" w:rsidR="00347569" w:rsidP="00347569" w:rsidRDefault="00347569">
      <w:pPr>
        <w:pStyle w:val="Lijstalinea"/>
        <w:numPr>
          <w:ilvl w:val="0"/>
          <w:numId w:val="35"/>
        </w:numPr>
        <w:spacing w:line="240" w:lineRule="exact"/>
        <w:contextualSpacing/>
        <w:rPr>
          <w:rFonts w:ascii="Verdana" w:hAnsi="Verdana"/>
          <w:sz w:val="18"/>
          <w:szCs w:val="18"/>
        </w:rPr>
      </w:pPr>
      <w:r w:rsidRPr="00347569">
        <w:rPr>
          <w:rFonts w:ascii="Verdana" w:hAnsi="Verdana"/>
          <w:sz w:val="18"/>
          <w:szCs w:val="18"/>
        </w:rPr>
        <w:t>Op het artikel geïntegreerde contractvormen is sprake van 19,4 mln. onderuitputting als gevolg van een aangepast kasritme van het DBFM contract van het project Zeetoegang IJmond. Daarnaast loopt bij het project Derde Kolk Beatrixsluis de verrekening met betrekking tot een tweetal posten (conditionering en gronden) vertraging op.</w:t>
      </w:r>
    </w:p>
    <w:p w:rsidRPr="00347569" w:rsidR="00347569" w:rsidP="00347569" w:rsidRDefault="00347569">
      <w:pPr>
        <w:spacing w:line="240" w:lineRule="exact"/>
        <w:rPr>
          <w:rFonts w:ascii="Verdana" w:hAnsi="Verdana"/>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Saldo 2016 hoofdwegennet - uitgaven</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Per saldo is op het artikel hoofdwegen een onderuitputting van 170,2 mln. Dit bedrag bestaat uit drie componenten.</w:t>
      </w:r>
    </w:p>
    <w:p w:rsidRPr="00347569" w:rsidR="00347569" w:rsidP="00347569" w:rsidRDefault="00347569">
      <w:pPr>
        <w:pStyle w:val="Lijstalinea"/>
        <w:numPr>
          <w:ilvl w:val="0"/>
          <w:numId w:val="36"/>
        </w:numPr>
        <w:spacing w:line="240" w:lineRule="exact"/>
        <w:contextualSpacing/>
        <w:rPr>
          <w:rFonts w:ascii="Verdana" w:hAnsi="Verdana"/>
          <w:sz w:val="18"/>
          <w:szCs w:val="18"/>
        </w:rPr>
      </w:pPr>
      <w:r w:rsidRPr="00347569">
        <w:rPr>
          <w:rFonts w:ascii="Verdana" w:hAnsi="Verdana"/>
          <w:sz w:val="18"/>
          <w:szCs w:val="18"/>
        </w:rPr>
        <w:t xml:space="preserve">Er is een overschrijding van 10,4 mln. op het BOV budget onder andere omdat er sprake is van meer geconstateerde rijdekschades dan gecontracteerd bij de brug Ewijk en de Gallecopperbrug. </w:t>
      </w:r>
    </w:p>
    <w:p w:rsidRPr="00347569" w:rsidR="00347569" w:rsidP="00347569" w:rsidRDefault="00347569">
      <w:pPr>
        <w:pStyle w:val="Lijstalinea"/>
        <w:numPr>
          <w:ilvl w:val="0"/>
          <w:numId w:val="36"/>
        </w:numPr>
        <w:spacing w:line="240" w:lineRule="exact"/>
        <w:contextualSpacing/>
        <w:rPr>
          <w:rFonts w:ascii="Verdana" w:hAnsi="Verdana"/>
          <w:sz w:val="18"/>
          <w:szCs w:val="18"/>
        </w:rPr>
      </w:pPr>
      <w:r w:rsidRPr="00347569">
        <w:rPr>
          <w:rFonts w:ascii="Verdana" w:hAnsi="Verdana"/>
          <w:sz w:val="18"/>
          <w:szCs w:val="18"/>
        </w:rPr>
        <w:t>Er is 156,6 mln. minder uitgegeven aan aanleg dan was voorzien. De DBFM-conversie van de N18 Varsseveld-Enschede is voor 2017 in plaats van 2016 voorzien. Daarnaast is er voor 113,8 mln. sprake van onderprogrammering.</w:t>
      </w:r>
    </w:p>
    <w:p w:rsidRPr="00347569" w:rsidR="00347569" w:rsidP="00347569" w:rsidRDefault="00347569">
      <w:pPr>
        <w:pStyle w:val="Lijstalinea"/>
        <w:numPr>
          <w:ilvl w:val="0"/>
          <w:numId w:val="36"/>
        </w:numPr>
        <w:spacing w:line="240" w:lineRule="exact"/>
        <w:contextualSpacing/>
        <w:rPr>
          <w:rFonts w:ascii="Verdana" w:hAnsi="Verdana"/>
          <w:sz w:val="18"/>
          <w:szCs w:val="18"/>
        </w:rPr>
      </w:pPr>
      <w:r w:rsidRPr="00347569">
        <w:rPr>
          <w:rFonts w:ascii="Verdana" w:hAnsi="Verdana"/>
          <w:sz w:val="18"/>
          <w:szCs w:val="18"/>
        </w:rPr>
        <w:t xml:space="preserve">Op het artikel geïntegreerde contractvormen is sprake van 24,1 mln. onderuitputting. Dit wordt allereerst veroorzaakt doordat de uitgaven die voor het project Schiphol-Amsterdam-Almere deeltraject A1/A6 waren voorzien, niet volledig dit jaar tot betaling zullen komen. Bij het deeltraject A9 is in 2016 minder budget nodig als gevolg van het opschuiven watercompensatie Bijlmerweide en het later afrekenen van het verleggen van kabels en leidingen. Daarnaast zijn voor de Wijkertunnel nieuwe tarieven vastgesteld waardoor de uitgaven voor de laatste 10 jaar lager uitvallen. </w:t>
      </w:r>
    </w:p>
    <w:p w:rsidRPr="00347569" w:rsidR="00347569" w:rsidP="00347569" w:rsidRDefault="00347569">
      <w:pPr>
        <w:spacing w:line="240" w:lineRule="exact"/>
        <w:rPr>
          <w:rFonts w:ascii="Verdana" w:hAnsi="Verdana"/>
          <w:i/>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Saldo 2016 megaprojecten verkeer en vervoer</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Per saldo is op het artikel megaprojecten verkeer en vervoer een onderuitputting van 51,7 mln. Dit bedrag bestaat uit vijf componenten.</w:t>
      </w:r>
    </w:p>
    <w:p w:rsidRPr="00347569" w:rsidR="00347569" w:rsidP="00347569" w:rsidRDefault="00347569">
      <w:pPr>
        <w:pStyle w:val="Lijstalinea"/>
        <w:numPr>
          <w:ilvl w:val="0"/>
          <w:numId w:val="37"/>
        </w:numPr>
        <w:spacing w:line="240" w:lineRule="exact"/>
        <w:contextualSpacing/>
        <w:rPr>
          <w:rFonts w:ascii="Verdana" w:hAnsi="Verdana"/>
          <w:sz w:val="18"/>
          <w:szCs w:val="18"/>
        </w:rPr>
      </w:pPr>
      <w:r w:rsidRPr="00347569">
        <w:rPr>
          <w:rFonts w:ascii="Verdana" w:hAnsi="Verdana"/>
          <w:sz w:val="18"/>
          <w:szCs w:val="18"/>
        </w:rPr>
        <w:t xml:space="preserve">Er wordt 21,8 mln. minder uitgegeven in 2016 voor het project ZuidasDok omdat de betaling voor de aankoop van de autoparkeergarage in 2017 zal plaatsvinden.  </w:t>
      </w:r>
    </w:p>
    <w:p w:rsidRPr="00347569" w:rsidR="00347569" w:rsidP="00347569" w:rsidRDefault="00347569">
      <w:pPr>
        <w:pStyle w:val="Lijstalinea"/>
        <w:numPr>
          <w:ilvl w:val="0"/>
          <w:numId w:val="37"/>
        </w:numPr>
        <w:spacing w:line="240" w:lineRule="exact"/>
        <w:contextualSpacing/>
        <w:rPr>
          <w:rFonts w:ascii="Verdana" w:hAnsi="Verdana"/>
          <w:sz w:val="18"/>
          <w:szCs w:val="18"/>
        </w:rPr>
      </w:pPr>
      <w:r w:rsidRPr="00347569">
        <w:rPr>
          <w:rFonts w:ascii="Verdana" w:hAnsi="Verdana"/>
          <w:sz w:val="18"/>
          <w:szCs w:val="18"/>
        </w:rPr>
        <w:t xml:space="preserve">Er wordt 18,5 mln. minder uitgegeven in 2016 aan ERTMS omdat de </w:t>
      </w:r>
      <w:r w:rsidRPr="00347569">
        <w:rPr>
          <w:rFonts w:ascii="Verdana" w:hAnsi="Verdana"/>
          <w:i/>
          <w:sz w:val="18"/>
          <w:szCs w:val="18"/>
        </w:rPr>
        <w:t>w</w:t>
      </w:r>
      <w:r w:rsidRPr="00347569">
        <w:rPr>
          <w:rFonts w:ascii="Verdana" w:hAnsi="Verdana"/>
          <w:sz w:val="18"/>
          <w:szCs w:val="18"/>
        </w:rPr>
        <w:t xml:space="preserve">erkzaamheden later van start zijn gegaan. </w:t>
      </w:r>
    </w:p>
    <w:p w:rsidRPr="00347569" w:rsidR="00347569" w:rsidP="00347569" w:rsidRDefault="00347569">
      <w:pPr>
        <w:pStyle w:val="Lijstalinea"/>
        <w:numPr>
          <w:ilvl w:val="0"/>
          <w:numId w:val="37"/>
        </w:numPr>
        <w:spacing w:line="240" w:lineRule="exact"/>
        <w:contextualSpacing/>
        <w:rPr>
          <w:rFonts w:ascii="Verdana" w:hAnsi="Verdana"/>
          <w:sz w:val="18"/>
          <w:szCs w:val="18"/>
        </w:rPr>
      </w:pPr>
      <w:r w:rsidRPr="00347569">
        <w:rPr>
          <w:rFonts w:ascii="Verdana" w:hAnsi="Verdana"/>
          <w:sz w:val="18"/>
          <w:szCs w:val="18"/>
        </w:rPr>
        <w:t>De uitgaven voor de Betuweroute in het kader van brandveiligheid vallen 4,5 mln. lager uit in 2016 omdat de uitvoering van de plasbrandverkleinende maatregelen minder snel verloopt dan verwacht.</w:t>
      </w:r>
    </w:p>
    <w:p w:rsidRPr="00347569" w:rsidR="00347569" w:rsidP="00347569" w:rsidRDefault="00347569">
      <w:pPr>
        <w:pStyle w:val="Lijstalinea"/>
        <w:numPr>
          <w:ilvl w:val="0"/>
          <w:numId w:val="37"/>
        </w:numPr>
        <w:spacing w:line="240" w:lineRule="exact"/>
        <w:contextualSpacing/>
        <w:rPr>
          <w:rFonts w:ascii="Verdana" w:hAnsi="Verdana"/>
          <w:sz w:val="18"/>
          <w:szCs w:val="18"/>
        </w:rPr>
      </w:pPr>
      <w:r w:rsidRPr="00347569">
        <w:rPr>
          <w:rFonts w:ascii="Verdana" w:hAnsi="Verdana"/>
          <w:sz w:val="18"/>
          <w:szCs w:val="18"/>
        </w:rPr>
        <w:t xml:space="preserve">De planuitwerkingfase voor de geluidsmaatregelen HSL-Zuid en de onderzoeken naar zettingsproblematiek zijn nog niet afgerond. Hierdoor vertragen de maatregelen om de geluidshinder en de zettingsproblematiek te mitigeren, dit zorgt voor 5 mln. onderuitputting. </w:t>
      </w:r>
    </w:p>
    <w:p w:rsidRPr="00347569" w:rsidR="00347569" w:rsidP="00347569" w:rsidRDefault="00347569">
      <w:pPr>
        <w:pStyle w:val="Lijstalinea"/>
        <w:numPr>
          <w:ilvl w:val="0"/>
          <w:numId w:val="37"/>
        </w:numPr>
        <w:spacing w:line="240" w:lineRule="exact"/>
        <w:contextualSpacing/>
        <w:rPr>
          <w:rFonts w:ascii="Verdana" w:hAnsi="Verdana"/>
          <w:sz w:val="18"/>
          <w:szCs w:val="18"/>
        </w:rPr>
      </w:pPr>
      <w:r w:rsidRPr="00347569">
        <w:rPr>
          <w:rFonts w:ascii="Verdana" w:hAnsi="Verdana"/>
          <w:sz w:val="18"/>
          <w:szCs w:val="18"/>
        </w:rPr>
        <w:t xml:space="preserve">Tot slot wordt voor het project Mainportontwikkeling Rotterdam een overschot verwacht van 2,0 mln. omdat de uitgaven bij de projectorganisatie en natuurcompensatie lager uitvallen en er zich geen onvoorziene uitgaven hebben voorgedaan. </w:t>
      </w:r>
    </w:p>
    <w:p w:rsidRPr="00347569" w:rsidR="00347569" w:rsidP="00347569" w:rsidRDefault="00347569">
      <w:pPr>
        <w:spacing w:line="240" w:lineRule="exact"/>
        <w:rPr>
          <w:rFonts w:ascii="Verdana" w:hAnsi="Verdana"/>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Saldo 2016 overige uitgaven</w:t>
      </w:r>
    </w:p>
    <w:p w:rsidRPr="00347569" w:rsidR="00347569" w:rsidP="00347569" w:rsidRDefault="00347569">
      <w:pPr>
        <w:pStyle w:val="Geenafstand"/>
        <w:spacing w:line="240" w:lineRule="exact"/>
        <w:rPr>
          <w:rFonts w:ascii="Verdana" w:hAnsi="Verdana"/>
          <w:sz w:val="18"/>
          <w:szCs w:val="18"/>
        </w:rPr>
      </w:pPr>
      <w:r w:rsidRPr="00347569">
        <w:rPr>
          <w:rFonts w:ascii="Verdana" w:hAnsi="Verdana"/>
          <w:sz w:val="18"/>
          <w:szCs w:val="18"/>
        </w:rPr>
        <w:t>Op dit artikel is sprake van een nadelig saldo van 39,8 mln., dat bijna volledig wordt veroorzaakt door het inpassen van de minregel van 40,0 mln. Deze minregel is het gevolg van de in de begroting 2016 verwerkte kasschuif van 2016 naar 2017 van 40,0 mln. ten behoeve van het rijksbrede financiële beeld. De meerjarige programmering is hierop toen niet aangepast, met een minregel in 2016 als gevolg. Het nadelig saldo wordt in 2017 op dit artikel in mindering gebracht, zodat de omvang van de budgetten meerjarig ongewijzigd blijft.</w:t>
      </w:r>
    </w:p>
    <w:p w:rsidRPr="00347569" w:rsidR="00347569" w:rsidP="00347569" w:rsidRDefault="00347569">
      <w:pPr>
        <w:spacing w:line="240" w:lineRule="exact"/>
        <w:rPr>
          <w:rFonts w:ascii="Verdana" w:hAnsi="Verdana"/>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Saldo 2016 spoorwegen</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Per saldo is op het artikel spoorwegen een onderuitputting van 191,3 mln. Dit bedrag bestaat uit vier componenten.</w:t>
      </w:r>
    </w:p>
    <w:p w:rsidRPr="00347569" w:rsidR="00347569" w:rsidP="00347569" w:rsidRDefault="00347569">
      <w:pPr>
        <w:pStyle w:val="Lijstalinea"/>
        <w:numPr>
          <w:ilvl w:val="0"/>
          <w:numId w:val="34"/>
        </w:numPr>
        <w:spacing w:line="240" w:lineRule="exact"/>
        <w:contextualSpacing/>
        <w:rPr>
          <w:rFonts w:ascii="Verdana" w:hAnsi="Verdana"/>
          <w:sz w:val="18"/>
          <w:szCs w:val="18"/>
        </w:rPr>
      </w:pPr>
      <w:r w:rsidRPr="00347569">
        <w:rPr>
          <w:rFonts w:ascii="Verdana" w:hAnsi="Verdana"/>
          <w:sz w:val="18"/>
          <w:szCs w:val="18"/>
        </w:rPr>
        <w:t>Op het BOV budget is sprake van een overschrijding van 1,3 mln. doordat ProRail een hogere gebruikersvergoeding krijgt. ProRail wordt gecompenseerd voor het btw-aandeel van deze gebruikersvergoeding.</w:t>
      </w:r>
    </w:p>
    <w:p w:rsidRPr="00347569" w:rsidR="00347569" w:rsidP="00347569" w:rsidRDefault="00347569">
      <w:pPr>
        <w:pStyle w:val="Lijstalinea"/>
        <w:numPr>
          <w:ilvl w:val="0"/>
          <w:numId w:val="34"/>
        </w:numPr>
        <w:spacing w:line="240" w:lineRule="exact"/>
        <w:contextualSpacing/>
        <w:rPr>
          <w:rFonts w:ascii="Verdana" w:hAnsi="Verdana"/>
          <w:sz w:val="18"/>
          <w:szCs w:val="18"/>
        </w:rPr>
      </w:pPr>
      <w:r w:rsidRPr="00347569">
        <w:rPr>
          <w:rFonts w:ascii="Verdana" w:hAnsi="Verdana"/>
          <w:sz w:val="18"/>
          <w:szCs w:val="18"/>
        </w:rPr>
        <w:t xml:space="preserve">Op aanleg is er voor 170,0 mln. minder uitgegeven dan geraamd. Dit wordt voor 26,5 mln. verklaard uit bestaande onderprogrammering. Daarnaast zijn er lagere uitgaven bij diverse projecten waaronder het project Vleuten-Geldermalsen (20,9 mln.), PHS (20,7 mln.) en Beter Benutten Decentraal Spoor (13,3 mln.). </w:t>
      </w:r>
    </w:p>
    <w:p w:rsidRPr="00347569" w:rsidR="00347569" w:rsidP="00347569" w:rsidRDefault="00347569">
      <w:pPr>
        <w:pStyle w:val="Lijstalinea"/>
        <w:numPr>
          <w:ilvl w:val="0"/>
          <w:numId w:val="34"/>
        </w:numPr>
        <w:spacing w:line="240" w:lineRule="exact"/>
        <w:contextualSpacing/>
        <w:rPr>
          <w:rFonts w:ascii="Verdana" w:hAnsi="Verdana"/>
          <w:sz w:val="18"/>
          <w:szCs w:val="18"/>
        </w:rPr>
      </w:pPr>
      <w:r w:rsidRPr="00347569">
        <w:rPr>
          <w:rFonts w:ascii="Verdana" w:hAnsi="Verdana"/>
          <w:sz w:val="18"/>
          <w:szCs w:val="18"/>
        </w:rPr>
        <w:t xml:space="preserve">Op de geïntegreerde contractvormen zijn er lagere uitgaven vanwege lagere betalingen aan Infraspeed. Infraspeed heeft voor de aanleg van de HSL-Zuid een lening afgesloten waarvan IenM het renterisico draagt. Als gevolg van de lage rentestand vallen de beschikbaarheidvergoedingen aan Infraspeed lager uit. </w:t>
      </w:r>
    </w:p>
    <w:p w:rsidRPr="00347569" w:rsidR="00347569" w:rsidP="00347569" w:rsidRDefault="00347569">
      <w:pPr>
        <w:pStyle w:val="Lijstalinea"/>
        <w:numPr>
          <w:ilvl w:val="0"/>
          <w:numId w:val="34"/>
        </w:numPr>
        <w:spacing w:line="240" w:lineRule="exact"/>
        <w:contextualSpacing/>
        <w:rPr>
          <w:rFonts w:ascii="Verdana" w:hAnsi="Verdana"/>
          <w:sz w:val="18"/>
          <w:szCs w:val="18"/>
        </w:rPr>
      </w:pPr>
      <w:r w:rsidRPr="00347569">
        <w:rPr>
          <w:rFonts w:ascii="Verdana" w:hAnsi="Verdana"/>
          <w:sz w:val="18"/>
          <w:szCs w:val="18"/>
        </w:rPr>
        <w:t xml:space="preserve">Er is 13,3 mln. onderuitputting op de investeringruimte. Dit komt omdat deze middelen niet zijn ingezet voor dekking van specifieke projecten. </w:t>
      </w:r>
    </w:p>
    <w:p w:rsidRPr="00347569" w:rsidR="00347569" w:rsidP="00347569" w:rsidRDefault="00347569">
      <w:pPr>
        <w:spacing w:line="240" w:lineRule="exact"/>
        <w:rPr>
          <w:rFonts w:ascii="Verdana" w:hAnsi="Verdana"/>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Diversen – beleidsmatige mutaties uitgaven</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Dit betreft het saldo 2016 van het artikel regionaal en lokale infrastructuur. Er is sprake van onderuitputting van 8,8 mln. bij drie RSP-projecten als gevolg van vertraging. Daar tegenover staat een overschrijding van 6,5 mln. doordat het project A12/A20 Parallelstructuur Gouwe voorspoediger verloopt dan verwacht waardoor een mijlpaalbetaling in 2016 wordt gerealiseerd in plaats van 2017.</w:t>
      </w:r>
    </w:p>
    <w:p w:rsidRPr="00347569" w:rsidR="00347569" w:rsidP="00347569" w:rsidRDefault="00347569">
      <w:pPr>
        <w:spacing w:line="240" w:lineRule="exact"/>
        <w:rPr>
          <w:rFonts w:ascii="Verdana" w:hAnsi="Verdana"/>
          <w:i/>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Diversen - technische mutaties uitgaven</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Op het infrastructuurfonds vinden diverse desalderingen plaats waarmee met name bijdragen aan gemeenten en provincies via Hoofdstuk XII worden overgeheveld. Het gaat hierbij onder andere om het programma OV-SAAL middellange termijn (11,3 mln.), Beter Benutten (7,0 mln.), het project A12/A20 Parallelstructuur Gouwe (6,6 mln.), Vleuten-Geldermalsen (5,0 mln.) en de A58 aansluiting Goes (4,5 mln.).</w:t>
      </w:r>
    </w:p>
    <w:p w:rsidRPr="00347569" w:rsidR="00347569" w:rsidP="00347569" w:rsidRDefault="00347569">
      <w:pPr>
        <w:spacing w:line="240" w:lineRule="exact"/>
        <w:rPr>
          <w:rFonts w:ascii="Verdana" w:hAnsi="Verdana"/>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Saldo 2016 hoofdwegennet- niet belastingontvangsten</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 xml:space="preserve">Het saldo van de niet-belastingontvangsten op het artikel hoofdwegennet toont hogere ontvangsten. Dit komt hoofdzakelijk voort uit ontvangsten van gemeenten met betrekking tot de projecten A4 Burgerveen-Leiden (4,8 mln.) en Schiphol-Amsterdam-Almere (19,1 mln.). </w:t>
      </w:r>
    </w:p>
    <w:p w:rsidRPr="00347569" w:rsidR="00347569" w:rsidP="00347569" w:rsidRDefault="00347569">
      <w:pPr>
        <w:spacing w:line="240" w:lineRule="exact"/>
        <w:rPr>
          <w:rFonts w:ascii="Verdana" w:hAnsi="Verdana"/>
          <w:i/>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Diversen – beleidsmatige mutaties niet-belastingontvangsten</w:t>
      </w:r>
    </w:p>
    <w:p w:rsidRPr="00347569" w:rsidR="00347569" w:rsidP="00347569" w:rsidRDefault="00347569">
      <w:pPr>
        <w:spacing w:line="240" w:lineRule="exact"/>
        <w:rPr>
          <w:rFonts w:ascii="Verdana" w:hAnsi="Verdana"/>
          <w:sz w:val="18"/>
          <w:szCs w:val="18"/>
        </w:rPr>
      </w:pPr>
      <w:r w:rsidRPr="00347569">
        <w:rPr>
          <w:rFonts w:ascii="Verdana" w:hAnsi="Verdana"/>
          <w:sz w:val="18"/>
          <w:szCs w:val="18"/>
        </w:rPr>
        <w:t>Deze post bestaat hoofdzakelijk uit het saldo van niet-belastingontvangsten op het artikel spoorwegen (-13,9 mln.) en het artikel hoofdvaarwegennet (-7,8 mln.). Op het artikel spoorwegen zijn lagere ontvangsten met name doordat de definitieve afrekening van de HSL-heffing over het jaar 2015 vertraagt naar 2017 en een bijdrage van provincies in het kader van decentrale lijnen verschuift naar 2017. Bij het hoofdvaarwegennet worden de uitgaven met betrekking tot het project verbreding Wilhelminakanaal pas in 2017 verwacht. Hiermee overeenkomstig worden de ontvangsten (regiobijdrage) doorgeschoven naar 2017.</w:t>
      </w:r>
    </w:p>
    <w:p w:rsidRPr="00347569" w:rsidR="00347569" w:rsidP="00347569" w:rsidRDefault="00347569">
      <w:pPr>
        <w:spacing w:line="240" w:lineRule="exact"/>
        <w:rPr>
          <w:rFonts w:ascii="Verdana" w:hAnsi="Verdana"/>
          <w:sz w:val="18"/>
          <w:szCs w:val="18"/>
        </w:rPr>
      </w:pPr>
    </w:p>
    <w:p w:rsidRPr="00347569" w:rsidR="00347569" w:rsidP="00347569" w:rsidRDefault="00347569">
      <w:pPr>
        <w:spacing w:line="240" w:lineRule="exact"/>
        <w:rPr>
          <w:rFonts w:ascii="Verdana" w:hAnsi="Verdana"/>
          <w:i/>
          <w:sz w:val="18"/>
          <w:szCs w:val="18"/>
        </w:rPr>
      </w:pPr>
      <w:r w:rsidRPr="00347569">
        <w:rPr>
          <w:rFonts w:ascii="Verdana" w:hAnsi="Verdana"/>
          <w:i/>
          <w:sz w:val="18"/>
          <w:szCs w:val="18"/>
        </w:rPr>
        <w:t>Diversen – technische mutaties niet-belastingontvangsten</w:t>
      </w:r>
    </w:p>
    <w:p w:rsidRPr="000435C0" w:rsidR="00512EDB" w:rsidP="00347569" w:rsidRDefault="00347569">
      <w:pPr>
        <w:spacing w:line="240" w:lineRule="exact"/>
        <w:rPr>
          <w:rFonts w:ascii="Verdana" w:hAnsi="Verdana" w:cs="Verdana"/>
          <w:b/>
          <w:bCs/>
          <w:sz w:val="18"/>
          <w:szCs w:val="18"/>
        </w:rPr>
      </w:pPr>
      <w:r w:rsidRPr="00347569">
        <w:rPr>
          <w:rFonts w:ascii="Verdana" w:hAnsi="Verdana"/>
          <w:sz w:val="18"/>
          <w:szCs w:val="18"/>
        </w:rPr>
        <w:t>Op het infrastructuurfonds vinden diverse desalderingen plaats waarmee met name bijdragen aan gemeenten en provincies via Hoofdstuk XII worden overgeheveld. Het gaat hierbij onder andere om het programma OV-SAAL middellange termijn (11,3 mln.), Beter Benutten (7,0 mln.), het project A12/A20 Parallelstructuur Gouwe (6,6 mln.), Vleuten-Geldermalsen (5,0 mln.) en de A58 aansluiting Goes (4,5 mln.).</w:t>
      </w:r>
      <w:r w:rsidRPr="000435C0" w:rsidR="00880694">
        <w:rPr>
          <w:rFonts w:ascii="Verdana" w:hAnsi="Verdana" w:cs="Verdana"/>
          <w:b/>
          <w:bCs/>
          <w:sz w:val="18"/>
          <w:szCs w:val="18"/>
        </w:rPr>
        <w:br w:type="page"/>
      </w:r>
      <w:r w:rsidRPr="000435C0" w:rsidR="00C05141">
        <w:rPr>
          <w:rFonts w:ascii="Verdana" w:hAnsi="Verdana" w:cs="Verdana"/>
          <w:b/>
          <w:bCs/>
          <w:sz w:val="18"/>
          <w:szCs w:val="18"/>
        </w:rPr>
        <w:t>Diergezondheidsfonds</w:t>
      </w:r>
    </w:p>
    <w:p w:rsidRPr="00347569" w:rsidR="00FD0672" w:rsidP="000435C0" w:rsidRDefault="00FD0672">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F DIERGEZONDHEIDSFONDS: UITGAVEN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44,0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Bestrijding</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-12,3</w:t>
            </w:r>
          </w:p>
        </w:tc>
      </w:tr>
      <w:tr w:rsidRPr="000435C0" w:rsidR="00FD0672" w:rsidTr="000154C8">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3,5</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-8,8</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-8,8</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35,2</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35,2</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50"/>
        <w:gridCol w:w="852"/>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F DIERGEZONDHEIDSFONDS: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44,0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Niet tot een ijklijn behorend</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Lagere ontvangsten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-10,6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-10,6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-10,6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33,4</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33,4</w:t>
            </w:r>
          </w:p>
        </w:tc>
      </w:tr>
    </w:tbl>
    <w:p w:rsidRPr="000435C0" w:rsidR="000154C8" w:rsidP="000435C0" w:rsidRDefault="000154C8">
      <w:pPr>
        <w:spacing w:line="240" w:lineRule="exact"/>
        <w:rPr>
          <w:rFonts w:ascii="Verdana" w:hAnsi="Verdana" w:cs="Verdana"/>
          <w:b/>
          <w:bCs/>
          <w:sz w:val="18"/>
          <w:szCs w:val="18"/>
          <w:lang w:val="en-US"/>
        </w:rPr>
      </w:pPr>
    </w:p>
    <w:p w:rsidRPr="00885DF5" w:rsidR="00885DF5" w:rsidP="00885DF5" w:rsidRDefault="000154C8">
      <w:pPr>
        <w:spacing w:line="240" w:lineRule="exact"/>
        <w:rPr>
          <w:rFonts w:ascii="Verdana" w:hAnsi="Verdana"/>
          <w:i/>
          <w:sz w:val="18"/>
          <w:szCs w:val="18"/>
        </w:rPr>
      </w:pPr>
      <w:r w:rsidRPr="000435C0">
        <w:rPr>
          <w:rFonts w:ascii="Verdana" w:hAnsi="Verdana"/>
          <w:i/>
          <w:sz w:val="18"/>
          <w:szCs w:val="18"/>
        </w:rPr>
        <w:t>Bestrijding</w:t>
      </w:r>
    </w:p>
    <w:p w:rsidR="00885DF5" w:rsidP="00885DF5" w:rsidRDefault="00885DF5">
      <w:pPr>
        <w:pStyle w:val="Tekstzonderopmaak"/>
      </w:pPr>
      <w:r>
        <w:t>De actuele inzichten van de Rijksdienst voor Ondernemend Nederland (RVO) voor uitgaven aan bestrijding leiden tot een verlaging van de uitgaven.</w:t>
      </w:r>
    </w:p>
    <w:p w:rsidRPr="000435C0" w:rsidR="000154C8" w:rsidP="000435C0" w:rsidRDefault="000154C8">
      <w:pPr>
        <w:spacing w:line="240" w:lineRule="exact"/>
        <w:rPr>
          <w:rFonts w:ascii="Verdana" w:hAnsi="Verdana"/>
          <w:i/>
          <w:sz w:val="18"/>
          <w:szCs w:val="18"/>
        </w:rPr>
      </w:pPr>
    </w:p>
    <w:p w:rsidRPr="000435C0" w:rsidR="000154C8" w:rsidP="000435C0" w:rsidRDefault="000154C8">
      <w:pPr>
        <w:spacing w:line="240" w:lineRule="exact"/>
        <w:rPr>
          <w:rFonts w:ascii="Verdana" w:hAnsi="Verdana"/>
          <w:i/>
          <w:sz w:val="18"/>
          <w:szCs w:val="18"/>
        </w:rPr>
      </w:pPr>
      <w:r w:rsidRPr="000435C0">
        <w:rPr>
          <w:rFonts w:ascii="Verdana" w:hAnsi="Verdana"/>
          <w:i/>
          <w:sz w:val="18"/>
          <w:szCs w:val="18"/>
        </w:rPr>
        <w:t>Diversen (technische mutaties niet tot een ijklijn behorend uitgaven)</w:t>
      </w:r>
    </w:p>
    <w:p w:rsidRPr="000435C0" w:rsidR="000154C8" w:rsidP="000435C0" w:rsidRDefault="000154C8">
      <w:pPr>
        <w:spacing w:line="240" w:lineRule="exact"/>
        <w:rPr>
          <w:rFonts w:ascii="Verdana" w:hAnsi="Verdana"/>
          <w:i/>
          <w:sz w:val="18"/>
          <w:szCs w:val="18"/>
        </w:rPr>
      </w:pPr>
      <w:r w:rsidRPr="000435C0">
        <w:rPr>
          <w:rFonts w:ascii="Verdana" w:hAnsi="Verdana"/>
          <w:sz w:val="18"/>
          <w:szCs w:val="18"/>
        </w:rPr>
        <w:t>De hogere uitgaven hebben betrekking op de bewaking van dierziekten inclusief de afrekening sectordeclaraties 2015 en op uitvoeringskosten.</w:t>
      </w:r>
    </w:p>
    <w:p w:rsidRPr="000435C0" w:rsidR="000154C8" w:rsidP="000435C0" w:rsidRDefault="000154C8">
      <w:pPr>
        <w:spacing w:line="240" w:lineRule="exact"/>
        <w:rPr>
          <w:rFonts w:ascii="Verdana" w:hAnsi="Verdana"/>
          <w:i/>
          <w:sz w:val="18"/>
          <w:szCs w:val="18"/>
        </w:rPr>
      </w:pPr>
    </w:p>
    <w:p w:rsidRPr="000435C0" w:rsidR="000154C8" w:rsidP="000435C0" w:rsidRDefault="000154C8">
      <w:pPr>
        <w:spacing w:line="240" w:lineRule="exact"/>
        <w:rPr>
          <w:rFonts w:ascii="Verdana" w:hAnsi="Verdana"/>
          <w:i/>
          <w:sz w:val="18"/>
          <w:szCs w:val="18"/>
        </w:rPr>
      </w:pPr>
      <w:r w:rsidRPr="000435C0">
        <w:rPr>
          <w:rFonts w:ascii="Verdana" w:hAnsi="Verdana"/>
          <w:i/>
          <w:sz w:val="18"/>
          <w:szCs w:val="18"/>
        </w:rPr>
        <w:t>Lagere ontvangsten</w:t>
      </w:r>
    </w:p>
    <w:p w:rsidRPr="000435C0" w:rsidR="00FD7153" w:rsidP="000435C0" w:rsidRDefault="000154C8">
      <w:pPr>
        <w:spacing w:line="240" w:lineRule="exact"/>
        <w:rPr>
          <w:rFonts w:ascii="Verdana" w:hAnsi="Verdana" w:cs="Verdana"/>
          <w:b/>
          <w:bCs/>
          <w:sz w:val="18"/>
          <w:szCs w:val="18"/>
        </w:rPr>
      </w:pPr>
      <w:r w:rsidRPr="000435C0">
        <w:rPr>
          <w:rFonts w:ascii="Verdana" w:hAnsi="Verdana"/>
          <w:sz w:val="18"/>
          <w:szCs w:val="18"/>
        </w:rPr>
        <w:t>De ontvangsten van het DGF worden naar beneden bijgesteld naar het niveau van de geraamde ontvangsten door de Rijksdienst van Ondernemend Nederland (RVO).</w:t>
      </w:r>
      <w:r w:rsidRPr="000435C0" w:rsidR="00FD7153">
        <w:rPr>
          <w:rFonts w:ascii="Verdana" w:hAnsi="Verdana" w:cs="Verdana"/>
          <w:b/>
          <w:bCs/>
          <w:sz w:val="18"/>
          <w:szCs w:val="18"/>
        </w:rPr>
        <w:br w:type="page"/>
      </w:r>
    </w:p>
    <w:p w:rsidRPr="000435C0" w:rsidR="004925F3" w:rsidP="000435C0" w:rsidRDefault="005B5FE7">
      <w:pPr>
        <w:spacing w:line="240" w:lineRule="exact"/>
        <w:rPr>
          <w:rFonts w:ascii="Verdana" w:hAnsi="Verdana" w:cs="Verdana"/>
          <w:b/>
          <w:bCs/>
          <w:sz w:val="18"/>
          <w:szCs w:val="18"/>
          <w:lang w:val="en-US"/>
        </w:rPr>
      </w:pPr>
      <w:r w:rsidRPr="000435C0">
        <w:rPr>
          <w:rFonts w:ascii="Verdana" w:hAnsi="Verdana" w:cs="Verdana"/>
          <w:b/>
          <w:bCs/>
          <w:sz w:val="18"/>
          <w:szCs w:val="18"/>
          <w:lang w:val="en-US"/>
        </w:rPr>
        <w:t>Accres Gemeentefonds</w:t>
      </w:r>
    </w:p>
    <w:p w:rsidRPr="000435C0" w:rsidR="00FD0672" w:rsidP="000435C0" w:rsidRDefault="00FD0672">
      <w:pPr>
        <w:spacing w:line="240" w:lineRule="exact"/>
        <w:rPr>
          <w:rFonts w:ascii="Verdana" w:hAnsi="Verdana" w:cs="Verdana"/>
          <w:b/>
          <w:bCs/>
          <w:sz w:val="18"/>
          <w:szCs w:val="18"/>
          <w:lang w:val="en-US"/>
        </w:rPr>
      </w:pPr>
    </w:p>
    <w:tbl>
      <w:tblPr>
        <w:tblW w:w="0" w:type="auto"/>
        <w:tblCellMar>
          <w:top w:w="15" w:type="dxa"/>
          <w:left w:w="15" w:type="dxa"/>
          <w:bottom w:w="15" w:type="dxa"/>
          <w:right w:w="15" w:type="dxa"/>
        </w:tblCellMar>
        <w:tblLook w:val="04A0"/>
      </w:tblPr>
      <w:tblGrid>
        <w:gridCol w:w="8237"/>
        <w:gridCol w:w="850"/>
      </w:tblGrid>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ACCRES GEMEENTEFONDS: UITGAVEN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0154C8">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ACCRES GEMEENTEFONDS: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bl>
    <w:p w:rsidRPr="000435C0" w:rsidR="00FD7153" w:rsidP="000435C0" w:rsidRDefault="00FD7153">
      <w:pPr>
        <w:spacing w:line="240" w:lineRule="exact"/>
        <w:rPr>
          <w:rFonts w:ascii="Verdana" w:hAnsi="Verdana" w:cs="Verdana"/>
          <w:b/>
          <w:bCs/>
          <w:sz w:val="18"/>
          <w:szCs w:val="18"/>
          <w:lang w:val="en-US"/>
        </w:rPr>
      </w:pPr>
      <w:r w:rsidRPr="000435C0">
        <w:rPr>
          <w:rFonts w:ascii="Verdana" w:hAnsi="Verdana" w:cs="Verdana"/>
          <w:b/>
          <w:bCs/>
          <w:sz w:val="18"/>
          <w:szCs w:val="18"/>
          <w:lang w:val="en-US"/>
        </w:rPr>
        <w:br w:type="page"/>
      </w:r>
    </w:p>
    <w:p w:rsidRPr="000435C0" w:rsidR="00BA6D14" w:rsidP="000435C0" w:rsidRDefault="00BA6D14">
      <w:pPr>
        <w:spacing w:line="240" w:lineRule="exact"/>
        <w:rPr>
          <w:rFonts w:ascii="Verdana" w:hAnsi="Verdana" w:cs="Verdana"/>
          <w:b/>
          <w:bCs/>
          <w:sz w:val="18"/>
          <w:szCs w:val="18"/>
          <w:lang w:val="en-US"/>
        </w:rPr>
      </w:pPr>
      <w:r w:rsidRPr="000435C0">
        <w:rPr>
          <w:rFonts w:ascii="Verdana" w:hAnsi="Verdana" w:cs="Verdana"/>
          <w:b/>
          <w:bCs/>
          <w:sz w:val="18"/>
          <w:szCs w:val="18"/>
          <w:lang w:val="en-US"/>
        </w:rPr>
        <w:t>Accres Provinciefonds</w:t>
      </w:r>
    </w:p>
    <w:p w:rsidRPr="000435C0" w:rsidR="00FD0672" w:rsidP="000435C0" w:rsidRDefault="00FD0672">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ACCRES PROVINCIEFONDS: UITGAVEN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ACCRES PROVINCIEFONDS: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bl>
    <w:p w:rsidRPr="000435C0" w:rsidR="005D154D" w:rsidP="000435C0" w:rsidRDefault="00BA6D14">
      <w:pPr>
        <w:spacing w:line="240" w:lineRule="exact"/>
        <w:rPr>
          <w:rFonts w:ascii="Verdana" w:hAnsi="Verdana" w:cs="Verdana"/>
          <w:b/>
          <w:bCs/>
          <w:sz w:val="18"/>
          <w:szCs w:val="18"/>
          <w:lang w:val="en-US"/>
        </w:rPr>
      </w:pPr>
      <w:r w:rsidRPr="000435C0">
        <w:rPr>
          <w:rFonts w:ascii="Verdana" w:hAnsi="Verdana" w:cs="Verdana"/>
          <w:b/>
          <w:bCs/>
          <w:sz w:val="18"/>
          <w:szCs w:val="18"/>
        </w:rPr>
        <w:br w:type="page"/>
      </w:r>
      <w:r w:rsidRPr="000435C0" w:rsidR="005569FA">
        <w:rPr>
          <w:rFonts w:ascii="Verdana" w:hAnsi="Verdana" w:cs="Verdana"/>
          <w:b/>
          <w:bCs/>
          <w:sz w:val="18"/>
          <w:szCs w:val="18"/>
          <w:lang w:val="en-US"/>
        </w:rPr>
        <w:t>BES-fonds</w:t>
      </w:r>
    </w:p>
    <w:p w:rsidRPr="000435C0" w:rsidR="002145D7" w:rsidP="000435C0" w:rsidRDefault="002145D7">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H BES-FONDS: UITGAVEN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33,4</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8,0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8,0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8,0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41,5</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41,5</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H BES-FONDS: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bl>
    <w:p w:rsidRPr="000435C0" w:rsidR="008E1253" w:rsidP="000435C0" w:rsidRDefault="008E1253">
      <w:pPr>
        <w:spacing w:line="240" w:lineRule="exact"/>
        <w:rPr>
          <w:rFonts w:ascii="Verdana" w:hAnsi="Verdana"/>
          <w:sz w:val="18"/>
          <w:szCs w:val="18"/>
        </w:rPr>
      </w:pPr>
    </w:p>
    <w:p w:rsidRPr="000435C0" w:rsidR="00B04BA8" w:rsidP="000435C0" w:rsidRDefault="00B04BA8">
      <w:pPr>
        <w:spacing w:line="240" w:lineRule="exact"/>
        <w:contextualSpacing/>
        <w:rPr>
          <w:rFonts w:ascii="Verdana" w:hAnsi="Verdana"/>
          <w:i/>
          <w:sz w:val="18"/>
          <w:szCs w:val="18"/>
        </w:rPr>
      </w:pPr>
      <w:r w:rsidRPr="000435C0">
        <w:rPr>
          <w:rFonts w:ascii="Verdana" w:hAnsi="Verdana"/>
          <w:i/>
          <w:sz w:val="18"/>
          <w:szCs w:val="18"/>
        </w:rPr>
        <w:t>Diversen (technische mutatie – uitgaven)</w:t>
      </w:r>
    </w:p>
    <w:p w:rsidRPr="000435C0" w:rsidR="00B04BA8" w:rsidP="000435C0" w:rsidRDefault="00B04BA8">
      <w:pPr>
        <w:spacing w:line="240" w:lineRule="exact"/>
        <w:contextualSpacing/>
        <w:rPr>
          <w:rFonts w:ascii="Verdana" w:hAnsi="Verdana"/>
          <w:sz w:val="18"/>
          <w:szCs w:val="18"/>
        </w:rPr>
      </w:pPr>
      <w:r w:rsidRPr="000435C0">
        <w:rPr>
          <w:rFonts w:ascii="Verdana" w:hAnsi="Verdana"/>
          <w:sz w:val="18"/>
          <w:szCs w:val="18"/>
        </w:rPr>
        <w:t xml:space="preserve">Omdat de uitgaven voor het BES-fonds in euro’s worden geraamd  maar de daadwerkelijke uitgaven in dollars plaatsvinden is sprake van een wisselkoerstegenvaller van 8 mln. Deze wordt gedekt vanuit de begroting Koninkrijksrelaties. </w:t>
      </w:r>
    </w:p>
    <w:p w:rsidRPr="000435C0" w:rsidR="00FD7153" w:rsidP="000435C0" w:rsidRDefault="00FD7153">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4925F3" w:rsidP="000435C0" w:rsidRDefault="004925F3">
      <w:pPr>
        <w:spacing w:line="240" w:lineRule="exact"/>
        <w:rPr>
          <w:rFonts w:ascii="Verdana" w:hAnsi="Verdana" w:cs="Verdana"/>
          <w:b/>
          <w:bCs/>
          <w:sz w:val="18"/>
          <w:szCs w:val="18"/>
        </w:rPr>
      </w:pPr>
      <w:r w:rsidRPr="000435C0">
        <w:rPr>
          <w:rFonts w:ascii="Verdana" w:hAnsi="Verdana" w:cs="Verdana"/>
          <w:b/>
          <w:bCs/>
          <w:sz w:val="18"/>
          <w:szCs w:val="18"/>
        </w:rPr>
        <w:t>Deltafonds</w:t>
      </w:r>
    </w:p>
    <w:p w:rsidRPr="000435C0" w:rsidR="004D4EE3" w:rsidP="000435C0" w:rsidRDefault="004D4EE3">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J DELTAFONDS: UITGAVEN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1.285,1</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Beleidsmatige mutaties</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Saldo 2016: investeringen in waterveiligheid</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-119,4</w:t>
            </w:r>
          </w:p>
        </w:tc>
      </w:tr>
      <w:tr w:rsidRPr="000435C0" w:rsidR="00FD0672" w:rsidTr="003E508F">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-3,7</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-123,1</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-17,7</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-17,7</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-140,8</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FD0672" w:rsidP="000435C0" w:rsidRDefault="00FD0672">
            <w:pPr>
              <w:spacing w:line="240" w:lineRule="exact"/>
              <w:rPr>
                <w:rFonts w:ascii="Verdana" w:hAnsi="Verdana"/>
                <w:sz w:val="18"/>
                <w:szCs w:val="18"/>
              </w:rPr>
            </w:pP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1.144,3</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3E508F">
        <w:tc>
          <w:tcPr>
            <w:tcW w:w="8237"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1.144,3</w:t>
            </w:r>
          </w:p>
        </w:tc>
      </w:tr>
    </w:tbl>
    <w:p w:rsidRPr="000435C0" w:rsidR="00FD0672" w:rsidP="000435C0" w:rsidRDefault="00FD067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22"/>
        <w:gridCol w:w="880"/>
      </w:tblGrid>
      <w:tr w:rsidRPr="000435C0" w:rsidR="00FD0672" w:rsidTr="0041589F">
        <w:tc>
          <w:tcPr>
            <w:tcW w:w="90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J DELTAFONDS: NIET-BELASTINGONTVANGSTEN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2016</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1.285,1</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7,0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7,0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180" w:type="dxa"/>
              <w:bottom w:w="15" w:type="dxa"/>
              <w:right w:w="15" w:type="dxa"/>
            </w:tcMar>
            <w:vAlign w:val="both"/>
            <w:hideMark/>
          </w:tcPr>
          <w:p w:rsidRPr="000435C0" w:rsidR="00FD0672" w:rsidP="000435C0" w:rsidRDefault="00FD067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tcMar>
              <w:top w:w="15" w:type="dxa"/>
              <w:left w:w="360" w:type="dxa"/>
              <w:bottom w:w="15" w:type="dxa"/>
              <w:right w:w="15" w:type="dxa"/>
            </w:tcMar>
            <w:vAlign w:val="both"/>
            <w:hideMark/>
          </w:tcPr>
          <w:p w:rsidRPr="000435C0" w:rsidR="00FD0672" w:rsidP="000435C0" w:rsidRDefault="00FD067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-17,7</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-17,7</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-10,7</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FD0672" w:rsidP="000435C0" w:rsidRDefault="00FD0672">
            <w:pPr>
              <w:spacing w:line="240" w:lineRule="exact"/>
              <w:rPr>
                <w:rFonts w:ascii="Verdana" w:hAnsi="Verdana"/>
                <w:sz w:val="18"/>
                <w:szCs w:val="18"/>
              </w:rPr>
            </w:pP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1.274,4</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0,0</w:t>
            </w:r>
          </w:p>
        </w:tc>
      </w:tr>
      <w:tr w:rsidRPr="000435C0" w:rsidR="00FD0672" w:rsidTr="0041589F">
        <w:tc>
          <w:tcPr>
            <w:tcW w:w="0" w:type="auto"/>
            <w:tcBorders>
              <w:left w:val="nil"/>
              <w:right w:val="nil"/>
            </w:tcBorders>
            <w:hideMark/>
          </w:tcPr>
          <w:p w:rsidRPr="000435C0" w:rsidR="00FD0672" w:rsidP="000435C0" w:rsidRDefault="00FD067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FD0672" w:rsidP="000435C0" w:rsidRDefault="00FD0672">
            <w:pPr>
              <w:spacing w:line="240" w:lineRule="exact"/>
              <w:jc w:val="right"/>
              <w:rPr>
                <w:rFonts w:ascii="Verdana" w:hAnsi="Verdana"/>
                <w:sz w:val="18"/>
                <w:szCs w:val="18"/>
              </w:rPr>
            </w:pPr>
            <w:r w:rsidRPr="000435C0">
              <w:rPr>
                <w:rFonts w:ascii="Verdana" w:hAnsi="Verdana"/>
                <w:sz w:val="18"/>
                <w:szCs w:val="18"/>
              </w:rPr>
              <w:t>1.274,4</w:t>
            </w:r>
          </w:p>
        </w:tc>
      </w:tr>
    </w:tbl>
    <w:p w:rsidRPr="000435C0" w:rsidR="006A0765" w:rsidP="000435C0" w:rsidRDefault="006A0765">
      <w:pPr>
        <w:spacing w:line="240" w:lineRule="exac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Saldo 2016: investeren in waterveiligheid</w:t>
      </w:r>
    </w:p>
    <w:p w:rsidRPr="00212816" w:rsidR="00212816" w:rsidP="00212816" w:rsidRDefault="00212816">
      <w:pPr>
        <w:spacing w:line="240" w:lineRule="atLeast"/>
        <w:rPr>
          <w:rFonts w:ascii="Verdana" w:hAnsi="Verdana"/>
          <w:sz w:val="18"/>
          <w:szCs w:val="18"/>
        </w:rPr>
      </w:pPr>
      <w:r w:rsidRPr="00212816">
        <w:rPr>
          <w:rFonts w:ascii="Verdana" w:hAnsi="Verdana"/>
          <w:sz w:val="18"/>
          <w:szCs w:val="18"/>
        </w:rPr>
        <w:t>Er is per saldo sprake van 119,4 mln. aan onderuitputting op het artikel investeren in waterveiligheid. Dit bedrag bestaat uit drie componenten:</w:t>
      </w:r>
    </w:p>
    <w:p w:rsidRPr="00212816" w:rsidR="00212816" w:rsidP="00212816" w:rsidRDefault="00212816">
      <w:pPr>
        <w:pStyle w:val="Lijstalinea"/>
        <w:numPr>
          <w:ilvl w:val="0"/>
          <w:numId w:val="38"/>
        </w:numPr>
        <w:spacing w:line="240" w:lineRule="atLeast"/>
        <w:contextualSpacing/>
        <w:rPr>
          <w:rFonts w:ascii="Verdana" w:hAnsi="Verdana"/>
          <w:sz w:val="18"/>
          <w:szCs w:val="18"/>
        </w:rPr>
      </w:pPr>
      <w:r w:rsidRPr="00212816">
        <w:rPr>
          <w:rFonts w:ascii="Verdana" w:hAnsi="Verdana"/>
          <w:sz w:val="18"/>
          <w:szCs w:val="18"/>
        </w:rPr>
        <w:t xml:space="preserve">Binnen het Hoogwaterbeschermingsprogramma is 35,6 minder uitgegeven dan begroot. Dit is een saldo van lagere realisatie op de projecten Ruimte voor de Rivier (19,8 mln.), Zandmaas (9,5 mln.), HWBP-2 (16,4 mln en hogere realisatie op de projecten Dijkversterking Eiland van Dordrecht Oost (6,3 mln.) en Ameland Betonblokken (3,8 mln.) </w:t>
      </w:r>
    </w:p>
    <w:p w:rsidRPr="00212816" w:rsidR="00212816" w:rsidP="00212816" w:rsidRDefault="00212816">
      <w:pPr>
        <w:pStyle w:val="Lijstalinea"/>
        <w:numPr>
          <w:ilvl w:val="0"/>
          <w:numId w:val="38"/>
        </w:numPr>
        <w:spacing w:line="240" w:lineRule="atLeast"/>
        <w:contextualSpacing/>
        <w:rPr>
          <w:rFonts w:ascii="Verdana" w:hAnsi="Verdana"/>
          <w:sz w:val="18"/>
          <w:szCs w:val="18"/>
        </w:rPr>
      </w:pPr>
      <w:r w:rsidRPr="00212816">
        <w:rPr>
          <w:rFonts w:ascii="Verdana" w:hAnsi="Verdana"/>
          <w:sz w:val="18"/>
          <w:szCs w:val="18"/>
        </w:rPr>
        <w:t xml:space="preserve">Op dit artikelonderdeel is in 2016 sprake van een onderprogrammering van 70,4 mln. Ten opzichte van de programmering wordt er 11,6 mln. minder gerealiseerd, wat leidt tot een voordelig saldo van 82 mln. De lagere realisatie ten opzichte van de programmering betreft het project Kribverlaging Pannerdensch Kanaal en het project Ambitie Afsluitdijk. </w:t>
      </w:r>
    </w:p>
    <w:p w:rsidRPr="00212816" w:rsidR="00212816" w:rsidP="00212816" w:rsidRDefault="00212816">
      <w:pPr>
        <w:pStyle w:val="Lijstalinea"/>
        <w:numPr>
          <w:ilvl w:val="0"/>
          <w:numId w:val="38"/>
        </w:numPr>
        <w:spacing w:line="240" w:lineRule="atLeast"/>
        <w:contextualSpacing/>
        <w:rPr>
          <w:rFonts w:ascii="Verdana" w:hAnsi="Verdana"/>
          <w:sz w:val="18"/>
          <w:szCs w:val="18"/>
        </w:rPr>
      </w:pPr>
      <w:r w:rsidRPr="00212816">
        <w:rPr>
          <w:rFonts w:ascii="Verdana" w:hAnsi="Verdana"/>
          <w:sz w:val="18"/>
          <w:szCs w:val="18"/>
        </w:rPr>
        <w:t xml:space="preserve">Op het artikelonderdeel studiekosten is 1,8 mln. minder uitgegeven. Dit komt met name door vertragingen in diverse kleinere onderzoeken. </w:t>
      </w:r>
    </w:p>
    <w:p w:rsidRPr="00212816" w:rsidR="00212816" w:rsidP="00212816" w:rsidRDefault="00212816">
      <w:pPr>
        <w:pStyle w:val="Lijstalinea"/>
        <w:spacing w:line="240" w:lineRule="atLeas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Diversen – beleidsmatige mutaties uitgaven</w:t>
      </w:r>
    </w:p>
    <w:p w:rsidRPr="00212816" w:rsidR="00212816" w:rsidP="00212816" w:rsidRDefault="00212816">
      <w:pPr>
        <w:spacing w:line="240" w:lineRule="atLeast"/>
        <w:rPr>
          <w:rFonts w:ascii="Verdana" w:hAnsi="Verdana"/>
          <w:sz w:val="18"/>
          <w:szCs w:val="18"/>
        </w:rPr>
      </w:pPr>
      <w:r w:rsidRPr="00212816">
        <w:rPr>
          <w:rFonts w:ascii="Verdana" w:hAnsi="Verdana"/>
          <w:sz w:val="18"/>
          <w:szCs w:val="18"/>
        </w:rPr>
        <w:t>Deze post bestaat uit onderstaande saldi 2016.</w:t>
      </w:r>
    </w:p>
    <w:p w:rsidRPr="00212816" w:rsidR="00212816" w:rsidP="00212816" w:rsidRDefault="00212816">
      <w:pPr>
        <w:spacing w:line="240" w:lineRule="atLeas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Saldo 2016:  zoetwatervoorziening</w:t>
      </w:r>
    </w:p>
    <w:p w:rsidRPr="00212816" w:rsidR="00212816" w:rsidP="00212816" w:rsidRDefault="00212816">
      <w:pPr>
        <w:spacing w:line="240" w:lineRule="atLeast"/>
        <w:rPr>
          <w:rFonts w:ascii="Verdana" w:hAnsi="Verdana"/>
          <w:sz w:val="18"/>
          <w:szCs w:val="18"/>
        </w:rPr>
      </w:pPr>
      <w:r w:rsidRPr="00212816">
        <w:rPr>
          <w:rFonts w:ascii="Verdana" w:hAnsi="Verdana"/>
          <w:sz w:val="18"/>
          <w:szCs w:val="18"/>
        </w:rPr>
        <w:t xml:space="preserve">De onderuitputting van 2,6 mln. op dit artikel is ontstaan omdat de planuitwerking en voorbereiding van de Luwtemaatregelen Hoornse Hop meer tijd kosten dan was voorzien, daarnaast is de uitvoeringsplanning van een aantal zoetwatermaatregelen aangepast, waardoor uitgaven in latere jaren zijn voorzien. </w:t>
      </w:r>
    </w:p>
    <w:p w:rsidRPr="00212816" w:rsidR="00212816" w:rsidP="00212816" w:rsidRDefault="00212816">
      <w:pPr>
        <w:spacing w:line="240" w:lineRule="atLeas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Saldo 2016: BOV</w:t>
      </w:r>
    </w:p>
    <w:p w:rsidRPr="00212816" w:rsidR="00212816" w:rsidP="00212816" w:rsidRDefault="00212816">
      <w:pPr>
        <w:spacing w:line="240" w:lineRule="atLeast"/>
        <w:rPr>
          <w:rFonts w:ascii="Verdana" w:hAnsi="Verdana"/>
          <w:sz w:val="18"/>
          <w:szCs w:val="18"/>
        </w:rPr>
      </w:pPr>
      <w:r w:rsidRPr="00212816">
        <w:rPr>
          <w:rFonts w:ascii="Verdana" w:hAnsi="Verdana"/>
          <w:sz w:val="18"/>
          <w:szCs w:val="18"/>
        </w:rPr>
        <w:t xml:space="preserve">De overschrijding van 6,1 mln. op dit artikel heeft voornamelijk betrekking op het project Stuwen. De aannemer heeft vanwege optimalisatie de uitvoering versneld, waardoor uitgaven eerder zijn gedaan dan was voorzien. </w:t>
      </w:r>
    </w:p>
    <w:p w:rsidRPr="00212816" w:rsidR="00212816" w:rsidP="00212816" w:rsidRDefault="00212816">
      <w:pPr>
        <w:spacing w:line="240" w:lineRule="atLeas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Saldo 2016:  waterkwaliteit</w:t>
      </w:r>
    </w:p>
    <w:p w:rsidRPr="00212816" w:rsidR="00212816" w:rsidP="00212816" w:rsidRDefault="00212816">
      <w:pPr>
        <w:spacing w:line="240" w:lineRule="atLeast"/>
        <w:rPr>
          <w:rFonts w:ascii="Verdana" w:hAnsi="Verdana"/>
          <w:sz w:val="18"/>
          <w:szCs w:val="18"/>
        </w:rPr>
      </w:pPr>
      <w:r w:rsidRPr="00212816">
        <w:rPr>
          <w:rFonts w:ascii="Verdana" w:hAnsi="Verdana"/>
          <w:sz w:val="18"/>
          <w:szCs w:val="18"/>
        </w:rPr>
        <w:t>De onderuitputting van 7,1 mln. op dit artikel kent twee hoofdoorzaken. Er is 2,3 mln. minder gerealiseerd omdat de risicoreservering voor de 1</w:t>
      </w:r>
      <w:r w:rsidRPr="00212816">
        <w:rPr>
          <w:rFonts w:ascii="Verdana" w:hAnsi="Verdana"/>
          <w:sz w:val="18"/>
          <w:szCs w:val="18"/>
          <w:vertAlign w:val="superscript"/>
        </w:rPr>
        <w:t>e</w:t>
      </w:r>
      <w:r w:rsidRPr="00212816">
        <w:rPr>
          <w:rFonts w:ascii="Verdana" w:hAnsi="Verdana"/>
          <w:sz w:val="18"/>
          <w:szCs w:val="18"/>
        </w:rPr>
        <w:t xml:space="preserve"> tranche Kaderrichtlijn Water niet nodig bleek te zijn. Daarnaast valt de kasrealisatie voor de 2</w:t>
      </w:r>
      <w:r w:rsidRPr="00212816">
        <w:rPr>
          <w:rFonts w:ascii="Verdana" w:hAnsi="Verdana"/>
          <w:sz w:val="18"/>
          <w:szCs w:val="18"/>
          <w:vertAlign w:val="superscript"/>
        </w:rPr>
        <w:t>e</w:t>
      </w:r>
      <w:r w:rsidRPr="00212816">
        <w:rPr>
          <w:rFonts w:ascii="Verdana" w:hAnsi="Verdana"/>
          <w:sz w:val="18"/>
          <w:szCs w:val="18"/>
        </w:rPr>
        <w:t xml:space="preserve"> tranche Kaderrichtlijn Water 4,8 mln. lager uit als gevolg van vertraging bij de uitvoering van d planstudie herstel gebied Brunnermond. </w:t>
      </w:r>
    </w:p>
    <w:p w:rsidRPr="00212816" w:rsidR="00212816" w:rsidP="00212816" w:rsidRDefault="00212816">
      <w:pPr>
        <w:spacing w:line="240" w:lineRule="atLeas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Diversen – technische mutaties uitgaven</w:t>
      </w:r>
    </w:p>
    <w:p w:rsidRPr="00212816" w:rsidR="00212816" w:rsidP="00212816" w:rsidRDefault="00212816">
      <w:pPr>
        <w:spacing w:line="240" w:lineRule="atLeast"/>
        <w:rPr>
          <w:rFonts w:ascii="Verdana" w:hAnsi="Verdana"/>
          <w:sz w:val="18"/>
          <w:szCs w:val="18"/>
        </w:rPr>
      </w:pPr>
      <w:r w:rsidRPr="00212816">
        <w:rPr>
          <w:rFonts w:ascii="Verdana" w:hAnsi="Verdana"/>
          <w:sz w:val="18"/>
          <w:szCs w:val="18"/>
        </w:rPr>
        <w:t xml:space="preserve">Deze mutatie betreft hoofdzakelijk de overboeking aan het Provinciefonds (20,6 mln.) in verband met de bijdrage aan provincie Limburg ten behoeve van het project Ooijen-Wanssum. Deze rijksbijdrage wordt middels een desaldering uit het Deltafonds naar Hoofdstuk XII overgeheveld en vervolgens haar het Provinciefonds. </w:t>
      </w:r>
    </w:p>
    <w:p w:rsidRPr="00212816" w:rsidR="00212816" w:rsidP="00212816" w:rsidRDefault="00212816">
      <w:pPr>
        <w:spacing w:line="240" w:lineRule="atLeas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Diversen – beleidsmatige mutaties niet-belastingontvangsten</w:t>
      </w:r>
    </w:p>
    <w:p w:rsidRPr="00212816" w:rsidR="00212816" w:rsidP="00212816" w:rsidRDefault="00212816">
      <w:pPr>
        <w:spacing w:line="240" w:lineRule="atLeast"/>
        <w:rPr>
          <w:rFonts w:ascii="Verdana" w:hAnsi="Verdana"/>
          <w:sz w:val="18"/>
          <w:szCs w:val="18"/>
        </w:rPr>
      </w:pPr>
      <w:r w:rsidRPr="00212816">
        <w:rPr>
          <w:rFonts w:ascii="Verdana" w:hAnsi="Verdana"/>
          <w:sz w:val="18"/>
          <w:szCs w:val="18"/>
        </w:rPr>
        <w:t>Er zijn per saldo hogere niet-belastingontvangsten op het artikel waterveiligheid (7 mln.) als gevolg van het verkoop van grond. Delen van de percelen die eerder verworven zijn, bleken uiteindelijk niet nodig voor de werkzaamheden en worden nu weer verkocht. De opbrengsten blijven beschikbaar binnen het programma waterveiligheid.</w:t>
      </w:r>
    </w:p>
    <w:p w:rsidRPr="00212816" w:rsidR="00212816" w:rsidP="00212816" w:rsidRDefault="00212816">
      <w:pPr>
        <w:spacing w:line="240" w:lineRule="atLeast"/>
        <w:rPr>
          <w:rFonts w:ascii="Verdana" w:hAnsi="Verdana"/>
          <w:sz w:val="18"/>
          <w:szCs w:val="18"/>
        </w:rPr>
      </w:pPr>
    </w:p>
    <w:p w:rsidRPr="00212816" w:rsidR="00212816" w:rsidP="00212816" w:rsidRDefault="00212816">
      <w:pPr>
        <w:spacing w:line="240" w:lineRule="atLeast"/>
        <w:rPr>
          <w:rFonts w:ascii="Verdana" w:hAnsi="Verdana"/>
          <w:i/>
          <w:sz w:val="18"/>
          <w:szCs w:val="18"/>
        </w:rPr>
      </w:pPr>
      <w:r w:rsidRPr="00212816">
        <w:rPr>
          <w:rFonts w:ascii="Verdana" w:hAnsi="Verdana"/>
          <w:i/>
          <w:sz w:val="18"/>
          <w:szCs w:val="18"/>
        </w:rPr>
        <w:t>Diversen – technische mutaties niet-belastingontvangsten</w:t>
      </w:r>
    </w:p>
    <w:p w:rsidRPr="00212816" w:rsidR="00212816" w:rsidP="00212816" w:rsidRDefault="00212816">
      <w:pPr>
        <w:spacing w:line="240" w:lineRule="atLeast"/>
        <w:rPr>
          <w:rFonts w:ascii="Verdana" w:hAnsi="Verdana"/>
        </w:rPr>
      </w:pPr>
      <w:r w:rsidRPr="00212816">
        <w:rPr>
          <w:rFonts w:ascii="Verdana" w:hAnsi="Verdana"/>
          <w:sz w:val="18"/>
          <w:szCs w:val="18"/>
        </w:rPr>
        <w:t xml:space="preserve">Deze mutatie betreft hoofdzakelijk de overboeking aan het Provinciefonds (20,6 mln.) in verband met de bijdrage aan provincie Limburg ten behoeve van het project Ooijen-Wanssum. Deze rijksbijdrage wordt middels een desaldering uit het Deltafonds naar Hoofdstuk XII overgeheveld en vervolgens haar het Provinciefonds. </w:t>
      </w:r>
    </w:p>
    <w:p w:rsidRPr="000435C0" w:rsidR="00FD7153" w:rsidP="000435C0" w:rsidRDefault="00B04BA8">
      <w:pPr>
        <w:spacing w:line="240" w:lineRule="exact"/>
        <w:rPr>
          <w:rFonts w:ascii="Verdana" w:hAnsi="Verdana" w:cs="Verdana"/>
          <w:b/>
          <w:bCs/>
          <w:sz w:val="18"/>
          <w:szCs w:val="18"/>
        </w:rPr>
      </w:pPr>
      <w:r w:rsidRPr="000435C0">
        <w:rPr>
          <w:rFonts w:ascii="Verdana" w:hAnsi="Verdana"/>
          <w:sz w:val="18"/>
          <w:szCs w:val="18"/>
        </w:rPr>
        <w:t xml:space="preserve"> </w:t>
      </w:r>
      <w:r w:rsidRPr="000435C0" w:rsidR="00FD7153">
        <w:rPr>
          <w:rFonts w:ascii="Verdana" w:hAnsi="Verdana" w:cs="Verdana"/>
          <w:b/>
          <w:bCs/>
          <w:sz w:val="18"/>
          <w:szCs w:val="18"/>
        </w:rPr>
        <w:br w:type="page"/>
      </w:r>
    </w:p>
    <w:p w:rsidRPr="000435C0" w:rsidR="00BA1E17" w:rsidP="000435C0" w:rsidRDefault="00BA1E17">
      <w:pPr>
        <w:spacing w:line="240" w:lineRule="exact"/>
        <w:rPr>
          <w:rFonts w:ascii="Verdana" w:hAnsi="Verdana" w:cs="Verdana"/>
          <w:b/>
          <w:bCs/>
          <w:sz w:val="18"/>
          <w:szCs w:val="18"/>
        </w:rPr>
      </w:pPr>
      <w:r w:rsidRPr="000435C0">
        <w:rPr>
          <w:rFonts w:ascii="Verdana" w:hAnsi="Verdana" w:cs="Verdana"/>
          <w:b/>
          <w:bCs/>
          <w:sz w:val="18"/>
          <w:szCs w:val="18"/>
        </w:rPr>
        <w:t>Prijsbijstelling</w:t>
      </w:r>
    </w:p>
    <w:p w:rsidRPr="000435C0" w:rsidR="00B04BA8" w:rsidP="000435C0" w:rsidRDefault="00B04BA8">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3D36B6" w:rsidTr="003D36B6">
        <w:tc>
          <w:tcPr>
            <w:tcW w:w="8237"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PRIJSBIJSTELLING: UITGAVEN</w:t>
            </w:r>
          </w:p>
        </w:tc>
        <w:tc>
          <w:tcPr>
            <w:tcW w:w="850" w:type="dxa"/>
            <w:hideMark/>
          </w:tcPr>
          <w:p w:rsidRPr="000435C0" w:rsidR="003D36B6" w:rsidP="000435C0" w:rsidRDefault="003D36B6">
            <w:pPr>
              <w:spacing w:line="240" w:lineRule="exact"/>
              <w:rPr>
                <w:rFonts w:ascii="Verdana" w:hAnsi="Verdana"/>
                <w:sz w:val="18"/>
                <w:szCs w:val="18"/>
              </w:rPr>
            </w:pPr>
          </w:p>
        </w:tc>
      </w:tr>
      <w:tr w:rsidRPr="000435C0" w:rsidR="003D36B6" w:rsidTr="003D36B6">
        <w:tc>
          <w:tcPr>
            <w:tcW w:w="8237" w:type="dxa"/>
            <w:tcBorders>
              <w:top w:val="single" w:color="000000" w:sz="6" w:space="0"/>
              <w:left w:val="nil"/>
              <w:bottom w:val="single" w:color="000000" w:sz="6" w:space="0"/>
              <w:right w:val="nil"/>
            </w:tcBorders>
            <w:hideMark/>
          </w:tcPr>
          <w:p w:rsidRPr="000435C0" w:rsidR="003D36B6" w:rsidP="000435C0" w:rsidRDefault="003D36B6">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2016</w:t>
            </w:r>
          </w:p>
        </w:tc>
      </w:tr>
      <w:tr w:rsidRPr="000435C0" w:rsidR="003D36B6" w:rsidTr="003D36B6">
        <w:tc>
          <w:tcPr>
            <w:tcW w:w="8237"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8237"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8237"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3D36B6" w:rsidP="000435C0" w:rsidRDefault="003D36B6">
            <w:pPr>
              <w:spacing w:line="240" w:lineRule="exact"/>
              <w:rPr>
                <w:rFonts w:ascii="Verdana" w:hAnsi="Verdana"/>
                <w:sz w:val="18"/>
                <w:szCs w:val="18"/>
              </w:rPr>
            </w:pPr>
          </w:p>
        </w:tc>
      </w:tr>
      <w:tr w:rsidRPr="000435C0" w:rsidR="003D36B6" w:rsidTr="003D36B6">
        <w:tc>
          <w:tcPr>
            <w:tcW w:w="8237"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8237"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8237"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bl>
    <w:p w:rsidRPr="000435C0" w:rsidR="003D36B6" w:rsidP="000435C0" w:rsidRDefault="003D36B6">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3D36B6" w:rsidTr="003D36B6">
        <w:tc>
          <w:tcPr>
            <w:tcW w:w="9000"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 </w:t>
            </w:r>
          </w:p>
        </w:tc>
      </w:tr>
      <w:tr w:rsidRPr="000435C0" w:rsidR="003D36B6" w:rsidTr="003D36B6">
        <w:tc>
          <w:tcPr>
            <w:tcW w:w="0" w:type="auto"/>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PRIJSBIJSTELLING: NIET-BELASTINGONTVANGSTEN</w:t>
            </w:r>
          </w:p>
        </w:tc>
        <w:tc>
          <w:tcPr>
            <w:tcW w:w="0" w:type="auto"/>
            <w:hideMark/>
          </w:tcPr>
          <w:p w:rsidRPr="000435C0" w:rsidR="003D36B6" w:rsidP="000435C0" w:rsidRDefault="003D36B6">
            <w:pPr>
              <w:spacing w:line="240" w:lineRule="exact"/>
              <w:rPr>
                <w:rFonts w:ascii="Verdana" w:hAnsi="Verdana"/>
                <w:sz w:val="18"/>
                <w:szCs w:val="18"/>
              </w:rPr>
            </w:pPr>
          </w:p>
        </w:tc>
      </w:tr>
      <w:tr w:rsidRPr="000435C0" w:rsidR="003D36B6" w:rsidTr="003D36B6">
        <w:tc>
          <w:tcPr>
            <w:tcW w:w="0" w:type="auto"/>
            <w:tcBorders>
              <w:top w:val="single" w:color="000000" w:sz="6" w:space="0"/>
              <w:left w:val="nil"/>
              <w:bottom w:val="single" w:color="000000" w:sz="6" w:space="0"/>
              <w:right w:val="nil"/>
            </w:tcBorders>
            <w:hideMark/>
          </w:tcPr>
          <w:p w:rsidRPr="000435C0" w:rsidR="003D36B6" w:rsidP="000435C0" w:rsidRDefault="003D36B6">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2016</w:t>
            </w:r>
          </w:p>
        </w:tc>
      </w:tr>
      <w:tr w:rsidRPr="000435C0" w:rsidR="003D36B6" w:rsidTr="003D36B6">
        <w:tc>
          <w:tcPr>
            <w:tcW w:w="0" w:type="auto"/>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0" w:type="auto"/>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0" w:type="auto"/>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3D36B6" w:rsidP="000435C0" w:rsidRDefault="003D36B6">
            <w:pPr>
              <w:spacing w:line="240" w:lineRule="exact"/>
              <w:rPr>
                <w:rFonts w:ascii="Verdana" w:hAnsi="Verdana"/>
                <w:sz w:val="18"/>
                <w:szCs w:val="18"/>
              </w:rPr>
            </w:pPr>
          </w:p>
        </w:tc>
      </w:tr>
      <w:tr w:rsidRPr="000435C0" w:rsidR="003D36B6" w:rsidTr="003D36B6">
        <w:tc>
          <w:tcPr>
            <w:tcW w:w="0" w:type="auto"/>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0" w:type="auto"/>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r w:rsidRPr="000435C0" w:rsidR="003D36B6" w:rsidTr="003D36B6">
        <w:tc>
          <w:tcPr>
            <w:tcW w:w="0" w:type="auto"/>
            <w:tcBorders>
              <w:left w:val="nil"/>
              <w:right w:val="nil"/>
            </w:tcBorders>
            <w:hideMark/>
          </w:tcPr>
          <w:p w:rsidRPr="000435C0" w:rsidR="003D36B6" w:rsidP="000435C0" w:rsidRDefault="003D36B6">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3D36B6" w:rsidP="000435C0" w:rsidRDefault="003D36B6">
            <w:pPr>
              <w:spacing w:line="240" w:lineRule="exact"/>
              <w:jc w:val="right"/>
              <w:rPr>
                <w:rFonts w:ascii="Verdana" w:hAnsi="Verdana"/>
                <w:sz w:val="18"/>
                <w:szCs w:val="18"/>
              </w:rPr>
            </w:pPr>
            <w:r w:rsidRPr="000435C0">
              <w:rPr>
                <w:rFonts w:ascii="Verdana" w:hAnsi="Verdana"/>
                <w:sz w:val="18"/>
                <w:szCs w:val="18"/>
              </w:rPr>
              <w:t>0,0</w:t>
            </w:r>
          </w:p>
        </w:tc>
      </w:tr>
    </w:tbl>
    <w:p w:rsidRPr="000435C0" w:rsidR="00BA1E17" w:rsidP="000435C0" w:rsidRDefault="00BA1E17">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3A1C04" w:rsidP="000435C0" w:rsidRDefault="003A1C04">
      <w:pPr>
        <w:spacing w:line="240" w:lineRule="exact"/>
        <w:rPr>
          <w:rFonts w:ascii="Verdana" w:hAnsi="Verdana" w:cs="Verdana"/>
          <w:b/>
          <w:bCs/>
          <w:sz w:val="18"/>
          <w:szCs w:val="18"/>
        </w:rPr>
      </w:pPr>
      <w:r w:rsidRPr="000435C0">
        <w:rPr>
          <w:rFonts w:ascii="Verdana" w:hAnsi="Verdana" w:cs="Verdana"/>
          <w:b/>
          <w:bCs/>
          <w:sz w:val="18"/>
          <w:szCs w:val="18"/>
        </w:rPr>
        <w:t>Arbeidsvoorwaarden</w:t>
      </w:r>
    </w:p>
    <w:p w:rsidRPr="000435C0" w:rsidR="007C6232" w:rsidP="000435C0" w:rsidRDefault="007C6232">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ARBEIDSVOORWAARDEN: UITGAVEN</w:t>
            </w:r>
          </w:p>
        </w:tc>
        <w:tc>
          <w:tcPr>
            <w:tcW w:w="850" w:type="dxa"/>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2016</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bl>
    <w:p w:rsidRPr="000435C0" w:rsidR="007C6232" w:rsidP="000435C0" w:rsidRDefault="007C623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7C6232" w:rsidTr="003F144A">
        <w:tc>
          <w:tcPr>
            <w:tcW w:w="9000"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ARBEIDSVOORWAARDEN: NIET-BELASTINGONTVANGSTEN</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2016</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bl>
    <w:p w:rsidRPr="000435C0" w:rsidR="003A1C04" w:rsidP="000435C0" w:rsidRDefault="003A1C04">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AA6932" w:rsidP="000435C0" w:rsidRDefault="00AA6932">
      <w:pPr>
        <w:spacing w:line="240" w:lineRule="exact"/>
        <w:rPr>
          <w:rFonts w:ascii="Verdana" w:hAnsi="Verdana" w:cs="Verdana"/>
          <w:b/>
          <w:bCs/>
          <w:sz w:val="18"/>
          <w:szCs w:val="18"/>
        </w:rPr>
      </w:pPr>
      <w:r w:rsidRPr="000435C0">
        <w:rPr>
          <w:rFonts w:ascii="Verdana" w:hAnsi="Verdana" w:cs="Verdana"/>
          <w:b/>
          <w:bCs/>
          <w:sz w:val="18"/>
          <w:szCs w:val="18"/>
        </w:rPr>
        <w:t>Koppeling Uitkeringen</w:t>
      </w:r>
    </w:p>
    <w:p w:rsidRPr="000435C0" w:rsidR="007C6232" w:rsidP="000435C0" w:rsidRDefault="007C6232">
      <w:pPr>
        <w:spacing w:line="240" w:lineRule="exact"/>
        <w:rPr>
          <w:rFonts w:ascii="Verdana" w:hAnsi="Verdana" w:cs="Verdana"/>
          <w:b/>
          <w:bCs/>
          <w:sz w:val="18"/>
          <w:szCs w:val="18"/>
        </w:rPr>
      </w:pPr>
    </w:p>
    <w:tbl>
      <w:tblPr>
        <w:tblW w:w="0" w:type="auto"/>
        <w:tblCellMar>
          <w:top w:w="15" w:type="dxa"/>
          <w:left w:w="15" w:type="dxa"/>
          <w:bottom w:w="15" w:type="dxa"/>
          <w:right w:w="15" w:type="dxa"/>
        </w:tblCellMar>
        <w:tblLook w:val="04A0"/>
      </w:tblPr>
      <w:tblGrid>
        <w:gridCol w:w="8237"/>
        <w:gridCol w:w="850"/>
      </w:tblGrid>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KOPPELING UITKERINGEN: UITGAVEN</w:t>
            </w:r>
          </w:p>
        </w:tc>
        <w:tc>
          <w:tcPr>
            <w:tcW w:w="850" w:type="dxa"/>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p>
        </w:tc>
        <w:tc>
          <w:tcPr>
            <w:tcW w:w="850" w:type="dxa"/>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2016</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Miljoenennota 2017 (excl. IS)</w:t>
            </w:r>
          </w:p>
        </w:tc>
        <w:tc>
          <w:tcPr>
            <w:tcW w:w="850" w:type="dxa"/>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mutaties sinds Miljoenennota 2017</w:t>
            </w:r>
          </w:p>
        </w:tc>
        <w:tc>
          <w:tcPr>
            <w:tcW w:w="850" w:type="dxa"/>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850" w:type="dxa"/>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 (subtotaal)</w:t>
            </w:r>
          </w:p>
        </w:tc>
        <w:tc>
          <w:tcPr>
            <w:tcW w:w="850" w:type="dxa"/>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Internationale samenwerking</w:t>
            </w:r>
          </w:p>
        </w:tc>
        <w:tc>
          <w:tcPr>
            <w:tcW w:w="850" w:type="dxa"/>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w:t>
            </w:r>
          </w:p>
        </w:tc>
        <w:tc>
          <w:tcPr>
            <w:tcW w:w="850" w:type="dxa"/>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bl>
    <w:p w:rsidRPr="000435C0" w:rsidR="007C6232" w:rsidP="000435C0" w:rsidRDefault="007C623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49"/>
        <w:gridCol w:w="853"/>
      </w:tblGrid>
      <w:tr w:rsidRPr="000435C0" w:rsidR="007C6232" w:rsidTr="003F144A">
        <w:tc>
          <w:tcPr>
            <w:tcW w:w="9000"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KOPPELING UITKERINGEN: NIET-BELASTINGONTVANGSTEN</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2016</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Miljoenennota 2017 (excl. IS)</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 (subtotaal)</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Internationale samenwerking</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0,0</w:t>
            </w:r>
          </w:p>
        </w:tc>
      </w:tr>
    </w:tbl>
    <w:p w:rsidRPr="000435C0" w:rsidR="00AA6932" w:rsidP="000435C0" w:rsidRDefault="00AA6932">
      <w:pPr>
        <w:spacing w:line="240" w:lineRule="exact"/>
        <w:rPr>
          <w:rFonts w:ascii="Verdana" w:hAnsi="Verdana" w:cs="Verdana"/>
          <w:b/>
          <w:bCs/>
          <w:sz w:val="18"/>
          <w:szCs w:val="18"/>
        </w:rPr>
      </w:pPr>
      <w:r w:rsidRPr="000435C0">
        <w:rPr>
          <w:rFonts w:ascii="Verdana" w:hAnsi="Verdana" w:cs="Verdana"/>
          <w:b/>
          <w:bCs/>
          <w:sz w:val="18"/>
          <w:szCs w:val="18"/>
        </w:rPr>
        <w:br w:type="page"/>
      </w:r>
    </w:p>
    <w:p w:rsidRPr="000435C0" w:rsidR="00515AF8" w:rsidP="000435C0" w:rsidRDefault="00515AF8">
      <w:pPr>
        <w:spacing w:line="240" w:lineRule="exact"/>
        <w:rPr>
          <w:rFonts w:ascii="Verdana" w:hAnsi="Verdana" w:cs="Verdana"/>
          <w:b/>
          <w:bCs/>
          <w:sz w:val="18"/>
          <w:szCs w:val="18"/>
        </w:rPr>
      </w:pPr>
      <w:r w:rsidRPr="000435C0">
        <w:rPr>
          <w:rFonts w:ascii="Verdana" w:hAnsi="Verdana" w:cs="Verdana"/>
          <w:b/>
          <w:bCs/>
          <w:sz w:val="18"/>
          <w:szCs w:val="18"/>
        </w:rPr>
        <w:t>Aanvullende Post Algemeen</w:t>
      </w:r>
    </w:p>
    <w:p w:rsidRPr="000435C0" w:rsidR="00915C5A" w:rsidP="000435C0" w:rsidRDefault="00915C5A">
      <w:pPr>
        <w:spacing w:line="240" w:lineRule="exact"/>
        <w:rPr>
          <w:rFonts w:ascii="Verdana" w:hAnsi="Verdana" w:cs="Verdana"/>
          <w:b/>
          <w:bCs/>
          <w:sz w:val="18"/>
          <w:szCs w:val="18"/>
        </w:rPr>
      </w:pPr>
    </w:p>
    <w:p w:rsidRPr="000435C0" w:rsidR="007C6232" w:rsidP="000435C0" w:rsidRDefault="007C6232">
      <w:pPr>
        <w:spacing w:line="240" w:lineRule="exact"/>
        <w:rPr>
          <w:rFonts w:ascii="Verdana" w:hAnsi="Verdana"/>
          <w:vanish/>
          <w:sz w:val="18"/>
          <w:szCs w:val="18"/>
        </w:rPr>
      </w:pPr>
    </w:p>
    <w:p w:rsidR="00EE76BA" w:rsidP="00EE76BA" w:rsidRDefault="00EE76BA">
      <w:pPr>
        <w:rPr>
          <w:rFonts w:ascii="Verdana" w:hAnsi="Verdana"/>
          <w:vanish/>
          <w:sz w:val="14"/>
          <w:szCs w:val="14"/>
        </w:rPr>
      </w:pPr>
    </w:p>
    <w:tbl>
      <w:tblPr>
        <w:tblW w:w="0" w:type="auto"/>
        <w:tblCellMar>
          <w:top w:w="15" w:type="dxa"/>
          <w:left w:w="15" w:type="dxa"/>
          <w:bottom w:w="15" w:type="dxa"/>
          <w:right w:w="15" w:type="dxa"/>
        </w:tblCellMar>
        <w:tblLook w:val="04A0"/>
      </w:tblPr>
      <w:tblGrid>
        <w:gridCol w:w="8237"/>
        <w:gridCol w:w="815"/>
      </w:tblGrid>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ALGEMEEN: UITGAVEN</w:t>
            </w:r>
          </w:p>
        </w:tc>
        <w:tc>
          <w:tcPr>
            <w:tcW w:w="0" w:type="auto"/>
            <w:hideMark/>
          </w:tcPr>
          <w:p w:rsidR="00EE76BA" w:rsidP="00EE76BA" w:rsidRDefault="00EE76BA">
            <w:pPr>
              <w:rPr>
                <w:sz w:val="20"/>
                <w:szCs w:val="20"/>
              </w:rPr>
            </w:pPr>
          </w:p>
        </w:tc>
      </w:tr>
      <w:tr w:rsidR="00EE76BA" w:rsidTr="00EE76BA">
        <w:tc>
          <w:tcPr>
            <w:tcW w:w="8237" w:type="dxa"/>
            <w:tcBorders>
              <w:top w:val="single" w:color="000000" w:sz="8" w:space="0"/>
              <w:left w:val="nil"/>
              <w:bottom w:val="single" w:color="000000" w:sz="8" w:space="0"/>
              <w:right w:val="nil"/>
            </w:tcBorders>
            <w:hideMark/>
          </w:tcPr>
          <w:p w:rsidR="00EE76BA" w:rsidP="00EE76BA" w:rsidRDefault="00EE76BA">
            <w:pPr>
              <w:jc w:val="right"/>
              <w:rPr>
                <w:rFonts w:ascii="Verdana" w:hAnsi="Verdana"/>
                <w:sz w:val="18"/>
                <w:szCs w:val="18"/>
              </w:rPr>
            </w:pPr>
          </w:p>
        </w:tc>
        <w:tc>
          <w:tcPr>
            <w:tcW w:w="0" w:type="auto"/>
            <w:tcBorders>
              <w:top w:val="single" w:color="000000" w:sz="8" w:space="0"/>
              <w:left w:val="nil"/>
              <w:bottom w:val="single" w:color="000000" w:sz="8" w:space="0"/>
              <w:right w:val="nil"/>
            </w:tcBorders>
            <w:hideMark/>
          </w:tcPr>
          <w:p w:rsidR="00EE76BA" w:rsidP="00EE76BA" w:rsidRDefault="00EE76BA">
            <w:pPr>
              <w:jc w:val="right"/>
              <w:rPr>
                <w:rFonts w:ascii="Verdana" w:hAnsi="Verdana"/>
                <w:sz w:val="18"/>
                <w:szCs w:val="18"/>
              </w:rPr>
            </w:pPr>
            <w:r>
              <w:rPr>
                <w:rFonts w:ascii="Verdana" w:hAnsi="Verdana"/>
                <w:sz w:val="18"/>
                <w:szCs w:val="18"/>
              </w:rPr>
              <w:t>2016</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Stand Miljoenennota 2017 (excl. IS)</w:t>
            </w:r>
          </w:p>
        </w:tc>
        <w:tc>
          <w:tcPr>
            <w:tcW w:w="0" w:type="auto"/>
            <w:tcBorders>
              <w:top w:val="single" w:color="000000" w:sz="8" w:space="0"/>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-2.266,5</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Beleidsmatige mutaties</w:t>
            </w:r>
          </w:p>
        </w:tc>
        <w:tc>
          <w:tcPr>
            <w:tcW w:w="0" w:type="auto"/>
            <w:hideMark/>
          </w:tcPr>
          <w:p w:rsidR="00EE76BA" w:rsidP="00EE76BA" w:rsidRDefault="00EE76BA">
            <w:pPr>
              <w:rPr>
                <w:sz w:val="20"/>
                <w:szCs w:val="20"/>
              </w:rPr>
            </w:pPr>
          </w:p>
        </w:tc>
      </w:tr>
      <w:tr w:rsidR="00EE76BA" w:rsidTr="00EE76BA">
        <w:tc>
          <w:tcPr>
            <w:tcW w:w="8237" w:type="dxa"/>
            <w:tcBorders>
              <w:left w:val="nil"/>
              <w:right w:val="nil"/>
            </w:tcBorders>
            <w:tcMar>
              <w:top w:w="15" w:type="dxa"/>
              <w:left w:w="224" w:type="dxa"/>
              <w:bottom w:w="15" w:type="dxa"/>
              <w:right w:w="15" w:type="dxa"/>
            </w:tcMar>
            <w:vAlign w:val="both"/>
            <w:hideMark/>
          </w:tcPr>
          <w:p w:rsidR="00EE76BA" w:rsidP="00EE76BA" w:rsidRDefault="00EE76BA">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EE76BA" w:rsidP="00EE76BA" w:rsidRDefault="00EE76BA">
            <w:pPr>
              <w:rPr>
                <w:sz w:val="20"/>
                <w:szCs w:val="20"/>
              </w:rPr>
            </w:pPr>
          </w:p>
        </w:tc>
      </w:tr>
      <w:tr w:rsidR="00EE76BA" w:rsidTr="00EE76BA">
        <w:tc>
          <w:tcPr>
            <w:tcW w:w="8237" w:type="dxa"/>
            <w:tcBorders>
              <w:left w:val="nil"/>
              <w:right w:val="nil"/>
            </w:tcBorders>
            <w:tcMar>
              <w:top w:w="15" w:type="dxa"/>
              <w:left w:w="449" w:type="dxa"/>
              <w:bottom w:w="15" w:type="dxa"/>
              <w:right w:w="15" w:type="dxa"/>
            </w:tcMar>
            <w:vAlign w:val="both"/>
            <w:hideMark/>
          </w:tcPr>
          <w:p w:rsidR="00EE76BA" w:rsidP="00EE76BA" w:rsidRDefault="00EE76BA">
            <w:pPr>
              <w:ind w:firstLine="360" w:firstLineChars="200"/>
              <w:rPr>
                <w:rFonts w:ascii="Verdana" w:hAnsi="Verdana"/>
                <w:sz w:val="18"/>
                <w:szCs w:val="18"/>
              </w:rPr>
            </w:pPr>
            <w:r>
              <w:rPr>
                <w:rFonts w:ascii="Verdana" w:hAnsi="Verdana"/>
                <w:sz w:val="18"/>
                <w:szCs w:val="18"/>
              </w:rPr>
              <w:t>Invullen in=uit taakstelling</w:t>
            </w:r>
          </w:p>
        </w:tc>
        <w:tc>
          <w:tcPr>
            <w:tcW w:w="0" w:type="auto"/>
            <w:tcBorders>
              <w:left w:val="nil"/>
              <w:right w:val="nil"/>
            </w:tcBorders>
            <w:hideMark/>
          </w:tcPr>
          <w:p w:rsidR="00EE76BA" w:rsidP="00EE76BA" w:rsidRDefault="00203CB0">
            <w:pPr>
              <w:jc w:val="right"/>
              <w:rPr>
                <w:rFonts w:ascii="Verdana" w:hAnsi="Verdana"/>
                <w:sz w:val="18"/>
                <w:szCs w:val="18"/>
              </w:rPr>
            </w:pPr>
            <w:r>
              <w:rPr>
                <w:rFonts w:ascii="Verdana" w:hAnsi="Verdana"/>
                <w:sz w:val="18"/>
                <w:szCs w:val="18"/>
              </w:rPr>
              <w:t>1.3</w:t>
            </w:r>
            <w:r w:rsidR="00EE76BA">
              <w:rPr>
                <w:rFonts w:ascii="Verdana" w:hAnsi="Verdana"/>
                <w:sz w:val="18"/>
                <w:szCs w:val="18"/>
              </w:rPr>
              <w:t>63,3</w:t>
            </w:r>
          </w:p>
        </w:tc>
      </w:tr>
      <w:tr w:rsidR="00EE76BA" w:rsidTr="00EE76BA">
        <w:tc>
          <w:tcPr>
            <w:tcW w:w="8237" w:type="dxa"/>
            <w:tcBorders>
              <w:left w:val="nil"/>
              <w:right w:val="nil"/>
            </w:tcBorders>
            <w:tcMar>
              <w:top w:w="15" w:type="dxa"/>
              <w:left w:w="449" w:type="dxa"/>
              <w:bottom w:w="15" w:type="dxa"/>
              <w:right w:w="15" w:type="dxa"/>
            </w:tcMar>
            <w:vAlign w:val="both"/>
            <w:hideMark/>
          </w:tcPr>
          <w:p w:rsidR="00EE76BA" w:rsidP="00EE76BA" w:rsidRDefault="00EE76BA">
            <w:pPr>
              <w:ind w:firstLine="360" w:firstLineChars="200"/>
              <w:rPr>
                <w:rFonts w:ascii="Verdana" w:hAnsi="Verdana"/>
                <w:sz w:val="18"/>
                <w:szCs w:val="18"/>
              </w:rPr>
            </w:pPr>
            <w:r>
              <w:rPr>
                <w:rFonts w:ascii="Verdana" w:hAnsi="Verdana"/>
                <w:sz w:val="18"/>
                <w:szCs w:val="18"/>
              </w:rPr>
              <w:t>Vrijval ia-middelen belastingdienst</w:t>
            </w:r>
          </w:p>
        </w:tc>
        <w:tc>
          <w:tcPr>
            <w:tcW w:w="0" w:type="auto"/>
            <w:tcBorders>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-63,9</w:t>
            </w:r>
          </w:p>
        </w:tc>
      </w:tr>
      <w:tr w:rsidR="00EE76BA" w:rsidTr="00EE76BA">
        <w:tc>
          <w:tcPr>
            <w:tcW w:w="8237" w:type="dxa"/>
            <w:tcBorders>
              <w:left w:val="nil"/>
              <w:right w:val="nil"/>
            </w:tcBorders>
            <w:tcMar>
              <w:top w:w="15" w:type="dxa"/>
              <w:left w:w="449" w:type="dxa"/>
              <w:bottom w:w="15" w:type="dxa"/>
              <w:right w:w="15" w:type="dxa"/>
            </w:tcMar>
            <w:vAlign w:val="both"/>
            <w:hideMark/>
          </w:tcPr>
          <w:p w:rsidR="00EE76BA" w:rsidP="00EE76BA" w:rsidRDefault="00EE76BA">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-3,7</w:t>
            </w:r>
          </w:p>
        </w:tc>
      </w:tr>
      <w:tr w:rsidR="00EE76BA" w:rsidTr="00EE76BA">
        <w:tc>
          <w:tcPr>
            <w:tcW w:w="8237" w:type="dxa"/>
            <w:tcBorders>
              <w:left w:val="nil"/>
              <w:right w:val="nil"/>
            </w:tcBorders>
            <w:tcMar>
              <w:top w:w="15" w:type="dxa"/>
              <w:left w:w="224" w:type="dxa"/>
              <w:bottom w:w="15" w:type="dxa"/>
              <w:right w:w="15" w:type="dxa"/>
            </w:tcMar>
            <w:vAlign w:val="both"/>
            <w:hideMark/>
          </w:tcPr>
          <w:p w:rsidR="00EE76BA" w:rsidP="00EE76BA" w:rsidRDefault="00EE76BA">
            <w:pPr>
              <w:ind w:firstLine="180" w:firstLineChars="100"/>
              <w:rPr>
                <w:rFonts w:ascii="Verdana" w:hAnsi="Verdana"/>
                <w:sz w:val="18"/>
                <w:szCs w:val="18"/>
              </w:rPr>
            </w:pPr>
            <w:r>
              <w:rPr>
                <w:rFonts w:ascii="Verdana" w:hAnsi="Verdana"/>
                <w:sz w:val="18"/>
                <w:szCs w:val="18"/>
              </w:rPr>
              <w:t>Sociale zekerheid</w:t>
            </w:r>
          </w:p>
        </w:tc>
        <w:tc>
          <w:tcPr>
            <w:tcW w:w="0" w:type="auto"/>
            <w:hideMark/>
          </w:tcPr>
          <w:p w:rsidR="00EE76BA" w:rsidP="00EE76BA" w:rsidRDefault="00EE76BA">
            <w:pPr>
              <w:rPr>
                <w:sz w:val="20"/>
                <w:szCs w:val="20"/>
              </w:rPr>
            </w:pPr>
          </w:p>
        </w:tc>
      </w:tr>
      <w:tr w:rsidR="00EE76BA" w:rsidTr="00EE76BA">
        <w:tc>
          <w:tcPr>
            <w:tcW w:w="8237" w:type="dxa"/>
            <w:tcBorders>
              <w:left w:val="nil"/>
              <w:right w:val="nil"/>
            </w:tcBorders>
            <w:tcMar>
              <w:top w:w="15" w:type="dxa"/>
              <w:left w:w="449" w:type="dxa"/>
              <w:bottom w:w="15" w:type="dxa"/>
              <w:right w:w="15" w:type="dxa"/>
            </w:tcMar>
            <w:vAlign w:val="both"/>
            <w:hideMark/>
          </w:tcPr>
          <w:p w:rsidR="00EE76BA" w:rsidP="00EE76BA" w:rsidRDefault="00EE76BA">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0,7</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 </w:t>
            </w:r>
          </w:p>
        </w:tc>
        <w:tc>
          <w:tcPr>
            <w:tcW w:w="0" w:type="auto"/>
            <w:tcBorders>
              <w:top w:val="single" w:color="000000" w:sz="8" w:space="0"/>
              <w:left w:val="nil"/>
              <w:right w:val="nil"/>
            </w:tcBorders>
            <w:hideMark/>
          </w:tcPr>
          <w:p w:rsidR="00EE76BA" w:rsidP="00EE76BA" w:rsidRDefault="00203CB0">
            <w:pPr>
              <w:jc w:val="right"/>
              <w:rPr>
                <w:rFonts w:ascii="Verdana" w:hAnsi="Verdana"/>
                <w:sz w:val="18"/>
                <w:szCs w:val="18"/>
              </w:rPr>
            </w:pPr>
            <w:r>
              <w:rPr>
                <w:rFonts w:ascii="Verdana" w:hAnsi="Verdana"/>
                <w:sz w:val="18"/>
                <w:szCs w:val="18"/>
              </w:rPr>
              <w:t>1.2</w:t>
            </w:r>
            <w:r w:rsidR="00EE76BA">
              <w:rPr>
                <w:rFonts w:ascii="Verdana" w:hAnsi="Verdana"/>
                <w:sz w:val="18"/>
                <w:szCs w:val="18"/>
              </w:rPr>
              <w:t>96,4</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Technische mutaties</w:t>
            </w:r>
          </w:p>
        </w:tc>
        <w:tc>
          <w:tcPr>
            <w:tcW w:w="0" w:type="auto"/>
            <w:hideMark/>
          </w:tcPr>
          <w:p w:rsidR="00EE76BA" w:rsidP="00EE76BA" w:rsidRDefault="00EE76BA">
            <w:pPr>
              <w:rPr>
                <w:sz w:val="20"/>
                <w:szCs w:val="20"/>
              </w:rPr>
            </w:pPr>
          </w:p>
        </w:tc>
      </w:tr>
      <w:tr w:rsidR="00EE76BA" w:rsidTr="00EE76BA">
        <w:tc>
          <w:tcPr>
            <w:tcW w:w="8237" w:type="dxa"/>
            <w:tcBorders>
              <w:left w:val="nil"/>
              <w:right w:val="nil"/>
            </w:tcBorders>
            <w:tcMar>
              <w:top w:w="15" w:type="dxa"/>
              <w:left w:w="224" w:type="dxa"/>
              <w:bottom w:w="15" w:type="dxa"/>
              <w:right w:w="15" w:type="dxa"/>
            </w:tcMar>
            <w:vAlign w:val="both"/>
            <w:hideMark/>
          </w:tcPr>
          <w:p w:rsidR="00EE76BA" w:rsidP="00EE76BA" w:rsidRDefault="00EE76BA">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EE76BA" w:rsidP="00EE76BA" w:rsidRDefault="00EE76BA">
            <w:pPr>
              <w:rPr>
                <w:sz w:val="20"/>
                <w:szCs w:val="20"/>
              </w:rPr>
            </w:pPr>
          </w:p>
        </w:tc>
      </w:tr>
      <w:tr w:rsidR="00EE76BA" w:rsidTr="00EE76BA">
        <w:tc>
          <w:tcPr>
            <w:tcW w:w="8237" w:type="dxa"/>
            <w:tcBorders>
              <w:left w:val="nil"/>
              <w:right w:val="nil"/>
            </w:tcBorders>
            <w:tcMar>
              <w:top w:w="15" w:type="dxa"/>
              <w:left w:w="449" w:type="dxa"/>
              <w:bottom w:w="15" w:type="dxa"/>
              <w:right w:w="15" w:type="dxa"/>
            </w:tcMar>
            <w:vAlign w:val="both"/>
            <w:hideMark/>
          </w:tcPr>
          <w:p w:rsidR="00EE76BA" w:rsidP="00EE76BA" w:rsidRDefault="00EE76BA">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-0,5</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 </w:t>
            </w:r>
          </w:p>
        </w:tc>
        <w:tc>
          <w:tcPr>
            <w:tcW w:w="0" w:type="auto"/>
            <w:tcBorders>
              <w:top w:val="single" w:color="000000" w:sz="8" w:space="0"/>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-0,5</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Totaal mutaties sinds Miljoenennota 2017</w:t>
            </w:r>
          </w:p>
        </w:tc>
        <w:tc>
          <w:tcPr>
            <w:tcW w:w="0" w:type="auto"/>
            <w:tcBorders>
              <w:left w:val="nil"/>
              <w:right w:val="nil"/>
            </w:tcBorders>
            <w:hideMark/>
          </w:tcPr>
          <w:p w:rsidR="00EE76BA" w:rsidP="00EE76BA" w:rsidRDefault="00203CB0">
            <w:pPr>
              <w:jc w:val="right"/>
              <w:rPr>
                <w:rFonts w:ascii="Verdana" w:hAnsi="Verdana"/>
                <w:sz w:val="18"/>
                <w:szCs w:val="18"/>
              </w:rPr>
            </w:pPr>
            <w:r>
              <w:rPr>
                <w:rFonts w:ascii="Verdana" w:hAnsi="Verdana"/>
                <w:sz w:val="18"/>
                <w:szCs w:val="18"/>
              </w:rPr>
              <w:t>1.2</w:t>
            </w:r>
            <w:r w:rsidR="00EE76BA">
              <w:rPr>
                <w:rFonts w:ascii="Verdana" w:hAnsi="Verdana"/>
                <w:sz w:val="18"/>
                <w:szCs w:val="18"/>
              </w:rPr>
              <w:t>95,9</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 </w:t>
            </w:r>
          </w:p>
        </w:tc>
        <w:tc>
          <w:tcPr>
            <w:tcW w:w="0" w:type="auto"/>
            <w:hideMark/>
          </w:tcPr>
          <w:p w:rsidR="00EE76BA" w:rsidP="00EE76BA" w:rsidRDefault="00EE76BA">
            <w:pPr>
              <w:rPr>
                <w:sz w:val="20"/>
                <w:szCs w:val="20"/>
              </w:rPr>
            </w:pP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Stand Najaarsnota 2016 (subtotaal)</w:t>
            </w:r>
          </w:p>
        </w:tc>
        <w:tc>
          <w:tcPr>
            <w:tcW w:w="0" w:type="auto"/>
            <w:tcBorders>
              <w:top w:val="single" w:color="000000" w:sz="8" w:space="0"/>
              <w:left w:val="nil"/>
              <w:right w:val="nil"/>
            </w:tcBorders>
            <w:hideMark/>
          </w:tcPr>
          <w:p w:rsidR="00EE76BA" w:rsidP="00EE76BA" w:rsidRDefault="00203CB0">
            <w:pPr>
              <w:jc w:val="right"/>
              <w:rPr>
                <w:rFonts w:ascii="Verdana" w:hAnsi="Verdana"/>
                <w:sz w:val="18"/>
                <w:szCs w:val="18"/>
              </w:rPr>
            </w:pPr>
            <w:r>
              <w:rPr>
                <w:rFonts w:ascii="Verdana" w:hAnsi="Verdana"/>
                <w:sz w:val="18"/>
                <w:szCs w:val="18"/>
              </w:rPr>
              <w:t>-9</w:t>
            </w:r>
            <w:r w:rsidR="00EE76BA">
              <w:rPr>
                <w:rFonts w:ascii="Verdana" w:hAnsi="Verdana"/>
                <w:sz w:val="18"/>
                <w:szCs w:val="18"/>
              </w:rPr>
              <w:t>70,6</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0,0</w:t>
            </w:r>
          </w:p>
        </w:tc>
      </w:tr>
      <w:tr w:rsidR="00EE76BA" w:rsidTr="00EE76BA">
        <w:tc>
          <w:tcPr>
            <w:tcW w:w="8237"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Stand Najaarsnota 2016</w:t>
            </w:r>
          </w:p>
        </w:tc>
        <w:tc>
          <w:tcPr>
            <w:tcW w:w="0" w:type="auto"/>
            <w:tcBorders>
              <w:top w:val="single" w:color="000000" w:sz="8" w:space="0"/>
              <w:left w:val="nil"/>
              <w:right w:val="nil"/>
            </w:tcBorders>
            <w:hideMark/>
          </w:tcPr>
          <w:p w:rsidR="00EE76BA" w:rsidP="00EE76BA" w:rsidRDefault="00203CB0">
            <w:pPr>
              <w:jc w:val="right"/>
              <w:rPr>
                <w:rFonts w:ascii="Verdana" w:hAnsi="Verdana"/>
                <w:sz w:val="18"/>
                <w:szCs w:val="18"/>
              </w:rPr>
            </w:pPr>
            <w:r>
              <w:rPr>
                <w:rFonts w:ascii="Verdana" w:hAnsi="Verdana"/>
                <w:sz w:val="18"/>
                <w:szCs w:val="18"/>
              </w:rPr>
              <w:t>-9</w:t>
            </w:r>
            <w:r w:rsidR="00EE76BA">
              <w:rPr>
                <w:rFonts w:ascii="Verdana" w:hAnsi="Verdana"/>
                <w:sz w:val="18"/>
                <w:szCs w:val="18"/>
              </w:rPr>
              <w:t>70,6</w:t>
            </w:r>
          </w:p>
        </w:tc>
      </w:tr>
    </w:tbl>
    <w:p w:rsidR="00EE76BA" w:rsidP="00EE76BA" w:rsidRDefault="00EE76BA">
      <w:pPr>
        <w:rPr>
          <w:rFonts w:ascii="Verdana" w:hAnsi="Verdana"/>
          <w:vanish/>
          <w:sz w:val="14"/>
          <w:szCs w:val="14"/>
        </w:rPr>
      </w:pPr>
    </w:p>
    <w:tbl>
      <w:tblPr>
        <w:tblW w:w="0" w:type="auto"/>
        <w:tblCellMar>
          <w:top w:w="15" w:type="dxa"/>
          <w:left w:w="15" w:type="dxa"/>
          <w:bottom w:w="15" w:type="dxa"/>
          <w:right w:w="15" w:type="dxa"/>
        </w:tblCellMar>
        <w:tblLook w:val="04A0"/>
      </w:tblPr>
      <w:tblGrid>
        <w:gridCol w:w="8249"/>
        <w:gridCol w:w="853"/>
      </w:tblGrid>
      <w:tr w:rsidR="00EE76BA" w:rsidTr="00EE76BA">
        <w:tc>
          <w:tcPr>
            <w:tcW w:w="9000"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 </w:t>
            </w:r>
          </w:p>
        </w:tc>
        <w:tc>
          <w:tcPr>
            <w:tcW w:w="900" w:type="dxa"/>
            <w:tcBorders>
              <w:left w:val="nil"/>
              <w:right w:val="nil"/>
            </w:tcBorders>
            <w:hideMark/>
          </w:tcPr>
          <w:p w:rsidR="00EE76BA" w:rsidP="00EE76BA" w:rsidRDefault="00EE76BA">
            <w:pPr>
              <w:rPr>
                <w:rFonts w:ascii="Verdana" w:hAnsi="Verdana"/>
                <w:sz w:val="18"/>
                <w:szCs w:val="18"/>
              </w:rPr>
            </w:pPr>
            <w:r>
              <w:rPr>
                <w:rFonts w:ascii="Verdana" w:hAnsi="Verdana"/>
                <w:sz w:val="18"/>
                <w:szCs w:val="18"/>
              </w:rPr>
              <w:t> </w:t>
            </w:r>
          </w:p>
        </w:tc>
      </w:tr>
      <w:tr w:rsidR="00EE76BA" w:rsidTr="00EE76BA">
        <w:tc>
          <w:tcPr>
            <w:tcW w:w="0" w:type="auto"/>
            <w:tcBorders>
              <w:left w:val="nil"/>
              <w:right w:val="nil"/>
            </w:tcBorders>
            <w:hideMark/>
          </w:tcPr>
          <w:p w:rsidR="00EE76BA" w:rsidP="00EE76BA" w:rsidRDefault="00EE76BA">
            <w:pPr>
              <w:rPr>
                <w:rFonts w:ascii="Verdana" w:hAnsi="Verdana"/>
                <w:sz w:val="18"/>
                <w:szCs w:val="18"/>
              </w:rPr>
            </w:pPr>
            <w:r>
              <w:rPr>
                <w:rFonts w:ascii="Verdana" w:hAnsi="Verdana"/>
                <w:sz w:val="18"/>
                <w:szCs w:val="18"/>
              </w:rPr>
              <w:t>ALGEMEEN: NIET-BELASTINGONTVANGSTEN</w:t>
            </w:r>
          </w:p>
        </w:tc>
        <w:tc>
          <w:tcPr>
            <w:tcW w:w="0" w:type="auto"/>
            <w:hideMark/>
          </w:tcPr>
          <w:p w:rsidR="00EE76BA" w:rsidP="00EE76BA" w:rsidRDefault="00EE76BA">
            <w:pPr>
              <w:rPr>
                <w:sz w:val="20"/>
                <w:szCs w:val="20"/>
              </w:rPr>
            </w:pPr>
          </w:p>
        </w:tc>
      </w:tr>
      <w:tr w:rsidR="00EE76BA" w:rsidTr="00EE76BA">
        <w:tc>
          <w:tcPr>
            <w:tcW w:w="0" w:type="auto"/>
            <w:tcBorders>
              <w:top w:val="single" w:color="000000" w:sz="8" w:space="0"/>
              <w:left w:val="nil"/>
              <w:bottom w:val="single" w:color="000000" w:sz="8" w:space="0"/>
              <w:right w:val="nil"/>
            </w:tcBorders>
            <w:hideMark/>
          </w:tcPr>
          <w:p w:rsidR="00EE76BA" w:rsidP="00EE76BA" w:rsidRDefault="00EE76BA">
            <w:pPr>
              <w:jc w:val="right"/>
              <w:rPr>
                <w:rFonts w:ascii="Verdana" w:hAnsi="Verdana"/>
                <w:sz w:val="18"/>
                <w:szCs w:val="18"/>
              </w:rPr>
            </w:pPr>
          </w:p>
        </w:tc>
        <w:tc>
          <w:tcPr>
            <w:tcW w:w="0" w:type="auto"/>
            <w:tcBorders>
              <w:top w:val="single" w:color="000000" w:sz="8" w:space="0"/>
              <w:left w:val="nil"/>
              <w:bottom w:val="single" w:color="000000" w:sz="8" w:space="0"/>
              <w:right w:val="nil"/>
            </w:tcBorders>
            <w:hideMark/>
          </w:tcPr>
          <w:p w:rsidR="00EE76BA" w:rsidP="00EE76BA" w:rsidRDefault="00EE76BA">
            <w:pPr>
              <w:jc w:val="right"/>
              <w:rPr>
                <w:rFonts w:ascii="Verdana" w:hAnsi="Verdana"/>
                <w:sz w:val="18"/>
                <w:szCs w:val="18"/>
              </w:rPr>
            </w:pPr>
            <w:r>
              <w:rPr>
                <w:rFonts w:ascii="Verdana" w:hAnsi="Verdana"/>
                <w:sz w:val="18"/>
                <w:szCs w:val="18"/>
              </w:rPr>
              <w:t>2016</w:t>
            </w:r>
          </w:p>
        </w:tc>
      </w:tr>
      <w:tr w:rsidR="00EE76BA" w:rsidTr="00EE76BA">
        <w:tc>
          <w:tcPr>
            <w:tcW w:w="0" w:type="auto"/>
            <w:tcBorders>
              <w:left w:val="nil"/>
              <w:right w:val="nil"/>
            </w:tcBorders>
            <w:hideMark/>
          </w:tcPr>
          <w:p w:rsidR="00EE76BA" w:rsidP="00EE76BA" w:rsidRDefault="00EE76BA">
            <w:pPr>
              <w:rPr>
                <w:rFonts w:ascii="Verdana" w:hAnsi="Verdana"/>
                <w:sz w:val="18"/>
                <w:szCs w:val="18"/>
              </w:rPr>
            </w:pPr>
            <w:r>
              <w:rPr>
                <w:rFonts w:ascii="Verdana" w:hAnsi="Verdana"/>
                <w:sz w:val="18"/>
                <w:szCs w:val="18"/>
              </w:rPr>
              <w:t>Stand Miljoenennota 2017 (excl. IS)</w:t>
            </w:r>
          </w:p>
        </w:tc>
        <w:tc>
          <w:tcPr>
            <w:tcW w:w="0" w:type="auto"/>
            <w:tcBorders>
              <w:top w:val="single" w:color="000000" w:sz="8" w:space="0"/>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0,0</w:t>
            </w:r>
          </w:p>
        </w:tc>
      </w:tr>
      <w:tr w:rsidR="00EE76BA" w:rsidTr="00EE76BA">
        <w:tc>
          <w:tcPr>
            <w:tcW w:w="0" w:type="auto"/>
            <w:tcBorders>
              <w:left w:val="nil"/>
              <w:right w:val="nil"/>
            </w:tcBorders>
            <w:hideMark/>
          </w:tcPr>
          <w:p w:rsidR="00EE76BA" w:rsidP="00EE76BA" w:rsidRDefault="00EE76BA">
            <w:pPr>
              <w:rPr>
                <w:rFonts w:ascii="Verdana" w:hAnsi="Verdana"/>
                <w:sz w:val="18"/>
                <w:szCs w:val="18"/>
              </w:rPr>
            </w:pPr>
            <w:r>
              <w:rPr>
                <w:rFonts w:ascii="Verdana" w:hAnsi="Verdana"/>
                <w:sz w:val="18"/>
                <w:szCs w:val="18"/>
              </w:rPr>
              <w:t>Totaal mutaties sinds Miljoenennota 2017</w:t>
            </w:r>
          </w:p>
        </w:tc>
        <w:tc>
          <w:tcPr>
            <w:tcW w:w="0" w:type="auto"/>
            <w:tcBorders>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0,0</w:t>
            </w:r>
          </w:p>
        </w:tc>
      </w:tr>
      <w:tr w:rsidR="00EE76BA" w:rsidTr="00EE76BA">
        <w:tc>
          <w:tcPr>
            <w:tcW w:w="0" w:type="auto"/>
            <w:tcBorders>
              <w:left w:val="nil"/>
              <w:right w:val="nil"/>
            </w:tcBorders>
            <w:hideMark/>
          </w:tcPr>
          <w:p w:rsidR="00EE76BA" w:rsidP="00EE76BA" w:rsidRDefault="00EE76BA">
            <w:pPr>
              <w:rPr>
                <w:rFonts w:ascii="Verdana" w:hAnsi="Verdana"/>
                <w:sz w:val="18"/>
                <w:szCs w:val="18"/>
              </w:rPr>
            </w:pPr>
            <w:r>
              <w:rPr>
                <w:rFonts w:ascii="Verdana" w:hAnsi="Verdana"/>
                <w:sz w:val="18"/>
                <w:szCs w:val="18"/>
              </w:rPr>
              <w:t> </w:t>
            </w:r>
          </w:p>
        </w:tc>
        <w:tc>
          <w:tcPr>
            <w:tcW w:w="0" w:type="auto"/>
            <w:hideMark/>
          </w:tcPr>
          <w:p w:rsidR="00EE76BA" w:rsidP="00EE76BA" w:rsidRDefault="00EE76BA">
            <w:pPr>
              <w:rPr>
                <w:sz w:val="20"/>
                <w:szCs w:val="20"/>
              </w:rPr>
            </w:pPr>
          </w:p>
        </w:tc>
      </w:tr>
      <w:tr w:rsidR="00EE76BA" w:rsidTr="00EE76BA">
        <w:tc>
          <w:tcPr>
            <w:tcW w:w="0" w:type="auto"/>
            <w:tcBorders>
              <w:left w:val="nil"/>
              <w:right w:val="nil"/>
            </w:tcBorders>
            <w:hideMark/>
          </w:tcPr>
          <w:p w:rsidR="00EE76BA" w:rsidP="00EE76BA" w:rsidRDefault="00EE76BA">
            <w:pPr>
              <w:rPr>
                <w:rFonts w:ascii="Verdana" w:hAnsi="Verdana"/>
                <w:sz w:val="18"/>
                <w:szCs w:val="18"/>
              </w:rPr>
            </w:pPr>
            <w:r>
              <w:rPr>
                <w:rFonts w:ascii="Verdana" w:hAnsi="Verdana"/>
                <w:sz w:val="18"/>
                <w:szCs w:val="18"/>
              </w:rPr>
              <w:t>Stand Najaarsnota 2016 (subtotaal)</w:t>
            </w:r>
          </w:p>
        </w:tc>
        <w:tc>
          <w:tcPr>
            <w:tcW w:w="0" w:type="auto"/>
            <w:tcBorders>
              <w:top w:val="single" w:color="000000" w:sz="8" w:space="0"/>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0,0</w:t>
            </w:r>
          </w:p>
        </w:tc>
      </w:tr>
      <w:tr w:rsidR="00EE76BA" w:rsidTr="00EE76BA">
        <w:tc>
          <w:tcPr>
            <w:tcW w:w="0" w:type="auto"/>
            <w:tcBorders>
              <w:left w:val="nil"/>
              <w:right w:val="nil"/>
            </w:tcBorders>
            <w:hideMark/>
          </w:tcPr>
          <w:p w:rsidR="00EE76BA" w:rsidP="00EE76BA" w:rsidRDefault="00EE76BA">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0,0</w:t>
            </w:r>
          </w:p>
        </w:tc>
      </w:tr>
      <w:tr w:rsidR="00EE76BA" w:rsidTr="00EE76BA">
        <w:tc>
          <w:tcPr>
            <w:tcW w:w="0" w:type="auto"/>
            <w:tcBorders>
              <w:left w:val="nil"/>
              <w:right w:val="nil"/>
            </w:tcBorders>
            <w:hideMark/>
          </w:tcPr>
          <w:p w:rsidR="00EE76BA" w:rsidP="00EE76BA" w:rsidRDefault="00EE76BA">
            <w:pPr>
              <w:rPr>
                <w:rFonts w:ascii="Verdana" w:hAnsi="Verdana"/>
                <w:sz w:val="18"/>
                <w:szCs w:val="18"/>
              </w:rPr>
            </w:pPr>
            <w:r>
              <w:rPr>
                <w:rFonts w:ascii="Verdana" w:hAnsi="Verdana"/>
                <w:sz w:val="18"/>
                <w:szCs w:val="18"/>
              </w:rPr>
              <w:t>Stand Najaarsnota 2016</w:t>
            </w:r>
          </w:p>
        </w:tc>
        <w:tc>
          <w:tcPr>
            <w:tcW w:w="0" w:type="auto"/>
            <w:tcBorders>
              <w:top w:val="single" w:color="000000" w:sz="8" w:space="0"/>
              <w:left w:val="nil"/>
              <w:right w:val="nil"/>
            </w:tcBorders>
            <w:hideMark/>
          </w:tcPr>
          <w:p w:rsidR="00EE76BA" w:rsidP="00EE76BA" w:rsidRDefault="00EE76BA">
            <w:pPr>
              <w:jc w:val="right"/>
              <w:rPr>
                <w:rFonts w:ascii="Verdana" w:hAnsi="Verdana"/>
                <w:sz w:val="18"/>
                <w:szCs w:val="18"/>
              </w:rPr>
            </w:pPr>
            <w:r>
              <w:rPr>
                <w:rFonts w:ascii="Verdana" w:hAnsi="Verdana"/>
                <w:sz w:val="18"/>
                <w:szCs w:val="18"/>
              </w:rPr>
              <w:t>0,0</w:t>
            </w:r>
          </w:p>
        </w:tc>
      </w:tr>
    </w:tbl>
    <w:p w:rsidR="00EE76BA" w:rsidP="00680158" w:rsidRDefault="00EE76BA">
      <w:pPr>
        <w:rPr>
          <w:rFonts w:ascii="Verdana" w:hAnsi="Verdana"/>
          <w:i/>
          <w:iCs/>
          <w:sz w:val="18"/>
          <w:szCs w:val="18"/>
        </w:rPr>
      </w:pPr>
    </w:p>
    <w:p w:rsidR="00AA2986" w:rsidP="00AA2986" w:rsidRDefault="00AA2986">
      <w:pPr>
        <w:rPr>
          <w:rFonts w:ascii="Verdana" w:hAnsi="Verdana"/>
          <w:i/>
          <w:iCs/>
          <w:sz w:val="18"/>
          <w:szCs w:val="18"/>
        </w:rPr>
      </w:pPr>
      <w:r>
        <w:rPr>
          <w:rFonts w:ascii="Verdana" w:hAnsi="Verdana"/>
          <w:i/>
          <w:iCs/>
          <w:sz w:val="18"/>
          <w:szCs w:val="18"/>
        </w:rPr>
        <w:t>Vrijval Investeringsagenda(IA) - middelen Belastingdienst</w:t>
      </w:r>
    </w:p>
    <w:p w:rsidRPr="00AA2986" w:rsidR="00EE76BA" w:rsidP="00680158" w:rsidRDefault="00AA2986">
      <w:pPr>
        <w:rPr>
          <w:rFonts w:ascii="Verdana" w:hAnsi="Verdana"/>
          <w:sz w:val="18"/>
          <w:szCs w:val="18"/>
        </w:rPr>
      </w:pPr>
      <w:r>
        <w:rPr>
          <w:rFonts w:ascii="Verdana" w:hAnsi="Verdana"/>
          <w:sz w:val="18"/>
          <w:szCs w:val="18"/>
        </w:rPr>
        <w:t>Het restant van de middelen (63,9 mln.) dat voor de Investeringsagenda van de Belastingdienst beschikbaar is voor 2016 valt vrij op de Aanvullende Post. De projecten waar reeds verplichtingen zijn aangegaan zonder goedkeuring van het IC zullen uit onderuitputting op de begroting van de Belastingdienst gefinancierd worden. Daarnaast is een deel van de middelen dit jaar niet tot besteding gekomen vanwege vertraging in de uitvoering van de Investeringsagenda.    </w:t>
      </w:r>
    </w:p>
    <w:p w:rsidR="00AA2986" w:rsidP="00680158" w:rsidRDefault="00AA2986">
      <w:pPr>
        <w:rPr>
          <w:rFonts w:ascii="Verdana" w:hAnsi="Verdana"/>
          <w:i/>
          <w:iCs/>
          <w:sz w:val="18"/>
          <w:szCs w:val="18"/>
        </w:rPr>
      </w:pPr>
    </w:p>
    <w:p w:rsidR="00680158" w:rsidP="00680158" w:rsidRDefault="00680158">
      <w:pPr>
        <w:rPr>
          <w:rFonts w:ascii="Verdana" w:hAnsi="Verdana"/>
          <w:i/>
          <w:iCs/>
          <w:sz w:val="18"/>
          <w:szCs w:val="18"/>
        </w:rPr>
      </w:pPr>
      <w:r>
        <w:rPr>
          <w:rFonts w:ascii="Verdana" w:hAnsi="Verdana"/>
          <w:i/>
          <w:iCs/>
          <w:sz w:val="18"/>
          <w:szCs w:val="18"/>
        </w:rPr>
        <w:t>Invullen in=uit taakstelling (Rbg-eng &amp; SZA)</w:t>
      </w:r>
    </w:p>
    <w:p w:rsidR="00680158" w:rsidP="00680158" w:rsidRDefault="00680158">
      <w:pPr>
        <w:rPr>
          <w:rFonts w:ascii="Verdana" w:hAnsi="Verdana"/>
          <w:sz w:val="18"/>
          <w:szCs w:val="18"/>
        </w:rPr>
      </w:pPr>
      <w:r>
        <w:rPr>
          <w:rFonts w:ascii="Verdana" w:hAnsi="Verdana"/>
          <w:sz w:val="18"/>
          <w:szCs w:val="18"/>
        </w:rPr>
        <w:t>Departementen mogen onderuitputting tot maximaal 1 procent van hun gecorrigeerde begrotingstotaal meenemen naar volgend jaar (via de zogenoemde eindejaarsmarge). Daarbij wordt de technische veronderstelling gehanteerd dat in het volgende jaar een gelijk bedrag aan onderuitputting zal optreden (in=uit taakstelling). Hiermee leidt de systematiek van de eindejaarsmarge niet tot EMU-saldobelasting. Bij Najaarsnota wordt een deel van de in=uittaakstelling voor 2016 ingevuld.</w:t>
      </w:r>
    </w:p>
    <w:p w:rsidRPr="000435C0" w:rsidR="004030F2" w:rsidP="000435C0" w:rsidRDefault="004030F2">
      <w:pPr>
        <w:spacing w:line="240" w:lineRule="exact"/>
        <w:rPr>
          <w:rFonts w:ascii="Verdana" w:hAnsi="Verdana" w:cs="Verdana"/>
          <w:b/>
          <w:bCs/>
          <w:sz w:val="18"/>
          <w:szCs w:val="18"/>
        </w:rPr>
      </w:pPr>
    </w:p>
    <w:p w:rsidRPr="000435C0" w:rsidR="004030F2" w:rsidP="000435C0" w:rsidRDefault="004030F2">
      <w:pPr>
        <w:spacing w:line="240" w:lineRule="exact"/>
        <w:rPr>
          <w:rFonts w:ascii="Verdana" w:hAnsi="Verdana" w:cs="Courier New"/>
          <w:sz w:val="18"/>
          <w:szCs w:val="18"/>
          <w:highlight w:val="yellow"/>
        </w:rPr>
      </w:pPr>
    </w:p>
    <w:p w:rsidRPr="000435C0" w:rsidR="00A66E02" w:rsidP="000435C0" w:rsidRDefault="00A66E02">
      <w:pPr>
        <w:spacing w:line="240" w:lineRule="exact"/>
        <w:rPr>
          <w:rFonts w:ascii="Verdana" w:hAnsi="Verdana" w:cs="Courier New"/>
          <w:i/>
          <w:sz w:val="18"/>
          <w:szCs w:val="18"/>
        </w:rPr>
      </w:pPr>
    </w:p>
    <w:p w:rsidRPr="000435C0" w:rsidR="00A66E02" w:rsidP="000435C0" w:rsidRDefault="00A66E02">
      <w:pPr>
        <w:spacing w:line="240" w:lineRule="exact"/>
        <w:rPr>
          <w:rFonts w:ascii="Verdana" w:hAnsi="Verdana" w:cs="Courier New"/>
          <w:i/>
          <w:sz w:val="18"/>
          <w:szCs w:val="18"/>
        </w:rPr>
      </w:pPr>
    </w:p>
    <w:p w:rsidRPr="000435C0" w:rsidR="00693F38" w:rsidP="000435C0" w:rsidRDefault="00693F38">
      <w:pPr>
        <w:spacing w:line="240" w:lineRule="exact"/>
        <w:rPr>
          <w:rFonts w:ascii="Verdana" w:hAnsi="Verdana" w:cs="Verdana"/>
          <w:b/>
          <w:bCs/>
          <w:sz w:val="18"/>
          <w:szCs w:val="18"/>
          <w:highlight w:val="yellow"/>
        </w:rPr>
      </w:pPr>
      <w:r w:rsidRPr="000435C0">
        <w:rPr>
          <w:rFonts w:ascii="Verdana" w:hAnsi="Verdana" w:cs="Verdana"/>
          <w:b/>
          <w:bCs/>
          <w:sz w:val="18"/>
          <w:szCs w:val="18"/>
          <w:highlight w:val="yellow"/>
        </w:rPr>
        <w:br w:type="page"/>
      </w:r>
    </w:p>
    <w:p w:rsidRPr="000435C0" w:rsidR="00512EDB" w:rsidP="000435C0" w:rsidRDefault="00C05141">
      <w:pPr>
        <w:spacing w:line="240" w:lineRule="exact"/>
        <w:rPr>
          <w:rFonts w:ascii="Verdana" w:hAnsi="Verdana" w:cs="Verdana"/>
          <w:b/>
          <w:bCs/>
          <w:sz w:val="18"/>
          <w:szCs w:val="18"/>
        </w:rPr>
      </w:pPr>
      <w:r w:rsidRPr="000435C0">
        <w:rPr>
          <w:rFonts w:ascii="Verdana" w:hAnsi="Verdana" w:cs="Verdana"/>
          <w:b/>
          <w:bCs/>
          <w:sz w:val="18"/>
          <w:szCs w:val="18"/>
        </w:rPr>
        <w:t>Homogene Groep Internationale Samenwerking</w:t>
      </w:r>
      <w:r w:rsidRPr="000435C0" w:rsidR="00565D35">
        <w:rPr>
          <w:rFonts w:ascii="Verdana" w:hAnsi="Verdana" w:cs="Verdana"/>
          <w:b/>
          <w:bCs/>
          <w:sz w:val="18"/>
          <w:szCs w:val="18"/>
        </w:rPr>
        <w:t xml:space="preserve"> </w:t>
      </w:r>
    </w:p>
    <w:p w:rsidRPr="000435C0" w:rsidR="00D31CB6" w:rsidP="000435C0" w:rsidRDefault="00D31CB6">
      <w:pPr>
        <w:spacing w:line="240" w:lineRule="exact"/>
        <w:rPr>
          <w:rFonts w:ascii="Verdana" w:hAnsi="Verdana" w:cs="Courier New"/>
          <w:sz w:val="18"/>
          <w:szCs w:val="18"/>
        </w:rPr>
      </w:pPr>
    </w:p>
    <w:tbl>
      <w:tblPr>
        <w:tblW w:w="0" w:type="auto"/>
        <w:tblCellMar>
          <w:top w:w="15" w:type="dxa"/>
          <w:left w:w="15" w:type="dxa"/>
          <w:bottom w:w="15" w:type="dxa"/>
          <w:right w:w="15" w:type="dxa"/>
        </w:tblCellMar>
        <w:tblLook w:val="04A0"/>
      </w:tblPr>
      <w:tblGrid>
        <w:gridCol w:w="8237"/>
        <w:gridCol w:w="846"/>
      </w:tblGrid>
      <w:tr w:rsidRPr="000435C0" w:rsidR="007C6232" w:rsidTr="007C6232">
        <w:tc>
          <w:tcPr>
            <w:tcW w:w="9083" w:type="dxa"/>
            <w:gridSpan w:val="2"/>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HOMOGENE GROEP INTERNATIONALE SAMENWERKING: UITGAVEN</w:t>
            </w:r>
          </w:p>
        </w:tc>
      </w:tr>
      <w:tr w:rsidRPr="000435C0" w:rsidR="007C6232" w:rsidTr="007C6232">
        <w:tc>
          <w:tcPr>
            <w:tcW w:w="8237" w:type="dxa"/>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2016</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Miljoenennota 2017</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5.255,7</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left w:val="nil"/>
              <w:right w:val="nil"/>
            </w:tcBorders>
            <w:tcMar>
              <w:top w:w="15" w:type="dxa"/>
              <w:left w:w="163" w:type="dxa"/>
              <w:bottom w:w="15" w:type="dxa"/>
              <w:right w:w="15" w:type="dxa"/>
            </w:tcMar>
            <w:vAlign w:val="both"/>
            <w:hideMark/>
          </w:tcPr>
          <w:p w:rsidRPr="000435C0" w:rsidR="007C6232" w:rsidP="000435C0" w:rsidRDefault="007C623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Asielinstroom 2016</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290,0</w:t>
            </w: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Bevordering veiligheid, stabiliteit en rechtsorde</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18,1</w:t>
            </w: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Correctie toerekening</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31,0</w:t>
            </w: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Dggf</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-34,0</w:t>
            </w: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Overig armoedebeleid</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117,5</w:t>
            </w: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Verst.maats.midd.</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-65,3</w:t>
            </w: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-18,6</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338,7</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left w:val="nil"/>
              <w:right w:val="nil"/>
            </w:tcBorders>
            <w:tcMar>
              <w:top w:w="15" w:type="dxa"/>
              <w:left w:w="163" w:type="dxa"/>
              <w:bottom w:w="15" w:type="dxa"/>
              <w:right w:w="15" w:type="dxa"/>
            </w:tcMar>
            <w:vAlign w:val="both"/>
            <w:hideMark/>
          </w:tcPr>
          <w:p w:rsidRPr="000435C0" w:rsidR="007C6232" w:rsidP="000435C0" w:rsidRDefault="007C623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7C6232">
        <w:tc>
          <w:tcPr>
            <w:tcW w:w="8237" w:type="dxa"/>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31,7</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31,7</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370,5</w:t>
            </w:r>
          </w:p>
        </w:tc>
      </w:tr>
      <w:tr w:rsidRPr="000435C0" w:rsidR="007C6232" w:rsidTr="007C6232">
        <w:tc>
          <w:tcPr>
            <w:tcW w:w="8237"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5.626,1</w:t>
            </w:r>
          </w:p>
        </w:tc>
      </w:tr>
    </w:tbl>
    <w:p w:rsidRPr="000435C0" w:rsidR="007C6232" w:rsidP="000435C0" w:rsidRDefault="007C6232">
      <w:pPr>
        <w:spacing w:line="240" w:lineRule="exact"/>
        <w:rPr>
          <w:rFonts w:ascii="Verdana" w:hAnsi="Verdana"/>
          <w:vanish/>
          <w:sz w:val="18"/>
          <w:szCs w:val="18"/>
        </w:rPr>
      </w:pPr>
    </w:p>
    <w:tbl>
      <w:tblPr>
        <w:tblW w:w="0" w:type="auto"/>
        <w:tblCellMar>
          <w:top w:w="15" w:type="dxa"/>
          <w:left w:w="15" w:type="dxa"/>
          <w:bottom w:w="15" w:type="dxa"/>
          <w:right w:w="15" w:type="dxa"/>
        </w:tblCellMar>
        <w:tblLook w:val="04A0"/>
      </w:tblPr>
      <w:tblGrid>
        <w:gridCol w:w="8236"/>
        <w:gridCol w:w="866"/>
      </w:tblGrid>
      <w:tr w:rsidRPr="000435C0" w:rsidR="007C6232" w:rsidTr="003F144A">
        <w:tc>
          <w:tcPr>
            <w:tcW w:w="9000"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900" w:type="dxa"/>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r>
      <w:tr w:rsidRPr="000435C0" w:rsidR="007C6232" w:rsidTr="003F144A">
        <w:tc>
          <w:tcPr>
            <w:tcW w:w="0" w:type="auto"/>
            <w:gridSpan w:val="2"/>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HOMOGENE GROEP INTERNATIONALE SAMENWERKING: NIET-BELASTINGONTVANGSTEN</w:t>
            </w:r>
          </w:p>
        </w:tc>
      </w:tr>
      <w:tr w:rsidRPr="000435C0" w:rsidR="007C6232" w:rsidTr="003F144A">
        <w:tc>
          <w:tcPr>
            <w:tcW w:w="0" w:type="auto"/>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bottom w:val="single" w:color="000000" w:sz="6" w:space="0"/>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2016</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Miljoenennota 2017</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328,9</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Beleidsmatige mutaties</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left w:val="nil"/>
              <w:right w:val="nil"/>
            </w:tcBorders>
            <w:tcMar>
              <w:top w:w="15" w:type="dxa"/>
              <w:left w:w="163" w:type="dxa"/>
              <w:bottom w:w="15" w:type="dxa"/>
              <w:right w:w="15" w:type="dxa"/>
            </w:tcMar>
            <w:vAlign w:val="both"/>
            <w:hideMark/>
          </w:tcPr>
          <w:p w:rsidRPr="000435C0" w:rsidR="007C6232" w:rsidP="000435C0" w:rsidRDefault="007C623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28,6</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28,6</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Technische mutaties</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left w:val="nil"/>
              <w:right w:val="nil"/>
            </w:tcBorders>
            <w:tcMar>
              <w:top w:w="15" w:type="dxa"/>
              <w:left w:w="163" w:type="dxa"/>
              <w:bottom w:w="15" w:type="dxa"/>
              <w:right w:w="15" w:type="dxa"/>
            </w:tcMar>
            <w:vAlign w:val="both"/>
            <w:hideMark/>
          </w:tcPr>
          <w:p w:rsidRPr="000435C0" w:rsidR="007C6232" w:rsidP="000435C0" w:rsidRDefault="007C6232">
            <w:pPr>
              <w:spacing w:line="240" w:lineRule="exact"/>
              <w:ind w:firstLine="180" w:firstLineChars="100"/>
              <w:rPr>
                <w:rFonts w:ascii="Verdana" w:hAnsi="Verdana"/>
                <w:sz w:val="18"/>
                <w:szCs w:val="18"/>
              </w:rPr>
            </w:pPr>
            <w:r w:rsidRPr="000435C0">
              <w:rPr>
                <w:rFonts w:ascii="Verdana" w:hAnsi="Verdana"/>
                <w:sz w:val="18"/>
                <w:szCs w:val="18"/>
              </w:rPr>
              <w:t>Rijksbegroting in enge zin</w:t>
            </w:r>
          </w:p>
        </w:tc>
        <w:tc>
          <w:tcPr>
            <w:tcW w:w="0" w:type="auto"/>
            <w:hideMark/>
          </w:tcPr>
          <w:p w:rsidRPr="000435C0" w:rsidR="007C6232" w:rsidP="000435C0" w:rsidRDefault="007C6232">
            <w:pPr>
              <w:spacing w:line="240" w:lineRule="exact"/>
              <w:rPr>
                <w:rFonts w:ascii="Verdana" w:hAnsi="Verdana"/>
                <w:sz w:val="18"/>
                <w:szCs w:val="18"/>
              </w:rPr>
            </w:pPr>
          </w:p>
        </w:tc>
      </w:tr>
      <w:tr w:rsidRPr="000435C0" w:rsidR="007C6232" w:rsidTr="003F144A">
        <w:tc>
          <w:tcPr>
            <w:tcW w:w="0" w:type="auto"/>
            <w:tcBorders>
              <w:left w:val="nil"/>
              <w:right w:val="nil"/>
            </w:tcBorders>
            <w:tcMar>
              <w:top w:w="15" w:type="dxa"/>
              <w:left w:w="326" w:type="dxa"/>
              <w:bottom w:w="15" w:type="dxa"/>
              <w:right w:w="15" w:type="dxa"/>
            </w:tcMar>
            <w:vAlign w:val="both"/>
            <w:hideMark/>
          </w:tcPr>
          <w:p w:rsidRPr="000435C0" w:rsidR="007C6232" w:rsidP="000435C0" w:rsidRDefault="007C6232">
            <w:pPr>
              <w:spacing w:line="240" w:lineRule="exact"/>
              <w:ind w:firstLine="360" w:firstLineChars="200"/>
              <w:rPr>
                <w:rFonts w:ascii="Verdana" w:hAnsi="Verdana"/>
                <w:sz w:val="18"/>
                <w:szCs w:val="18"/>
              </w:rPr>
            </w:pPr>
            <w:r w:rsidRPr="000435C0">
              <w:rPr>
                <w:rFonts w:ascii="Verdana" w:hAnsi="Verdana"/>
                <w:sz w:val="18"/>
                <w:szCs w:val="18"/>
              </w:rPr>
              <w:t>Diversen</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31,7</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 </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31,7</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Totaal mutaties sinds Miljoenennota 2017</w:t>
            </w:r>
          </w:p>
        </w:tc>
        <w:tc>
          <w:tcPr>
            <w:tcW w:w="0" w:type="auto"/>
            <w:tcBorders>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60,3</w:t>
            </w:r>
          </w:p>
        </w:tc>
      </w:tr>
      <w:tr w:rsidRPr="000435C0" w:rsidR="007C6232" w:rsidTr="003F144A">
        <w:tc>
          <w:tcPr>
            <w:tcW w:w="0" w:type="auto"/>
            <w:tcBorders>
              <w:left w:val="nil"/>
              <w:right w:val="nil"/>
            </w:tcBorders>
            <w:hideMark/>
          </w:tcPr>
          <w:p w:rsidRPr="000435C0" w:rsidR="007C6232" w:rsidP="000435C0" w:rsidRDefault="007C6232">
            <w:pPr>
              <w:spacing w:line="240" w:lineRule="exact"/>
              <w:rPr>
                <w:rFonts w:ascii="Verdana" w:hAnsi="Verdana"/>
                <w:sz w:val="18"/>
                <w:szCs w:val="18"/>
              </w:rPr>
            </w:pPr>
            <w:r w:rsidRPr="000435C0">
              <w:rPr>
                <w:rFonts w:ascii="Verdana" w:hAnsi="Verdana"/>
                <w:sz w:val="18"/>
                <w:szCs w:val="18"/>
              </w:rPr>
              <w:t>Stand Najaarsnota 2016</w:t>
            </w:r>
          </w:p>
        </w:tc>
        <w:tc>
          <w:tcPr>
            <w:tcW w:w="0" w:type="auto"/>
            <w:tcBorders>
              <w:top w:val="single" w:color="000000" w:sz="6" w:space="0"/>
              <w:left w:val="nil"/>
              <w:right w:val="nil"/>
            </w:tcBorders>
            <w:hideMark/>
          </w:tcPr>
          <w:p w:rsidRPr="000435C0" w:rsidR="007C6232" w:rsidP="000435C0" w:rsidRDefault="007C6232">
            <w:pPr>
              <w:spacing w:line="240" w:lineRule="exact"/>
              <w:jc w:val="right"/>
              <w:rPr>
                <w:rFonts w:ascii="Verdana" w:hAnsi="Verdana"/>
                <w:sz w:val="18"/>
                <w:szCs w:val="18"/>
              </w:rPr>
            </w:pPr>
            <w:r w:rsidRPr="000435C0">
              <w:rPr>
                <w:rFonts w:ascii="Verdana" w:hAnsi="Verdana"/>
                <w:sz w:val="18"/>
                <w:szCs w:val="18"/>
              </w:rPr>
              <w:t>389,2</w:t>
            </w:r>
          </w:p>
        </w:tc>
      </w:tr>
    </w:tbl>
    <w:p w:rsidRPr="000435C0" w:rsidR="007C6232" w:rsidP="000435C0" w:rsidRDefault="007C6232">
      <w:pPr>
        <w:spacing w:line="240" w:lineRule="exact"/>
        <w:rPr>
          <w:rFonts w:ascii="Verdana" w:hAnsi="Verdana" w:cs="Courier New"/>
          <w:sz w:val="18"/>
          <w:szCs w:val="18"/>
        </w:rPr>
      </w:pPr>
    </w:p>
    <w:p w:rsidRPr="00316BBA" w:rsidR="00316BBA" w:rsidP="00316BBA" w:rsidRDefault="00316BBA">
      <w:pPr>
        <w:rPr>
          <w:rFonts w:ascii="Verdana" w:hAnsi="Verdana"/>
          <w:sz w:val="18"/>
          <w:szCs w:val="18"/>
        </w:rPr>
      </w:pPr>
      <w:r w:rsidRPr="00316BBA">
        <w:rPr>
          <w:rFonts w:ascii="Verdana" w:hAnsi="Verdana"/>
          <w:i/>
          <w:sz w:val="18"/>
          <w:szCs w:val="18"/>
        </w:rPr>
        <w:t>Asielinstroom 2016</w:t>
      </w:r>
      <w:r w:rsidRPr="00316BBA">
        <w:rPr>
          <w:rFonts w:ascii="Verdana" w:hAnsi="Verdana"/>
          <w:sz w:val="18"/>
          <w:szCs w:val="18"/>
        </w:rPr>
        <w:t xml:space="preserve"> </w:t>
      </w:r>
      <w:r w:rsidRPr="00316BBA">
        <w:rPr>
          <w:rFonts w:ascii="Verdana" w:hAnsi="Verdana"/>
          <w:sz w:val="18"/>
          <w:szCs w:val="18"/>
        </w:rPr>
        <w:br/>
        <w:t>De lager dan verwachte asielinstroom in 2016 leidt tot een lagere ODA-toerekening voor de kosten van eerstejaarsopvang van asielzoekers aan ODA in 2016 en 2017. Het bedrag dat gemoeid is met de verlaging wordt overgeboekt van de begroting van VenJ naar de begroting van Buitenlandse Handel en Ontwikkelingssamenwerking en wordt ingezet ten behoeve van de nog in te vullen BNI-korting.</w:t>
      </w:r>
    </w:p>
    <w:p w:rsidRPr="00316BBA" w:rsidR="00316BBA" w:rsidP="00316BBA" w:rsidRDefault="00316BBA">
      <w:pPr>
        <w:rPr>
          <w:rFonts w:ascii="Verdana" w:hAnsi="Verdana"/>
          <w:sz w:val="18"/>
          <w:szCs w:val="18"/>
        </w:rPr>
      </w:pPr>
    </w:p>
    <w:p w:rsidRPr="00316BBA" w:rsidR="00316BBA" w:rsidP="00316BBA" w:rsidRDefault="00316BBA">
      <w:pPr>
        <w:rPr>
          <w:rFonts w:ascii="Verdana" w:hAnsi="Verdana"/>
          <w:i/>
          <w:sz w:val="18"/>
          <w:szCs w:val="18"/>
        </w:rPr>
      </w:pPr>
      <w:r w:rsidRPr="00316BBA">
        <w:rPr>
          <w:rFonts w:ascii="Verdana" w:hAnsi="Verdana"/>
          <w:i/>
          <w:sz w:val="18"/>
          <w:szCs w:val="18"/>
        </w:rPr>
        <w:t>Bevordering van veiligheid, stabiliteit en rechtsorde</w:t>
      </w:r>
    </w:p>
    <w:p w:rsidRPr="00316BBA" w:rsidR="00316BBA" w:rsidP="00316BBA" w:rsidRDefault="00316BBA">
      <w:pPr>
        <w:rPr>
          <w:rFonts w:ascii="Verdana" w:hAnsi="Verdana"/>
          <w:sz w:val="18"/>
          <w:szCs w:val="18"/>
        </w:rPr>
      </w:pPr>
      <w:r w:rsidRPr="00316BBA">
        <w:rPr>
          <w:rFonts w:ascii="Verdana" w:hAnsi="Verdana"/>
          <w:sz w:val="18"/>
          <w:szCs w:val="18"/>
        </w:rPr>
        <w:t xml:space="preserve">Het geraamde budget voor de contributie aan VN-crisisbeheersingsoperaties stijgt als gevolg van de hogere dollarkoers en omdat een aantal missies een mandaat voor verlenging heeft gekregen van de VN-Veiligheidsraad. Deze afroepen worden nog in 2016 verwacht. Daarnaast stijgen de uitgaven voor het Stabiliteitsfonds door extra activiteiten als gevolg van de onrust in de wereld. </w:t>
      </w:r>
    </w:p>
    <w:p w:rsidRPr="00B121A9" w:rsidR="00316BBA" w:rsidP="00316BBA" w:rsidRDefault="00316BBA">
      <w:pPr>
        <w:rPr>
          <w:rFonts w:ascii="Verdana" w:hAnsi="Verdana"/>
          <w:sz w:val="18"/>
          <w:szCs w:val="18"/>
        </w:rPr>
      </w:pPr>
    </w:p>
    <w:p w:rsidRPr="00B121A9" w:rsidR="00B121A9" w:rsidP="00B121A9" w:rsidRDefault="00B121A9">
      <w:pPr>
        <w:spacing w:line="269" w:lineRule="auto"/>
        <w:contextualSpacing/>
        <w:rPr>
          <w:rFonts w:ascii="Verdana" w:hAnsi="Verdana"/>
          <w:sz w:val="18"/>
          <w:szCs w:val="18"/>
        </w:rPr>
      </w:pPr>
      <w:r w:rsidRPr="00B121A9">
        <w:rPr>
          <w:rFonts w:ascii="Verdana" w:hAnsi="Verdana"/>
          <w:sz w:val="18"/>
          <w:szCs w:val="18"/>
        </w:rPr>
        <w:t>Correctie toerekening</w:t>
      </w:r>
    </w:p>
    <w:p w:rsidRPr="00B121A9" w:rsidR="00B121A9" w:rsidP="00B121A9" w:rsidRDefault="00B121A9">
      <w:pPr>
        <w:spacing w:line="269" w:lineRule="auto"/>
        <w:contextualSpacing/>
        <w:rPr>
          <w:rFonts w:ascii="Verdana" w:hAnsi="Verdana"/>
          <w:sz w:val="18"/>
          <w:szCs w:val="18"/>
        </w:rPr>
      </w:pPr>
      <w:r w:rsidRPr="00B121A9">
        <w:rPr>
          <w:rFonts w:ascii="Verdana" w:hAnsi="Verdana"/>
          <w:sz w:val="18"/>
          <w:szCs w:val="18"/>
        </w:rPr>
        <w:t>Uit een herrekening van de ODA-toerekening van eerstejaarsopvangkosten asiel volgt een correctie op de toerekening 2015 en 2016. Het bedrag wordt overgeboekt van de VenJ-begroting naar de BHOS-begroting en komt ten goede aan het Noodhulpfonds.</w:t>
      </w:r>
    </w:p>
    <w:p w:rsidRPr="00B121A9" w:rsidR="00316BBA" w:rsidP="00316BBA" w:rsidRDefault="00316BBA">
      <w:pPr>
        <w:rPr>
          <w:rFonts w:ascii="Verdana" w:hAnsi="Verdana"/>
          <w:sz w:val="18"/>
          <w:szCs w:val="18"/>
        </w:rPr>
      </w:pPr>
    </w:p>
    <w:p w:rsidRPr="00B121A9" w:rsidR="00316BBA" w:rsidP="00316BBA" w:rsidRDefault="00316BBA">
      <w:pPr>
        <w:rPr>
          <w:rFonts w:ascii="Verdana" w:hAnsi="Verdana"/>
          <w:i/>
          <w:sz w:val="18"/>
          <w:szCs w:val="18"/>
        </w:rPr>
      </w:pPr>
      <w:r w:rsidRPr="00B121A9">
        <w:rPr>
          <w:rFonts w:ascii="Verdana" w:hAnsi="Verdana"/>
          <w:i/>
          <w:sz w:val="18"/>
          <w:szCs w:val="18"/>
        </w:rPr>
        <w:t>DGGF</w:t>
      </w:r>
    </w:p>
    <w:p w:rsidRPr="00B121A9" w:rsidR="00316BBA" w:rsidP="00316BBA" w:rsidRDefault="00316BBA">
      <w:pPr>
        <w:rPr>
          <w:rFonts w:ascii="Verdana" w:hAnsi="Verdana"/>
          <w:sz w:val="18"/>
          <w:szCs w:val="18"/>
        </w:rPr>
      </w:pPr>
      <w:r w:rsidRPr="00B121A9">
        <w:rPr>
          <w:rFonts w:ascii="Verdana" w:hAnsi="Verdana"/>
          <w:sz w:val="18"/>
          <w:szCs w:val="18"/>
        </w:rPr>
        <w:t>Het Dutch Good Growth Fund (DGGF) heeft als doel het bevorderen van handel en investeringen van het MKB in ontwikkelingslanden en Nederlandse bedrijven die in ontwikkelingslanden willen investeren. Over de jaren 2014-2017 is 700 mln. beschikbaar om het fonds te voeden, waarna het DGGF moet revolveren.  Bij het DGGF valt de totale vraag op het onderdeel “export financiering en verzekering” (onderdeel 3) 34 mln. lager uit in 2016.</w:t>
      </w:r>
    </w:p>
    <w:p w:rsidRPr="00B121A9" w:rsidR="00316BBA" w:rsidP="00316BBA" w:rsidRDefault="00316BBA">
      <w:pPr>
        <w:rPr>
          <w:rFonts w:ascii="Verdana" w:hAnsi="Verdana"/>
          <w:sz w:val="18"/>
          <w:szCs w:val="18"/>
        </w:rPr>
      </w:pPr>
    </w:p>
    <w:p w:rsidRPr="00B121A9" w:rsidR="00316BBA" w:rsidP="00316BBA" w:rsidRDefault="00316BBA">
      <w:pPr>
        <w:rPr>
          <w:rFonts w:ascii="Verdana" w:hAnsi="Verdana"/>
          <w:i/>
          <w:sz w:val="18"/>
          <w:szCs w:val="18"/>
        </w:rPr>
      </w:pPr>
      <w:r w:rsidRPr="00B121A9">
        <w:rPr>
          <w:rFonts w:ascii="Verdana" w:hAnsi="Verdana"/>
          <w:i/>
          <w:sz w:val="18"/>
          <w:szCs w:val="18"/>
        </w:rPr>
        <w:t xml:space="preserve">Overig armoedebeleid </w:t>
      </w:r>
    </w:p>
    <w:p w:rsidRPr="00B121A9" w:rsidR="00316BBA" w:rsidP="00316BBA" w:rsidRDefault="00316BBA">
      <w:pPr>
        <w:rPr>
          <w:rFonts w:ascii="Verdana" w:hAnsi="Verdana"/>
          <w:sz w:val="18"/>
          <w:szCs w:val="18"/>
        </w:rPr>
      </w:pPr>
      <w:r w:rsidRPr="00B121A9">
        <w:rPr>
          <w:rFonts w:ascii="Verdana" w:hAnsi="Verdana"/>
          <w:sz w:val="18"/>
          <w:szCs w:val="18"/>
        </w:rPr>
        <w:t>Het ODA budget wordt gecorrigeerd voor de verandering in de omvang van de economie (het BNI). Dit artikelonderdeel toonde bij het presenteren van de begroting 2017 een negatief bedrag voor 2016, veroorzaakt door bijstellingen als gevolg van de ontwikkeling van het BNI en de verhoogde toerekening van de eerstejaarsopvangkosten van asielzoekers uit ontwikkelingslanden. Door een aantal verlagingen op beleidsartikelen wordt het tekort op dit artikel teruggebracht.</w:t>
      </w:r>
    </w:p>
    <w:p w:rsidRPr="00B121A9" w:rsidR="00316BBA" w:rsidP="00316BBA" w:rsidRDefault="00316BBA">
      <w:pPr>
        <w:rPr>
          <w:rFonts w:ascii="Verdana" w:hAnsi="Verdana"/>
          <w:sz w:val="18"/>
          <w:szCs w:val="18"/>
        </w:rPr>
      </w:pPr>
    </w:p>
    <w:p w:rsidRPr="00B121A9" w:rsidR="00316BBA" w:rsidP="00316BBA" w:rsidRDefault="00316BBA">
      <w:pPr>
        <w:rPr>
          <w:rFonts w:ascii="Verdana" w:hAnsi="Verdana"/>
          <w:i/>
          <w:sz w:val="18"/>
          <w:szCs w:val="18"/>
        </w:rPr>
      </w:pPr>
      <w:r w:rsidRPr="00B121A9">
        <w:rPr>
          <w:rFonts w:ascii="Verdana" w:hAnsi="Verdana"/>
          <w:i/>
          <w:sz w:val="18"/>
          <w:szCs w:val="18"/>
        </w:rPr>
        <w:t>Versterkt maatschappelijk middenveld</w:t>
      </w:r>
    </w:p>
    <w:p w:rsidRPr="00B121A9" w:rsidR="00316BBA" w:rsidP="00316BBA" w:rsidRDefault="00316BBA">
      <w:pPr>
        <w:rPr>
          <w:rFonts w:ascii="Verdana" w:hAnsi="Verdana"/>
          <w:sz w:val="18"/>
          <w:szCs w:val="18"/>
        </w:rPr>
      </w:pPr>
      <w:r w:rsidRPr="00B121A9">
        <w:rPr>
          <w:rFonts w:ascii="Verdana" w:hAnsi="Verdana"/>
          <w:sz w:val="18"/>
          <w:szCs w:val="18"/>
        </w:rPr>
        <w:t xml:space="preserve">Bij Versterkt maatschappelijk middenveld is het budget met  65 mln. verlaagd. Een belangrijke factor voor de daling is dat een reservering voor MFS-II te hoog blijkt te zijn. Veel uitvoerende organisaties onder MFSII hebben hun budget niet volledig uitgeput waardoor de eindbetalingen lager uitvallen dan begroot. </w:t>
      </w:r>
    </w:p>
    <w:p w:rsidRPr="00B121A9" w:rsidR="00316BBA" w:rsidP="00316BBA" w:rsidRDefault="00316BBA">
      <w:pPr>
        <w:rPr>
          <w:rFonts w:ascii="Verdana" w:hAnsi="Verdana"/>
          <w:sz w:val="18"/>
          <w:szCs w:val="18"/>
        </w:rPr>
      </w:pPr>
    </w:p>
    <w:p w:rsidRPr="00B121A9" w:rsidR="00316BBA" w:rsidP="00316BBA" w:rsidRDefault="00316BBA">
      <w:pPr>
        <w:rPr>
          <w:rFonts w:ascii="Verdana" w:hAnsi="Verdana"/>
          <w:i/>
          <w:sz w:val="18"/>
          <w:szCs w:val="18"/>
        </w:rPr>
      </w:pPr>
      <w:r w:rsidRPr="00B121A9">
        <w:rPr>
          <w:rFonts w:ascii="Verdana" w:hAnsi="Verdana"/>
          <w:i/>
          <w:sz w:val="18"/>
          <w:szCs w:val="18"/>
        </w:rPr>
        <w:t>Diversen (beleidsmatige mutaties)</w:t>
      </w:r>
    </w:p>
    <w:p w:rsidRPr="00316BBA" w:rsidR="00316BBA" w:rsidP="00316BBA" w:rsidRDefault="00316BBA">
      <w:pPr>
        <w:rPr>
          <w:rFonts w:ascii="Verdana" w:hAnsi="Verdana"/>
          <w:sz w:val="18"/>
          <w:szCs w:val="18"/>
        </w:rPr>
      </w:pPr>
      <w:r w:rsidRPr="00B121A9">
        <w:rPr>
          <w:rFonts w:ascii="Verdana" w:hAnsi="Verdana"/>
          <w:sz w:val="18"/>
          <w:szCs w:val="18"/>
        </w:rPr>
        <w:t>De post diversen betreft o.a. hogere uitgaven op de Buitenlandse Handel en Ontwikkelingssamenwerking begroting op de artikelen Gelijke rechten en kansen voor vrouwen  en Private sector en investeringsklimaat.</w:t>
      </w:r>
      <w:r w:rsidRPr="00316BBA">
        <w:rPr>
          <w:rFonts w:ascii="Verdana" w:hAnsi="Verdana"/>
          <w:sz w:val="18"/>
          <w:szCs w:val="18"/>
        </w:rPr>
        <w:t xml:space="preserve"> Daartegenover staan lagere uitgaven op de Buitenlandse Handel en Ontwikkelingssamenwerking begroting met betrekking tot de artikelen Vrede en veiligheid voor ontwikkeling door vertraagde implementatie van programma’s in Afghanistan en Versterkte Nederlandse Handels- en Investeringspositie door vertraagde start DTIF. Ook de bijdrage aan het Europees Ontwikkelingsfonds op de begroting van Buitenlandse Zaken valt lager uit dan eerder geraamd.</w:t>
      </w:r>
    </w:p>
    <w:p w:rsidRPr="00316BBA" w:rsidR="00316BBA" w:rsidP="00316BBA" w:rsidRDefault="00316BBA">
      <w:pPr>
        <w:rPr>
          <w:rFonts w:ascii="Verdana" w:hAnsi="Verdana"/>
          <w:sz w:val="18"/>
          <w:szCs w:val="18"/>
        </w:rPr>
      </w:pPr>
    </w:p>
    <w:p w:rsidRPr="00316BBA" w:rsidR="00316BBA" w:rsidP="00316BBA" w:rsidRDefault="00316BBA">
      <w:pPr>
        <w:rPr>
          <w:rFonts w:ascii="Verdana" w:hAnsi="Verdana"/>
          <w:i/>
          <w:sz w:val="18"/>
          <w:szCs w:val="18"/>
        </w:rPr>
      </w:pPr>
      <w:r w:rsidRPr="00316BBA">
        <w:rPr>
          <w:rFonts w:ascii="Verdana" w:hAnsi="Verdana"/>
          <w:i/>
          <w:sz w:val="18"/>
          <w:szCs w:val="18"/>
        </w:rPr>
        <w:t>Diversen (technische mutaties uitgaven en niet belasting ontvangsten)</w:t>
      </w:r>
    </w:p>
    <w:p w:rsidRPr="00316BBA" w:rsidR="00316BBA" w:rsidP="00316BBA" w:rsidRDefault="00316BBA">
      <w:pPr>
        <w:rPr>
          <w:rFonts w:ascii="Verdana" w:hAnsi="Verdana"/>
          <w:sz w:val="18"/>
          <w:szCs w:val="18"/>
        </w:rPr>
      </w:pPr>
      <w:r w:rsidRPr="00316BBA">
        <w:rPr>
          <w:rFonts w:ascii="Verdana" w:hAnsi="Verdana"/>
          <w:sz w:val="18"/>
          <w:szCs w:val="18"/>
        </w:rPr>
        <w:t xml:space="preserve">Dit betreft het saldo van verschillende mutaties waaronder ontvangsten van de VN voor de missie </w:t>
      </w:r>
      <w:r w:rsidRPr="00316BBA">
        <w:rPr>
          <w:rFonts w:ascii="Verdana" w:hAnsi="Verdana"/>
          <w:i/>
          <w:sz w:val="18"/>
          <w:szCs w:val="18"/>
        </w:rPr>
        <w:t>Minusma</w:t>
      </w:r>
      <w:r w:rsidRPr="00316BBA">
        <w:rPr>
          <w:rFonts w:ascii="Verdana" w:hAnsi="Verdana"/>
          <w:sz w:val="18"/>
          <w:szCs w:val="18"/>
        </w:rPr>
        <w:t xml:space="preserve"> in Mali op de begroting van Defensie.</w:t>
      </w:r>
    </w:p>
    <w:p w:rsidRPr="00316BBA" w:rsidR="00316BBA" w:rsidP="00316BBA" w:rsidRDefault="00316BBA">
      <w:pPr>
        <w:rPr>
          <w:rFonts w:ascii="Verdana" w:hAnsi="Verdana"/>
          <w:sz w:val="18"/>
          <w:szCs w:val="18"/>
        </w:rPr>
      </w:pPr>
    </w:p>
    <w:p w:rsidRPr="00316BBA" w:rsidR="00316BBA" w:rsidP="00316BBA" w:rsidRDefault="00316BBA">
      <w:pPr>
        <w:rPr>
          <w:rFonts w:ascii="Verdana" w:hAnsi="Verdana"/>
          <w:i/>
          <w:sz w:val="18"/>
          <w:szCs w:val="18"/>
        </w:rPr>
      </w:pPr>
      <w:r w:rsidRPr="00316BBA">
        <w:rPr>
          <w:rFonts w:ascii="Verdana" w:hAnsi="Verdana"/>
          <w:i/>
          <w:sz w:val="18"/>
          <w:szCs w:val="18"/>
        </w:rPr>
        <w:t>Diversen (beleidsmatige mutaties niet belastingontvangsten)</w:t>
      </w:r>
    </w:p>
    <w:p w:rsidRPr="00316BBA" w:rsidR="00316BBA" w:rsidP="00316BBA" w:rsidRDefault="00316BBA">
      <w:pPr>
        <w:rPr>
          <w:rFonts w:ascii="Verdana" w:hAnsi="Verdana"/>
          <w:sz w:val="18"/>
          <w:szCs w:val="18"/>
        </w:rPr>
      </w:pPr>
      <w:r w:rsidRPr="00316BBA">
        <w:rPr>
          <w:rFonts w:ascii="Verdana" w:hAnsi="Verdana"/>
          <w:sz w:val="18"/>
          <w:szCs w:val="18"/>
        </w:rPr>
        <w:t xml:space="preserve">Deze mutatie betreft o.a. hogere consulaire ontvangsten, doordat er meer visa zijn afgegeven dan oorspronkelijk geraamd en ontvangsten als gevolg van verkopen van panden in het buitenland, beide op de begroting van Buitenlandse Zaken. Daarnaast zijn er extra ontvangsten die verband houden met de ontwikkeling van de wisselkoers van de USD. Voor de begroting van Buitenlandse Zaken en Buitenlandse Handel en Ontwikkelingssamenwerking wordt een vooraf vastgestelde wisselkoers gehanteerd ten opzichte van buitenlandse valuta (de zgn. corporate rate). Deze koers wordt samen met de presentatie van de begroting vastgesteld en voor het hele jaar gehanteerd. Omdat bij betalingen in buitenlandse valuta gedurende het jaar een verschil ontstaat als gevolg van de werkelijk geldende koers, ontstaat een saldo.  </w:t>
      </w:r>
    </w:p>
    <w:p w:rsidRPr="000435C0" w:rsidR="00693F38" w:rsidP="000435C0" w:rsidRDefault="00693F38">
      <w:pPr>
        <w:spacing w:line="240" w:lineRule="exact"/>
        <w:rPr>
          <w:rFonts w:ascii="Verdana" w:hAnsi="Verdana" w:cs="Courier New"/>
          <w:sz w:val="18"/>
          <w:szCs w:val="18"/>
        </w:rPr>
      </w:pPr>
    </w:p>
    <w:sectPr w:rsidRPr="000435C0" w:rsidR="00693F38" w:rsidSect="00D42700">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C6A" w:rsidRDefault="008E4C6A" w:rsidP="00821E67">
      <w:r>
        <w:separator/>
      </w:r>
    </w:p>
  </w:endnote>
  <w:endnote w:type="continuationSeparator" w:id="0">
    <w:p w:rsidR="008E4C6A" w:rsidRDefault="008E4C6A" w:rsidP="00821E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31260"/>
      <w:docPartObj>
        <w:docPartGallery w:val="Page Numbers (Bottom of Page)"/>
        <w:docPartUnique/>
      </w:docPartObj>
    </w:sdtPr>
    <w:sdtContent>
      <w:p w:rsidR="008E4C6A" w:rsidRDefault="00415FA3">
        <w:pPr>
          <w:pStyle w:val="Voettekst"/>
          <w:jc w:val="right"/>
        </w:pPr>
        <w:fldSimple w:instr=" PAGE   \* MERGEFORMAT ">
          <w:r w:rsidR="00687928">
            <w:rPr>
              <w:noProof/>
            </w:rPr>
            <w:t>52</w:t>
          </w:r>
        </w:fldSimple>
      </w:p>
    </w:sdtContent>
  </w:sdt>
  <w:p w:rsidR="008E4C6A" w:rsidRDefault="008E4C6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C6A" w:rsidRDefault="008E4C6A" w:rsidP="00821E67">
      <w:r>
        <w:separator/>
      </w:r>
    </w:p>
  </w:footnote>
  <w:footnote w:type="continuationSeparator" w:id="0">
    <w:p w:rsidR="008E4C6A" w:rsidRDefault="008E4C6A" w:rsidP="00821E67">
      <w:r>
        <w:continuationSeparator/>
      </w:r>
    </w:p>
  </w:footnote>
  <w:footnote w:id="1">
    <w:p w:rsidR="008E4C6A" w:rsidRDefault="008E4C6A" w:rsidP="001A4C86">
      <w:pPr>
        <w:rPr>
          <w:sz w:val="16"/>
          <w:szCs w:val="16"/>
        </w:rPr>
      </w:pPr>
      <w:r w:rsidRPr="00306068">
        <w:rPr>
          <w:rStyle w:val="Voetnootmarkering"/>
          <w:sz w:val="16"/>
          <w:szCs w:val="16"/>
        </w:rPr>
        <w:footnoteRef/>
      </w:r>
      <w:r w:rsidRPr="00306068">
        <w:rPr>
          <w:sz w:val="16"/>
          <w:szCs w:val="16"/>
        </w:rPr>
        <w:t xml:space="preserve"> Zie: Tweede Kamer, vergaderjaar 2016–2017, 21 501-03, nr. 99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06134"/>
    <w:multiLevelType w:val="hybridMultilevel"/>
    <w:tmpl w:val="1D8023A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E1C05C1"/>
    <w:multiLevelType w:val="hybridMultilevel"/>
    <w:tmpl w:val="0986BD6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nsid w:val="0F321837"/>
    <w:multiLevelType w:val="hybridMultilevel"/>
    <w:tmpl w:val="62CA341A"/>
    <w:lvl w:ilvl="0" w:tplc="E6168158">
      <w:start w:val="15"/>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cs="Wingdings" w:hint="default"/>
      </w:rPr>
    </w:lvl>
    <w:lvl w:ilvl="3" w:tplc="04130001" w:tentative="1">
      <w:start w:val="1"/>
      <w:numFmt w:val="bullet"/>
      <w:lvlText w:val=""/>
      <w:lvlJc w:val="left"/>
      <w:pPr>
        <w:tabs>
          <w:tab w:val="num" w:pos="1800"/>
        </w:tabs>
        <w:ind w:left="1800" w:hanging="360"/>
      </w:pPr>
      <w:rPr>
        <w:rFonts w:ascii="Symbol" w:hAnsi="Symbol" w:cs="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cs="Wingdings" w:hint="default"/>
      </w:rPr>
    </w:lvl>
    <w:lvl w:ilvl="6" w:tplc="04130001" w:tentative="1">
      <w:start w:val="1"/>
      <w:numFmt w:val="bullet"/>
      <w:lvlText w:val=""/>
      <w:lvlJc w:val="left"/>
      <w:pPr>
        <w:tabs>
          <w:tab w:val="num" w:pos="3960"/>
        </w:tabs>
        <w:ind w:left="3960" w:hanging="360"/>
      </w:pPr>
      <w:rPr>
        <w:rFonts w:ascii="Symbol" w:hAnsi="Symbol" w:cs="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cs="Wingdings" w:hint="default"/>
      </w:rPr>
    </w:lvl>
  </w:abstractNum>
  <w:abstractNum w:abstractNumId="3">
    <w:nsid w:val="10210231"/>
    <w:multiLevelType w:val="hybridMultilevel"/>
    <w:tmpl w:val="3750566C"/>
    <w:lvl w:ilvl="0" w:tplc="04130001">
      <w:start w:val="1"/>
      <w:numFmt w:val="bullet"/>
      <w:lvlText w:val=""/>
      <w:lvlJc w:val="left"/>
      <w:pPr>
        <w:ind w:left="24" w:hanging="360"/>
      </w:pPr>
      <w:rPr>
        <w:rFonts w:ascii="Symbol" w:hAnsi="Symbol" w:hint="default"/>
      </w:rPr>
    </w:lvl>
    <w:lvl w:ilvl="1" w:tplc="04130003" w:tentative="1">
      <w:start w:val="1"/>
      <w:numFmt w:val="bullet"/>
      <w:lvlText w:val="o"/>
      <w:lvlJc w:val="left"/>
      <w:pPr>
        <w:ind w:left="744" w:hanging="360"/>
      </w:pPr>
      <w:rPr>
        <w:rFonts w:ascii="Courier New" w:hAnsi="Courier New" w:cs="Courier New" w:hint="default"/>
      </w:rPr>
    </w:lvl>
    <w:lvl w:ilvl="2" w:tplc="04130005" w:tentative="1">
      <w:start w:val="1"/>
      <w:numFmt w:val="bullet"/>
      <w:lvlText w:val=""/>
      <w:lvlJc w:val="left"/>
      <w:pPr>
        <w:ind w:left="1464" w:hanging="360"/>
      </w:pPr>
      <w:rPr>
        <w:rFonts w:ascii="Wingdings" w:hAnsi="Wingdings" w:hint="default"/>
      </w:rPr>
    </w:lvl>
    <w:lvl w:ilvl="3" w:tplc="04130001" w:tentative="1">
      <w:start w:val="1"/>
      <w:numFmt w:val="bullet"/>
      <w:lvlText w:val=""/>
      <w:lvlJc w:val="left"/>
      <w:pPr>
        <w:ind w:left="2184" w:hanging="360"/>
      </w:pPr>
      <w:rPr>
        <w:rFonts w:ascii="Symbol" w:hAnsi="Symbol" w:hint="default"/>
      </w:rPr>
    </w:lvl>
    <w:lvl w:ilvl="4" w:tplc="04130003" w:tentative="1">
      <w:start w:val="1"/>
      <w:numFmt w:val="bullet"/>
      <w:lvlText w:val="o"/>
      <w:lvlJc w:val="left"/>
      <w:pPr>
        <w:ind w:left="2904" w:hanging="360"/>
      </w:pPr>
      <w:rPr>
        <w:rFonts w:ascii="Courier New" w:hAnsi="Courier New" w:cs="Courier New" w:hint="default"/>
      </w:rPr>
    </w:lvl>
    <w:lvl w:ilvl="5" w:tplc="04130005" w:tentative="1">
      <w:start w:val="1"/>
      <w:numFmt w:val="bullet"/>
      <w:lvlText w:val=""/>
      <w:lvlJc w:val="left"/>
      <w:pPr>
        <w:ind w:left="3624" w:hanging="360"/>
      </w:pPr>
      <w:rPr>
        <w:rFonts w:ascii="Wingdings" w:hAnsi="Wingdings" w:hint="default"/>
      </w:rPr>
    </w:lvl>
    <w:lvl w:ilvl="6" w:tplc="04130001" w:tentative="1">
      <w:start w:val="1"/>
      <w:numFmt w:val="bullet"/>
      <w:lvlText w:val=""/>
      <w:lvlJc w:val="left"/>
      <w:pPr>
        <w:ind w:left="4344" w:hanging="360"/>
      </w:pPr>
      <w:rPr>
        <w:rFonts w:ascii="Symbol" w:hAnsi="Symbol" w:hint="default"/>
      </w:rPr>
    </w:lvl>
    <w:lvl w:ilvl="7" w:tplc="04130003" w:tentative="1">
      <w:start w:val="1"/>
      <w:numFmt w:val="bullet"/>
      <w:lvlText w:val="o"/>
      <w:lvlJc w:val="left"/>
      <w:pPr>
        <w:ind w:left="5064" w:hanging="360"/>
      </w:pPr>
      <w:rPr>
        <w:rFonts w:ascii="Courier New" w:hAnsi="Courier New" w:cs="Courier New" w:hint="default"/>
      </w:rPr>
    </w:lvl>
    <w:lvl w:ilvl="8" w:tplc="04130005" w:tentative="1">
      <w:start w:val="1"/>
      <w:numFmt w:val="bullet"/>
      <w:lvlText w:val=""/>
      <w:lvlJc w:val="left"/>
      <w:pPr>
        <w:ind w:left="5784" w:hanging="360"/>
      </w:pPr>
      <w:rPr>
        <w:rFonts w:ascii="Wingdings" w:hAnsi="Wingdings" w:hint="default"/>
      </w:rPr>
    </w:lvl>
  </w:abstractNum>
  <w:abstractNum w:abstractNumId="4">
    <w:nsid w:val="11BD36C2"/>
    <w:multiLevelType w:val="hybridMultilevel"/>
    <w:tmpl w:val="5C580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39A2193"/>
    <w:multiLevelType w:val="hybridMultilevel"/>
    <w:tmpl w:val="56C8C7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4FC3930"/>
    <w:multiLevelType w:val="hybridMultilevel"/>
    <w:tmpl w:val="485C60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56750DF"/>
    <w:multiLevelType w:val="hybridMultilevel"/>
    <w:tmpl w:val="04D4B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8F9503D"/>
    <w:multiLevelType w:val="hybridMultilevel"/>
    <w:tmpl w:val="F198F3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8FE7143"/>
    <w:multiLevelType w:val="hybridMultilevel"/>
    <w:tmpl w:val="D7DA7C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A1F3CA1"/>
    <w:multiLevelType w:val="hybridMultilevel"/>
    <w:tmpl w:val="8416BE6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B4566B4"/>
    <w:multiLevelType w:val="hybridMultilevel"/>
    <w:tmpl w:val="B39C0E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1E832F57"/>
    <w:multiLevelType w:val="hybridMultilevel"/>
    <w:tmpl w:val="E91428A2"/>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FA64E57"/>
    <w:multiLevelType w:val="hybridMultilevel"/>
    <w:tmpl w:val="3AFE8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6B656F7"/>
    <w:multiLevelType w:val="hybridMultilevel"/>
    <w:tmpl w:val="B456EFF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nsid w:val="273D00E9"/>
    <w:multiLevelType w:val="hybridMultilevel"/>
    <w:tmpl w:val="878ECCB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8226B79"/>
    <w:multiLevelType w:val="hybridMultilevel"/>
    <w:tmpl w:val="B7A6D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28D05EA4"/>
    <w:multiLevelType w:val="hybridMultilevel"/>
    <w:tmpl w:val="2B06CE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90F5413"/>
    <w:multiLevelType w:val="hybridMultilevel"/>
    <w:tmpl w:val="4B903F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33451935"/>
    <w:multiLevelType w:val="hybridMultilevel"/>
    <w:tmpl w:val="6204A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55F3082"/>
    <w:multiLevelType w:val="hybridMultilevel"/>
    <w:tmpl w:val="6F4E6C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35E421D6"/>
    <w:multiLevelType w:val="hybridMultilevel"/>
    <w:tmpl w:val="CD0E3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6BB6B3D"/>
    <w:multiLevelType w:val="hybridMultilevel"/>
    <w:tmpl w:val="B67EB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85C51CD"/>
    <w:multiLevelType w:val="hybridMultilevel"/>
    <w:tmpl w:val="6592F1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3B101A1F"/>
    <w:multiLevelType w:val="hybridMultilevel"/>
    <w:tmpl w:val="21121574"/>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5CB4F7A"/>
    <w:multiLevelType w:val="hybridMultilevel"/>
    <w:tmpl w:val="82988B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60A2F86"/>
    <w:multiLevelType w:val="hybridMultilevel"/>
    <w:tmpl w:val="CCA0BABA"/>
    <w:lvl w:ilvl="0" w:tplc="CA22EFFE">
      <w:start w:val="1"/>
      <w:numFmt w:val="bullet"/>
      <w:pStyle w:val="Lijstopsomteken"/>
      <w:lvlText w:val="•"/>
      <w:lvlJc w:val="left"/>
      <w:pPr>
        <w:tabs>
          <w:tab w:val="num" w:pos="227"/>
        </w:tabs>
        <w:ind w:left="227" w:hanging="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536E5F32"/>
    <w:multiLevelType w:val="hybridMultilevel"/>
    <w:tmpl w:val="644E7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54C97C58"/>
    <w:multiLevelType w:val="hybridMultilevel"/>
    <w:tmpl w:val="21CC0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5A56BFB"/>
    <w:multiLevelType w:val="hybridMultilevel"/>
    <w:tmpl w:val="A65215A8"/>
    <w:lvl w:ilvl="0" w:tplc="04130001">
      <w:start w:val="1"/>
      <w:numFmt w:val="bullet"/>
      <w:lvlText w:val=""/>
      <w:lvlJc w:val="left"/>
      <w:pPr>
        <w:ind w:left="360" w:hanging="360"/>
      </w:pPr>
      <w:rPr>
        <w:rFonts w:ascii="Symbol" w:hAnsi="Symbol" w:cs="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0">
    <w:nsid w:val="5854695A"/>
    <w:multiLevelType w:val="hybridMultilevel"/>
    <w:tmpl w:val="BBA08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D63618B"/>
    <w:multiLevelType w:val="hybridMultilevel"/>
    <w:tmpl w:val="DC565952"/>
    <w:lvl w:ilvl="0" w:tplc="DD14E788">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F482595"/>
    <w:multiLevelType w:val="hybridMultilevel"/>
    <w:tmpl w:val="0450B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CDF6693"/>
    <w:multiLevelType w:val="hybridMultilevel"/>
    <w:tmpl w:val="C4DCBE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F237378"/>
    <w:multiLevelType w:val="hybridMultilevel"/>
    <w:tmpl w:val="2E3AD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4831834"/>
    <w:multiLevelType w:val="hybridMultilevel"/>
    <w:tmpl w:val="C4DCBE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7944634"/>
    <w:multiLevelType w:val="hybridMultilevel"/>
    <w:tmpl w:val="13BC716E"/>
    <w:lvl w:ilvl="0" w:tplc="DD14E788">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1"/>
  </w:num>
  <w:num w:numId="7">
    <w:abstractNumId w:val="30"/>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34"/>
  </w:num>
  <w:num w:numId="12">
    <w:abstractNumId w:val="22"/>
  </w:num>
  <w:num w:numId="13">
    <w:abstractNumId w:val="19"/>
  </w:num>
  <w:num w:numId="14">
    <w:abstractNumId w:val="4"/>
  </w:num>
  <w:num w:numId="15">
    <w:abstractNumId w:val="28"/>
  </w:num>
  <w:num w:numId="16">
    <w:abstractNumId w:val="26"/>
  </w:num>
  <w:num w:numId="17">
    <w:abstractNumId w:val="31"/>
  </w:num>
  <w:num w:numId="18">
    <w:abstractNumId w:val="36"/>
  </w:num>
  <w:num w:numId="19">
    <w:abstractNumId w:val="32"/>
  </w:num>
  <w:num w:numId="20">
    <w:abstractNumId w:val="11"/>
  </w:num>
  <w:num w:numId="21">
    <w:abstractNumId w:val="23"/>
  </w:num>
  <w:num w:numId="22">
    <w:abstractNumId w:val="25"/>
  </w:num>
  <w:num w:numId="23">
    <w:abstractNumId w:val="12"/>
  </w:num>
  <w:num w:numId="24">
    <w:abstractNumId w:val="20"/>
  </w:num>
  <w:num w:numId="25">
    <w:abstractNumId w:val="17"/>
  </w:num>
  <w:num w:numId="26">
    <w:abstractNumId w:val="6"/>
  </w:num>
  <w:num w:numId="27">
    <w:abstractNumId w:val="24"/>
  </w:num>
  <w:num w:numId="28">
    <w:abstractNumId w:val="8"/>
  </w:num>
  <w:num w:numId="29">
    <w:abstractNumId w:val="5"/>
  </w:num>
  <w:num w:numId="30">
    <w:abstractNumId w:val="13"/>
  </w:num>
  <w:num w:numId="31">
    <w:abstractNumId w:val="16"/>
  </w:num>
  <w:num w:numId="32">
    <w:abstractNumId w:val="9"/>
  </w:num>
  <w:num w:numId="33">
    <w:abstractNumId w:val="18"/>
  </w:num>
  <w:num w:numId="34">
    <w:abstractNumId w:val="10"/>
  </w:num>
  <w:num w:numId="35">
    <w:abstractNumId w:val="0"/>
  </w:num>
  <w:num w:numId="36">
    <w:abstractNumId w:val="35"/>
  </w:num>
  <w:num w:numId="37">
    <w:abstractNumId w:val="33"/>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F861FB"/>
    <w:rsid w:val="00000F84"/>
    <w:rsid w:val="000012FE"/>
    <w:rsid w:val="00011820"/>
    <w:rsid w:val="00013134"/>
    <w:rsid w:val="000154C8"/>
    <w:rsid w:val="000173D9"/>
    <w:rsid w:val="0002077F"/>
    <w:rsid w:val="00025873"/>
    <w:rsid w:val="00025DE6"/>
    <w:rsid w:val="0002681C"/>
    <w:rsid w:val="00027680"/>
    <w:rsid w:val="0003055D"/>
    <w:rsid w:val="00030989"/>
    <w:rsid w:val="00030C55"/>
    <w:rsid w:val="00031D51"/>
    <w:rsid w:val="00036B76"/>
    <w:rsid w:val="00037170"/>
    <w:rsid w:val="00041F1A"/>
    <w:rsid w:val="000435C0"/>
    <w:rsid w:val="00043F7C"/>
    <w:rsid w:val="00046212"/>
    <w:rsid w:val="000474E6"/>
    <w:rsid w:val="00047E63"/>
    <w:rsid w:val="00051734"/>
    <w:rsid w:val="00062699"/>
    <w:rsid w:val="00063214"/>
    <w:rsid w:val="00063DB4"/>
    <w:rsid w:val="00066F87"/>
    <w:rsid w:val="00067A6C"/>
    <w:rsid w:val="00072E43"/>
    <w:rsid w:val="000938DA"/>
    <w:rsid w:val="00096AA1"/>
    <w:rsid w:val="000979AC"/>
    <w:rsid w:val="000A0997"/>
    <w:rsid w:val="000A3DC4"/>
    <w:rsid w:val="000B205A"/>
    <w:rsid w:val="000B65CE"/>
    <w:rsid w:val="000C14C9"/>
    <w:rsid w:val="000C3550"/>
    <w:rsid w:val="000C46AF"/>
    <w:rsid w:val="000C60C8"/>
    <w:rsid w:val="000D015C"/>
    <w:rsid w:val="000D0216"/>
    <w:rsid w:val="000D228F"/>
    <w:rsid w:val="000D3459"/>
    <w:rsid w:val="000D3E92"/>
    <w:rsid w:val="000D419B"/>
    <w:rsid w:val="000D52AF"/>
    <w:rsid w:val="000D79F1"/>
    <w:rsid w:val="000E13FD"/>
    <w:rsid w:val="000E3C51"/>
    <w:rsid w:val="000E5DCF"/>
    <w:rsid w:val="000E759E"/>
    <w:rsid w:val="000E7ED3"/>
    <w:rsid w:val="000F0468"/>
    <w:rsid w:val="000F327A"/>
    <w:rsid w:val="000F3F33"/>
    <w:rsid w:val="000F46C3"/>
    <w:rsid w:val="000F5E96"/>
    <w:rsid w:val="000F6E74"/>
    <w:rsid w:val="00100172"/>
    <w:rsid w:val="001008F1"/>
    <w:rsid w:val="0010245E"/>
    <w:rsid w:val="00104C2E"/>
    <w:rsid w:val="00104F23"/>
    <w:rsid w:val="001073C1"/>
    <w:rsid w:val="00107BD1"/>
    <w:rsid w:val="0011334B"/>
    <w:rsid w:val="0011453A"/>
    <w:rsid w:val="00116473"/>
    <w:rsid w:val="0011658D"/>
    <w:rsid w:val="00117BF2"/>
    <w:rsid w:val="00126EC5"/>
    <w:rsid w:val="001325A9"/>
    <w:rsid w:val="00140CE5"/>
    <w:rsid w:val="0015059B"/>
    <w:rsid w:val="00150B59"/>
    <w:rsid w:val="00150F96"/>
    <w:rsid w:val="00153247"/>
    <w:rsid w:val="0015506A"/>
    <w:rsid w:val="00155685"/>
    <w:rsid w:val="00157048"/>
    <w:rsid w:val="00160609"/>
    <w:rsid w:val="00160BA6"/>
    <w:rsid w:val="0016128B"/>
    <w:rsid w:val="00161ED7"/>
    <w:rsid w:val="0016408B"/>
    <w:rsid w:val="00166251"/>
    <w:rsid w:val="00166359"/>
    <w:rsid w:val="00171785"/>
    <w:rsid w:val="00173B83"/>
    <w:rsid w:val="00176F77"/>
    <w:rsid w:val="00180D10"/>
    <w:rsid w:val="00197345"/>
    <w:rsid w:val="001A3A69"/>
    <w:rsid w:val="001A4C86"/>
    <w:rsid w:val="001B6B0E"/>
    <w:rsid w:val="001C116D"/>
    <w:rsid w:val="001C12B6"/>
    <w:rsid w:val="001C16B6"/>
    <w:rsid w:val="001C366A"/>
    <w:rsid w:val="001C7305"/>
    <w:rsid w:val="001D0734"/>
    <w:rsid w:val="001D438B"/>
    <w:rsid w:val="001D5DCF"/>
    <w:rsid w:val="001D5F70"/>
    <w:rsid w:val="001D7C2C"/>
    <w:rsid w:val="001E0402"/>
    <w:rsid w:val="001E08CC"/>
    <w:rsid w:val="001E1FA0"/>
    <w:rsid w:val="001F22F7"/>
    <w:rsid w:val="001F415D"/>
    <w:rsid w:val="001F638C"/>
    <w:rsid w:val="001F773A"/>
    <w:rsid w:val="00200490"/>
    <w:rsid w:val="00201F76"/>
    <w:rsid w:val="00203CB0"/>
    <w:rsid w:val="002072DB"/>
    <w:rsid w:val="00207D43"/>
    <w:rsid w:val="00212530"/>
    <w:rsid w:val="00212804"/>
    <w:rsid w:val="00212816"/>
    <w:rsid w:val="00213585"/>
    <w:rsid w:val="002135E8"/>
    <w:rsid w:val="002145D7"/>
    <w:rsid w:val="00224F08"/>
    <w:rsid w:val="0022623A"/>
    <w:rsid w:val="00226BFA"/>
    <w:rsid w:val="00227769"/>
    <w:rsid w:val="00230295"/>
    <w:rsid w:val="002351CC"/>
    <w:rsid w:val="00236A2F"/>
    <w:rsid w:val="00237FCE"/>
    <w:rsid w:val="00240FC3"/>
    <w:rsid w:val="00242493"/>
    <w:rsid w:val="00244D66"/>
    <w:rsid w:val="002468BD"/>
    <w:rsid w:val="00250E5C"/>
    <w:rsid w:val="00251A63"/>
    <w:rsid w:val="00252EE6"/>
    <w:rsid w:val="00254B33"/>
    <w:rsid w:val="00261D79"/>
    <w:rsid w:val="00264EA9"/>
    <w:rsid w:val="00265A8C"/>
    <w:rsid w:val="00265F81"/>
    <w:rsid w:val="0026645E"/>
    <w:rsid w:val="00273BD2"/>
    <w:rsid w:val="00275947"/>
    <w:rsid w:val="0028262A"/>
    <w:rsid w:val="00283B40"/>
    <w:rsid w:val="00283CE9"/>
    <w:rsid w:val="00284666"/>
    <w:rsid w:val="002849A9"/>
    <w:rsid w:val="00286C22"/>
    <w:rsid w:val="0029172C"/>
    <w:rsid w:val="002A5BC3"/>
    <w:rsid w:val="002A6D76"/>
    <w:rsid w:val="002A705E"/>
    <w:rsid w:val="002B012E"/>
    <w:rsid w:val="002B20AF"/>
    <w:rsid w:val="002B3B8F"/>
    <w:rsid w:val="002B3C25"/>
    <w:rsid w:val="002B65C5"/>
    <w:rsid w:val="002B7097"/>
    <w:rsid w:val="002C17E8"/>
    <w:rsid w:val="002C329A"/>
    <w:rsid w:val="002C32DA"/>
    <w:rsid w:val="002E2444"/>
    <w:rsid w:val="002E65E1"/>
    <w:rsid w:val="002E67E5"/>
    <w:rsid w:val="002F2F44"/>
    <w:rsid w:val="002F37A0"/>
    <w:rsid w:val="002F66A0"/>
    <w:rsid w:val="002F7391"/>
    <w:rsid w:val="003000F7"/>
    <w:rsid w:val="00301084"/>
    <w:rsid w:val="00303857"/>
    <w:rsid w:val="00303AAA"/>
    <w:rsid w:val="00304DB4"/>
    <w:rsid w:val="00304F2B"/>
    <w:rsid w:val="0030782C"/>
    <w:rsid w:val="00310E61"/>
    <w:rsid w:val="00312FEE"/>
    <w:rsid w:val="00316BBA"/>
    <w:rsid w:val="003175B4"/>
    <w:rsid w:val="003207E3"/>
    <w:rsid w:val="003210ED"/>
    <w:rsid w:val="00321221"/>
    <w:rsid w:val="003228E2"/>
    <w:rsid w:val="0032607D"/>
    <w:rsid w:val="0033147C"/>
    <w:rsid w:val="003331ED"/>
    <w:rsid w:val="003334F0"/>
    <w:rsid w:val="00333539"/>
    <w:rsid w:val="003348E3"/>
    <w:rsid w:val="00336973"/>
    <w:rsid w:val="00336FB3"/>
    <w:rsid w:val="0033779A"/>
    <w:rsid w:val="00337D41"/>
    <w:rsid w:val="00347569"/>
    <w:rsid w:val="0035066B"/>
    <w:rsid w:val="00354F02"/>
    <w:rsid w:val="003558D2"/>
    <w:rsid w:val="00357C2F"/>
    <w:rsid w:val="003633FD"/>
    <w:rsid w:val="003738F9"/>
    <w:rsid w:val="0037410B"/>
    <w:rsid w:val="00382548"/>
    <w:rsid w:val="00394716"/>
    <w:rsid w:val="003958C9"/>
    <w:rsid w:val="00396217"/>
    <w:rsid w:val="003965E9"/>
    <w:rsid w:val="003A161C"/>
    <w:rsid w:val="003A1C04"/>
    <w:rsid w:val="003A303A"/>
    <w:rsid w:val="003B0AD1"/>
    <w:rsid w:val="003B218F"/>
    <w:rsid w:val="003B53EA"/>
    <w:rsid w:val="003C0598"/>
    <w:rsid w:val="003C1110"/>
    <w:rsid w:val="003C1C66"/>
    <w:rsid w:val="003C2840"/>
    <w:rsid w:val="003D1C38"/>
    <w:rsid w:val="003D2F0A"/>
    <w:rsid w:val="003D36B6"/>
    <w:rsid w:val="003D4A86"/>
    <w:rsid w:val="003E13B9"/>
    <w:rsid w:val="003E1B8C"/>
    <w:rsid w:val="003E508F"/>
    <w:rsid w:val="003E7400"/>
    <w:rsid w:val="003E75C2"/>
    <w:rsid w:val="003F0DDE"/>
    <w:rsid w:val="003F144A"/>
    <w:rsid w:val="003F2681"/>
    <w:rsid w:val="003F4E7D"/>
    <w:rsid w:val="003F55F0"/>
    <w:rsid w:val="00402CDC"/>
    <w:rsid w:val="004030F2"/>
    <w:rsid w:val="004038A5"/>
    <w:rsid w:val="00403DC8"/>
    <w:rsid w:val="004053F9"/>
    <w:rsid w:val="00405E8A"/>
    <w:rsid w:val="00406A4F"/>
    <w:rsid w:val="00414336"/>
    <w:rsid w:val="0041589F"/>
    <w:rsid w:val="00415FA3"/>
    <w:rsid w:val="004176D2"/>
    <w:rsid w:val="00420326"/>
    <w:rsid w:val="00421083"/>
    <w:rsid w:val="00425DC7"/>
    <w:rsid w:val="00426EA0"/>
    <w:rsid w:val="00426F04"/>
    <w:rsid w:val="00430384"/>
    <w:rsid w:val="00430552"/>
    <w:rsid w:val="00430937"/>
    <w:rsid w:val="004316B2"/>
    <w:rsid w:val="0043214F"/>
    <w:rsid w:val="0043332A"/>
    <w:rsid w:val="004375F1"/>
    <w:rsid w:val="00443D28"/>
    <w:rsid w:val="00445110"/>
    <w:rsid w:val="00446564"/>
    <w:rsid w:val="00447819"/>
    <w:rsid w:val="00447951"/>
    <w:rsid w:val="00452A6D"/>
    <w:rsid w:val="00452A7E"/>
    <w:rsid w:val="0045429A"/>
    <w:rsid w:val="004544C3"/>
    <w:rsid w:val="00455390"/>
    <w:rsid w:val="00455D8D"/>
    <w:rsid w:val="00460428"/>
    <w:rsid w:val="004605F2"/>
    <w:rsid w:val="004611F8"/>
    <w:rsid w:val="00461238"/>
    <w:rsid w:val="0046500B"/>
    <w:rsid w:val="00465EB6"/>
    <w:rsid w:val="0047111C"/>
    <w:rsid w:val="00471600"/>
    <w:rsid w:val="00472960"/>
    <w:rsid w:val="00472C01"/>
    <w:rsid w:val="00473DFB"/>
    <w:rsid w:val="004844C2"/>
    <w:rsid w:val="0048634C"/>
    <w:rsid w:val="00486907"/>
    <w:rsid w:val="00486FE8"/>
    <w:rsid w:val="00490481"/>
    <w:rsid w:val="0049075B"/>
    <w:rsid w:val="00490E87"/>
    <w:rsid w:val="004910BF"/>
    <w:rsid w:val="004925F3"/>
    <w:rsid w:val="00494FA0"/>
    <w:rsid w:val="00495CAE"/>
    <w:rsid w:val="004968E8"/>
    <w:rsid w:val="004A1713"/>
    <w:rsid w:val="004A216E"/>
    <w:rsid w:val="004A30F5"/>
    <w:rsid w:val="004A3F72"/>
    <w:rsid w:val="004A50CB"/>
    <w:rsid w:val="004A6938"/>
    <w:rsid w:val="004A7950"/>
    <w:rsid w:val="004B3DF4"/>
    <w:rsid w:val="004B4B15"/>
    <w:rsid w:val="004B5581"/>
    <w:rsid w:val="004B7816"/>
    <w:rsid w:val="004B78F8"/>
    <w:rsid w:val="004C10B2"/>
    <w:rsid w:val="004D0AB5"/>
    <w:rsid w:val="004D4EE3"/>
    <w:rsid w:val="004D4FC8"/>
    <w:rsid w:val="004D6FDE"/>
    <w:rsid w:val="004E19A5"/>
    <w:rsid w:val="004E408A"/>
    <w:rsid w:val="004E4AFD"/>
    <w:rsid w:val="004E5BC6"/>
    <w:rsid w:val="004E62C1"/>
    <w:rsid w:val="004F0F29"/>
    <w:rsid w:val="004F664C"/>
    <w:rsid w:val="004F7510"/>
    <w:rsid w:val="0050116B"/>
    <w:rsid w:val="005019EA"/>
    <w:rsid w:val="00503738"/>
    <w:rsid w:val="005042CB"/>
    <w:rsid w:val="00512E40"/>
    <w:rsid w:val="00512EDB"/>
    <w:rsid w:val="00513E97"/>
    <w:rsid w:val="00515AF8"/>
    <w:rsid w:val="00516825"/>
    <w:rsid w:val="00521774"/>
    <w:rsid w:val="00522C4E"/>
    <w:rsid w:val="00522DB2"/>
    <w:rsid w:val="0052686D"/>
    <w:rsid w:val="005315C4"/>
    <w:rsid w:val="00533D5C"/>
    <w:rsid w:val="0053463B"/>
    <w:rsid w:val="00535635"/>
    <w:rsid w:val="00537616"/>
    <w:rsid w:val="0054222A"/>
    <w:rsid w:val="00542978"/>
    <w:rsid w:val="00543FD5"/>
    <w:rsid w:val="00545C5C"/>
    <w:rsid w:val="00546DEB"/>
    <w:rsid w:val="005478A2"/>
    <w:rsid w:val="0055014F"/>
    <w:rsid w:val="00552602"/>
    <w:rsid w:val="00553018"/>
    <w:rsid w:val="00553166"/>
    <w:rsid w:val="005544DF"/>
    <w:rsid w:val="0055652F"/>
    <w:rsid w:val="005569FA"/>
    <w:rsid w:val="0056015B"/>
    <w:rsid w:val="0056230A"/>
    <w:rsid w:val="00564A04"/>
    <w:rsid w:val="00565D35"/>
    <w:rsid w:val="005661EF"/>
    <w:rsid w:val="00567480"/>
    <w:rsid w:val="0057192F"/>
    <w:rsid w:val="00572AA2"/>
    <w:rsid w:val="00572DE5"/>
    <w:rsid w:val="005744E4"/>
    <w:rsid w:val="00581384"/>
    <w:rsid w:val="00581483"/>
    <w:rsid w:val="00584383"/>
    <w:rsid w:val="00591C5B"/>
    <w:rsid w:val="00596FC9"/>
    <w:rsid w:val="005978B6"/>
    <w:rsid w:val="005A1381"/>
    <w:rsid w:val="005A335B"/>
    <w:rsid w:val="005A3D5A"/>
    <w:rsid w:val="005A4B58"/>
    <w:rsid w:val="005A54A3"/>
    <w:rsid w:val="005A5898"/>
    <w:rsid w:val="005B040F"/>
    <w:rsid w:val="005B1094"/>
    <w:rsid w:val="005B1EE9"/>
    <w:rsid w:val="005B2920"/>
    <w:rsid w:val="005B5D23"/>
    <w:rsid w:val="005B5FE7"/>
    <w:rsid w:val="005C0903"/>
    <w:rsid w:val="005C0AB8"/>
    <w:rsid w:val="005C0E2E"/>
    <w:rsid w:val="005C16E5"/>
    <w:rsid w:val="005C1E70"/>
    <w:rsid w:val="005C3079"/>
    <w:rsid w:val="005C3D38"/>
    <w:rsid w:val="005C4A8C"/>
    <w:rsid w:val="005C6148"/>
    <w:rsid w:val="005D107D"/>
    <w:rsid w:val="005D154D"/>
    <w:rsid w:val="005D2292"/>
    <w:rsid w:val="005D2626"/>
    <w:rsid w:val="005D3680"/>
    <w:rsid w:val="005D48AD"/>
    <w:rsid w:val="005E7B1B"/>
    <w:rsid w:val="005F1AA6"/>
    <w:rsid w:val="006023E1"/>
    <w:rsid w:val="00605216"/>
    <w:rsid w:val="006053EB"/>
    <w:rsid w:val="00606EC5"/>
    <w:rsid w:val="00610B7E"/>
    <w:rsid w:val="0061263B"/>
    <w:rsid w:val="00614551"/>
    <w:rsid w:val="00614B50"/>
    <w:rsid w:val="0061586F"/>
    <w:rsid w:val="00617C97"/>
    <w:rsid w:val="0062563F"/>
    <w:rsid w:val="00634806"/>
    <w:rsid w:val="006369D3"/>
    <w:rsid w:val="00637281"/>
    <w:rsid w:val="00637D40"/>
    <w:rsid w:val="00642A3B"/>
    <w:rsid w:val="00642E04"/>
    <w:rsid w:val="0064363D"/>
    <w:rsid w:val="00646D30"/>
    <w:rsid w:val="00654820"/>
    <w:rsid w:val="006557F3"/>
    <w:rsid w:val="00655C3A"/>
    <w:rsid w:val="00656327"/>
    <w:rsid w:val="006567C6"/>
    <w:rsid w:val="00656ABC"/>
    <w:rsid w:val="00660330"/>
    <w:rsid w:val="00660D5B"/>
    <w:rsid w:val="006621FE"/>
    <w:rsid w:val="00662FD1"/>
    <w:rsid w:val="0066614B"/>
    <w:rsid w:val="00670491"/>
    <w:rsid w:val="00671986"/>
    <w:rsid w:val="00673CF1"/>
    <w:rsid w:val="00673FF9"/>
    <w:rsid w:val="0067534C"/>
    <w:rsid w:val="00675909"/>
    <w:rsid w:val="00677250"/>
    <w:rsid w:val="0067730A"/>
    <w:rsid w:val="00680158"/>
    <w:rsid w:val="00681677"/>
    <w:rsid w:val="00682395"/>
    <w:rsid w:val="006823BA"/>
    <w:rsid w:val="0068270C"/>
    <w:rsid w:val="00686FAC"/>
    <w:rsid w:val="00687928"/>
    <w:rsid w:val="00691A81"/>
    <w:rsid w:val="00691CAF"/>
    <w:rsid w:val="0069294D"/>
    <w:rsid w:val="00692A16"/>
    <w:rsid w:val="0069331B"/>
    <w:rsid w:val="00693F38"/>
    <w:rsid w:val="00697E35"/>
    <w:rsid w:val="006A0765"/>
    <w:rsid w:val="006A1BAF"/>
    <w:rsid w:val="006A2EAD"/>
    <w:rsid w:val="006A3368"/>
    <w:rsid w:val="006A3F20"/>
    <w:rsid w:val="006A486A"/>
    <w:rsid w:val="006A5F54"/>
    <w:rsid w:val="006A63ED"/>
    <w:rsid w:val="006A7223"/>
    <w:rsid w:val="006B178E"/>
    <w:rsid w:val="006B42D8"/>
    <w:rsid w:val="006B4461"/>
    <w:rsid w:val="006B7DF2"/>
    <w:rsid w:val="006B7FDF"/>
    <w:rsid w:val="006C12FE"/>
    <w:rsid w:val="006C6CC2"/>
    <w:rsid w:val="006C7665"/>
    <w:rsid w:val="006D4D27"/>
    <w:rsid w:val="006D5323"/>
    <w:rsid w:val="006D5B70"/>
    <w:rsid w:val="006D6F24"/>
    <w:rsid w:val="006D7691"/>
    <w:rsid w:val="006E037C"/>
    <w:rsid w:val="006F02C4"/>
    <w:rsid w:val="006F12EF"/>
    <w:rsid w:val="006F3E18"/>
    <w:rsid w:val="006F5290"/>
    <w:rsid w:val="00703D7F"/>
    <w:rsid w:val="00704161"/>
    <w:rsid w:val="00705449"/>
    <w:rsid w:val="007070E7"/>
    <w:rsid w:val="007122F2"/>
    <w:rsid w:val="00712894"/>
    <w:rsid w:val="00713951"/>
    <w:rsid w:val="00717C5A"/>
    <w:rsid w:val="00721B67"/>
    <w:rsid w:val="00723E24"/>
    <w:rsid w:val="007250E2"/>
    <w:rsid w:val="00725269"/>
    <w:rsid w:val="007264A4"/>
    <w:rsid w:val="00730A5F"/>
    <w:rsid w:val="00730BB0"/>
    <w:rsid w:val="00730F6F"/>
    <w:rsid w:val="007334D8"/>
    <w:rsid w:val="007339CA"/>
    <w:rsid w:val="007414BD"/>
    <w:rsid w:val="00743E8C"/>
    <w:rsid w:val="007460B3"/>
    <w:rsid w:val="0074624C"/>
    <w:rsid w:val="007519D0"/>
    <w:rsid w:val="00754236"/>
    <w:rsid w:val="00757FA3"/>
    <w:rsid w:val="00760152"/>
    <w:rsid w:val="00760D22"/>
    <w:rsid w:val="00760DD8"/>
    <w:rsid w:val="0076185B"/>
    <w:rsid w:val="007619A7"/>
    <w:rsid w:val="00770608"/>
    <w:rsid w:val="007776BD"/>
    <w:rsid w:val="00785436"/>
    <w:rsid w:val="00790381"/>
    <w:rsid w:val="00793117"/>
    <w:rsid w:val="00793695"/>
    <w:rsid w:val="0079458D"/>
    <w:rsid w:val="00794908"/>
    <w:rsid w:val="00794BEE"/>
    <w:rsid w:val="00795484"/>
    <w:rsid w:val="00795DF9"/>
    <w:rsid w:val="007965E9"/>
    <w:rsid w:val="007A371A"/>
    <w:rsid w:val="007A4321"/>
    <w:rsid w:val="007A5347"/>
    <w:rsid w:val="007B1573"/>
    <w:rsid w:val="007B29A6"/>
    <w:rsid w:val="007B36F3"/>
    <w:rsid w:val="007B3CF2"/>
    <w:rsid w:val="007B3DAE"/>
    <w:rsid w:val="007B4C47"/>
    <w:rsid w:val="007B6BBA"/>
    <w:rsid w:val="007C1B00"/>
    <w:rsid w:val="007C2D1E"/>
    <w:rsid w:val="007C3A4D"/>
    <w:rsid w:val="007C5FBF"/>
    <w:rsid w:val="007C6232"/>
    <w:rsid w:val="007C70A7"/>
    <w:rsid w:val="007C7615"/>
    <w:rsid w:val="007D0628"/>
    <w:rsid w:val="007D4132"/>
    <w:rsid w:val="007E127E"/>
    <w:rsid w:val="007E1A06"/>
    <w:rsid w:val="007E4EDB"/>
    <w:rsid w:val="007E68F4"/>
    <w:rsid w:val="007F1CCF"/>
    <w:rsid w:val="007F3BDB"/>
    <w:rsid w:val="00800A6C"/>
    <w:rsid w:val="00801C4C"/>
    <w:rsid w:val="0080262C"/>
    <w:rsid w:val="00802B9E"/>
    <w:rsid w:val="00803E92"/>
    <w:rsid w:val="00811F95"/>
    <w:rsid w:val="00812AEF"/>
    <w:rsid w:val="00814BC3"/>
    <w:rsid w:val="008169C4"/>
    <w:rsid w:val="00817900"/>
    <w:rsid w:val="0082087C"/>
    <w:rsid w:val="00821E67"/>
    <w:rsid w:val="00822F29"/>
    <w:rsid w:val="00824B36"/>
    <w:rsid w:val="00826C61"/>
    <w:rsid w:val="00827C2E"/>
    <w:rsid w:val="0083377A"/>
    <w:rsid w:val="00833C05"/>
    <w:rsid w:val="00834E33"/>
    <w:rsid w:val="00840343"/>
    <w:rsid w:val="008419DB"/>
    <w:rsid w:val="00844CC1"/>
    <w:rsid w:val="00845886"/>
    <w:rsid w:val="00850E2D"/>
    <w:rsid w:val="00850E52"/>
    <w:rsid w:val="00855666"/>
    <w:rsid w:val="00856982"/>
    <w:rsid w:val="00862203"/>
    <w:rsid w:val="00862711"/>
    <w:rsid w:val="008647D3"/>
    <w:rsid w:val="00864EE5"/>
    <w:rsid w:val="008653B6"/>
    <w:rsid w:val="00867E4F"/>
    <w:rsid w:val="008713D6"/>
    <w:rsid w:val="008723DE"/>
    <w:rsid w:val="008726BF"/>
    <w:rsid w:val="00875F3B"/>
    <w:rsid w:val="00880694"/>
    <w:rsid w:val="00881750"/>
    <w:rsid w:val="008826F3"/>
    <w:rsid w:val="00885DF5"/>
    <w:rsid w:val="00886A3C"/>
    <w:rsid w:val="008872FD"/>
    <w:rsid w:val="0089497C"/>
    <w:rsid w:val="0089794D"/>
    <w:rsid w:val="008A1186"/>
    <w:rsid w:val="008A2E43"/>
    <w:rsid w:val="008A5388"/>
    <w:rsid w:val="008B01BB"/>
    <w:rsid w:val="008B169A"/>
    <w:rsid w:val="008B17B7"/>
    <w:rsid w:val="008B2276"/>
    <w:rsid w:val="008B6FC4"/>
    <w:rsid w:val="008B7B53"/>
    <w:rsid w:val="008B7D5D"/>
    <w:rsid w:val="008C0412"/>
    <w:rsid w:val="008C0521"/>
    <w:rsid w:val="008C1FA4"/>
    <w:rsid w:val="008C3BA2"/>
    <w:rsid w:val="008C3BCF"/>
    <w:rsid w:val="008C7754"/>
    <w:rsid w:val="008D2901"/>
    <w:rsid w:val="008D5C22"/>
    <w:rsid w:val="008D65E3"/>
    <w:rsid w:val="008D6842"/>
    <w:rsid w:val="008D7566"/>
    <w:rsid w:val="008D7A76"/>
    <w:rsid w:val="008E0714"/>
    <w:rsid w:val="008E1253"/>
    <w:rsid w:val="008E18BA"/>
    <w:rsid w:val="008E3049"/>
    <w:rsid w:val="008E39D8"/>
    <w:rsid w:val="008E4C6A"/>
    <w:rsid w:val="008E4D4E"/>
    <w:rsid w:val="008F1BA9"/>
    <w:rsid w:val="009018D1"/>
    <w:rsid w:val="00902F53"/>
    <w:rsid w:val="00904043"/>
    <w:rsid w:val="00904079"/>
    <w:rsid w:val="00913520"/>
    <w:rsid w:val="00914856"/>
    <w:rsid w:val="00915C5A"/>
    <w:rsid w:val="009165EA"/>
    <w:rsid w:val="00916D17"/>
    <w:rsid w:val="00917308"/>
    <w:rsid w:val="00923717"/>
    <w:rsid w:val="009364B5"/>
    <w:rsid w:val="0094021D"/>
    <w:rsid w:val="00940413"/>
    <w:rsid w:val="009415FA"/>
    <w:rsid w:val="009422E0"/>
    <w:rsid w:val="00945967"/>
    <w:rsid w:val="00950B15"/>
    <w:rsid w:val="00951076"/>
    <w:rsid w:val="009541AC"/>
    <w:rsid w:val="00955564"/>
    <w:rsid w:val="00961BBE"/>
    <w:rsid w:val="00964C0C"/>
    <w:rsid w:val="00965EB7"/>
    <w:rsid w:val="009666A2"/>
    <w:rsid w:val="009679B2"/>
    <w:rsid w:val="009726DB"/>
    <w:rsid w:val="009757E2"/>
    <w:rsid w:val="00975E59"/>
    <w:rsid w:val="0098045A"/>
    <w:rsid w:val="00981AF9"/>
    <w:rsid w:val="00981F28"/>
    <w:rsid w:val="00983F3B"/>
    <w:rsid w:val="009862F9"/>
    <w:rsid w:val="00987044"/>
    <w:rsid w:val="00987121"/>
    <w:rsid w:val="009903B1"/>
    <w:rsid w:val="009920ED"/>
    <w:rsid w:val="00995038"/>
    <w:rsid w:val="0099704E"/>
    <w:rsid w:val="009A6DDC"/>
    <w:rsid w:val="009B0AE1"/>
    <w:rsid w:val="009B180B"/>
    <w:rsid w:val="009B657A"/>
    <w:rsid w:val="009C120D"/>
    <w:rsid w:val="009C5917"/>
    <w:rsid w:val="009C6D6D"/>
    <w:rsid w:val="009C7292"/>
    <w:rsid w:val="009D47E4"/>
    <w:rsid w:val="009D6006"/>
    <w:rsid w:val="009D66B2"/>
    <w:rsid w:val="009D6D30"/>
    <w:rsid w:val="009E0331"/>
    <w:rsid w:val="009E08A2"/>
    <w:rsid w:val="009E450C"/>
    <w:rsid w:val="009E73AC"/>
    <w:rsid w:val="009E7430"/>
    <w:rsid w:val="009F2962"/>
    <w:rsid w:val="009F39E9"/>
    <w:rsid w:val="009F7954"/>
    <w:rsid w:val="00A03D2D"/>
    <w:rsid w:val="00A1300F"/>
    <w:rsid w:val="00A14489"/>
    <w:rsid w:val="00A15DA7"/>
    <w:rsid w:val="00A15EB7"/>
    <w:rsid w:val="00A16618"/>
    <w:rsid w:val="00A216B7"/>
    <w:rsid w:val="00A21E24"/>
    <w:rsid w:val="00A23B2E"/>
    <w:rsid w:val="00A24D21"/>
    <w:rsid w:val="00A27629"/>
    <w:rsid w:val="00A34982"/>
    <w:rsid w:val="00A35843"/>
    <w:rsid w:val="00A36010"/>
    <w:rsid w:val="00A36B02"/>
    <w:rsid w:val="00A402C3"/>
    <w:rsid w:val="00A43589"/>
    <w:rsid w:val="00A45671"/>
    <w:rsid w:val="00A46248"/>
    <w:rsid w:val="00A46728"/>
    <w:rsid w:val="00A471A6"/>
    <w:rsid w:val="00A559A6"/>
    <w:rsid w:val="00A566F1"/>
    <w:rsid w:val="00A57325"/>
    <w:rsid w:val="00A6349C"/>
    <w:rsid w:val="00A66E02"/>
    <w:rsid w:val="00A70A83"/>
    <w:rsid w:val="00A7110B"/>
    <w:rsid w:val="00A72A92"/>
    <w:rsid w:val="00A73BBA"/>
    <w:rsid w:val="00A777D0"/>
    <w:rsid w:val="00A8550D"/>
    <w:rsid w:val="00A8583C"/>
    <w:rsid w:val="00A90604"/>
    <w:rsid w:val="00A91BF0"/>
    <w:rsid w:val="00A943F2"/>
    <w:rsid w:val="00A97952"/>
    <w:rsid w:val="00AA2986"/>
    <w:rsid w:val="00AA3BFD"/>
    <w:rsid w:val="00AA3D7F"/>
    <w:rsid w:val="00AA4A16"/>
    <w:rsid w:val="00AA67E2"/>
    <w:rsid w:val="00AA6932"/>
    <w:rsid w:val="00AA6F32"/>
    <w:rsid w:val="00AB04ED"/>
    <w:rsid w:val="00AB3803"/>
    <w:rsid w:val="00AB5BCD"/>
    <w:rsid w:val="00AB5F93"/>
    <w:rsid w:val="00AB68B0"/>
    <w:rsid w:val="00AB76B5"/>
    <w:rsid w:val="00AC121E"/>
    <w:rsid w:val="00AC279B"/>
    <w:rsid w:val="00AC4CCB"/>
    <w:rsid w:val="00AC7CB2"/>
    <w:rsid w:val="00AD374F"/>
    <w:rsid w:val="00AD3A9F"/>
    <w:rsid w:val="00AD4615"/>
    <w:rsid w:val="00AD4F32"/>
    <w:rsid w:val="00AD5445"/>
    <w:rsid w:val="00AD69A5"/>
    <w:rsid w:val="00AD6B44"/>
    <w:rsid w:val="00AD71AD"/>
    <w:rsid w:val="00AE0D8C"/>
    <w:rsid w:val="00AE3E61"/>
    <w:rsid w:val="00AE4E9A"/>
    <w:rsid w:val="00AE5FB4"/>
    <w:rsid w:val="00AF01F0"/>
    <w:rsid w:val="00AF43DD"/>
    <w:rsid w:val="00B03A24"/>
    <w:rsid w:val="00B03BF8"/>
    <w:rsid w:val="00B04BA8"/>
    <w:rsid w:val="00B05E4C"/>
    <w:rsid w:val="00B05EC3"/>
    <w:rsid w:val="00B05FAE"/>
    <w:rsid w:val="00B116F1"/>
    <w:rsid w:val="00B121A9"/>
    <w:rsid w:val="00B146F0"/>
    <w:rsid w:val="00B16EE3"/>
    <w:rsid w:val="00B17F1A"/>
    <w:rsid w:val="00B20E05"/>
    <w:rsid w:val="00B21F04"/>
    <w:rsid w:val="00B22C8C"/>
    <w:rsid w:val="00B2494A"/>
    <w:rsid w:val="00B2594C"/>
    <w:rsid w:val="00B26436"/>
    <w:rsid w:val="00B33DF7"/>
    <w:rsid w:val="00B35AFE"/>
    <w:rsid w:val="00B368C6"/>
    <w:rsid w:val="00B37C60"/>
    <w:rsid w:val="00B413BE"/>
    <w:rsid w:val="00B42887"/>
    <w:rsid w:val="00B4777B"/>
    <w:rsid w:val="00B47D96"/>
    <w:rsid w:val="00B519E5"/>
    <w:rsid w:val="00B5267C"/>
    <w:rsid w:val="00B52C36"/>
    <w:rsid w:val="00B6030F"/>
    <w:rsid w:val="00B61946"/>
    <w:rsid w:val="00B66C8F"/>
    <w:rsid w:val="00B70910"/>
    <w:rsid w:val="00B7209A"/>
    <w:rsid w:val="00B74256"/>
    <w:rsid w:val="00B80679"/>
    <w:rsid w:val="00B81776"/>
    <w:rsid w:val="00B8406E"/>
    <w:rsid w:val="00B85D7F"/>
    <w:rsid w:val="00B85DC8"/>
    <w:rsid w:val="00B86D23"/>
    <w:rsid w:val="00B92F33"/>
    <w:rsid w:val="00BA1E17"/>
    <w:rsid w:val="00BA202D"/>
    <w:rsid w:val="00BA2B6C"/>
    <w:rsid w:val="00BA4FD9"/>
    <w:rsid w:val="00BA6D14"/>
    <w:rsid w:val="00BA734D"/>
    <w:rsid w:val="00BA785F"/>
    <w:rsid w:val="00BB49A8"/>
    <w:rsid w:val="00BB6F9E"/>
    <w:rsid w:val="00BC211D"/>
    <w:rsid w:val="00BC4267"/>
    <w:rsid w:val="00BC50AA"/>
    <w:rsid w:val="00BD0579"/>
    <w:rsid w:val="00BD2CA2"/>
    <w:rsid w:val="00BD2DFF"/>
    <w:rsid w:val="00BD4161"/>
    <w:rsid w:val="00BD4CB9"/>
    <w:rsid w:val="00BE0A1B"/>
    <w:rsid w:val="00BE156A"/>
    <w:rsid w:val="00BE1815"/>
    <w:rsid w:val="00BE47DC"/>
    <w:rsid w:val="00BE6E21"/>
    <w:rsid w:val="00BE7E54"/>
    <w:rsid w:val="00BF0B0A"/>
    <w:rsid w:val="00BF24D0"/>
    <w:rsid w:val="00BF6CC0"/>
    <w:rsid w:val="00BF7F3A"/>
    <w:rsid w:val="00C03803"/>
    <w:rsid w:val="00C05141"/>
    <w:rsid w:val="00C065BA"/>
    <w:rsid w:val="00C11899"/>
    <w:rsid w:val="00C11998"/>
    <w:rsid w:val="00C12032"/>
    <w:rsid w:val="00C12BF2"/>
    <w:rsid w:val="00C13298"/>
    <w:rsid w:val="00C13862"/>
    <w:rsid w:val="00C14317"/>
    <w:rsid w:val="00C208C2"/>
    <w:rsid w:val="00C21097"/>
    <w:rsid w:val="00C22373"/>
    <w:rsid w:val="00C225DC"/>
    <w:rsid w:val="00C237B8"/>
    <w:rsid w:val="00C24178"/>
    <w:rsid w:val="00C24E97"/>
    <w:rsid w:val="00C256C5"/>
    <w:rsid w:val="00C26FDB"/>
    <w:rsid w:val="00C30079"/>
    <w:rsid w:val="00C3237C"/>
    <w:rsid w:val="00C327A3"/>
    <w:rsid w:val="00C33827"/>
    <w:rsid w:val="00C34CD2"/>
    <w:rsid w:val="00C35E47"/>
    <w:rsid w:val="00C41ACD"/>
    <w:rsid w:val="00C500F5"/>
    <w:rsid w:val="00C50E86"/>
    <w:rsid w:val="00C52E15"/>
    <w:rsid w:val="00C54461"/>
    <w:rsid w:val="00C551C4"/>
    <w:rsid w:val="00C57529"/>
    <w:rsid w:val="00C57AD0"/>
    <w:rsid w:val="00C57FA4"/>
    <w:rsid w:val="00C612C8"/>
    <w:rsid w:val="00C6149E"/>
    <w:rsid w:val="00C6173F"/>
    <w:rsid w:val="00C655A3"/>
    <w:rsid w:val="00C66432"/>
    <w:rsid w:val="00C668E4"/>
    <w:rsid w:val="00C66AB1"/>
    <w:rsid w:val="00C72ACB"/>
    <w:rsid w:val="00C75513"/>
    <w:rsid w:val="00C7783F"/>
    <w:rsid w:val="00C811E5"/>
    <w:rsid w:val="00C81351"/>
    <w:rsid w:val="00C85876"/>
    <w:rsid w:val="00C85BCF"/>
    <w:rsid w:val="00C87A29"/>
    <w:rsid w:val="00C9418E"/>
    <w:rsid w:val="00C943B4"/>
    <w:rsid w:val="00C97BEA"/>
    <w:rsid w:val="00CA04ED"/>
    <w:rsid w:val="00CA16A4"/>
    <w:rsid w:val="00CA19E9"/>
    <w:rsid w:val="00CA362E"/>
    <w:rsid w:val="00CA3765"/>
    <w:rsid w:val="00CA6658"/>
    <w:rsid w:val="00CA6955"/>
    <w:rsid w:val="00CB0162"/>
    <w:rsid w:val="00CB1583"/>
    <w:rsid w:val="00CB19CD"/>
    <w:rsid w:val="00CB1AFB"/>
    <w:rsid w:val="00CB441B"/>
    <w:rsid w:val="00CB54D2"/>
    <w:rsid w:val="00CB7408"/>
    <w:rsid w:val="00CB7B63"/>
    <w:rsid w:val="00CC2EDB"/>
    <w:rsid w:val="00CC3336"/>
    <w:rsid w:val="00CC4493"/>
    <w:rsid w:val="00CD1327"/>
    <w:rsid w:val="00CD3DDC"/>
    <w:rsid w:val="00CD51C1"/>
    <w:rsid w:val="00CD7549"/>
    <w:rsid w:val="00CE0619"/>
    <w:rsid w:val="00CE0DAE"/>
    <w:rsid w:val="00CE47FD"/>
    <w:rsid w:val="00CE520D"/>
    <w:rsid w:val="00CF123A"/>
    <w:rsid w:val="00CF2A79"/>
    <w:rsid w:val="00CF4484"/>
    <w:rsid w:val="00CF471A"/>
    <w:rsid w:val="00CF568D"/>
    <w:rsid w:val="00CF762B"/>
    <w:rsid w:val="00D028DA"/>
    <w:rsid w:val="00D031EB"/>
    <w:rsid w:val="00D0397C"/>
    <w:rsid w:val="00D04C17"/>
    <w:rsid w:val="00D20AFC"/>
    <w:rsid w:val="00D22247"/>
    <w:rsid w:val="00D23801"/>
    <w:rsid w:val="00D31CB6"/>
    <w:rsid w:val="00D35020"/>
    <w:rsid w:val="00D42700"/>
    <w:rsid w:val="00D43752"/>
    <w:rsid w:val="00D55FEB"/>
    <w:rsid w:val="00D57CD6"/>
    <w:rsid w:val="00D6080B"/>
    <w:rsid w:val="00D60850"/>
    <w:rsid w:val="00D631C0"/>
    <w:rsid w:val="00D6352C"/>
    <w:rsid w:val="00D6384C"/>
    <w:rsid w:val="00D64580"/>
    <w:rsid w:val="00D65D07"/>
    <w:rsid w:val="00D66E4F"/>
    <w:rsid w:val="00D700AC"/>
    <w:rsid w:val="00D70DA1"/>
    <w:rsid w:val="00D71157"/>
    <w:rsid w:val="00D71F80"/>
    <w:rsid w:val="00D75847"/>
    <w:rsid w:val="00D86827"/>
    <w:rsid w:val="00D90441"/>
    <w:rsid w:val="00D92FF3"/>
    <w:rsid w:val="00D9396B"/>
    <w:rsid w:val="00D956BF"/>
    <w:rsid w:val="00D95F15"/>
    <w:rsid w:val="00D96720"/>
    <w:rsid w:val="00D97005"/>
    <w:rsid w:val="00DA319A"/>
    <w:rsid w:val="00DB0619"/>
    <w:rsid w:val="00DB2151"/>
    <w:rsid w:val="00DB7804"/>
    <w:rsid w:val="00DC02A1"/>
    <w:rsid w:val="00DC10DF"/>
    <w:rsid w:val="00DC3A5D"/>
    <w:rsid w:val="00DC4E20"/>
    <w:rsid w:val="00DC4E36"/>
    <w:rsid w:val="00DC533E"/>
    <w:rsid w:val="00DD019D"/>
    <w:rsid w:val="00DD0420"/>
    <w:rsid w:val="00DD0A46"/>
    <w:rsid w:val="00DD6B57"/>
    <w:rsid w:val="00DE045B"/>
    <w:rsid w:val="00DE0AB2"/>
    <w:rsid w:val="00DE3E6F"/>
    <w:rsid w:val="00DE469F"/>
    <w:rsid w:val="00DE5A42"/>
    <w:rsid w:val="00DE6F0C"/>
    <w:rsid w:val="00DF5129"/>
    <w:rsid w:val="00DF7E20"/>
    <w:rsid w:val="00DF7EFD"/>
    <w:rsid w:val="00E00230"/>
    <w:rsid w:val="00E036EF"/>
    <w:rsid w:val="00E062E8"/>
    <w:rsid w:val="00E11097"/>
    <w:rsid w:val="00E11AD0"/>
    <w:rsid w:val="00E11B84"/>
    <w:rsid w:val="00E134C4"/>
    <w:rsid w:val="00E13BDE"/>
    <w:rsid w:val="00E22BB2"/>
    <w:rsid w:val="00E25A51"/>
    <w:rsid w:val="00E262E2"/>
    <w:rsid w:val="00E278DD"/>
    <w:rsid w:val="00E315C8"/>
    <w:rsid w:val="00E33DCA"/>
    <w:rsid w:val="00E3535D"/>
    <w:rsid w:val="00E35A55"/>
    <w:rsid w:val="00E36E4F"/>
    <w:rsid w:val="00E37822"/>
    <w:rsid w:val="00E40927"/>
    <w:rsid w:val="00E465EB"/>
    <w:rsid w:val="00E4665B"/>
    <w:rsid w:val="00E46780"/>
    <w:rsid w:val="00E50224"/>
    <w:rsid w:val="00E5132C"/>
    <w:rsid w:val="00E52EF1"/>
    <w:rsid w:val="00E530E9"/>
    <w:rsid w:val="00E547D8"/>
    <w:rsid w:val="00E5488D"/>
    <w:rsid w:val="00E55CAA"/>
    <w:rsid w:val="00E56BFC"/>
    <w:rsid w:val="00E578FC"/>
    <w:rsid w:val="00E579E7"/>
    <w:rsid w:val="00E57ABE"/>
    <w:rsid w:val="00E623FF"/>
    <w:rsid w:val="00E62912"/>
    <w:rsid w:val="00E632D8"/>
    <w:rsid w:val="00E65D16"/>
    <w:rsid w:val="00E661C4"/>
    <w:rsid w:val="00E66D1B"/>
    <w:rsid w:val="00E70271"/>
    <w:rsid w:val="00E706D6"/>
    <w:rsid w:val="00E736AA"/>
    <w:rsid w:val="00E7498E"/>
    <w:rsid w:val="00E75208"/>
    <w:rsid w:val="00E8449F"/>
    <w:rsid w:val="00E84B18"/>
    <w:rsid w:val="00E84F9F"/>
    <w:rsid w:val="00E86888"/>
    <w:rsid w:val="00E90E0D"/>
    <w:rsid w:val="00E95734"/>
    <w:rsid w:val="00E969E2"/>
    <w:rsid w:val="00E96E52"/>
    <w:rsid w:val="00E97356"/>
    <w:rsid w:val="00EA20C6"/>
    <w:rsid w:val="00EA417C"/>
    <w:rsid w:val="00EA791C"/>
    <w:rsid w:val="00EB3FAE"/>
    <w:rsid w:val="00EC056A"/>
    <w:rsid w:val="00EC2B52"/>
    <w:rsid w:val="00EC7B4C"/>
    <w:rsid w:val="00ED7D3D"/>
    <w:rsid w:val="00EE0D82"/>
    <w:rsid w:val="00EE21E7"/>
    <w:rsid w:val="00EE3410"/>
    <w:rsid w:val="00EE74D6"/>
    <w:rsid w:val="00EE76BA"/>
    <w:rsid w:val="00EF24FE"/>
    <w:rsid w:val="00EF2C90"/>
    <w:rsid w:val="00EF63D2"/>
    <w:rsid w:val="00EF74EB"/>
    <w:rsid w:val="00F00A1C"/>
    <w:rsid w:val="00F00A32"/>
    <w:rsid w:val="00F01FB4"/>
    <w:rsid w:val="00F02800"/>
    <w:rsid w:val="00F05723"/>
    <w:rsid w:val="00F06737"/>
    <w:rsid w:val="00F119CA"/>
    <w:rsid w:val="00F14189"/>
    <w:rsid w:val="00F15246"/>
    <w:rsid w:val="00F176EB"/>
    <w:rsid w:val="00F17D33"/>
    <w:rsid w:val="00F20950"/>
    <w:rsid w:val="00F211F6"/>
    <w:rsid w:val="00F24918"/>
    <w:rsid w:val="00F27BBC"/>
    <w:rsid w:val="00F310AE"/>
    <w:rsid w:val="00F3149A"/>
    <w:rsid w:val="00F3495A"/>
    <w:rsid w:val="00F34F58"/>
    <w:rsid w:val="00F36028"/>
    <w:rsid w:val="00F4471D"/>
    <w:rsid w:val="00F46519"/>
    <w:rsid w:val="00F46695"/>
    <w:rsid w:val="00F47D32"/>
    <w:rsid w:val="00F47F3D"/>
    <w:rsid w:val="00F51670"/>
    <w:rsid w:val="00F57033"/>
    <w:rsid w:val="00F57AAA"/>
    <w:rsid w:val="00F7027B"/>
    <w:rsid w:val="00F778DD"/>
    <w:rsid w:val="00F81021"/>
    <w:rsid w:val="00F83DB4"/>
    <w:rsid w:val="00F861FB"/>
    <w:rsid w:val="00F8714C"/>
    <w:rsid w:val="00F914DC"/>
    <w:rsid w:val="00F91DB9"/>
    <w:rsid w:val="00F94792"/>
    <w:rsid w:val="00FA0899"/>
    <w:rsid w:val="00FA11FC"/>
    <w:rsid w:val="00FA2324"/>
    <w:rsid w:val="00FA3095"/>
    <w:rsid w:val="00FA6DDB"/>
    <w:rsid w:val="00FB17E0"/>
    <w:rsid w:val="00FB2F91"/>
    <w:rsid w:val="00FB3FED"/>
    <w:rsid w:val="00FB48BB"/>
    <w:rsid w:val="00FB5522"/>
    <w:rsid w:val="00FB5614"/>
    <w:rsid w:val="00FB5BCB"/>
    <w:rsid w:val="00FB608B"/>
    <w:rsid w:val="00FB61DB"/>
    <w:rsid w:val="00FB6D56"/>
    <w:rsid w:val="00FC1AC6"/>
    <w:rsid w:val="00FC3A34"/>
    <w:rsid w:val="00FD0672"/>
    <w:rsid w:val="00FD2189"/>
    <w:rsid w:val="00FD3E5A"/>
    <w:rsid w:val="00FD3E6E"/>
    <w:rsid w:val="00FD6020"/>
    <w:rsid w:val="00FD62AA"/>
    <w:rsid w:val="00FD6305"/>
    <w:rsid w:val="00FD7153"/>
    <w:rsid w:val="00FE2DD0"/>
    <w:rsid w:val="00FE4910"/>
    <w:rsid w:val="00FE4B5D"/>
    <w:rsid w:val="00FE6FDE"/>
    <w:rsid w:val="00FF0F2B"/>
    <w:rsid w:val="00FF5B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List Bullet" w:uiPriority="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Classic 1" w:unhideWhenUsed="0"/>
    <w:lsdException w:name="Table Classic 2"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49A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Klassieketabel1">
    <w:name w:val="Table Classic 1"/>
    <w:basedOn w:val="Standaardtabel"/>
    <w:uiPriority w:val="99"/>
    <w:rsid w:val="00261D79"/>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C500F5"/>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Plattetekst">
    <w:name w:val="Body Text"/>
    <w:basedOn w:val="Standaard"/>
    <w:link w:val="PlattetekstChar"/>
    <w:uiPriority w:val="99"/>
    <w:rsid w:val="00BB49A8"/>
    <w:pPr>
      <w:widowControl w:val="0"/>
      <w:tabs>
        <w:tab w:val="left" w:pos="1418"/>
        <w:tab w:val="left" w:pos="2835"/>
        <w:tab w:val="left" w:pos="4253"/>
        <w:tab w:val="left" w:pos="5670"/>
      </w:tabs>
      <w:suppressAutoHyphens/>
      <w:spacing w:line="260" w:lineRule="exact"/>
    </w:pPr>
    <w:rPr>
      <w:rFonts w:ascii="Arial" w:hAnsi="Arial" w:cs="Arial"/>
      <w:sz w:val="20"/>
      <w:szCs w:val="20"/>
    </w:rPr>
  </w:style>
  <w:style w:type="character" w:customStyle="1" w:styleId="PlattetekstChar">
    <w:name w:val="Platte tekst Char"/>
    <w:basedOn w:val="Standaardalinea-lettertype"/>
    <w:link w:val="Plattetekst"/>
    <w:uiPriority w:val="99"/>
    <w:semiHidden/>
    <w:rsid w:val="008C37D3"/>
    <w:rPr>
      <w:sz w:val="24"/>
      <w:szCs w:val="24"/>
    </w:rPr>
  </w:style>
  <w:style w:type="paragraph" w:customStyle="1" w:styleId="Char2CharChar">
    <w:name w:val="Char2 Char Char"/>
    <w:basedOn w:val="Standaard"/>
    <w:uiPriority w:val="99"/>
    <w:rsid w:val="00BB49A8"/>
    <w:pPr>
      <w:spacing w:after="160" w:line="240" w:lineRule="exact"/>
    </w:pPr>
    <w:rPr>
      <w:rFonts w:ascii="Tahoma" w:hAnsi="Tahoma" w:cs="Tahoma"/>
      <w:sz w:val="20"/>
      <w:szCs w:val="20"/>
      <w:lang w:val="en-US" w:eastAsia="en-US"/>
    </w:rPr>
  </w:style>
  <w:style w:type="character" w:styleId="Nadruk">
    <w:name w:val="Emphasis"/>
    <w:basedOn w:val="Standaardalinea-lettertype"/>
    <w:uiPriority w:val="99"/>
    <w:qFormat/>
    <w:rsid w:val="005B5D23"/>
    <w:rPr>
      <w:i/>
      <w:iCs/>
    </w:rPr>
  </w:style>
  <w:style w:type="paragraph" w:customStyle="1" w:styleId="CharCharCharCharCharCharCharCharCharChar">
    <w:name w:val="Char Char Char Char Char Char Char Char Char Char"/>
    <w:aliases w:val="Standaardalinea-lettertype Char11 Char,Char Char Char Char Char Char11 Char,Standaardalinea-lettertype Char Char1 Char,Standaardalinea-lettertype Char2,Standaardalinea-lettertype Char Char"/>
    <w:basedOn w:val="Standaard"/>
    <w:uiPriority w:val="99"/>
    <w:rsid w:val="00961BBE"/>
    <w:pPr>
      <w:widowControl w:val="0"/>
      <w:adjustRightInd w:val="0"/>
      <w:spacing w:after="160" w:line="240" w:lineRule="exact"/>
      <w:jc w:val="both"/>
      <w:textAlignment w:val="baseline"/>
    </w:pPr>
    <w:rPr>
      <w:rFonts w:ascii="Tahoma" w:hAnsi="Tahoma" w:cs="Tahoma"/>
      <w:sz w:val="20"/>
      <w:szCs w:val="20"/>
      <w:lang w:val="en-US" w:eastAsia="en-US"/>
    </w:rPr>
  </w:style>
  <w:style w:type="paragraph" w:customStyle="1" w:styleId="CharChar">
    <w:name w:val="Char Char"/>
    <w:basedOn w:val="Standaard"/>
    <w:uiPriority w:val="99"/>
    <w:rsid w:val="00EC2B52"/>
    <w:pPr>
      <w:spacing w:after="160" w:line="240" w:lineRule="exact"/>
    </w:pPr>
    <w:rPr>
      <w:rFonts w:ascii="Tahoma" w:hAnsi="Tahoma" w:cs="Tahoma"/>
      <w:sz w:val="20"/>
      <w:szCs w:val="20"/>
      <w:lang w:val="en-US" w:eastAsia="en-US"/>
    </w:rPr>
  </w:style>
  <w:style w:type="paragraph" w:styleId="Voettekst">
    <w:name w:val="footer"/>
    <w:basedOn w:val="Standaard"/>
    <w:link w:val="VoettekstChar"/>
    <w:uiPriority w:val="99"/>
    <w:rsid w:val="005D107D"/>
    <w:pPr>
      <w:spacing w:before="100" w:beforeAutospacing="1" w:after="100" w:afterAutospacing="1"/>
    </w:pPr>
  </w:style>
  <w:style w:type="character" w:customStyle="1" w:styleId="VoettekstChar">
    <w:name w:val="Voettekst Char"/>
    <w:basedOn w:val="Standaardalinea-lettertype"/>
    <w:link w:val="Voettekst"/>
    <w:uiPriority w:val="99"/>
    <w:rsid w:val="008C37D3"/>
    <w:rPr>
      <w:sz w:val="24"/>
      <w:szCs w:val="24"/>
    </w:rPr>
  </w:style>
  <w:style w:type="paragraph" w:customStyle="1" w:styleId="CharChar1">
    <w:name w:val="Char Char1"/>
    <w:basedOn w:val="Standaard"/>
    <w:uiPriority w:val="99"/>
    <w:rsid w:val="00856982"/>
    <w:pPr>
      <w:spacing w:after="160" w:line="240" w:lineRule="exact"/>
    </w:pPr>
    <w:rPr>
      <w:rFonts w:ascii="Utopia" w:hAnsi="Utopia" w:cs="Utopia"/>
      <w:sz w:val="22"/>
      <w:szCs w:val="22"/>
    </w:rPr>
  </w:style>
  <w:style w:type="paragraph" w:styleId="Geenafstand">
    <w:name w:val="No Spacing"/>
    <w:uiPriority w:val="1"/>
    <w:qFormat/>
    <w:rsid w:val="00686FAC"/>
    <w:rPr>
      <w:sz w:val="24"/>
      <w:szCs w:val="24"/>
    </w:rPr>
  </w:style>
  <w:style w:type="paragraph" w:styleId="Lijstalinea">
    <w:name w:val="List Paragraph"/>
    <w:basedOn w:val="Standaard"/>
    <w:uiPriority w:val="34"/>
    <w:qFormat/>
    <w:rsid w:val="00321221"/>
    <w:pPr>
      <w:ind w:left="720"/>
    </w:pPr>
    <w:rPr>
      <w:rFonts w:ascii="Calibri" w:hAnsi="Calibri" w:cs="Calibri"/>
      <w:sz w:val="22"/>
      <w:szCs w:val="22"/>
    </w:rPr>
  </w:style>
  <w:style w:type="character" w:styleId="Verwijzingopmerking">
    <w:name w:val="annotation reference"/>
    <w:basedOn w:val="Standaardalinea-lettertype"/>
    <w:uiPriority w:val="99"/>
    <w:semiHidden/>
    <w:unhideWhenUsed/>
    <w:rsid w:val="00D71157"/>
    <w:rPr>
      <w:sz w:val="16"/>
      <w:szCs w:val="16"/>
    </w:rPr>
  </w:style>
  <w:style w:type="paragraph" w:styleId="Tekstopmerking">
    <w:name w:val="annotation text"/>
    <w:basedOn w:val="Standaard"/>
    <w:link w:val="TekstopmerkingChar"/>
    <w:uiPriority w:val="99"/>
    <w:unhideWhenUsed/>
    <w:rsid w:val="00D71157"/>
    <w:rPr>
      <w:sz w:val="20"/>
      <w:szCs w:val="20"/>
    </w:rPr>
  </w:style>
  <w:style w:type="character" w:customStyle="1" w:styleId="TekstopmerkingChar">
    <w:name w:val="Tekst opmerking Char"/>
    <w:basedOn w:val="Standaardalinea-lettertype"/>
    <w:link w:val="Tekstopmerking"/>
    <w:uiPriority w:val="99"/>
    <w:rsid w:val="00D71157"/>
    <w:rPr>
      <w:sz w:val="20"/>
      <w:szCs w:val="20"/>
    </w:rPr>
  </w:style>
  <w:style w:type="paragraph" w:styleId="Ballontekst">
    <w:name w:val="Balloon Text"/>
    <w:basedOn w:val="Standaard"/>
    <w:link w:val="BallontekstChar"/>
    <w:uiPriority w:val="99"/>
    <w:semiHidden/>
    <w:unhideWhenUsed/>
    <w:rsid w:val="00D71157"/>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157"/>
    <w:rPr>
      <w:rFonts w:ascii="Tahoma" w:hAnsi="Tahoma" w:cs="Tahoma"/>
      <w:sz w:val="16"/>
      <w:szCs w:val="16"/>
    </w:rPr>
  </w:style>
  <w:style w:type="paragraph" w:customStyle="1" w:styleId="Default">
    <w:name w:val="Default"/>
    <w:rsid w:val="006F02C4"/>
    <w:pPr>
      <w:autoSpaceDE w:val="0"/>
      <w:autoSpaceDN w:val="0"/>
      <w:adjustRightInd w:val="0"/>
    </w:pPr>
    <w:rPr>
      <w:rFonts w:ascii="Verdana" w:eastAsiaTheme="minorHAnsi" w:hAnsi="Verdana" w:cs="Verdana"/>
      <w:color w:val="000000"/>
      <w:sz w:val="24"/>
      <w:szCs w:val="24"/>
      <w:lang w:eastAsia="en-US"/>
    </w:rPr>
  </w:style>
  <w:style w:type="paragraph" w:customStyle="1" w:styleId="Char2CharChar0">
    <w:name w:val="Char2 Char Char"/>
    <w:basedOn w:val="Standaard"/>
    <w:rsid w:val="00817900"/>
    <w:pPr>
      <w:spacing w:after="160" w:line="240" w:lineRule="exact"/>
    </w:pPr>
    <w:rPr>
      <w:rFonts w:ascii="Tahoma" w:hAnsi="Tahoma"/>
      <w:sz w:val="20"/>
      <w:szCs w:val="20"/>
      <w:lang w:val="en-US" w:eastAsia="en-US"/>
    </w:rPr>
  </w:style>
  <w:style w:type="character" w:customStyle="1" w:styleId="KoptekstChar">
    <w:name w:val="Koptekst Char"/>
    <w:basedOn w:val="Standaardalinea-lettertype"/>
    <w:link w:val="Koptekst"/>
    <w:uiPriority w:val="99"/>
    <w:semiHidden/>
    <w:rsid w:val="00A36B02"/>
    <w:rPr>
      <w:rFonts w:eastAsiaTheme="minorEastAsia"/>
      <w:sz w:val="24"/>
      <w:szCs w:val="24"/>
    </w:rPr>
  </w:style>
  <w:style w:type="paragraph" w:styleId="Koptekst">
    <w:name w:val="header"/>
    <w:basedOn w:val="Standaard"/>
    <w:link w:val="KoptekstChar"/>
    <w:uiPriority w:val="99"/>
    <w:semiHidden/>
    <w:unhideWhenUsed/>
    <w:rsid w:val="00A36B02"/>
    <w:pPr>
      <w:tabs>
        <w:tab w:val="center" w:pos="4536"/>
        <w:tab w:val="right" w:pos="9072"/>
      </w:tabs>
    </w:pPr>
    <w:rPr>
      <w:rFonts w:eastAsiaTheme="minorEastAsia"/>
    </w:rPr>
  </w:style>
  <w:style w:type="paragraph" w:styleId="Bijschrift">
    <w:name w:val="caption"/>
    <w:basedOn w:val="Standaard"/>
    <w:next w:val="Standaard"/>
    <w:uiPriority w:val="35"/>
    <w:unhideWhenUsed/>
    <w:qFormat/>
    <w:rsid w:val="00C21097"/>
    <w:pPr>
      <w:spacing w:after="200"/>
    </w:pPr>
    <w:rPr>
      <w:b/>
      <w:bCs/>
      <w:color w:val="4F81BD" w:themeColor="accent1"/>
      <w:sz w:val="18"/>
      <w:szCs w:val="18"/>
    </w:rPr>
  </w:style>
  <w:style w:type="paragraph" w:styleId="Onderwerpvanopmerking">
    <w:name w:val="annotation subject"/>
    <w:basedOn w:val="Tekstopmerking"/>
    <w:next w:val="Tekstopmerking"/>
    <w:link w:val="OnderwerpvanopmerkingChar"/>
    <w:uiPriority w:val="99"/>
    <w:semiHidden/>
    <w:unhideWhenUsed/>
    <w:rsid w:val="00564A04"/>
    <w:rPr>
      <w:b/>
      <w:bCs/>
    </w:rPr>
  </w:style>
  <w:style w:type="character" w:customStyle="1" w:styleId="OnderwerpvanopmerkingChar">
    <w:name w:val="Onderwerp van opmerking Char"/>
    <w:basedOn w:val="TekstopmerkingChar"/>
    <w:link w:val="Onderwerpvanopmerking"/>
    <w:uiPriority w:val="99"/>
    <w:semiHidden/>
    <w:rsid w:val="00564A04"/>
    <w:rPr>
      <w:b/>
      <w:bCs/>
    </w:rPr>
  </w:style>
  <w:style w:type="character" w:customStyle="1" w:styleId="captiontitel">
    <w:name w:val="captiontitel"/>
    <w:basedOn w:val="Standaardalinea-lettertype"/>
    <w:rsid w:val="005544DF"/>
  </w:style>
  <w:style w:type="character" w:customStyle="1" w:styleId="st1">
    <w:name w:val="st1"/>
    <w:basedOn w:val="Standaardalinea-lettertype"/>
    <w:rsid w:val="00FB17E0"/>
  </w:style>
  <w:style w:type="character" w:styleId="Voetnootmarkering">
    <w:name w:val="footnote reference"/>
    <w:basedOn w:val="Standaardalinea-lettertype"/>
    <w:uiPriority w:val="99"/>
    <w:semiHidden/>
    <w:rsid w:val="000F3F33"/>
    <w:rPr>
      <w:vertAlign w:val="superscript"/>
    </w:rPr>
  </w:style>
  <w:style w:type="paragraph" w:styleId="Voetnoottekst">
    <w:name w:val="footnote text"/>
    <w:basedOn w:val="Standaard"/>
    <w:link w:val="VoetnoottekstChar"/>
    <w:uiPriority w:val="99"/>
    <w:semiHidden/>
    <w:rsid w:val="000F3F33"/>
    <w:pPr>
      <w:widowControl w:val="0"/>
    </w:pPr>
    <w:rPr>
      <w:rFonts w:ascii="Courier New" w:hAnsi="Courier New" w:cs="Courier New"/>
      <w:lang w:val="nl"/>
    </w:rPr>
  </w:style>
  <w:style w:type="character" w:customStyle="1" w:styleId="VoetnoottekstChar">
    <w:name w:val="Voetnoottekst Char"/>
    <w:basedOn w:val="Standaardalinea-lettertype"/>
    <w:link w:val="Voetnoottekst"/>
    <w:uiPriority w:val="99"/>
    <w:semiHidden/>
    <w:rsid w:val="000F3F33"/>
    <w:rPr>
      <w:rFonts w:ascii="Courier New" w:hAnsi="Courier New" w:cs="Courier New"/>
      <w:sz w:val="24"/>
      <w:szCs w:val="24"/>
      <w:lang w:val="nl"/>
    </w:rPr>
  </w:style>
  <w:style w:type="character" w:styleId="Zwaar">
    <w:name w:val="Strong"/>
    <w:basedOn w:val="Standaardalinea-lettertype"/>
    <w:uiPriority w:val="22"/>
    <w:qFormat/>
    <w:rsid w:val="00DE3E6F"/>
    <w:rPr>
      <w:b/>
      <w:bCs/>
    </w:rPr>
  </w:style>
  <w:style w:type="paragraph" w:styleId="Lijstopsomteken">
    <w:name w:val="List Bullet"/>
    <w:basedOn w:val="Standaard"/>
    <w:rsid w:val="00FA6DDB"/>
    <w:pPr>
      <w:numPr>
        <w:numId w:val="16"/>
      </w:numPr>
      <w:spacing w:line="240" w:lineRule="atLeast"/>
    </w:pPr>
    <w:rPr>
      <w:rFonts w:ascii="Verdana" w:hAnsi="Verdana"/>
      <w:sz w:val="20"/>
    </w:rPr>
  </w:style>
  <w:style w:type="paragraph" w:styleId="Normaalweb">
    <w:name w:val="Normal (Web)"/>
    <w:basedOn w:val="Standaard"/>
    <w:uiPriority w:val="99"/>
    <w:semiHidden/>
    <w:unhideWhenUsed/>
    <w:rsid w:val="00BE0A1B"/>
    <w:pPr>
      <w:spacing w:before="100" w:beforeAutospacing="1" w:after="100" w:afterAutospacing="1"/>
    </w:pPr>
    <w:rPr>
      <w:rFonts w:eastAsiaTheme="minorHAnsi"/>
    </w:rPr>
  </w:style>
  <w:style w:type="paragraph" w:styleId="Tekstzonderopmaak">
    <w:name w:val="Plain Text"/>
    <w:basedOn w:val="Standaard"/>
    <w:link w:val="TekstzonderopmaakChar"/>
    <w:uiPriority w:val="99"/>
    <w:semiHidden/>
    <w:unhideWhenUsed/>
    <w:rsid w:val="00885DF5"/>
    <w:rPr>
      <w:rFonts w:ascii="Verdana" w:eastAsiaTheme="minorHAnsi" w:hAnsi="Verdana"/>
      <w:sz w:val="18"/>
      <w:szCs w:val="18"/>
    </w:rPr>
  </w:style>
  <w:style w:type="character" w:customStyle="1" w:styleId="TekstzonderopmaakChar">
    <w:name w:val="Tekst zonder opmaak Char"/>
    <w:basedOn w:val="Standaardalinea-lettertype"/>
    <w:link w:val="Tekstzonderopmaak"/>
    <w:uiPriority w:val="99"/>
    <w:semiHidden/>
    <w:rsid w:val="00885DF5"/>
    <w:rPr>
      <w:rFonts w:ascii="Verdana" w:eastAsiaTheme="minorHAnsi" w:hAnsi="Verdana"/>
      <w:sz w:val="18"/>
      <w:szCs w:val="18"/>
    </w:rPr>
  </w:style>
</w:styles>
</file>

<file path=word/webSettings.xml><?xml version="1.0" encoding="utf-8"?>
<w:webSettings xmlns:r="http://schemas.openxmlformats.org/officeDocument/2006/relationships" xmlns:w="http://schemas.openxmlformats.org/wordprocessingml/2006/main">
  <w:divs>
    <w:div w:id="2166093">
      <w:bodyDiv w:val="1"/>
      <w:marLeft w:val="0"/>
      <w:marRight w:val="0"/>
      <w:marTop w:val="0"/>
      <w:marBottom w:val="0"/>
      <w:divBdr>
        <w:top w:val="none" w:sz="0" w:space="0" w:color="auto"/>
        <w:left w:val="none" w:sz="0" w:space="0" w:color="auto"/>
        <w:bottom w:val="none" w:sz="0" w:space="0" w:color="auto"/>
        <w:right w:val="none" w:sz="0" w:space="0" w:color="auto"/>
      </w:divBdr>
    </w:div>
    <w:div w:id="19671412">
      <w:bodyDiv w:val="1"/>
      <w:marLeft w:val="0"/>
      <w:marRight w:val="0"/>
      <w:marTop w:val="0"/>
      <w:marBottom w:val="0"/>
      <w:divBdr>
        <w:top w:val="none" w:sz="0" w:space="0" w:color="auto"/>
        <w:left w:val="none" w:sz="0" w:space="0" w:color="auto"/>
        <w:bottom w:val="none" w:sz="0" w:space="0" w:color="auto"/>
        <w:right w:val="none" w:sz="0" w:space="0" w:color="auto"/>
      </w:divBdr>
    </w:div>
    <w:div w:id="20783055">
      <w:bodyDiv w:val="1"/>
      <w:marLeft w:val="0"/>
      <w:marRight w:val="0"/>
      <w:marTop w:val="0"/>
      <w:marBottom w:val="0"/>
      <w:divBdr>
        <w:top w:val="none" w:sz="0" w:space="0" w:color="auto"/>
        <w:left w:val="none" w:sz="0" w:space="0" w:color="auto"/>
        <w:bottom w:val="none" w:sz="0" w:space="0" w:color="auto"/>
        <w:right w:val="none" w:sz="0" w:space="0" w:color="auto"/>
      </w:divBdr>
    </w:div>
    <w:div w:id="31152363">
      <w:bodyDiv w:val="1"/>
      <w:marLeft w:val="0"/>
      <w:marRight w:val="0"/>
      <w:marTop w:val="0"/>
      <w:marBottom w:val="0"/>
      <w:divBdr>
        <w:top w:val="none" w:sz="0" w:space="0" w:color="auto"/>
        <w:left w:val="none" w:sz="0" w:space="0" w:color="auto"/>
        <w:bottom w:val="none" w:sz="0" w:space="0" w:color="auto"/>
        <w:right w:val="none" w:sz="0" w:space="0" w:color="auto"/>
      </w:divBdr>
    </w:div>
    <w:div w:id="41292901">
      <w:bodyDiv w:val="1"/>
      <w:marLeft w:val="0"/>
      <w:marRight w:val="0"/>
      <w:marTop w:val="0"/>
      <w:marBottom w:val="0"/>
      <w:divBdr>
        <w:top w:val="none" w:sz="0" w:space="0" w:color="auto"/>
        <w:left w:val="none" w:sz="0" w:space="0" w:color="auto"/>
        <w:bottom w:val="none" w:sz="0" w:space="0" w:color="auto"/>
        <w:right w:val="none" w:sz="0" w:space="0" w:color="auto"/>
      </w:divBdr>
    </w:div>
    <w:div w:id="106431026">
      <w:bodyDiv w:val="1"/>
      <w:marLeft w:val="0"/>
      <w:marRight w:val="0"/>
      <w:marTop w:val="0"/>
      <w:marBottom w:val="0"/>
      <w:divBdr>
        <w:top w:val="none" w:sz="0" w:space="0" w:color="auto"/>
        <w:left w:val="none" w:sz="0" w:space="0" w:color="auto"/>
        <w:bottom w:val="none" w:sz="0" w:space="0" w:color="auto"/>
        <w:right w:val="none" w:sz="0" w:space="0" w:color="auto"/>
      </w:divBdr>
    </w:div>
    <w:div w:id="137502764">
      <w:bodyDiv w:val="1"/>
      <w:marLeft w:val="0"/>
      <w:marRight w:val="0"/>
      <w:marTop w:val="0"/>
      <w:marBottom w:val="0"/>
      <w:divBdr>
        <w:top w:val="none" w:sz="0" w:space="0" w:color="auto"/>
        <w:left w:val="none" w:sz="0" w:space="0" w:color="auto"/>
        <w:bottom w:val="none" w:sz="0" w:space="0" w:color="auto"/>
        <w:right w:val="none" w:sz="0" w:space="0" w:color="auto"/>
      </w:divBdr>
    </w:div>
    <w:div w:id="143544903">
      <w:bodyDiv w:val="1"/>
      <w:marLeft w:val="0"/>
      <w:marRight w:val="0"/>
      <w:marTop w:val="0"/>
      <w:marBottom w:val="0"/>
      <w:divBdr>
        <w:top w:val="none" w:sz="0" w:space="0" w:color="auto"/>
        <w:left w:val="none" w:sz="0" w:space="0" w:color="auto"/>
        <w:bottom w:val="none" w:sz="0" w:space="0" w:color="auto"/>
        <w:right w:val="none" w:sz="0" w:space="0" w:color="auto"/>
      </w:divBdr>
    </w:div>
    <w:div w:id="157312249">
      <w:bodyDiv w:val="1"/>
      <w:marLeft w:val="0"/>
      <w:marRight w:val="0"/>
      <w:marTop w:val="0"/>
      <w:marBottom w:val="0"/>
      <w:divBdr>
        <w:top w:val="none" w:sz="0" w:space="0" w:color="auto"/>
        <w:left w:val="none" w:sz="0" w:space="0" w:color="auto"/>
        <w:bottom w:val="none" w:sz="0" w:space="0" w:color="auto"/>
        <w:right w:val="none" w:sz="0" w:space="0" w:color="auto"/>
      </w:divBdr>
    </w:div>
    <w:div w:id="164902497">
      <w:bodyDiv w:val="1"/>
      <w:marLeft w:val="0"/>
      <w:marRight w:val="0"/>
      <w:marTop w:val="0"/>
      <w:marBottom w:val="0"/>
      <w:divBdr>
        <w:top w:val="none" w:sz="0" w:space="0" w:color="auto"/>
        <w:left w:val="none" w:sz="0" w:space="0" w:color="auto"/>
        <w:bottom w:val="none" w:sz="0" w:space="0" w:color="auto"/>
        <w:right w:val="none" w:sz="0" w:space="0" w:color="auto"/>
      </w:divBdr>
    </w:div>
    <w:div w:id="253057354">
      <w:bodyDiv w:val="1"/>
      <w:marLeft w:val="0"/>
      <w:marRight w:val="0"/>
      <w:marTop w:val="0"/>
      <w:marBottom w:val="0"/>
      <w:divBdr>
        <w:top w:val="none" w:sz="0" w:space="0" w:color="auto"/>
        <w:left w:val="none" w:sz="0" w:space="0" w:color="auto"/>
        <w:bottom w:val="none" w:sz="0" w:space="0" w:color="auto"/>
        <w:right w:val="none" w:sz="0" w:space="0" w:color="auto"/>
      </w:divBdr>
    </w:div>
    <w:div w:id="259028054">
      <w:bodyDiv w:val="1"/>
      <w:marLeft w:val="0"/>
      <w:marRight w:val="0"/>
      <w:marTop w:val="0"/>
      <w:marBottom w:val="0"/>
      <w:divBdr>
        <w:top w:val="none" w:sz="0" w:space="0" w:color="auto"/>
        <w:left w:val="none" w:sz="0" w:space="0" w:color="auto"/>
        <w:bottom w:val="none" w:sz="0" w:space="0" w:color="auto"/>
        <w:right w:val="none" w:sz="0" w:space="0" w:color="auto"/>
      </w:divBdr>
    </w:div>
    <w:div w:id="269747897">
      <w:bodyDiv w:val="1"/>
      <w:marLeft w:val="0"/>
      <w:marRight w:val="0"/>
      <w:marTop w:val="0"/>
      <w:marBottom w:val="0"/>
      <w:divBdr>
        <w:top w:val="none" w:sz="0" w:space="0" w:color="auto"/>
        <w:left w:val="none" w:sz="0" w:space="0" w:color="auto"/>
        <w:bottom w:val="none" w:sz="0" w:space="0" w:color="auto"/>
        <w:right w:val="none" w:sz="0" w:space="0" w:color="auto"/>
      </w:divBdr>
    </w:div>
    <w:div w:id="270286115">
      <w:bodyDiv w:val="1"/>
      <w:marLeft w:val="0"/>
      <w:marRight w:val="0"/>
      <w:marTop w:val="0"/>
      <w:marBottom w:val="0"/>
      <w:divBdr>
        <w:top w:val="none" w:sz="0" w:space="0" w:color="auto"/>
        <w:left w:val="none" w:sz="0" w:space="0" w:color="auto"/>
        <w:bottom w:val="none" w:sz="0" w:space="0" w:color="auto"/>
        <w:right w:val="none" w:sz="0" w:space="0" w:color="auto"/>
      </w:divBdr>
    </w:div>
    <w:div w:id="271209782">
      <w:bodyDiv w:val="1"/>
      <w:marLeft w:val="0"/>
      <w:marRight w:val="0"/>
      <w:marTop w:val="0"/>
      <w:marBottom w:val="0"/>
      <w:divBdr>
        <w:top w:val="none" w:sz="0" w:space="0" w:color="auto"/>
        <w:left w:val="none" w:sz="0" w:space="0" w:color="auto"/>
        <w:bottom w:val="none" w:sz="0" w:space="0" w:color="auto"/>
        <w:right w:val="none" w:sz="0" w:space="0" w:color="auto"/>
      </w:divBdr>
    </w:div>
    <w:div w:id="292054591">
      <w:bodyDiv w:val="1"/>
      <w:marLeft w:val="0"/>
      <w:marRight w:val="0"/>
      <w:marTop w:val="0"/>
      <w:marBottom w:val="0"/>
      <w:divBdr>
        <w:top w:val="none" w:sz="0" w:space="0" w:color="auto"/>
        <w:left w:val="none" w:sz="0" w:space="0" w:color="auto"/>
        <w:bottom w:val="none" w:sz="0" w:space="0" w:color="auto"/>
        <w:right w:val="none" w:sz="0" w:space="0" w:color="auto"/>
      </w:divBdr>
    </w:div>
    <w:div w:id="308022130">
      <w:bodyDiv w:val="1"/>
      <w:marLeft w:val="0"/>
      <w:marRight w:val="0"/>
      <w:marTop w:val="0"/>
      <w:marBottom w:val="0"/>
      <w:divBdr>
        <w:top w:val="none" w:sz="0" w:space="0" w:color="auto"/>
        <w:left w:val="none" w:sz="0" w:space="0" w:color="auto"/>
        <w:bottom w:val="none" w:sz="0" w:space="0" w:color="auto"/>
        <w:right w:val="none" w:sz="0" w:space="0" w:color="auto"/>
      </w:divBdr>
    </w:div>
    <w:div w:id="330332998">
      <w:bodyDiv w:val="1"/>
      <w:marLeft w:val="0"/>
      <w:marRight w:val="0"/>
      <w:marTop w:val="0"/>
      <w:marBottom w:val="0"/>
      <w:divBdr>
        <w:top w:val="none" w:sz="0" w:space="0" w:color="auto"/>
        <w:left w:val="none" w:sz="0" w:space="0" w:color="auto"/>
        <w:bottom w:val="none" w:sz="0" w:space="0" w:color="auto"/>
        <w:right w:val="none" w:sz="0" w:space="0" w:color="auto"/>
      </w:divBdr>
    </w:div>
    <w:div w:id="371542385">
      <w:bodyDiv w:val="1"/>
      <w:marLeft w:val="0"/>
      <w:marRight w:val="0"/>
      <w:marTop w:val="0"/>
      <w:marBottom w:val="0"/>
      <w:divBdr>
        <w:top w:val="none" w:sz="0" w:space="0" w:color="auto"/>
        <w:left w:val="none" w:sz="0" w:space="0" w:color="auto"/>
        <w:bottom w:val="none" w:sz="0" w:space="0" w:color="auto"/>
        <w:right w:val="none" w:sz="0" w:space="0" w:color="auto"/>
      </w:divBdr>
    </w:div>
    <w:div w:id="384186539">
      <w:bodyDiv w:val="1"/>
      <w:marLeft w:val="0"/>
      <w:marRight w:val="0"/>
      <w:marTop w:val="0"/>
      <w:marBottom w:val="0"/>
      <w:divBdr>
        <w:top w:val="none" w:sz="0" w:space="0" w:color="auto"/>
        <w:left w:val="none" w:sz="0" w:space="0" w:color="auto"/>
        <w:bottom w:val="none" w:sz="0" w:space="0" w:color="auto"/>
        <w:right w:val="none" w:sz="0" w:space="0" w:color="auto"/>
      </w:divBdr>
    </w:div>
    <w:div w:id="406224559">
      <w:bodyDiv w:val="1"/>
      <w:marLeft w:val="0"/>
      <w:marRight w:val="0"/>
      <w:marTop w:val="0"/>
      <w:marBottom w:val="0"/>
      <w:divBdr>
        <w:top w:val="none" w:sz="0" w:space="0" w:color="auto"/>
        <w:left w:val="none" w:sz="0" w:space="0" w:color="auto"/>
        <w:bottom w:val="none" w:sz="0" w:space="0" w:color="auto"/>
        <w:right w:val="none" w:sz="0" w:space="0" w:color="auto"/>
      </w:divBdr>
    </w:div>
    <w:div w:id="432362484">
      <w:bodyDiv w:val="1"/>
      <w:marLeft w:val="0"/>
      <w:marRight w:val="0"/>
      <w:marTop w:val="0"/>
      <w:marBottom w:val="0"/>
      <w:divBdr>
        <w:top w:val="none" w:sz="0" w:space="0" w:color="auto"/>
        <w:left w:val="none" w:sz="0" w:space="0" w:color="auto"/>
        <w:bottom w:val="none" w:sz="0" w:space="0" w:color="auto"/>
        <w:right w:val="none" w:sz="0" w:space="0" w:color="auto"/>
      </w:divBdr>
    </w:div>
    <w:div w:id="465978079">
      <w:bodyDiv w:val="1"/>
      <w:marLeft w:val="0"/>
      <w:marRight w:val="0"/>
      <w:marTop w:val="0"/>
      <w:marBottom w:val="0"/>
      <w:divBdr>
        <w:top w:val="none" w:sz="0" w:space="0" w:color="auto"/>
        <w:left w:val="none" w:sz="0" w:space="0" w:color="auto"/>
        <w:bottom w:val="none" w:sz="0" w:space="0" w:color="auto"/>
        <w:right w:val="none" w:sz="0" w:space="0" w:color="auto"/>
      </w:divBdr>
    </w:div>
    <w:div w:id="484782586">
      <w:bodyDiv w:val="1"/>
      <w:marLeft w:val="0"/>
      <w:marRight w:val="0"/>
      <w:marTop w:val="0"/>
      <w:marBottom w:val="0"/>
      <w:divBdr>
        <w:top w:val="none" w:sz="0" w:space="0" w:color="auto"/>
        <w:left w:val="none" w:sz="0" w:space="0" w:color="auto"/>
        <w:bottom w:val="none" w:sz="0" w:space="0" w:color="auto"/>
        <w:right w:val="none" w:sz="0" w:space="0" w:color="auto"/>
      </w:divBdr>
    </w:div>
    <w:div w:id="500044961">
      <w:bodyDiv w:val="1"/>
      <w:marLeft w:val="0"/>
      <w:marRight w:val="0"/>
      <w:marTop w:val="0"/>
      <w:marBottom w:val="0"/>
      <w:divBdr>
        <w:top w:val="none" w:sz="0" w:space="0" w:color="auto"/>
        <w:left w:val="none" w:sz="0" w:space="0" w:color="auto"/>
        <w:bottom w:val="none" w:sz="0" w:space="0" w:color="auto"/>
        <w:right w:val="none" w:sz="0" w:space="0" w:color="auto"/>
      </w:divBdr>
    </w:div>
    <w:div w:id="532307764">
      <w:bodyDiv w:val="1"/>
      <w:marLeft w:val="0"/>
      <w:marRight w:val="0"/>
      <w:marTop w:val="0"/>
      <w:marBottom w:val="0"/>
      <w:divBdr>
        <w:top w:val="none" w:sz="0" w:space="0" w:color="auto"/>
        <w:left w:val="none" w:sz="0" w:space="0" w:color="auto"/>
        <w:bottom w:val="none" w:sz="0" w:space="0" w:color="auto"/>
        <w:right w:val="none" w:sz="0" w:space="0" w:color="auto"/>
      </w:divBdr>
    </w:div>
    <w:div w:id="556164205">
      <w:bodyDiv w:val="1"/>
      <w:marLeft w:val="0"/>
      <w:marRight w:val="0"/>
      <w:marTop w:val="0"/>
      <w:marBottom w:val="0"/>
      <w:divBdr>
        <w:top w:val="none" w:sz="0" w:space="0" w:color="auto"/>
        <w:left w:val="none" w:sz="0" w:space="0" w:color="auto"/>
        <w:bottom w:val="none" w:sz="0" w:space="0" w:color="auto"/>
        <w:right w:val="none" w:sz="0" w:space="0" w:color="auto"/>
      </w:divBdr>
    </w:div>
    <w:div w:id="570123719">
      <w:bodyDiv w:val="1"/>
      <w:marLeft w:val="0"/>
      <w:marRight w:val="0"/>
      <w:marTop w:val="0"/>
      <w:marBottom w:val="0"/>
      <w:divBdr>
        <w:top w:val="none" w:sz="0" w:space="0" w:color="auto"/>
        <w:left w:val="none" w:sz="0" w:space="0" w:color="auto"/>
        <w:bottom w:val="none" w:sz="0" w:space="0" w:color="auto"/>
        <w:right w:val="none" w:sz="0" w:space="0" w:color="auto"/>
      </w:divBdr>
    </w:div>
    <w:div w:id="585503817">
      <w:bodyDiv w:val="1"/>
      <w:marLeft w:val="0"/>
      <w:marRight w:val="0"/>
      <w:marTop w:val="0"/>
      <w:marBottom w:val="0"/>
      <w:divBdr>
        <w:top w:val="none" w:sz="0" w:space="0" w:color="auto"/>
        <w:left w:val="none" w:sz="0" w:space="0" w:color="auto"/>
        <w:bottom w:val="none" w:sz="0" w:space="0" w:color="auto"/>
        <w:right w:val="none" w:sz="0" w:space="0" w:color="auto"/>
      </w:divBdr>
    </w:div>
    <w:div w:id="597446890">
      <w:bodyDiv w:val="1"/>
      <w:marLeft w:val="0"/>
      <w:marRight w:val="0"/>
      <w:marTop w:val="0"/>
      <w:marBottom w:val="0"/>
      <w:divBdr>
        <w:top w:val="none" w:sz="0" w:space="0" w:color="auto"/>
        <w:left w:val="none" w:sz="0" w:space="0" w:color="auto"/>
        <w:bottom w:val="none" w:sz="0" w:space="0" w:color="auto"/>
        <w:right w:val="none" w:sz="0" w:space="0" w:color="auto"/>
      </w:divBdr>
    </w:div>
    <w:div w:id="604270622">
      <w:bodyDiv w:val="1"/>
      <w:marLeft w:val="0"/>
      <w:marRight w:val="0"/>
      <w:marTop w:val="0"/>
      <w:marBottom w:val="0"/>
      <w:divBdr>
        <w:top w:val="none" w:sz="0" w:space="0" w:color="auto"/>
        <w:left w:val="none" w:sz="0" w:space="0" w:color="auto"/>
        <w:bottom w:val="none" w:sz="0" w:space="0" w:color="auto"/>
        <w:right w:val="none" w:sz="0" w:space="0" w:color="auto"/>
      </w:divBdr>
    </w:div>
    <w:div w:id="611471717">
      <w:bodyDiv w:val="1"/>
      <w:marLeft w:val="0"/>
      <w:marRight w:val="0"/>
      <w:marTop w:val="0"/>
      <w:marBottom w:val="0"/>
      <w:divBdr>
        <w:top w:val="none" w:sz="0" w:space="0" w:color="auto"/>
        <w:left w:val="none" w:sz="0" w:space="0" w:color="auto"/>
        <w:bottom w:val="none" w:sz="0" w:space="0" w:color="auto"/>
        <w:right w:val="none" w:sz="0" w:space="0" w:color="auto"/>
      </w:divBdr>
    </w:div>
    <w:div w:id="612984297">
      <w:bodyDiv w:val="1"/>
      <w:marLeft w:val="0"/>
      <w:marRight w:val="0"/>
      <w:marTop w:val="0"/>
      <w:marBottom w:val="0"/>
      <w:divBdr>
        <w:top w:val="none" w:sz="0" w:space="0" w:color="auto"/>
        <w:left w:val="none" w:sz="0" w:space="0" w:color="auto"/>
        <w:bottom w:val="none" w:sz="0" w:space="0" w:color="auto"/>
        <w:right w:val="none" w:sz="0" w:space="0" w:color="auto"/>
      </w:divBdr>
    </w:div>
    <w:div w:id="622345543">
      <w:bodyDiv w:val="1"/>
      <w:marLeft w:val="0"/>
      <w:marRight w:val="0"/>
      <w:marTop w:val="0"/>
      <w:marBottom w:val="0"/>
      <w:divBdr>
        <w:top w:val="none" w:sz="0" w:space="0" w:color="auto"/>
        <w:left w:val="none" w:sz="0" w:space="0" w:color="auto"/>
        <w:bottom w:val="none" w:sz="0" w:space="0" w:color="auto"/>
        <w:right w:val="none" w:sz="0" w:space="0" w:color="auto"/>
      </w:divBdr>
    </w:div>
    <w:div w:id="636758665">
      <w:bodyDiv w:val="1"/>
      <w:marLeft w:val="0"/>
      <w:marRight w:val="0"/>
      <w:marTop w:val="0"/>
      <w:marBottom w:val="0"/>
      <w:divBdr>
        <w:top w:val="none" w:sz="0" w:space="0" w:color="auto"/>
        <w:left w:val="none" w:sz="0" w:space="0" w:color="auto"/>
        <w:bottom w:val="none" w:sz="0" w:space="0" w:color="auto"/>
        <w:right w:val="none" w:sz="0" w:space="0" w:color="auto"/>
      </w:divBdr>
    </w:div>
    <w:div w:id="651761412">
      <w:bodyDiv w:val="1"/>
      <w:marLeft w:val="0"/>
      <w:marRight w:val="0"/>
      <w:marTop w:val="0"/>
      <w:marBottom w:val="0"/>
      <w:divBdr>
        <w:top w:val="none" w:sz="0" w:space="0" w:color="auto"/>
        <w:left w:val="none" w:sz="0" w:space="0" w:color="auto"/>
        <w:bottom w:val="none" w:sz="0" w:space="0" w:color="auto"/>
        <w:right w:val="none" w:sz="0" w:space="0" w:color="auto"/>
      </w:divBdr>
    </w:div>
    <w:div w:id="668796593">
      <w:bodyDiv w:val="1"/>
      <w:marLeft w:val="0"/>
      <w:marRight w:val="0"/>
      <w:marTop w:val="0"/>
      <w:marBottom w:val="0"/>
      <w:divBdr>
        <w:top w:val="none" w:sz="0" w:space="0" w:color="auto"/>
        <w:left w:val="none" w:sz="0" w:space="0" w:color="auto"/>
        <w:bottom w:val="none" w:sz="0" w:space="0" w:color="auto"/>
        <w:right w:val="none" w:sz="0" w:space="0" w:color="auto"/>
      </w:divBdr>
    </w:div>
    <w:div w:id="677394491">
      <w:bodyDiv w:val="1"/>
      <w:marLeft w:val="0"/>
      <w:marRight w:val="0"/>
      <w:marTop w:val="0"/>
      <w:marBottom w:val="0"/>
      <w:divBdr>
        <w:top w:val="none" w:sz="0" w:space="0" w:color="auto"/>
        <w:left w:val="none" w:sz="0" w:space="0" w:color="auto"/>
        <w:bottom w:val="none" w:sz="0" w:space="0" w:color="auto"/>
        <w:right w:val="none" w:sz="0" w:space="0" w:color="auto"/>
      </w:divBdr>
    </w:div>
    <w:div w:id="691732544">
      <w:bodyDiv w:val="1"/>
      <w:marLeft w:val="0"/>
      <w:marRight w:val="0"/>
      <w:marTop w:val="0"/>
      <w:marBottom w:val="0"/>
      <w:divBdr>
        <w:top w:val="none" w:sz="0" w:space="0" w:color="auto"/>
        <w:left w:val="none" w:sz="0" w:space="0" w:color="auto"/>
        <w:bottom w:val="none" w:sz="0" w:space="0" w:color="auto"/>
        <w:right w:val="none" w:sz="0" w:space="0" w:color="auto"/>
      </w:divBdr>
    </w:div>
    <w:div w:id="694768993">
      <w:bodyDiv w:val="1"/>
      <w:marLeft w:val="0"/>
      <w:marRight w:val="0"/>
      <w:marTop w:val="0"/>
      <w:marBottom w:val="0"/>
      <w:divBdr>
        <w:top w:val="none" w:sz="0" w:space="0" w:color="auto"/>
        <w:left w:val="none" w:sz="0" w:space="0" w:color="auto"/>
        <w:bottom w:val="none" w:sz="0" w:space="0" w:color="auto"/>
        <w:right w:val="none" w:sz="0" w:space="0" w:color="auto"/>
      </w:divBdr>
    </w:div>
    <w:div w:id="697122945">
      <w:bodyDiv w:val="1"/>
      <w:marLeft w:val="0"/>
      <w:marRight w:val="0"/>
      <w:marTop w:val="0"/>
      <w:marBottom w:val="0"/>
      <w:divBdr>
        <w:top w:val="none" w:sz="0" w:space="0" w:color="auto"/>
        <w:left w:val="none" w:sz="0" w:space="0" w:color="auto"/>
        <w:bottom w:val="none" w:sz="0" w:space="0" w:color="auto"/>
        <w:right w:val="none" w:sz="0" w:space="0" w:color="auto"/>
      </w:divBdr>
    </w:div>
    <w:div w:id="718939135">
      <w:bodyDiv w:val="1"/>
      <w:marLeft w:val="0"/>
      <w:marRight w:val="0"/>
      <w:marTop w:val="0"/>
      <w:marBottom w:val="0"/>
      <w:divBdr>
        <w:top w:val="none" w:sz="0" w:space="0" w:color="auto"/>
        <w:left w:val="none" w:sz="0" w:space="0" w:color="auto"/>
        <w:bottom w:val="none" w:sz="0" w:space="0" w:color="auto"/>
        <w:right w:val="none" w:sz="0" w:space="0" w:color="auto"/>
      </w:divBdr>
    </w:div>
    <w:div w:id="722099851">
      <w:bodyDiv w:val="1"/>
      <w:marLeft w:val="0"/>
      <w:marRight w:val="0"/>
      <w:marTop w:val="0"/>
      <w:marBottom w:val="0"/>
      <w:divBdr>
        <w:top w:val="none" w:sz="0" w:space="0" w:color="auto"/>
        <w:left w:val="none" w:sz="0" w:space="0" w:color="auto"/>
        <w:bottom w:val="none" w:sz="0" w:space="0" w:color="auto"/>
        <w:right w:val="none" w:sz="0" w:space="0" w:color="auto"/>
      </w:divBdr>
    </w:div>
    <w:div w:id="733896359">
      <w:bodyDiv w:val="1"/>
      <w:marLeft w:val="0"/>
      <w:marRight w:val="0"/>
      <w:marTop w:val="0"/>
      <w:marBottom w:val="0"/>
      <w:divBdr>
        <w:top w:val="none" w:sz="0" w:space="0" w:color="auto"/>
        <w:left w:val="none" w:sz="0" w:space="0" w:color="auto"/>
        <w:bottom w:val="none" w:sz="0" w:space="0" w:color="auto"/>
        <w:right w:val="none" w:sz="0" w:space="0" w:color="auto"/>
      </w:divBdr>
    </w:div>
    <w:div w:id="740954627">
      <w:bodyDiv w:val="1"/>
      <w:marLeft w:val="0"/>
      <w:marRight w:val="0"/>
      <w:marTop w:val="0"/>
      <w:marBottom w:val="0"/>
      <w:divBdr>
        <w:top w:val="none" w:sz="0" w:space="0" w:color="auto"/>
        <w:left w:val="none" w:sz="0" w:space="0" w:color="auto"/>
        <w:bottom w:val="none" w:sz="0" w:space="0" w:color="auto"/>
        <w:right w:val="none" w:sz="0" w:space="0" w:color="auto"/>
      </w:divBdr>
    </w:div>
    <w:div w:id="743987811">
      <w:bodyDiv w:val="1"/>
      <w:marLeft w:val="0"/>
      <w:marRight w:val="0"/>
      <w:marTop w:val="0"/>
      <w:marBottom w:val="0"/>
      <w:divBdr>
        <w:top w:val="none" w:sz="0" w:space="0" w:color="auto"/>
        <w:left w:val="none" w:sz="0" w:space="0" w:color="auto"/>
        <w:bottom w:val="none" w:sz="0" w:space="0" w:color="auto"/>
        <w:right w:val="none" w:sz="0" w:space="0" w:color="auto"/>
      </w:divBdr>
    </w:div>
    <w:div w:id="758677204">
      <w:bodyDiv w:val="1"/>
      <w:marLeft w:val="0"/>
      <w:marRight w:val="0"/>
      <w:marTop w:val="0"/>
      <w:marBottom w:val="0"/>
      <w:divBdr>
        <w:top w:val="none" w:sz="0" w:space="0" w:color="auto"/>
        <w:left w:val="none" w:sz="0" w:space="0" w:color="auto"/>
        <w:bottom w:val="none" w:sz="0" w:space="0" w:color="auto"/>
        <w:right w:val="none" w:sz="0" w:space="0" w:color="auto"/>
      </w:divBdr>
    </w:div>
    <w:div w:id="761994072">
      <w:bodyDiv w:val="1"/>
      <w:marLeft w:val="0"/>
      <w:marRight w:val="0"/>
      <w:marTop w:val="0"/>
      <w:marBottom w:val="0"/>
      <w:divBdr>
        <w:top w:val="none" w:sz="0" w:space="0" w:color="auto"/>
        <w:left w:val="none" w:sz="0" w:space="0" w:color="auto"/>
        <w:bottom w:val="none" w:sz="0" w:space="0" w:color="auto"/>
        <w:right w:val="none" w:sz="0" w:space="0" w:color="auto"/>
      </w:divBdr>
    </w:div>
    <w:div w:id="768239217">
      <w:bodyDiv w:val="1"/>
      <w:marLeft w:val="0"/>
      <w:marRight w:val="0"/>
      <w:marTop w:val="0"/>
      <w:marBottom w:val="0"/>
      <w:divBdr>
        <w:top w:val="none" w:sz="0" w:space="0" w:color="auto"/>
        <w:left w:val="none" w:sz="0" w:space="0" w:color="auto"/>
        <w:bottom w:val="none" w:sz="0" w:space="0" w:color="auto"/>
        <w:right w:val="none" w:sz="0" w:space="0" w:color="auto"/>
      </w:divBdr>
    </w:div>
    <w:div w:id="769744561">
      <w:bodyDiv w:val="1"/>
      <w:marLeft w:val="0"/>
      <w:marRight w:val="0"/>
      <w:marTop w:val="0"/>
      <w:marBottom w:val="0"/>
      <w:divBdr>
        <w:top w:val="none" w:sz="0" w:space="0" w:color="auto"/>
        <w:left w:val="none" w:sz="0" w:space="0" w:color="auto"/>
        <w:bottom w:val="none" w:sz="0" w:space="0" w:color="auto"/>
        <w:right w:val="none" w:sz="0" w:space="0" w:color="auto"/>
      </w:divBdr>
    </w:div>
    <w:div w:id="785320412">
      <w:bodyDiv w:val="1"/>
      <w:marLeft w:val="0"/>
      <w:marRight w:val="0"/>
      <w:marTop w:val="0"/>
      <w:marBottom w:val="0"/>
      <w:divBdr>
        <w:top w:val="none" w:sz="0" w:space="0" w:color="auto"/>
        <w:left w:val="none" w:sz="0" w:space="0" w:color="auto"/>
        <w:bottom w:val="none" w:sz="0" w:space="0" w:color="auto"/>
        <w:right w:val="none" w:sz="0" w:space="0" w:color="auto"/>
      </w:divBdr>
    </w:div>
    <w:div w:id="796073174">
      <w:bodyDiv w:val="1"/>
      <w:marLeft w:val="0"/>
      <w:marRight w:val="0"/>
      <w:marTop w:val="0"/>
      <w:marBottom w:val="0"/>
      <w:divBdr>
        <w:top w:val="none" w:sz="0" w:space="0" w:color="auto"/>
        <w:left w:val="none" w:sz="0" w:space="0" w:color="auto"/>
        <w:bottom w:val="none" w:sz="0" w:space="0" w:color="auto"/>
        <w:right w:val="none" w:sz="0" w:space="0" w:color="auto"/>
      </w:divBdr>
    </w:div>
    <w:div w:id="803739771">
      <w:bodyDiv w:val="1"/>
      <w:marLeft w:val="0"/>
      <w:marRight w:val="0"/>
      <w:marTop w:val="0"/>
      <w:marBottom w:val="0"/>
      <w:divBdr>
        <w:top w:val="none" w:sz="0" w:space="0" w:color="auto"/>
        <w:left w:val="none" w:sz="0" w:space="0" w:color="auto"/>
        <w:bottom w:val="none" w:sz="0" w:space="0" w:color="auto"/>
        <w:right w:val="none" w:sz="0" w:space="0" w:color="auto"/>
      </w:divBdr>
    </w:div>
    <w:div w:id="840658144">
      <w:bodyDiv w:val="1"/>
      <w:marLeft w:val="0"/>
      <w:marRight w:val="0"/>
      <w:marTop w:val="0"/>
      <w:marBottom w:val="0"/>
      <w:divBdr>
        <w:top w:val="none" w:sz="0" w:space="0" w:color="auto"/>
        <w:left w:val="none" w:sz="0" w:space="0" w:color="auto"/>
        <w:bottom w:val="none" w:sz="0" w:space="0" w:color="auto"/>
        <w:right w:val="none" w:sz="0" w:space="0" w:color="auto"/>
      </w:divBdr>
    </w:div>
    <w:div w:id="852763769">
      <w:bodyDiv w:val="1"/>
      <w:marLeft w:val="0"/>
      <w:marRight w:val="0"/>
      <w:marTop w:val="0"/>
      <w:marBottom w:val="0"/>
      <w:divBdr>
        <w:top w:val="none" w:sz="0" w:space="0" w:color="auto"/>
        <w:left w:val="none" w:sz="0" w:space="0" w:color="auto"/>
        <w:bottom w:val="none" w:sz="0" w:space="0" w:color="auto"/>
        <w:right w:val="none" w:sz="0" w:space="0" w:color="auto"/>
      </w:divBdr>
    </w:div>
    <w:div w:id="897671367">
      <w:bodyDiv w:val="1"/>
      <w:marLeft w:val="0"/>
      <w:marRight w:val="0"/>
      <w:marTop w:val="0"/>
      <w:marBottom w:val="0"/>
      <w:divBdr>
        <w:top w:val="none" w:sz="0" w:space="0" w:color="auto"/>
        <w:left w:val="none" w:sz="0" w:space="0" w:color="auto"/>
        <w:bottom w:val="none" w:sz="0" w:space="0" w:color="auto"/>
        <w:right w:val="none" w:sz="0" w:space="0" w:color="auto"/>
      </w:divBdr>
    </w:div>
    <w:div w:id="898595598">
      <w:bodyDiv w:val="1"/>
      <w:marLeft w:val="0"/>
      <w:marRight w:val="0"/>
      <w:marTop w:val="0"/>
      <w:marBottom w:val="0"/>
      <w:divBdr>
        <w:top w:val="none" w:sz="0" w:space="0" w:color="auto"/>
        <w:left w:val="none" w:sz="0" w:space="0" w:color="auto"/>
        <w:bottom w:val="none" w:sz="0" w:space="0" w:color="auto"/>
        <w:right w:val="none" w:sz="0" w:space="0" w:color="auto"/>
      </w:divBdr>
    </w:div>
    <w:div w:id="898898810">
      <w:bodyDiv w:val="1"/>
      <w:marLeft w:val="0"/>
      <w:marRight w:val="0"/>
      <w:marTop w:val="0"/>
      <w:marBottom w:val="0"/>
      <w:divBdr>
        <w:top w:val="none" w:sz="0" w:space="0" w:color="auto"/>
        <w:left w:val="none" w:sz="0" w:space="0" w:color="auto"/>
        <w:bottom w:val="none" w:sz="0" w:space="0" w:color="auto"/>
        <w:right w:val="none" w:sz="0" w:space="0" w:color="auto"/>
      </w:divBdr>
    </w:div>
    <w:div w:id="922299156">
      <w:bodyDiv w:val="1"/>
      <w:marLeft w:val="0"/>
      <w:marRight w:val="0"/>
      <w:marTop w:val="0"/>
      <w:marBottom w:val="0"/>
      <w:divBdr>
        <w:top w:val="none" w:sz="0" w:space="0" w:color="auto"/>
        <w:left w:val="none" w:sz="0" w:space="0" w:color="auto"/>
        <w:bottom w:val="none" w:sz="0" w:space="0" w:color="auto"/>
        <w:right w:val="none" w:sz="0" w:space="0" w:color="auto"/>
      </w:divBdr>
    </w:div>
    <w:div w:id="946303982">
      <w:bodyDiv w:val="1"/>
      <w:marLeft w:val="0"/>
      <w:marRight w:val="0"/>
      <w:marTop w:val="0"/>
      <w:marBottom w:val="0"/>
      <w:divBdr>
        <w:top w:val="none" w:sz="0" w:space="0" w:color="auto"/>
        <w:left w:val="none" w:sz="0" w:space="0" w:color="auto"/>
        <w:bottom w:val="none" w:sz="0" w:space="0" w:color="auto"/>
        <w:right w:val="none" w:sz="0" w:space="0" w:color="auto"/>
      </w:divBdr>
    </w:div>
    <w:div w:id="965045661">
      <w:bodyDiv w:val="1"/>
      <w:marLeft w:val="0"/>
      <w:marRight w:val="0"/>
      <w:marTop w:val="0"/>
      <w:marBottom w:val="0"/>
      <w:divBdr>
        <w:top w:val="none" w:sz="0" w:space="0" w:color="auto"/>
        <w:left w:val="none" w:sz="0" w:space="0" w:color="auto"/>
        <w:bottom w:val="none" w:sz="0" w:space="0" w:color="auto"/>
        <w:right w:val="none" w:sz="0" w:space="0" w:color="auto"/>
      </w:divBdr>
    </w:div>
    <w:div w:id="976646063">
      <w:bodyDiv w:val="1"/>
      <w:marLeft w:val="0"/>
      <w:marRight w:val="0"/>
      <w:marTop w:val="0"/>
      <w:marBottom w:val="0"/>
      <w:divBdr>
        <w:top w:val="none" w:sz="0" w:space="0" w:color="auto"/>
        <w:left w:val="none" w:sz="0" w:space="0" w:color="auto"/>
        <w:bottom w:val="none" w:sz="0" w:space="0" w:color="auto"/>
        <w:right w:val="none" w:sz="0" w:space="0" w:color="auto"/>
      </w:divBdr>
    </w:div>
    <w:div w:id="987051991">
      <w:bodyDiv w:val="1"/>
      <w:marLeft w:val="0"/>
      <w:marRight w:val="0"/>
      <w:marTop w:val="0"/>
      <w:marBottom w:val="0"/>
      <w:divBdr>
        <w:top w:val="none" w:sz="0" w:space="0" w:color="auto"/>
        <w:left w:val="none" w:sz="0" w:space="0" w:color="auto"/>
        <w:bottom w:val="none" w:sz="0" w:space="0" w:color="auto"/>
        <w:right w:val="none" w:sz="0" w:space="0" w:color="auto"/>
      </w:divBdr>
    </w:div>
    <w:div w:id="1013460289">
      <w:bodyDiv w:val="1"/>
      <w:marLeft w:val="0"/>
      <w:marRight w:val="0"/>
      <w:marTop w:val="0"/>
      <w:marBottom w:val="0"/>
      <w:divBdr>
        <w:top w:val="none" w:sz="0" w:space="0" w:color="auto"/>
        <w:left w:val="none" w:sz="0" w:space="0" w:color="auto"/>
        <w:bottom w:val="none" w:sz="0" w:space="0" w:color="auto"/>
        <w:right w:val="none" w:sz="0" w:space="0" w:color="auto"/>
      </w:divBdr>
    </w:div>
    <w:div w:id="1019090640">
      <w:bodyDiv w:val="1"/>
      <w:marLeft w:val="0"/>
      <w:marRight w:val="0"/>
      <w:marTop w:val="0"/>
      <w:marBottom w:val="0"/>
      <w:divBdr>
        <w:top w:val="none" w:sz="0" w:space="0" w:color="auto"/>
        <w:left w:val="none" w:sz="0" w:space="0" w:color="auto"/>
        <w:bottom w:val="none" w:sz="0" w:space="0" w:color="auto"/>
        <w:right w:val="none" w:sz="0" w:space="0" w:color="auto"/>
      </w:divBdr>
    </w:div>
    <w:div w:id="1021274061">
      <w:bodyDiv w:val="1"/>
      <w:marLeft w:val="0"/>
      <w:marRight w:val="0"/>
      <w:marTop w:val="0"/>
      <w:marBottom w:val="0"/>
      <w:divBdr>
        <w:top w:val="none" w:sz="0" w:space="0" w:color="auto"/>
        <w:left w:val="none" w:sz="0" w:space="0" w:color="auto"/>
        <w:bottom w:val="none" w:sz="0" w:space="0" w:color="auto"/>
        <w:right w:val="none" w:sz="0" w:space="0" w:color="auto"/>
      </w:divBdr>
    </w:div>
    <w:div w:id="1027636807">
      <w:bodyDiv w:val="1"/>
      <w:marLeft w:val="0"/>
      <w:marRight w:val="0"/>
      <w:marTop w:val="0"/>
      <w:marBottom w:val="0"/>
      <w:divBdr>
        <w:top w:val="none" w:sz="0" w:space="0" w:color="auto"/>
        <w:left w:val="none" w:sz="0" w:space="0" w:color="auto"/>
        <w:bottom w:val="none" w:sz="0" w:space="0" w:color="auto"/>
        <w:right w:val="none" w:sz="0" w:space="0" w:color="auto"/>
      </w:divBdr>
    </w:div>
    <w:div w:id="1059552622">
      <w:bodyDiv w:val="1"/>
      <w:marLeft w:val="0"/>
      <w:marRight w:val="0"/>
      <w:marTop w:val="0"/>
      <w:marBottom w:val="0"/>
      <w:divBdr>
        <w:top w:val="none" w:sz="0" w:space="0" w:color="auto"/>
        <w:left w:val="none" w:sz="0" w:space="0" w:color="auto"/>
        <w:bottom w:val="none" w:sz="0" w:space="0" w:color="auto"/>
        <w:right w:val="none" w:sz="0" w:space="0" w:color="auto"/>
      </w:divBdr>
    </w:div>
    <w:div w:id="1088966216">
      <w:bodyDiv w:val="1"/>
      <w:marLeft w:val="0"/>
      <w:marRight w:val="0"/>
      <w:marTop w:val="0"/>
      <w:marBottom w:val="0"/>
      <w:divBdr>
        <w:top w:val="none" w:sz="0" w:space="0" w:color="auto"/>
        <w:left w:val="none" w:sz="0" w:space="0" w:color="auto"/>
        <w:bottom w:val="none" w:sz="0" w:space="0" w:color="auto"/>
        <w:right w:val="none" w:sz="0" w:space="0" w:color="auto"/>
      </w:divBdr>
    </w:div>
    <w:div w:id="1107384689">
      <w:bodyDiv w:val="1"/>
      <w:marLeft w:val="0"/>
      <w:marRight w:val="0"/>
      <w:marTop w:val="0"/>
      <w:marBottom w:val="0"/>
      <w:divBdr>
        <w:top w:val="none" w:sz="0" w:space="0" w:color="auto"/>
        <w:left w:val="none" w:sz="0" w:space="0" w:color="auto"/>
        <w:bottom w:val="none" w:sz="0" w:space="0" w:color="auto"/>
        <w:right w:val="none" w:sz="0" w:space="0" w:color="auto"/>
      </w:divBdr>
    </w:div>
    <w:div w:id="1116094710">
      <w:bodyDiv w:val="1"/>
      <w:marLeft w:val="0"/>
      <w:marRight w:val="0"/>
      <w:marTop w:val="0"/>
      <w:marBottom w:val="0"/>
      <w:divBdr>
        <w:top w:val="none" w:sz="0" w:space="0" w:color="auto"/>
        <w:left w:val="none" w:sz="0" w:space="0" w:color="auto"/>
        <w:bottom w:val="none" w:sz="0" w:space="0" w:color="auto"/>
        <w:right w:val="none" w:sz="0" w:space="0" w:color="auto"/>
      </w:divBdr>
    </w:div>
    <w:div w:id="1161197121">
      <w:bodyDiv w:val="1"/>
      <w:marLeft w:val="0"/>
      <w:marRight w:val="0"/>
      <w:marTop w:val="0"/>
      <w:marBottom w:val="0"/>
      <w:divBdr>
        <w:top w:val="none" w:sz="0" w:space="0" w:color="auto"/>
        <w:left w:val="none" w:sz="0" w:space="0" w:color="auto"/>
        <w:bottom w:val="none" w:sz="0" w:space="0" w:color="auto"/>
        <w:right w:val="none" w:sz="0" w:space="0" w:color="auto"/>
      </w:divBdr>
    </w:div>
    <w:div w:id="1192769154">
      <w:marLeft w:val="0"/>
      <w:marRight w:val="0"/>
      <w:marTop w:val="0"/>
      <w:marBottom w:val="0"/>
      <w:divBdr>
        <w:top w:val="none" w:sz="0" w:space="0" w:color="auto"/>
        <w:left w:val="none" w:sz="0" w:space="0" w:color="auto"/>
        <w:bottom w:val="none" w:sz="0" w:space="0" w:color="auto"/>
        <w:right w:val="none" w:sz="0" w:space="0" w:color="auto"/>
      </w:divBdr>
      <w:divsChild>
        <w:div w:id="1192769155">
          <w:marLeft w:val="0"/>
          <w:marRight w:val="0"/>
          <w:marTop w:val="0"/>
          <w:marBottom w:val="0"/>
          <w:divBdr>
            <w:top w:val="none" w:sz="0" w:space="0" w:color="auto"/>
            <w:left w:val="none" w:sz="0" w:space="0" w:color="auto"/>
            <w:bottom w:val="none" w:sz="0" w:space="0" w:color="auto"/>
            <w:right w:val="none" w:sz="0" w:space="0" w:color="auto"/>
          </w:divBdr>
        </w:div>
        <w:div w:id="1192769157">
          <w:marLeft w:val="0"/>
          <w:marRight w:val="0"/>
          <w:marTop w:val="0"/>
          <w:marBottom w:val="0"/>
          <w:divBdr>
            <w:top w:val="none" w:sz="0" w:space="0" w:color="auto"/>
            <w:left w:val="none" w:sz="0" w:space="0" w:color="auto"/>
            <w:bottom w:val="none" w:sz="0" w:space="0" w:color="auto"/>
            <w:right w:val="none" w:sz="0" w:space="0" w:color="auto"/>
          </w:divBdr>
        </w:div>
      </w:divsChild>
    </w:div>
    <w:div w:id="1192769160">
      <w:marLeft w:val="0"/>
      <w:marRight w:val="0"/>
      <w:marTop w:val="0"/>
      <w:marBottom w:val="0"/>
      <w:divBdr>
        <w:top w:val="none" w:sz="0" w:space="0" w:color="auto"/>
        <w:left w:val="none" w:sz="0" w:space="0" w:color="auto"/>
        <w:bottom w:val="none" w:sz="0" w:space="0" w:color="auto"/>
        <w:right w:val="none" w:sz="0" w:space="0" w:color="auto"/>
      </w:divBdr>
      <w:divsChild>
        <w:div w:id="1192769159">
          <w:marLeft w:val="0"/>
          <w:marRight w:val="0"/>
          <w:marTop w:val="0"/>
          <w:marBottom w:val="0"/>
          <w:divBdr>
            <w:top w:val="none" w:sz="0" w:space="0" w:color="auto"/>
            <w:left w:val="none" w:sz="0" w:space="0" w:color="auto"/>
            <w:bottom w:val="none" w:sz="0" w:space="0" w:color="auto"/>
            <w:right w:val="none" w:sz="0" w:space="0" w:color="auto"/>
          </w:divBdr>
          <w:divsChild>
            <w:div w:id="1192769153">
              <w:marLeft w:val="0"/>
              <w:marRight w:val="0"/>
              <w:marTop w:val="0"/>
              <w:marBottom w:val="0"/>
              <w:divBdr>
                <w:top w:val="none" w:sz="0" w:space="0" w:color="auto"/>
                <w:left w:val="none" w:sz="0" w:space="0" w:color="auto"/>
                <w:bottom w:val="none" w:sz="0" w:space="0" w:color="auto"/>
                <w:right w:val="none" w:sz="0" w:space="0" w:color="auto"/>
              </w:divBdr>
            </w:div>
            <w:div w:id="1192769156">
              <w:marLeft w:val="0"/>
              <w:marRight w:val="0"/>
              <w:marTop w:val="0"/>
              <w:marBottom w:val="0"/>
              <w:divBdr>
                <w:top w:val="none" w:sz="0" w:space="0" w:color="auto"/>
                <w:left w:val="none" w:sz="0" w:space="0" w:color="auto"/>
                <w:bottom w:val="none" w:sz="0" w:space="0" w:color="auto"/>
                <w:right w:val="none" w:sz="0" w:space="0" w:color="auto"/>
              </w:divBdr>
            </w:div>
            <w:div w:id="1192769158">
              <w:marLeft w:val="0"/>
              <w:marRight w:val="0"/>
              <w:marTop w:val="0"/>
              <w:marBottom w:val="0"/>
              <w:divBdr>
                <w:top w:val="none" w:sz="0" w:space="0" w:color="auto"/>
                <w:left w:val="none" w:sz="0" w:space="0" w:color="auto"/>
                <w:bottom w:val="none" w:sz="0" w:space="0" w:color="auto"/>
                <w:right w:val="none" w:sz="0" w:space="0" w:color="auto"/>
              </w:divBdr>
            </w:div>
            <w:div w:id="1192769161">
              <w:marLeft w:val="0"/>
              <w:marRight w:val="0"/>
              <w:marTop w:val="0"/>
              <w:marBottom w:val="0"/>
              <w:divBdr>
                <w:top w:val="none" w:sz="0" w:space="0" w:color="auto"/>
                <w:left w:val="none" w:sz="0" w:space="0" w:color="auto"/>
                <w:bottom w:val="none" w:sz="0" w:space="0" w:color="auto"/>
                <w:right w:val="none" w:sz="0" w:space="0" w:color="auto"/>
              </w:divBdr>
            </w:div>
            <w:div w:id="1192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4836">
      <w:bodyDiv w:val="1"/>
      <w:marLeft w:val="0"/>
      <w:marRight w:val="0"/>
      <w:marTop w:val="0"/>
      <w:marBottom w:val="0"/>
      <w:divBdr>
        <w:top w:val="none" w:sz="0" w:space="0" w:color="auto"/>
        <w:left w:val="none" w:sz="0" w:space="0" w:color="auto"/>
        <w:bottom w:val="none" w:sz="0" w:space="0" w:color="auto"/>
        <w:right w:val="none" w:sz="0" w:space="0" w:color="auto"/>
      </w:divBdr>
    </w:div>
    <w:div w:id="1237011086">
      <w:bodyDiv w:val="1"/>
      <w:marLeft w:val="0"/>
      <w:marRight w:val="0"/>
      <w:marTop w:val="0"/>
      <w:marBottom w:val="0"/>
      <w:divBdr>
        <w:top w:val="none" w:sz="0" w:space="0" w:color="auto"/>
        <w:left w:val="none" w:sz="0" w:space="0" w:color="auto"/>
        <w:bottom w:val="none" w:sz="0" w:space="0" w:color="auto"/>
        <w:right w:val="none" w:sz="0" w:space="0" w:color="auto"/>
      </w:divBdr>
    </w:div>
    <w:div w:id="1260869592">
      <w:bodyDiv w:val="1"/>
      <w:marLeft w:val="0"/>
      <w:marRight w:val="0"/>
      <w:marTop w:val="0"/>
      <w:marBottom w:val="0"/>
      <w:divBdr>
        <w:top w:val="none" w:sz="0" w:space="0" w:color="auto"/>
        <w:left w:val="none" w:sz="0" w:space="0" w:color="auto"/>
        <w:bottom w:val="none" w:sz="0" w:space="0" w:color="auto"/>
        <w:right w:val="none" w:sz="0" w:space="0" w:color="auto"/>
      </w:divBdr>
    </w:div>
    <w:div w:id="1272205075">
      <w:bodyDiv w:val="1"/>
      <w:marLeft w:val="0"/>
      <w:marRight w:val="0"/>
      <w:marTop w:val="0"/>
      <w:marBottom w:val="0"/>
      <w:divBdr>
        <w:top w:val="none" w:sz="0" w:space="0" w:color="auto"/>
        <w:left w:val="none" w:sz="0" w:space="0" w:color="auto"/>
        <w:bottom w:val="none" w:sz="0" w:space="0" w:color="auto"/>
        <w:right w:val="none" w:sz="0" w:space="0" w:color="auto"/>
      </w:divBdr>
    </w:div>
    <w:div w:id="1354115835">
      <w:bodyDiv w:val="1"/>
      <w:marLeft w:val="0"/>
      <w:marRight w:val="0"/>
      <w:marTop w:val="0"/>
      <w:marBottom w:val="0"/>
      <w:divBdr>
        <w:top w:val="none" w:sz="0" w:space="0" w:color="auto"/>
        <w:left w:val="none" w:sz="0" w:space="0" w:color="auto"/>
        <w:bottom w:val="none" w:sz="0" w:space="0" w:color="auto"/>
        <w:right w:val="none" w:sz="0" w:space="0" w:color="auto"/>
      </w:divBdr>
    </w:div>
    <w:div w:id="1376469869">
      <w:bodyDiv w:val="1"/>
      <w:marLeft w:val="0"/>
      <w:marRight w:val="0"/>
      <w:marTop w:val="0"/>
      <w:marBottom w:val="0"/>
      <w:divBdr>
        <w:top w:val="none" w:sz="0" w:space="0" w:color="auto"/>
        <w:left w:val="none" w:sz="0" w:space="0" w:color="auto"/>
        <w:bottom w:val="none" w:sz="0" w:space="0" w:color="auto"/>
        <w:right w:val="none" w:sz="0" w:space="0" w:color="auto"/>
      </w:divBdr>
    </w:div>
    <w:div w:id="1388336370">
      <w:bodyDiv w:val="1"/>
      <w:marLeft w:val="0"/>
      <w:marRight w:val="0"/>
      <w:marTop w:val="0"/>
      <w:marBottom w:val="0"/>
      <w:divBdr>
        <w:top w:val="none" w:sz="0" w:space="0" w:color="auto"/>
        <w:left w:val="none" w:sz="0" w:space="0" w:color="auto"/>
        <w:bottom w:val="none" w:sz="0" w:space="0" w:color="auto"/>
        <w:right w:val="none" w:sz="0" w:space="0" w:color="auto"/>
      </w:divBdr>
    </w:div>
    <w:div w:id="1396507308">
      <w:bodyDiv w:val="1"/>
      <w:marLeft w:val="0"/>
      <w:marRight w:val="0"/>
      <w:marTop w:val="0"/>
      <w:marBottom w:val="0"/>
      <w:divBdr>
        <w:top w:val="none" w:sz="0" w:space="0" w:color="auto"/>
        <w:left w:val="none" w:sz="0" w:space="0" w:color="auto"/>
        <w:bottom w:val="none" w:sz="0" w:space="0" w:color="auto"/>
        <w:right w:val="none" w:sz="0" w:space="0" w:color="auto"/>
      </w:divBdr>
    </w:div>
    <w:div w:id="1485779433">
      <w:bodyDiv w:val="1"/>
      <w:marLeft w:val="0"/>
      <w:marRight w:val="0"/>
      <w:marTop w:val="0"/>
      <w:marBottom w:val="0"/>
      <w:divBdr>
        <w:top w:val="none" w:sz="0" w:space="0" w:color="auto"/>
        <w:left w:val="none" w:sz="0" w:space="0" w:color="auto"/>
        <w:bottom w:val="none" w:sz="0" w:space="0" w:color="auto"/>
        <w:right w:val="none" w:sz="0" w:space="0" w:color="auto"/>
      </w:divBdr>
    </w:div>
    <w:div w:id="1514610737">
      <w:bodyDiv w:val="1"/>
      <w:marLeft w:val="0"/>
      <w:marRight w:val="0"/>
      <w:marTop w:val="0"/>
      <w:marBottom w:val="0"/>
      <w:divBdr>
        <w:top w:val="none" w:sz="0" w:space="0" w:color="auto"/>
        <w:left w:val="none" w:sz="0" w:space="0" w:color="auto"/>
        <w:bottom w:val="none" w:sz="0" w:space="0" w:color="auto"/>
        <w:right w:val="none" w:sz="0" w:space="0" w:color="auto"/>
      </w:divBdr>
    </w:div>
    <w:div w:id="1522164002">
      <w:bodyDiv w:val="1"/>
      <w:marLeft w:val="0"/>
      <w:marRight w:val="0"/>
      <w:marTop w:val="0"/>
      <w:marBottom w:val="0"/>
      <w:divBdr>
        <w:top w:val="none" w:sz="0" w:space="0" w:color="auto"/>
        <w:left w:val="none" w:sz="0" w:space="0" w:color="auto"/>
        <w:bottom w:val="none" w:sz="0" w:space="0" w:color="auto"/>
        <w:right w:val="none" w:sz="0" w:space="0" w:color="auto"/>
      </w:divBdr>
    </w:div>
    <w:div w:id="1575118154">
      <w:bodyDiv w:val="1"/>
      <w:marLeft w:val="0"/>
      <w:marRight w:val="0"/>
      <w:marTop w:val="0"/>
      <w:marBottom w:val="0"/>
      <w:divBdr>
        <w:top w:val="none" w:sz="0" w:space="0" w:color="auto"/>
        <w:left w:val="none" w:sz="0" w:space="0" w:color="auto"/>
        <w:bottom w:val="none" w:sz="0" w:space="0" w:color="auto"/>
        <w:right w:val="none" w:sz="0" w:space="0" w:color="auto"/>
      </w:divBdr>
    </w:div>
    <w:div w:id="1582711228">
      <w:bodyDiv w:val="1"/>
      <w:marLeft w:val="0"/>
      <w:marRight w:val="0"/>
      <w:marTop w:val="0"/>
      <w:marBottom w:val="0"/>
      <w:divBdr>
        <w:top w:val="none" w:sz="0" w:space="0" w:color="auto"/>
        <w:left w:val="none" w:sz="0" w:space="0" w:color="auto"/>
        <w:bottom w:val="none" w:sz="0" w:space="0" w:color="auto"/>
        <w:right w:val="none" w:sz="0" w:space="0" w:color="auto"/>
      </w:divBdr>
    </w:div>
    <w:div w:id="1611012991">
      <w:bodyDiv w:val="1"/>
      <w:marLeft w:val="0"/>
      <w:marRight w:val="0"/>
      <w:marTop w:val="0"/>
      <w:marBottom w:val="0"/>
      <w:divBdr>
        <w:top w:val="none" w:sz="0" w:space="0" w:color="auto"/>
        <w:left w:val="none" w:sz="0" w:space="0" w:color="auto"/>
        <w:bottom w:val="none" w:sz="0" w:space="0" w:color="auto"/>
        <w:right w:val="none" w:sz="0" w:space="0" w:color="auto"/>
      </w:divBdr>
    </w:div>
    <w:div w:id="1627158105">
      <w:bodyDiv w:val="1"/>
      <w:marLeft w:val="0"/>
      <w:marRight w:val="0"/>
      <w:marTop w:val="0"/>
      <w:marBottom w:val="0"/>
      <w:divBdr>
        <w:top w:val="none" w:sz="0" w:space="0" w:color="auto"/>
        <w:left w:val="none" w:sz="0" w:space="0" w:color="auto"/>
        <w:bottom w:val="none" w:sz="0" w:space="0" w:color="auto"/>
        <w:right w:val="none" w:sz="0" w:space="0" w:color="auto"/>
      </w:divBdr>
    </w:div>
    <w:div w:id="1648123762">
      <w:bodyDiv w:val="1"/>
      <w:marLeft w:val="0"/>
      <w:marRight w:val="0"/>
      <w:marTop w:val="0"/>
      <w:marBottom w:val="0"/>
      <w:divBdr>
        <w:top w:val="none" w:sz="0" w:space="0" w:color="auto"/>
        <w:left w:val="none" w:sz="0" w:space="0" w:color="auto"/>
        <w:bottom w:val="none" w:sz="0" w:space="0" w:color="auto"/>
        <w:right w:val="none" w:sz="0" w:space="0" w:color="auto"/>
      </w:divBdr>
    </w:div>
    <w:div w:id="1670521890">
      <w:bodyDiv w:val="1"/>
      <w:marLeft w:val="0"/>
      <w:marRight w:val="0"/>
      <w:marTop w:val="0"/>
      <w:marBottom w:val="0"/>
      <w:divBdr>
        <w:top w:val="none" w:sz="0" w:space="0" w:color="auto"/>
        <w:left w:val="none" w:sz="0" w:space="0" w:color="auto"/>
        <w:bottom w:val="none" w:sz="0" w:space="0" w:color="auto"/>
        <w:right w:val="none" w:sz="0" w:space="0" w:color="auto"/>
      </w:divBdr>
    </w:div>
    <w:div w:id="1688406740">
      <w:bodyDiv w:val="1"/>
      <w:marLeft w:val="0"/>
      <w:marRight w:val="0"/>
      <w:marTop w:val="0"/>
      <w:marBottom w:val="0"/>
      <w:divBdr>
        <w:top w:val="none" w:sz="0" w:space="0" w:color="auto"/>
        <w:left w:val="none" w:sz="0" w:space="0" w:color="auto"/>
        <w:bottom w:val="none" w:sz="0" w:space="0" w:color="auto"/>
        <w:right w:val="none" w:sz="0" w:space="0" w:color="auto"/>
      </w:divBdr>
    </w:div>
    <w:div w:id="1691639652">
      <w:bodyDiv w:val="1"/>
      <w:marLeft w:val="0"/>
      <w:marRight w:val="0"/>
      <w:marTop w:val="0"/>
      <w:marBottom w:val="0"/>
      <w:divBdr>
        <w:top w:val="none" w:sz="0" w:space="0" w:color="auto"/>
        <w:left w:val="none" w:sz="0" w:space="0" w:color="auto"/>
        <w:bottom w:val="none" w:sz="0" w:space="0" w:color="auto"/>
        <w:right w:val="none" w:sz="0" w:space="0" w:color="auto"/>
      </w:divBdr>
    </w:div>
    <w:div w:id="1704791778">
      <w:bodyDiv w:val="1"/>
      <w:marLeft w:val="0"/>
      <w:marRight w:val="0"/>
      <w:marTop w:val="0"/>
      <w:marBottom w:val="0"/>
      <w:divBdr>
        <w:top w:val="none" w:sz="0" w:space="0" w:color="auto"/>
        <w:left w:val="none" w:sz="0" w:space="0" w:color="auto"/>
        <w:bottom w:val="none" w:sz="0" w:space="0" w:color="auto"/>
        <w:right w:val="none" w:sz="0" w:space="0" w:color="auto"/>
      </w:divBdr>
    </w:div>
    <w:div w:id="1711881009">
      <w:bodyDiv w:val="1"/>
      <w:marLeft w:val="0"/>
      <w:marRight w:val="0"/>
      <w:marTop w:val="0"/>
      <w:marBottom w:val="0"/>
      <w:divBdr>
        <w:top w:val="none" w:sz="0" w:space="0" w:color="auto"/>
        <w:left w:val="none" w:sz="0" w:space="0" w:color="auto"/>
        <w:bottom w:val="none" w:sz="0" w:space="0" w:color="auto"/>
        <w:right w:val="none" w:sz="0" w:space="0" w:color="auto"/>
      </w:divBdr>
    </w:div>
    <w:div w:id="1727753745">
      <w:bodyDiv w:val="1"/>
      <w:marLeft w:val="0"/>
      <w:marRight w:val="0"/>
      <w:marTop w:val="0"/>
      <w:marBottom w:val="0"/>
      <w:divBdr>
        <w:top w:val="none" w:sz="0" w:space="0" w:color="auto"/>
        <w:left w:val="none" w:sz="0" w:space="0" w:color="auto"/>
        <w:bottom w:val="none" w:sz="0" w:space="0" w:color="auto"/>
        <w:right w:val="none" w:sz="0" w:space="0" w:color="auto"/>
      </w:divBdr>
    </w:div>
    <w:div w:id="1744445355">
      <w:bodyDiv w:val="1"/>
      <w:marLeft w:val="0"/>
      <w:marRight w:val="0"/>
      <w:marTop w:val="0"/>
      <w:marBottom w:val="0"/>
      <w:divBdr>
        <w:top w:val="none" w:sz="0" w:space="0" w:color="auto"/>
        <w:left w:val="none" w:sz="0" w:space="0" w:color="auto"/>
        <w:bottom w:val="none" w:sz="0" w:space="0" w:color="auto"/>
        <w:right w:val="none" w:sz="0" w:space="0" w:color="auto"/>
      </w:divBdr>
    </w:div>
    <w:div w:id="1788619130">
      <w:bodyDiv w:val="1"/>
      <w:marLeft w:val="0"/>
      <w:marRight w:val="0"/>
      <w:marTop w:val="0"/>
      <w:marBottom w:val="0"/>
      <w:divBdr>
        <w:top w:val="none" w:sz="0" w:space="0" w:color="auto"/>
        <w:left w:val="none" w:sz="0" w:space="0" w:color="auto"/>
        <w:bottom w:val="none" w:sz="0" w:space="0" w:color="auto"/>
        <w:right w:val="none" w:sz="0" w:space="0" w:color="auto"/>
      </w:divBdr>
    </w:div>
    <w:div w:id="1801607353">
      <w:bodyDiv w:val="1"/>
      <w:marLeft w:val="0"/>
      <w:marRight w:val="0"/>
      <w:marTop w:val="0"/>
      <w:marBottom w:val="0"/>
      <w:divBdr>
        <w:top w:val="none" w:sz="0" w:space="0" w:color="auto"/>
        <w:left w:val="none" w:sz="0" w:space="0" w:color="auto"/>
        <w:bottom w:val="none" w:sz="0" w:space="0" w:color="auto"/>
        <w:right w:val="none" w:sz="0" w:space="0" w:color="auto"/>
      </w:divBdr>
    </w:div>
    <w:div w:id="1802648237">
      <w:bodyDiv w:val="1"/>
      <w:marLeft w:val="0"/>
      <w:marRight w:val="0"/>
      <w:marTop w:val="0"/>
      <w:marBottom w:val="0"/>
      <w:divBdr>
        <w:top w:val="none" w:sz="0" w:space="0" w:color="auto"/>
        <w:left w:val="none" w:sz="0" w:space="0" w:color="auto"/>
        <w:bottom w:val="none" w:sz="0" w:space="0" w:color="auto"/>
        <w:right w:val="none" w:sz="0" w:space="0" w:color="auto"/>
      </w:divBdr>
    </w:div>
    <w:div w:id="1825200455">
      <w:bodyDiv w:val="1"/>
      <w:marLeft w:val="0"/>
      <w:marRight w:val="0"/>
      <w:marTop w:val="0"/>
      <w:marBottom w:val="0"/>
      <w:divBdr>
        <w:top w:val="none" w:sz="0" w:space="0" w:color="auto"/>
        <w:left w:val="none" w:sz="0" w:space="0" w:color="auto"/>
        <w:bottom w:val="none" w:sz="0" w:space="0" w:color="auto"/>
        <w:right w:val="none" w:sz="0" w:space="0" w:color="auto"/>
      </w:divBdr>
    </w:div>
    <w:div w:id="1849295551">
      <w:bodyDiv w:val="1"/>
      <w:marLeft w:val="0"/>
      <w:marRight w:val="0"/>
      <w:marTop w:val="0"/>
      <w:marBottom w:val="0"/>
      <w:divBdr>
        <w:top w:val="none" w:sz="0" w:space="0" w:color="auto"/>
        <w:left w:val="none" w:sz="0" w:space="0" w:color="auto"/>
        <w:bottom w:val="none" w:sz="0" w:space="0" w:color="auto"/>
        <w:right w:val="none" w:sz="0" w:space="0" w:color="auto"/>
      </w:divBdr>
    </w:div>
    <w:div w:id="1858076996">
      <w:bodyDiv w:val="1"/>
      <w:marLeft w:val="0"/>
      <w:marRight w:val="0"/>
      <w:marTop w:val="0"/>
      <w:marBottom w:val="0"/>
      <w:divBdr>
        <w:top w:val="none" w:sz="0" w:space="0" w:color="auto"/>
        <w:left w:val="none" w:sz="0" w:space="0" w:color="auto"/>
        <w:bottom w:val="none" w:sz="0" w:space="0" w:color="auto"/>
        <w:right w:val="none" w:sz="0" w:space="0" w:color="auto"/>
      </w:divBdr>
    </w:div>
    <w:div w:id="1862284657">
      <w:bodyDiv w:val="1"/>
      <w:marLeft w:val="0"/>
      <w:marRight w:val="0"/>
      <w:marTop w:val="0"/>
      <w:marBottom w:val="0"/>
      <w:divBdr>
        <w:top w:val="none" w:sz="0" w:space="0" w:color="auto"/>
        <w:left w:val="none" w:sz="0" w:space="0" w:color="auto"/>
        <w:bottom w:val="none" w:sz="0" w:space="0" w:color="auto"/>
        <w:right w:val="none" w:sz="0" w:space="0" w:color="auto"/>
      </w:divBdr>
    </w:div>
    <w:div w:id="1974403645">
      <w:bodyDiv w:val="1"/>
      <w:marLeft w:val="0"/>
      <w:marRight w:val="0"/>
      <w:marTop w:val="0"/>
      <w:marBottom w:val="0"/>
      <w:divBdr>
        <w:top w:val="none" w:sz="0" w:space="0" w:color="auto"/>
        <w:left w:val="none" w:sz="0" w:space="0" w:color="auto"/>
        <w:bottom w:val="none" w:sz="0" w:space="0" w:color="auto"/>
        <w:right w:val="none" w:sz="0" w:space="0" w:color="auto"/>
      </w:divBdr>
    </w:div>
    <w:div w:id="1986540378">
      <w:bodyDiv w:val="1"/>
      <w:marLeft w:val="0"/>
      <w:marRight w:val="0"/>
      <w:marTop w:val="0"/>
      <w:marBottom w:val="0"/>
      <w:divBdr>
        <w:top w:val="none" w:sz="0" w:space="0" w:color="auto"/>
        <w:left w:val="none" w:sz="0" w:space="0" w:color="auto"/>
        <w:bottom w:val="none" w:sz="0" w:space="0" w:color="auto"/>
        <w:right w:val="none" w:sz="0" w:space="0" w:color="auto"/>
      </w:divBdr>
    </w:div>
    <w:div w:id="2000304148">
      <w:bodyDiv w:val="1"/>
      <w:marLeft w:val="0"/>
      <w:marRight w:val="0"/>
      <w:marTop w:val="0"/>
      <w:marBottom w:val="0"/>
      <w:divBdr>
        <w:top w:val="none" w:sz="0" w:space="0" w:color="auto"/>
        <w:left w:val="none" w:sz="0" w:space="0" w:color="auto"/>
        <w:bottom w:val="none" w:sz="0" w:space="0" w:color="auto"/>
        <w:right w:val="none" w:sz="0" w:space="0" w:color="auto"/>
      </w:divBdr>
    </w:div>
    <w:div w:id="2038306723">
      <w:bodyDiv w:val="1"/>
      <w:marLeft w:val="0"/>
      <w:marRight w:val="0"/>
      <w:marTop w:val="0"/>
      <w:marBottom w:val="0"/>
      <w:divBdr>
        <w:top w:val="none" w:sz="0" w:space="0" w:color="auto"/>
        <w:left w:val="none" w:sz="0" w:space="0" w:color="auto"/>
        <w:bottom w:val="none" w:sz="0" w:space="0" w:color="auto"/>
        <w:right w:val="none" w:sz="0" w:space="0" w:color="auto"/>
      </w:divBdr>
    </w:div>
    <w:div w:id="2076657332">
      <w:bodyDiv w:val="1"/>
      <w:marLeft w:val="0"/>
      <w:marRight w:val="0"/>
      <w:marTop w:val="0"/>
      <w:marBottom w:val="0"/>
      <w:divBdr>
        <w:top w:val="none" w:sz="0" w:space="0" w:color="auto"/>
        <w:left w:val="none" w:sz="0" w:space="0" w:color="auto"/>
        <w:bottom w:val="none" w:sz="0" w:space="0" w:color="auto"/>
        <w:right w:val="none" w:sz="0" w:space="0" w:color="auto"/>
      </w:divBdr>
    </w:div>
    <w:div w:id="2130584514">
      <w:bodyDiv w:val="1"/>
      <w:marLeft w:val="0"/>
      <w:marRight w:val="0"/>
      <w:marTop w:val="0"/>
      <w:marBottom w:val="0"/>
      <w:divBdr>
        <w:top w:val="none" w:sz="0" w:space="0" w:color="auto"/>
        <w:left w:val="none" w:sz="0" w:space="0" w:color="auto"/>
        <w:bottom w:val="none" w:sz="0" w:space="0" w:color="auto"/>
        <w:right w:val="none" w:sz="0" w:space="0" w:color="auto"/>
      </w:divBdr>
    </w:div>
    <w:div w:id="2134517586">
      <w:bodyDiv w:val="1"/>
      <w:marLeft w:val="0"/>
      <w:marRight w:val="0"/>
      <w:marTop w:val="0"/>
      <w:marBottom w:val="0"/>
      <w:divBdr>
        <w:top w:val="none" w:sz="0" w:space="0" w:color="auto"/>
        <w:left w:val="none" w:sz="0" w:space="0" w:color="auto"/>
        <w:bottom w:val="none" w:sz="0" w:space="0" w:color="auto"/>
        <w:right w:val="none" w:sz="0" w:space="0" w:color="auto"/>
      </w:divBdr>
    </w:div>
    <w:div w:id="2143107875">
      <w:bodyDiv w:val="1"/>
      <w:marLeft w:val="0"/>
      <w:marRight w:val="0"/>
      <w:marTop w:val="0"/>
      <w:marBottom w:val="0"/>
      <w:divBdr>
        <w:top w:val="none" w:sz="0" w:space="0" w:color="auto"/>
        <w:left w:val="none" w:sz="0" w:space="0" w:color="auto"/>
        <w:bottom w:val="none" w:sz="0" w:space="0" w:color="auto"/>
        <w:right w:val="none" w:sz="0" w:space="0" w:color="auto"/>
      </w:divBdr>
    </w:div>
    <w:div w:id="214349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10495</ap:Words>
  <ap:Characters>69364</ap:Characters>
  <ap:DocSecurity>0</ap:DocSecurity>
  <ap:Lines>578</ap:Lines>
  <ap:Paragraphs>159</ap:Paragraphs>
  <ap:ScaleCrop>false</ap:ScaleCrop>
  <ap:HeadingPairs>
    <vt:vector baseType="variant" size="2">
      <vt:variant>
        <vt:lpstr>Titel</vt:lpstr>
      </vt:variant>
      <vt:variant>
        <vt:i4>1</vt:i4>
      </vt:variant>
    </vt:vector>
  </ap:HeadingPairs>
  <ap:TitlesOfParts>
    <vt:vector baseType="lpstr" size="1">
      <vt:lpstr>Bijlage x: Verticale Toelichting Najaarsnota 2010</vt:lpstr>
    </vt:vector>
  </ap:TitlesOfParts>
  <ap:LinksUpToDate>false</ap:LinksUpToDate>
  <ap:CharactersWithSpaces>79700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2013-11-22T13:29:00.0000000Z</lastPrinted>
  <dcterms:created xsi:type="dcterms:W3CDTF">2016-11-25T15:22:00.0000000Z</dcterms:created>
  <dcterms:modified xsi:type="dcterms:W3CDTF">2016-11-25T15:22:00.0000000Z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0x0101002C8077F09FB3A74EB6FF32CC8A228546</vt:lpwstr>
  </property>
</Properties>
</file>