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C02FD1" w:rsidR="00BB685A" w:rsidP="00BB685A" w:rsidRDefault="00BB685A">
      <w:pPr>
        <w:pStyle w:val="Kop1"/>
        <w:numPr>
          <w:ilvl w:val="0"/>
          <w:numId w:val="14"/>
        </w:numPr>
        <w:contextualSpacing/>
        <w:rPr>
          <w:sz w:val="18"/>
          <w:szCs w:val="18"/>
        </w:rPr>
      </w:pPr>
      <w:bookmarkStart w:name="_GoBack" w:id="0"/>
      <w:bookmarkEnd w:id="0"/>
      <w:r w:rsidRPr="00C02FD1">
        <w:rPr>
          <w:sz w:val="18"/>
          <w:szCs w:val="18"/>
        </w:rPr>
        <w:t>Inleiding</w:t>
      </w:r>
    </w:p>
    <w:p w:rsidR="00BB685A" w:rsidP="00BB685A" w:rsidRDefault="00BB685A">
      <w:pPr>
        <w:pStyle w:val="tekst"/>
        <w:rPr>
          <w:iCs/>
        </w:rPr>
      </w:pPr>
      <w:r w:rsidRPr="00FC0060">
        <w:t>Deze Najaarsnota actualiseert de ontwikkeling van de inkomsten en uit</w:t>
      </w:r>
      <w:r>
        <w:t xml:space="preserve">gaven in het begrotingsjaar 2016. De stand Miljoenennota 2017 </w:t>
      </w:r>
      <w:r w:rsidRPr="00FC0060">
        <w:t xml:space="preserve">is daarbij het uitgangspunt en mutaties worden ten opzichte </w:t>
      </w:r>
      <w:r>
        <w:t>van die stand</w:t>
      </w:r>
      <w:r w:rsidRPr="00FC0060">
        <w:t xml:space="preserve"> gepresenteerd. </w:t>
      </w:r>
      <w:r>
        <w:t xml:space="preserve">Tegelijk </w:t>
      </w:r>
      <w:r w:rsidRPr="00FC0060">
        <w:t xml:space="preserve">met de Najaarsnota worden de hiermee samenhangende </w:t>
      </w:r>
      <w:r>
        <w:t xml:space="preserve">tweede </w:t>
      </w:r>
      <w:r w:rsidRPr="00A9593F">
        <w:rPr>
          <w:iCs/>
        </w:rPr>
        <w:t xml:space="preserve">suppletoire begrotingswetten aan de Tweede Kamer der Staten-Generaal aangeboden. </w:t>
      </w:r>
      <w:r w:rsidRPr="001A5463">
        <w:rPr>
          <w:iCs/>
        </w:rPr>
        <w:t xml:space="preserve">De tweede suppletoire wetten zijn de laatste reguliere mogelijkheid </w:t>
      </w:r>
      <w:r>
        <w:rPr>
          <w:iCs/>
        </w:rPr>
        <w:t>voor het kabinet om v</w:t>
      </w:r>
      <w:r w:rsidRPr="001A5463">
        <w:rPr>
          <w:iCs/>
        </w:rPr>
        <w:t xml:space="preserve">oor het lopende begrotingsjaar nog mutaties van beleidsmatige aard </w:t>
      </w:r>
      <w:r>
        <w:rPr>
          <w:iCs/>
        </w:rPr>
        <w:t xml:space="preserve">aan uw Kamer voor te leggen. Als er geen mutaties op de betreffende begroting zijn is er geen tweede suppletoire begrotingswet. </w:t>
      </w:r>
      <w:r w:rsidRPr="005F6F6D">
        <w:rPr>
          <w:iCs/>
        </w:rPr>
        <w:t xml:space="preserve">Mocht na de Najaarsnota nog sprake zijn van een voorstel </w:t>
      </w:r>
      <w:r w:rsidRPr="000C1A02">
        <w:rPr>
          <w:iCs/>
        </w:rPr>
        <w:t xml:space="preserve">tot een beleidsmatige wijziging van de </w:t>
      </w:r>
      <w:r w:rsidRPr="00A64E68">
        <w:rPr>
          <w:iCs/>
        </w:rPr>
        <w:t>begroting, dan zal dit door de betreffende minister door middel van een aparte brief aan uw Kamer worden gemeld.</w:t>
      </w:r>
    </w:p>
    <w:p w:rsidRPr="000A7AFF" w:rsidR="00BB685A" w:rsidP="00BB685A" w:rsidRDefault="00BB685A">
      <w:pPr>
        <w:pStyle w:val="tekst"/>
      </w:pPr>
      <w:r w:rsidRPr="000A7AFF">
        <w:t>In paragraaf 2 wordt de uitgavenzijde van de begroting toegelicht met de kadertoetsing en de mutaties sinds de Miljoenennota 2016. Aan de uitgavenzijde van de begroting doen zich onder de deelkaders verschillende mee- en tegenvallers voor. Het totale uitgavenkader wordt niet overschreden. Onderliggend laat het deelkader RBG-eng een overschrijding zien. Deze overschrijding wordt gecompenseerd door een onderschrijding van zowel het kader SZA als het kader BKZ.</w:t>
      </w:r>
    </w:p>
    <w:p w:rsidRPr="008E5FA7" w:rsidR="00BB685A" w:rsidP="00BB685A" w:rsidRDefault="00BB685A">
      <w:pPr>
        <w:pStyle w:val="tekst"/>
      </w:pPr>
      <w:r w:rsidRPr="008E5FA7">
        <w:t xml:space="preserve">In paragraaf 3 worden de inkomsten toegelicht. De raming van de totale belasting- en premieontvangsten 2016 is met 4,3 miljard euro opwaarts bijgesteld ten opzichte van de Miljoenennota 2017. Dit is vooral het gevolg van </w:t>
      </w:r>
      <w:r>
        <w:t>de hogere inkomsten bij de vennootschapsbelasting (vpb), de inkomensheffing en de omzetbelasting (btw).</w:t>
      </w:r>
    </w:p>
    <w:p w:rsidR="00BB685A" w:rsidP="00BB685A" w:rsidRDefault="00BB685A">
      <w:pPr>
        <w:contextualSpacing/>
      </w:pPr>
    </w:p>
    <w:p w:rsidRPr="004A7854" w:rsidR="00BB685A" w:rsidP="00BB685A" w:rsidRDefault="00BB685A">
      <w:pPr>
        <w:contextualSpacing/>
      </w:pPr>
      <w:r w:rsidRPr="008E5FA7">
        <w:t xml:space="preserve">In paragraaf 4 wordt er ingegaan op het EMU-saldo en de EMU-schuld. </w:t>
      </w:r>
      <w:r w:rsidRPr="00CD6E1C">
        <w:t>Het EMU-</w:t>
      </w:r>
      <w:r>
        <w:t>saldo</w:t>
      </w:r>
      <w:r w:rsidRPr="00CD6E1C">
        <w:t xml:space="preserve"> komt in </w:t>
      </w:r>
      <w:r>
        <w:t>2016 naar verwachting uit op -0,4</w:t>
      </w:r>
      <w:r w:rsidRPr="00CD6E1C">
        <w:t xml:space="preserve"> procent bbp. Dit is een </w:t>
      </w:r>
      <w:r>
        <w:t xml:space="preserve">verbetering </w:t>
      </w:r>
      <w:r w:rsidRPr="00CD6E1C">
        <w:t>van 0,</w:t>
      </w:r>
      <w:r>
        <w:t>7</w:t>
      </w:r>
      <w:r w:rsidRPr="00CD6E1C">
        <w:t xml:space="preserve"> procentpunt ten opzichte van de raming ten tijde van </w:t>
      </w:r>
      <w:r w:rsidRPr="00CD6E1C">
        <w:lastRenderedPageBreak/>
        <w:t xml:space="preserve">Miljoenennota </w:t>
      </w:r>
      <w:r>
        <w:t>2017</w:t>
      </w:r>
      <w:r w:rsidRPr="00CD6E1C">
        <w:t xml:space="preserve">. </w:t>
      </w:r>
      <w:r w:rsidRPr="008E5FA7">
        <w:t xml:space="preserve">Vooral de hogere geraamde inkomsten zorgen voor een verbetering van het geraamde </w:t>
      </w:r>
      <w:r w:rsidRPr="00CD6E1C">
        <w:t xml:space="preserve">tekort in </w:t>
      </w:r>
      <w:r>
        <w:t>2016</w:t>
      </w:r>
      <w:r w:rsidRPr="00CD6E1C">
        <w:t xml:space="preserve">. De EMU-schuld bedraagt eind </w:t>
      </w:r>
      <w:r>
        <w:t xml:space="preserve">2016 </w:t>
      </w:r>
      <w:r w:rsidRPr="00CD6E1C">
        <w:t xml:space="preserve">naar verwachting </w:t>
      </w:r>
      <w:r>
        <w:t>63,0</w:t>
      </w:r>
      <w:r w:rsidRPr="00CD6E1C">
        <w:t xml:space="preserve"> procent bbp. De EMU-schuld komt hiermee 0,</w:t>
      </w:r>
      <w:r>
        <w:t>4</w:t>
      </w:r>
      <w:r w:rsidRPr="00CD6E1C">
        <w:t xml:space="preserve"> procentpunt lager uit dan waar in de Miljoenennota </w:t>
      </w:r>
      <w:r>
        <w:t xml:space="preserve">2017 </w:t>
      </w:r>
      <w:r w:rsidRPr="00CD6E1C">
        <w:t xml:space="preserve">rekening mee is gehouden. Het gemiddelde EMU-saldo van de Eurozone voor </w:t>
      </w:r>
      <w:r>
        <w:t xml:space="preserve">2016 </w:t>
      </w:r>
      <w:r w:rsidRPr="00CD6E1C">
        <w:t>wordt geraamd op -</w:t>
      </w:r>
      <w:r>
        <w:t>1,8</w:t>
      </w:r>
      <w:r w:rsidRPr="00CD6E1C">
        <w:t xml:space="preserve"> procent bbp; de gemiddelde EMU-schuld wordt geraamd op </w:t>
      </w:r>
      <w:r>
        <w:t>91,6</w:t>
      </w:r>
      <w:r w:rsidRPr="00CD6E1C">
        <w:t xml:space="preserve"> procent bbp.</w:t>
      </w:r>
    </w:p>
    <w:p w:rsidRPr="00A64E68" w:rsidR="00BB685A" w:rsidP="00BB685A" w:rsidRDefault="00BB685A">
      <w:pPr>
        <w:pStyle w:val="tekst"/>
        <w:rPr>
          <w:iCs/>
        </w:rPr>
      </w:pPr>
      <w:r w:rsidRPr="00A64E68">
        <w:t>Bijlage 1 geeft een overzicht van de budgettaire kerngegevens</w:t>
      </w:r>
      <w:r>
        <w:t xml:space="preserve"> en de opbouw van de EMU-schuld</w:t>
      </w:r>
      <w:r w:rsidRPr="00A64E68">
        <w:t xml:space="preserve">. Bijlage 2 bevat de Verticale Toelichting. </w:t>
      </w:r>
    </w:p>
    <w:p w:rsidR="00BB685A" w:rsidP="00BB685A" w:rsidRDefault="00BB685A">
      <w:pPr>
        <w:pStyle w:val="Kop1"/>
        <w:ind w:left="720"/>
        <w:contextualSpacing/>
        <w:rPr>
          <w:sz w:val="18"/>
          <w:szCs w:val="18"/>
        </w:rPr>
      </w:pPr>
    </w:p>
    <w:p w:rsidRPr="00C02FD1" w:rsidR="00BB685A" w:rsidP="00BB685A" w:rsidRDefault="00BB685A">
      <w:pPr>
        <w:pStyle w:val="Kop1"/>
        <w:numPr>
          <w:ilvl w:val="0"/>
          <w:numId w:val="14"/>
        </w:numPr>
        <w:contextualSpacing/>
        <w:rPr>
          <w:sz w:val="18"/>
          <w:szCs w:val="18"/>
        </w:rPr>
      </w:pPr>
      <w:r w:rsidRPr="00C02FD1">
        <w:rPr>
          <w:sz w:val="18"/>
          <w:szCs w:val="18"/>
        </w:rPr>
        <w:t>Het uitgavenbeeld</w:t>
      </w:r>
    </w:p>
    <w:p w:rsidRPr="00662F3C" w:rsidR="00BB685A" w:rsidP="00BB685A" w:rsidRDefault="00BB685A">
      <w:pPr>
        <w:pStyle w:val="tekst"/>
      </w:pPr>
      <w:r w:rsidRPr="00662F3C">
        <w:t xml:space="preserve">Na verwerking van alle uitgavenmutaties laat het totale uitgavenkader een sluitend beeld zien. Dit was ook ten tijde van de Miljoenennota 2017 het geval. Dit is weergegeven in tabel 2.1. </w:t>
      </w:r>
    </w:p>
    <w:p w:rsidR="00BB685A" w:rsidP="00BB685A" w:rsidRDefault="00BB685A">
      <w:pPr>
        <w:pStyle w:val="bijschrift"/>
        <w:contextualSpacing/>
      </w:pPr>
      <w:r w:rsidRPr="00892590">
        <w:t>Tabel 2.1 Kadertoetsing (in miljarden euro; -/- is onderschrijding)</w:t>
      </w:r>
    </w:p>
    <w:tbl>
      <w:tblPr>
        <w:tblW w:w="7086" w:type="dxa"/>
        <w:tblInd w:w="70" w:type="dxa"/>
        <w:tblCellMar>
          <w:left w:w="70" w:type="dxa"/>
          <w:right w:w="70" w:type="dxa"/>
        </w:tblCellMar>
        <w:tblLook w:val="04A0"/>
      </w:tblPr>
      <w:tblGrid>
        <w:gridCol w:w="6236"/>
        <w:gridCol w:w="850"/>
      </w:tblGrid>
      <w:tr w:rsidRPr="00AC7A1E" w:rsidR="00BB685A" w:rsidTr="00C5122C">
        <w:trPr>
          <w:trHeight w:val="227"/>
        </w:trPr>
        <w:tc>
          <w:tcPr>
            <w:tcW w:w="6236" w:type="dxa"/>
            <w:tcBorders>
              <w:top w:val="single" w:color="auto" w:sz="4" w:space="0"/>
              <w:left w:val="nil"/>
              <w:bottom w:val="single" w:color="auto" w:sz="4" w:space="0"/>
              <w:right w:val="nil"/>
            </w:tcBorders>
            <w:shd w:val="clear" w:color="auto" w:fill="auto"/>
            <w:noWrap/>
            <w:vAlign w:val="bottom"/>
            <w:hideMark/>
          </w:tcPr>
          <w:p w:rsidRPr="00AC7A1E" w:rsidR="00BB685A" w:rsidP="00C5122C" w:rsidRDefault="00BB685A">
            <w:pPr>
              <w:spacing w:line="240" w:lineRule="auto"/>
              <w:rPr>
                <w:rFonts w:cs="Arial"/>
                <w:b/>
                <w:bCs/>
                <w:sz w:val="16"/>
                <w:szCs w:val="16"/>
              </w:rPr>
            </w:pPr>
            <w:r w:rsidRPr="00AC7A1E">
              <w:rPr>
                <w:rFonts w:cs="Arial"/>
                <w:b/>
                <w:bCs/>
                <w:sz w:val="16"/>
                <w:szCs w:val="16"/>
              </w:rPr>
              <w:t> </w:t>
            </w:r>
          </w:p>
        </w:tc>
        <w:tc>
          <w:tcPr>
            <w:tcW w:w="850" w:type="dxa"/>
            <w:tcBorders>
              <w:top w:val="single" w:color="auto" w:sz="4" w:space="0"/>
              <w:left w:val="nil"/>
              <w:bottom w:val="single" w:color="auto" w:sz="4" w:space="0"/>
              <w:right w:val="nil"/>
            </w:tcBorders>
            <w:shd w:val="clear" w:color="auto" w:fill="auto"/>
            <w:noWrap/>
            <w:vAlign w:val="bottom"/>
            <w:hideMark/>
          </w:tcPr>
          <w:p w:rsidRPr="00AC7A1E" w:rsidR="00BB685A" w:rsidP="00C5122C" w:rsidRDefault="00BB685A">
            <w:pPr>
              <w:spacing w:line="240" w:lineRule="auto"/>
              <w:jc w:val="right"/>
              <w:rPr>
                <w:rFonts w:cs="Arial"/>
                <w:b/>
                <w:bCs/>
                <w:sz w:val="16"/>
                <w:szCs w:val="16"/>
              </w:rPr>
            </w:pPr>
            <w:r w:rsidRPr="00AC7A1E">
              <w:rPr>
                <w:rFonts w:cs="Arial"/>
                <w:b/>
                <w:bCs/>
                <w:sz w:val="16"/>
                <w:szCs w:val="16"/>
              </w:rPr>
              <w:t>2016</w:t>
            </w:r>
          </w:p>
        </w:tc>
      </w:tr>
      <w:tr w:rsidRPr="00AC7A1E" w:rsidR="00BB685A" w:rsidTr="00C5122C">
        <w:trPr>
          <w:trHeight w:val="227"/>
        </w:trPr>
        <w:tc>
          <w:tcPr>
            <w:tcW w:w="6236" w:type="dxa"/>
            <w:tcBorders>
              <w:top w:val="nil"/>
              <w:left w:val="nil"/>
              <w:bottom w:val="nil"/>
              <w:right w:val="nil"/>
            </w:tcBorders>
            <w:shd w:val="clear" w:color="auto" w:fill="auto"/>
            <w:noWrap/>
            <w:vAlign w:val="bottom"/>
            <w:hideMark/>
          </w:tcPr>
          <w:p w:rsidRPr="00AC7A1E" w:rsidR="00BB685A" w:rsidP="00C5122C" w:rsidRDefault="00BB685A">
            <w:pPr>
              <w:spacing w:line="240" w:lineRule="auto"/>
              <w:rPr>
                <w:rFonts w:cs="Arial"/>
                <w:b/>
                <w:bCs/>
                <w:sz w:val="16"/>
                <w:szCs w:val="16"/>
              </w:rPr>
            </w:pPr>
            <w:r w:rsidRPr="00AC7A1E">
              <w:rPr>
                <w:rFonts w:cs="Arial"/>
                <w:b/>
                <w:bCs/>
                <w:sz w:val="16"/>
                <w:szCs w:val="16"/>
              </w:rPr>
              <w:t>Totaalkader Miljoenennota 2017</w:t>
            </w:r>
          </w:p>
        </w:tc>
        <w:tc>
          <w:tcPr>
            <w:tcW w:w="850" w:type="dxa"/>
            <w:tcBorders>
              <w:top w:val="nil"/>
              <w:left w:val="nil"/>
              <w:bottom w:val="nil"/>
              <w:right w:val="nil"/>
            </w:tcBorders>
            <w:shd w:val="clear" w:color="auto" w:fill="auto"/>
            <w:noWrap/>
            <w:vAlign w:val="bottom"/>
            <w:hideMark/>
          </w:tcPr>
          <w:p w:rsidRPr="00AC7A1E" w:rsidR="00BB685A" w:rsidP="00C5122C" w:rsidRDefault="00BB685A">
            <w:pPr>
              <w:spacing w:line="240" w:lineRule="auto"/>
              <w:jc w:val="right"/>
              <w:rPr>
                <w:rFonts w:cs="Arial"/>
                <w:b/>
                <w:bCs/>
                <w:sz w:val="16"/>
                <w:szCs w:val="16"/>
              </w:rPr>
            </w:pPr>
            <w:r w:rsidRPr="00AC7A1E">
              <w:rPr>
                <w:rFonts w:cs="Arial"/>
                <w:b/>
                <w:bCs/>
                <w:sz w:val="16"/>
                <w:szCs w:val="16"/>
              </w:rPr>
              <w:t>0,0</w:t>
            </w:r>
          </w:p>
        </w:tc>
      </w:tr>
      <w:tr w:rsidRPr="00AC7A1E" w:rsidR="00BB685A" w:rsidTr="00C5122C">
        <w:trPr>
          <w:trHeight w:val="227"/>
        </w:trPr>
        <w:tc>
          <w:tcPr>
            <w:tcW w:w="6236" w:type="dxa"/>
            <w:tcBorders>
              <w:top w:val="nil"/>
              <w:left w:val="nil"/>
              <w:bottom w:val="nil"/>
              <w:right w:val="nil"/>
            </w:tcBorders>
            <w:shd w:val="clear" w:color="auto" w:fill="auto"/>
            <w:noWrap/>
            <w:vAlign w:val="bottom"/>
            <w:hideMark/>
          </w:tcPr>
          <w:p w:rsidRPr="00AC7A1E" w:rsidR="00BB685A" w:rsidP="00C5122C" w:rsidRDefault="00BB685A">
            <w:pPr>
              <w:spacing w:line="240" w:lineRule="auto"/>
              <w:rPr>
                <w:rFonts w:cs="Arial"/>
                <w:sz w:val="16"/>
                <w:szCs w:val="16"/>
              </w:rPr>
            </w:pPr>
            <w:r>
              <w:rPr>
                <w:rFonts w:cs="Arial"/>
                <w:sz w:val="16"/>
                <w:szCs w:val="16"/>
              </w:rPr>
              <w:t>Mutatie N</w:t>
            </w:r>
            <w:r w:rsidRPr="00AC7A1E">
              <w:rPr>
                <w:rFonts w:cs="Arial"/>
                <w:sz w:val="16"/>
                <w:szCs w:val="16"/>
              </w:rPr>
              <w:t>ajaarsnota 2016</w:t>
            </w:r>
          </w:p>
        </w:tc>
        <w:tc>
          <w:tcPr>
            <w:tcW w:w="850" w:type="dxa"/>
            <w:tcBorders>
              <w:top w:val="nil"/>
              <w:left w:val="nil"/>
              <w:bottom w:val="nil"/>
              <w:right w:val="nil"/>
            </w:tcBorders>
            <w:shd w:val="clear" w:color="auto" w:fill="auto"/>
            <w:noWrap/>
            <w:vAlign w:val="bottom"/>
            <w:hideMark/>
          </w:tcPr>
          <w:p w:rsidRPr="00AC7A1E" w:rsidR="00BB685A" w:rsidP="00C5122C" w:rsidRDefault="00BB685A">
            <w:pPr>
              <w:spacing w:line="240" w:lineRule="auto"/>
              <w:jc w:val="right"/>
              <w:rPr>
                <w:rFonts w:cs="Arial"/>
                <w:sz w:val="16"/>
                <w:szCs w:val="16"/>
              </w:rPr>
            </w:pPr>
            <w:r w:rsidRPr="00AC7A1E">
              <w:rPr>
                <w:rFonts w:cs="Arial"/>
                <w:sz w:val="16"/>
                <w:szCs w:val="16"/>
              </w:rPr>
              <w:t>0,0</w:t>
            </w:r>
          </w:p>
        </w:tc>
      </w:tr>
      <w:tr w:rsidRPr="00AC7A1E" w:rsidR="00BB685A" w:rsidTr="00C5122C">
        <w:trPr>
          <w:trHeight w:val="227"/>
        </w:trPr>
        <w:tc>
          <w:tcPr>
            <w:tcW w:w="6236" w:type="dxa"/>
            <w:tcBorders>
              <w:top w:val="nil"/>
              <w:left w:val="nil"/>
              <w:bottom w:val="nil"/>
              <w:right w:val="nil"/>
            </w:tcBorders>
            <w:shd w:val="clear" w:color="auto" w:fill="auto"/>
            <w:noWrap/>
            <w:vAlign w:val="bottom"/>
            <w:hideMark/>
          </w:tcPr>
          <w:p w:rsidRPr="00AC7A1E" w:rsidR="00BB685A" w:rsidP="00C5122C" w:rsidRDefault="00BB685A">
            <w:pPr>
              <w:spacing w:line="240" w:lineRule="auto"/>
              <w:rPr>
                <w:rFonts w:cs="Arial"/>
                <w:b/>
                <w:bCs/>
                <w:sz w:val="16"/>
                <w:szCs w:val="16"/>
              </w:rPr>
            </w:pPr>
            <w:r>
              <w:rPr>
                <w:rFonts w:cs="Arial"/>
                <w:b/>
                <w:bCs/>
                <w:sz w:val="16"/>
                <w:szCs w:val="16"/>
              </w:rPr>
              <w:t>Totaalkader N</w:t>
            </w:r>
            <w:r w:rsidRPr="00AC7A1E">
              <w:rPr>
                <w:rFonts w:cs="Arial"/>
                <w:b/>
                <w:bCs/>
                <w:sz w:val="16"/>
                <w:szCs w:val="16"/>
              </w:rPr>
              <w:t>ajaarsnota 2016</w:t>
            </w:r>
          </w:p>
        </w:tc>
        <w:tc>
          <w:tcPr>
            <w:tcW w:w="850" w:type="dxa"/>
            <w:tcBorders>
              <w:top w:val="nil"/>
              <w:left w:val="nil"/>
              <w:bottom w:val="nil"/>
              <w:right w:val="nil"/>
            </w:tcBorders>
            <w:shd w:val="clear" w:color="auto" w:fill="auto"/>
            <w:noWrap/>
            <w:vAlign w:val="bottom"/>
            <w:hideMark/>
          </w:tcPr>
          <w:p w:rsidRPr="00AC7A1E" w:rsidR="00BB685A" w:rsidP="00C5122C" w:rsidRDefault="00BB685A">
            <w:pPr>
              <w:spacing w:line="240" w:lineRule="auto"/>
              <w:jc w:val="right"/>
              <w:rPr>
                <w:rFonts w:cs="Arial"/>
                <w:b/>
                <w:bCs/>
                <w:sz w:val="16"/>
                <w:szCs w:val="16"/>
              </w:rPr>
            </w:pPr>
            <w:r w:rsidRPr="00AC7A1E">
              <w:rPr>
                <w:rFonts w:cs="Arial"/>
                <w:b/>
                <w:bCs/>
                <w:sz w:val="16"/>
                <w:szCs w:val="16"/>
              </w:rPr>
              <w:t>0,0</w:t>
            </w:r>
          </w:p>
        </w:tc>
      </w:tr>
      <w:tr w:rsidRPr="00AC7A1E" w:rsidR="00BB685A" w:rsidTr="00C5122C">
        <w:trPr>
          <w:trHeight w:val="227"/>
        </w:trPr>
        <w:tc>
          <w:tcPr>
            <w:tcW w:w="6236" w:type="dxa"/>
            <w:tcBorders>
              <w:top w:val="nil"/>
              <w:left w:val="nil"/>
              <w:bottom w:val="nil"/>
              <w:right w:val="nil"/>
            </w:tcBorders>
            <w:shd w:val="clear" w:color="auto" w:fill="auto"/>
            <w:noWrap/>
            <w:vAlign w:val="bottom"/>
            <w:hideMark/>
          </w:tcPr>
          <w:p w:rsidRPr="00AC7A1E" w:rsidR="00BB685A" w:rsidP="00C5122C" w:rsidRDefault="00BB685A">
            <w:pPr>
              <w:spacing w:line="240" w:lineRule="auto"/>
              <w:rPr>
                <w:rFonts w:cs="Arial"/>
                <w:sz w:val="16"/>
                <w:szCs w:val="16"/>
              </w:rPr>
            </w:pPr>
          </w:p>
        </w:tc>
        <w:tc>
          <w:tcPr>
            <w:tcW w:w="850" w:type="dxa"/>
            <w:tcBorders>
              <w:top w:val="nil"/>
              <w:left w:val="nil"/>
              <w:bottom w:val="nil"/>
              <w:right w:val="nil"/>
            </w:tcBorders>
            <w:shd w:val="clear" w:color="auto" w:fill="auto"/>
            <w:noWrap/>
            <w:vAlign w:val="bottom"/>
            <w:hideMark/>
          </w:tcPr>
          <w:p w:rsidRPr="00AC7A1E" w:rsidR="00BB685A" w:rsidP="00C5122C" w:rsidRDefault="00BB685A">
            <w:pPr>
              <w:spacing w:line="240" w:lineRule="auto"/>
              <w:jc w:val="right"/>
              <w:rPr>
                <w:rFonts w:cs="Arial"/>
                <w:sz w:val="16"/>
                <w:szCs w:val="16"/>
              </w:rPr>
            </w:pPr>
          </w:p>
        </w:tc>
      </w:tr>
      <w:tr w:rsidRPr="00AC7A1E" w:rsidR="00BB685A" w:rsidTr="00C5122C">
        <w:trPr>
          <w:trHeight w:val="227"/>
        </w:trPr>
        <w:tc>
          <w:tcPr>
            <w:tcW w:w="6236" w:type="dxa"/>
            <w:tcBorders>
              <w:top w:val="nil"/>
              <w:left w:val="nil"/>
              <w:bottom w:val="nil"/>
              <w:right w:val="nil"/>
            </w:tcBorders>
            <w:shd w:val="clear" w:color="auto" w:fill="auto"/>
            <w:noWrap/>
            <w:vAlign w:val="bottom"/>
            <w:hideMark/>
          </w:tcPr>
          <w:p w:rsidRPr="00AC7A1E" w:rsidR="00BB685A" w:rsidP="00C5122C" w:rsidRDefault="00BB685A">
            <w:pPr>
              <w:spacing w:line="240" w:lineRule="auto"/>
              <w:rPr>
                <w:rFonts w:cs="Arial"/>
                <w:b/>
                <w:bCs/>
                <w:sz w:val="16"/>
                <w:szCs w:val="16"/>
              </w:rPr>
            </w:pPr>
            <w:r w:rsidRPr="00AC7A1E">
              <w:rPr>
                <w:rFonts w:cs="Arial"/>
                <w:b/>
                <w:bCs/>
                <w:sz w:val="16"/>
                <w:szCs w:val="16"/>
              </w:rPr>
              <w:t>Rijksbegroting in enge zin Miljoenennota 2017</w:t>
            </w:r>
          </w:p>
        </w:tc>
        <w:tc>
          <w:tcPr>
            <w:tcW w:w="850" w:type="dxa"/>
            <w:tcBorders>
              <w:top w:val="nil"/>
              <w:left w:val="nil"/>
              <w:bottom w:val="nil"/>
              <w:right w:val="nil"/>
            </w:tcBorders>
            <w:shd w:val="clear" w:color="auto" w:fill="auto"/>
            <w:noWrap/>
            <w:vAlign w:val="bottom"/>
            <w:hideMark/>
          </w:tcPr>
          <w:p w:rsidRPr="00AC7A1E" w:rsidR="00BB685A" w:rsidP="00C5122C" w:rsidRDefault="00BB685A">
            <w:pPr>
              <w:spacing w:line="240" w:lineRule="auto"/>
              <w:jc w:val="right"/>
              <w:rPr>
                <w:rFonts w:cs="Arial"/>
                <w:b/>
                <w:bCs/>
                <w:sz w:val="16"/>
                <w:szCs w:val="16"/>
              </w:rPr>
            </w:pPr>
            <w:r w:rsidRPr="00AC7A1E">
              <w:rPr>
                <w:rFonts w:cs="Arial"/>
                <w:b/>
                <w:bCs/>
                <w:sz w:val="16"/>
                <w:szCs w:val="16"/>
              </w:rPr>
              <w:t>1,5</w:t>
            </w:r>
          </w:p>
        </w:tc>
      </w:tr>
      <w:tr w:rsidRPr="00AC7A1E" w:rsidR="00BB685A" w:rsidTr="00C5122C">
        <w:trPr>
          <w:trHeight w:val="227"/>
        </w:trPr>
        <w:tc>
          <w:tcPr>
            <w:tcW w:w="6236" w:type="dxa"/>
            <w:tcBorders>
              <w:top w:val="nil"/>
              <w:left w:val="nil"/>
              <w:bottom w:val="nil"/>
              <w:right w:val="nil"/>
            </w:tcBorders>
            <w:shd w:val="clear" w:color="auto" w:fill="auto"/>
            <w:noWrap/>
            <w:vAlign w:val="bottom"/>
            <w:hideMark/>
          </w:tcPr>
          <w:p w:rsidRPr="00AC7A1E" w:rsidR="00BB685A" w:rsidP="00C5122C" w:rsidRDefault="00BB685A">
            <w:pPr>
              <w:spacing w:line="240" w:lineRule="auto"/>
              <w:rPr>
                <w:rFonts w:cs="Arial"/>
                <w:sz w:val="16"/>
                <w:szCs w:val="16"/>
              </w:rPr>
            </w:pPr>
            <w:r w:rsidRPr="00AC7A1E">
              <w:rPr>
                <w:rFonts w:cs="Arial"/>
                <w:sz w:val="16"/>
                <w:szCs w:val="16"/>
              </w:rPr>
              <w:t>Mutatie Najaarsnota 2016</w:t>
            </w:r>
          </w:p>
        </w:tc>
        <w:tc>
          <w:tcPr>
            <w:tcW w:w="850" w:type="dxa"/>
            <w:tcBorders>
              <w:top w:val="nil"/>
              <w:left w:val="nil"/>
              <w:bottom w:val="nil"/>
              <w:right w:val="nil"/>
            </w:tcBorders>
            <w:shd w:val="clear" w:color="auto" w:fill="auto"/>
            <w:noWrap/>
            <w:vAlign w:val="bottom"/>
            <w:hideMark/>
          </w:tcPr>
          <w:p w:rsidRPr="00AC7A1E" w:rsidR="00BB685A" w:rsidP="00C5122C" w:rsidRDefault="00BB685A">
            <w:pPr>
              <w:spacing w:line="240" w:lineRule="auto"/>
              <w:jc w:val="right"/>
              <w:rPr>
                <w:rFonts w:cs="Arial"/>
                <w:sz w:val="16"/>
                <w:szCs w:val="16"/>
              </w:rPr>
            </w:pPr>
            <w:r w:rsidRPr="00AC7A1E">
              <w:rPr>
                <w:rFonts w:cs="Arial"/>
                <w:sz w:val="16"/>
                <w:szCs w:val="16"/>
              </w:rPr>
              <w:t>0,4</w:t>
            </w:r>
          </w:p>
        </w:tc>
      </w:tr>
      <w:tr w:rsidRPr="00AC7A1E" w:rsidR="00BB685A" w:rsidTr="00C5122C">
        <w:trPr>
          <w:trHeight w:val="227"/>
        </w:trPr>
        <w:tc>
          <w:tcPr>
            <w:tcW w:w="6236" w:type="dxa"/>
            <w:tcBorders>
              <w:top w:val="nil"/>
              <w:left w:val="nil"/>
              <w:bottom w:val="nil"/>
              <w:right w:val="nil"/>
            </w:tcBorders>
            <w:shd w:val="clear" w:color="auto" w:fill="auto"/>
            <w:noWrap/>
            <w:vAlign w:val="bottom"/>
            <w:hideMark/>
          </w:tcPr>
          <w:p w:rsidRPr="00AC7A1E" w:rsidR="00BB685A" w:rsidP="00C5122C" w:rsidRDefault="00BB685A">
            <w:pPr>
              <w:spacing w:line="240" w:lineRule="auto"/>
              <w:rPr>
                <w:rFonts w:cs="Arial"/>
                <w:b/>
                <w:bCs/>
                <w:sz w:val="16"/>
                <w:szCs w:val="16"/>
              </w:rPr>
            </w:pPr>
            <w:r w:rsidRPr="00AC7A1E">
              <w:rPr>
                <w:rFonts w:cs="Arial"/>
                <w:b/>
                <w:bCs/>
                <w:sz w:val="16"/>
                <w:szCs w:val="16"/>
              </w:rPr>
              <w:t>Rijksbegroting in enge zin Najaarsnota 2016</w:t>
            </w:r>
          </w:p>
        </w:tc>
        <w:tc>
          <w:tcPr>
            <w:tcW w:w="850" w:type="dxa"/>
            <w:tcBorders>
              <w:top w:val="nil"/>
              <w:left w:val="nil"/>
              <w:bottom w:val="nil"/>
              <w:right w:val="nil"/>
            </w:tcBorders>
            <w:shd w:val="clear" w:color="auto" w:fill="auto"/>
            <w:noWrap/>
            <w:vAlign w:val="bottom"/>
            <w:hideMark/>
          </w:tcPr>
          <w:p w:rsidRPr="00AC7A1E" w:rsidR="00BB685A" w:rsidP="00C5122C" w:rsidRDefault="00BB685A">
            <w:pPr>
              <w:spacing w:line="240" w:lineRule="auto"/>
              <w:jc w:val="right"/>
              <w:rPr>
                <w:rFonts w:cs="Arial"/>
                <w:b/>
                <w:bCs/>
                <w:sz w:val="16"/>
                <w:szCs w:val="16"/>
              </w:rPr>
            </w:pPr>
            <w:r w:rsidRPr="00AC7A1E">
              <w:rPr>
                <w:rFonts w:cs="Arial"/>
                <w:b/>
                <w:bCs/>
                <w:sz w:val="16"/>
                <w:szCs w:val="16"/>
              </w:rPr>
              <w:t>1,8</w:t>
            </w:r>
          </w:p>
        </w:tc>
      </w:tr>
      <w:tr w:rsidRPr="00AC7A1E" w:rsidR="00BB685A" w:rsidTr="00C5122C">
        <w:trPr>
          <w:trHeight w:val="227"/>
        </w:trPr>
        <w:tc>
          <w:tcPr>
            <w:tcW w:w="6236" w:type="dxa"/>
            <w:tcBorders>
              <w:top w:val="nil"/>
              <w:left w:val="nil"/>
              <w:bottom w:val="nil"/>
              <w:right w:val="nil"/>
            </w:tcBorders>
            <w:shd w:val="clear" w:color="auto" w:fill="auto"/>
            <w:noWrap/>
            <w:vAlign w:val="bottom"/>
            <w:hideMark/>
          </w:tcPr>
          <w:p w:rsidRPr="00AC7A1E" w:rsidR="00BB685A" w:rsidP="00C5122C" w:rsidRDefault="00BB685A">
            <w:pPr>
              <w:spacing w:line="240" w:lineRule="auto"/>
              <w:rPr>
                <w:rFonts w:cs="Arial"/>
                <w:sz w:val="16"/>
                <w:szCs w:val="16"/>
              </w:rPr>
            </w:pPr>
          </w:p>
        </w:tc>
        <w:tc>
          <w:tcPr>
            <w:tcW w:w="850" w:type="dxa"/>
            <w:tcBorders>
              <w:top w:val="nil"/>
              <w:left w:val="nil"/>
              <w:bottom w:val="nil"/>
              <w:right w:val="nil"/>
            </w:tcBorders>
            <w:shd w:val="clear" w:color="auto" w:fill="auto"/>
            <w:noWrap/>
            <w:vAlign w:val="bottom"/>
            <w:hideMark/>
          </w:tcPr>
          <w:p w:rsidRPr="00AC7A1E" w:rsidR="00BB685A" w:rsidP="00C5122C" w:rsidRDefault="00BB685A">
            <w:pPr>
              <w:spacing w:line="240" w:lineRule="auto"/>
              <w:jc w:val="right"/>
              <w:rPr>
                <w:rFonts w:cs="Arial"/>
                <w:sz w:val="16"/>
                <w:szCs w:val="16"/>
              </w:rPr>
            </w:pPr>
          </w:p>
        </w:tc>
      </w:tr>
      <w:tr w:rsidRPr="00AC7A1E" w:rsidR="00BB685A" w:rsidTr="00C5122C">
        <w:trPr>
          <w:trHeight w:val="227"/>
        </w:trPr>
        <w:tc>
          <w:tcPr>
            <w:tcW w:w="6236" w:type="dxa"/>
            <w:tcBorders>
              <w:top w:val="nil"/>
              <w:left w:val="nil"/>
              <w:bottom w:val="nil"/>
              <w:right w:val="nil"/>
            </w:tcBorders>
            <w:shd w:val="clear" w:color="auto" w:fill="auto"/>
            <w:noWrap/>
            <w:vAlign w:val="bottom"/>
            <w:hideMark/>
          </w:tcPr>
          <w:p w:rsidRPr="00AC7A1E" w:rsidR="00BB685A" w:rsidP="00C5122C" w:rsidRDefault="00BB685A">
            <w:pPr>
              <w:spacing w:line="240" w:lineRule="auto"/>
              <w:rPr>
                <w:rFonts w:cs="Arial"/>
                <w:b/>
                <w:bCs/>
                <w:sz w:val="16"/>
                <w:szCs w:val="16"/>
              </w:rPr>
            </w:pPr>
            <w:r w:rsidRPr="00AC7A1E">
              <w:rPr>
                <w:rFonts w:cs="Arial"/>
                <w:b/>
                <w:bCs/>
                <w:sz w:val="16"/>
                <w:szCs w:val="16"/>
              </w:rPr>
              <w:t>Sociale Zekerheid en Arbeidsmarktbeleid Miljoenennota 2017</w:t>
            </w:r>
          </w:p>
        </w:tc>
        <w:tc>
          <w:tcPr>
            <w:tcW w:w="850" w:type="dxa"/>
            <w:tcBorders>
              <w:top w:val="nil"/>
              <w:left w:val="nil"/>
              <w:bottom w:val="nil"/>
              <w:right w:val="nil"/>
            </w:tcBorders>
            <w:shd w:val="clear" w:color="auto" w:fill="auto"/>
            <w:noWrap/>
            <w:vAlign w:val="bottom"/>
            <w:hideMark/>
          </w:tcPr>
          <w:p w:rsidRPr="00AC7A1E" w:rsidR="00BB685A" w:rsidP="00C5122C" w:rsidRDefault="00BB685A">
            <w:pPr>
              <w:spacing w:line="240" w:lineRule="auto"/>
              <w:jc w:val="right"/>
              <w:rPr>
                <w:rFonts w:cs="Arial"/>
                <w:b/>
                <w:bCs/>
                <w:sz w:val="16"/>
                <w:szCs w:val="16"/>
              </w:rPr>
            </w:pPr>
            <w:r w:rsidRPr="00AC7A1E">
              <w:rPr>
                <w:rFonts w:cs="Arial"/>
                <w:b/>
                <w:bCs/>
                <w:sz w:val="16"/>
                <w:szCs w:val="16"/>
              </w:rPr>
              <w:t>-0,7</w:t>
            </w:r>
          </w:p>
        </w:tc>
      </w:tr>
      <w:tr w:rsidRPr="00AC7A1E" w:rsidR="00BB685A" w:rsidTr="00C5122C">
        <w:trPr>
          <w:trHeight w:val="227"/>
        </w:trPr>
        <w:tc>
          <w:tcPr>
            <w:tcW w:w="6236" w:type="dxa"/>
            <w:tcBorders>
              <w:top w:val="nil"/>
              <w:left w:val="nil"/>
              <w:bottom w:val="nil"/>
              <w:right w:val="nil"/>
            </w:tcBorders>
            <w:shd w:val="clear" w:color="auto" w:fill="auto"/>
            <w:noWrap/>
            <w:vAlign w:val="bottom"/>
            <w:hideMark/>
          </w:tcPr>
          <w:p w:rsidRPr="00AC7A1E" w:rsidR="00BB685A" w:rsidP="00C5122C" w:rsidRDefault="00BB685A">
            <w:pPr>
              <w:spacing w:line="240" w:lineRule="auto"/>
              <w:rPr>
                <w:rFonts w:cs="Arial"/>
                <w:sz w:val="16"/>
                <w:szCs w:val="16"/>
              </w:rPr>
            </w:pPr>
            <w:r w:rsidRPr="00AC7A1E">
              <w:rPr>
                <w:rFonts w:cs="Arial"/>
                <w:sz w:val="16"/>
                <w:szCs w:val="16"/>
              </w:rPr>
              <w:t>Mutatie Najaarsnota 2016</w:t>
            </w:r>
          </w:p>
        </w:tc>
        <w:tc>
          <w:tcPr>
            <w:tcW w:w="850" w:type="dxa"/>
            <w:tcBorders>
              <w:top w:val="nil"/>
              <w:left w:val="nil"/>
              <w:bottom w:val="nil"/>
              <w:right w:val="nil"/>
            </w:tcBorders>
            <w:shd w:val="clear" w:color="auto" w:fill="auto"/>
            <w:noWrap/>
            <w:vAlign w:val="bottom"/>
            <w:hideMark/>
          </w:tcPr>
          <w:p w:rsidRPr="00AC7A1E" w:rsidR="00BB685A" w:rsidP="00C5122C" w:rsidRDefault="00BB685A">
            <w:pPr>
              <w:spacing w:line="240" w:lineRule="auto"/>
              <w:jc w:val="right"/>
              <w:rPr>
                <w:rFonts w:cs="Arial"/>
                <w:sz w:val="16"/>
                <w:szCs w:val="16"/>
              </w:rPr>
            </w:pPr>
            <w:r w:rsidRPr="00AC7A1E">
              <w:rPr>
                <w:rFonts w:cs="Arial"/>
                <w:sz w:val="16"/>
                <w:szCs w:val="16"/>
              </w:rPr>
              <w:t>0,0</w:t>
            </w:r>
          </w:p>
        </w:tc>
      </w:tr>
      <w:tr w:rsidRPr="00AC7A1E" w:rsidR="00BB685A" w:rsidTr="00C5122C">
        <w:trPr>
          <w:trHeight w:val="227"/>
        </w:trPr>
        <w:tc>
          <w:tcPr>
            <w:tcW w:w="6236" w:type="dxa"/>
            <w:tcBorders>
              <w:top w:val="nil"/>
              <w:left w:val="nil"/>
              <w:bottom w:val="nil"/>
              <w:right w:val="nil"/>
            </w:tcBorders>
            <w:shd w:val="clear" w:color="auto" w:fill="auto"/>
            <w:noWrap/>
            <w:vAlign w:val="bottom"/>
            <w:hideMark/>
          </w:tcPr>
          <w:p w:rsidRPr="00AC7A1E" w:rsidR="00BB685A" w:rsidP="00C5122C" w:rsidRDefault="00BB685A">
            <w:pPr>
              <w:spacing w:line="240" w:lineRule="auto"/>
              <w:rPr>
                <w:rFonts w:cs="Arial"/>
                <w:b/>
                <w:bCs/>
                <w:sz w:val="16"/>
                <w:szCs w:val="16"/>
              </w:rPr>
            </w:pPr>
            <w:r w:rsidRPr="00AC7A1E">
              <w:rPr>
                <w:rFonts w:cs="Arial"/>
                <w:b/>
                <w:bCs/>
                <w:sz w:val="16"/>
                <w:szCs w:val="16"/>
              </w:rPr>
              <w:t>Sociale Zekerheid en Arbeidsmarktbeleid Najaarsnota 2016</w:t>
            </w:r>
          </w:p>
        </w:tc>
        <w:tc>
          <w:tcPr>
            <w:tcW w:w="850" w:type="dxa"/>
            <w:tcBorders>
              <w:top w:val="nil"/>
              <w:left w:val="nil"/>
              <w:bottom w:val="nil"/>
              <w:right w:val="nil"/>
            </w:tcBorders>
            <w:shd w:val="clear" w:color="auto" w:fill="auto"/>
            <w:noWrap/>
            <w:vAlign w:val="bottom"/>
            <w:hideMark/>
          </w:tcPr>
          <w:p w:rsidRPr="00AC7A1E" w:rsidR="00BB685A" w:rsidP="00C5122C" w:rsidRDefault="00BB685A">
            <w:pPr>
              <w:spacing w:line="240" w:lineRule="auto"/>
              <w:jc w:val="right"/>
              <w:rPr>
                <w:rFonts w:cs="Arial"/>
                <w:b/>
                <w:bCs/>
                <w:sz w:val="16"/>
                <w:szCs w:val="16"/>
              </w:rPr>
            </w:pPr>
            <w:r w:rsidRPr="00AC7A1E">
              <w:rPr>
                <w:rFonts w:cs="Arial"/>
                <w:b/>
                <w:bCs/>
                <w:sz w:val="16"/>
                <w:szCs w:val="16"/>
              </w:rPr>
              <w:t>-0,7</w:t>
            </w:r>
          </w:p>
        </w:tc>
      </w:tr>
      <w:tr w:rsidRPr="00AC7A1E" w:rsidR="00BB685A" w:rsidTr="00C5122C">
        <w:trPr>
          <w:trHeight w:val="227"/>
        </w:trPr>
        <w:tc>
          <w:tcPr>
            <w:tcW w:w="6236" w:type="dxa"/>
            <w:tcBorders>
              <w:top w:val="nil"/>
              <w:left w:val="nil"/>
              <w:bottom w:val="nil"/>
              <w:right w:val="nil"/>
            </w:tcBorders>
            <w:shd w:val="clear" w:color="auto" w:fill="auto"/>
            <w:noWrap/>
            <w:vAlign w:val="bottom"/>
            <w:hideMark/>
          </w:tcPr>
          <w:p w:rsidRPr="00AC7A1E" w:rsidR="00BB685A" w:rsidP="00C5122C" w:rsidRDefault="00BB685A">
            <w:pPr>
              <w:spacing w:line="240" w:lineRule="auto"/>
              <w:rPr>
                <w:rFonts w:cs="Arial"/>
                <w:sz w:val="16"/>
                <w:szCs w:val="16"/>
              </w:rPr>
            </w:pPr>
          </w:p>
        </w:tc>
        <w:tc>
          <w:tcPr>
            <w:tcW w:w="850" w:type="dxa"/>
            <w:tcBorders>
              <w:top w:val="nil"/>
              <w:left w:val="nil"/>
              <w:bottom w:val="nil"/>
              <w:right w:val="nil"/>
            </w:tcBorders>
            <w:shd w:val="clear" w:color="auto" w:fill="auto"/>
            <w:noWrap/>
            <w:vAlign w:val="bottom"/>
            <w:hideMark/>
          </w:tcPr>
          <w:p w:rsidRPr="00AC7A1E" w:rsidR="00BB685A" w:rsidP="00C5122C" w:rsidRDefault="00BB685A">
            <w:pPr>
              <w:spacing w:line="240" w:lineRule="auto"/>
              <w:jc w:val="right"/>
              <w:rPr>
                <w:rFonts w:cs="Arial"/>
                <w:sz w:val="16"/>
                <w:szCs w:val="16"/>
              </w:rPr>
            </w:pPr>
          </w:p>
        </w:tc>
      </w:tr>
      <w:tr w:rsidRPr="00AC7A1E" w:rsidR="00BB685A" w:rsidTr="00C5122C">
        <w:trPr>
          <w:trHeight w:val="227"/>
        </w:trPr>
        <w:tc>
          <w:tcPr>
            <w:tcW w:w="6236" w:type="dxa"/>
            <w:tcBorders>
              <w:top w:val="nil"/>
              <w:left w:val="nil"/>
              <w:bottom w:val="nil"/>
              <w:right w:val="nil"/>
            </w:tcBorders>
            <w:shd w:val="clear" w:color="auto" w:fill="auto"/>
            <w:noWrap/>
            <w:vAlign w:val="bottom"/>
            <w:hideMark/>
          </w:tcPr>
          <w:p w:rsidRPr="00AC7A1E" w:rsidR="00BB685A" w:rsidP="00C5122C" w:rsidRDefault="00BB685A">
            <w:pPr>
              <w:spacing w:line="240" w:lineRule="auto"/>
              <w:rPr>
                <w:rFonts w:cs="Arial"/>
                <w:b/>
                <w:bCs/>
                <w:sz w:val="16"/>
                <w:szCs w:val="16"/>
              </w:rPr>
            </w:pPr>
            <w:r w:rsidRPr="00AC7A1E">
              <w:rPr>
                <w:rFonts w:cs="Arial"/>
                <w:b/>
                <w:bCs/>
                <w:sz w:val="16"/>
                <w:szCs w:val="16"/>
              </w:rPr>
              <w:t>Budgettair Kader Zorg Miljoenennota 2017</w:t>
            </w:r>
          </w:p>
        </w:tc>
        <w:tc>
          <w:tcPr>
            <w:tcW w:w="850" w:type="dxa"/>
            <w:tcBorders>
              <w:top w:val="nil"/>
              <w:left w:val="nil"/>
              <w:bottom w:val="nil"/>
              <w:right w:val="nil"/>
            </w:tcBorders>
            <w:shd w:val="clear" w:color="auto" w:fill="auto"/>
            <w:noWrap/>
            <w:vAlign w:val="bottom"/>
            <w:hideMark/>
          </w:tcPr>
          <w:p w:rsidRPr="00AC7A1E" w:rsidR="00BB685A" w:rsidP="00C5122C" w:rsidRDefault="00BB685A">
            <w:pPr>
              <w:spacing w:line="240" w:lineRule="auto"/>
              <w:jc w:val="right"/>
              <w:rPr>
                <w:rFonts w:cs="Arial"/>
                <w:b/>
                <w:bCs/>
                <w:sz w:val="16"/>
                <w:szCs w:val="16"/>
              </w:rPr>
            </w:pPr>
            <w:r w:rsidRPr="00AC7A1E">
              <w:rPr>
                <w:rFonts w:cs="Arial"/>
                <w:b/>
                <w:bCs/>
                <w:sz w:val="16"/>
                <w:szCs w:val="16"/>
              </w:rPr>
              <w:t>-0,8</w:t>
            </w:r>
          </w:p>
        </w:tc>
      </w:tr>
      <w:tr w:rsidRPr="00AC7A1E" w:rsidR="00BB685A" w:rsidTr="00C5122C">
        <w:trPr>
          <w:trHeight w:val="227"/>
        </w:trPr>
        <w:tc>
          <w:tcPr>
            <w:tcW w:w="6236" w:type="dxa"/>
            <w:tcBorders>
              <w:top w:val="nil"/>
              <w:left w:val="nil"/>
              <w:bottom w:val="nil"/>
              <w:right w:val="nil"/>
            </w:tcBorders>
            <w:shd w:val="clear" w:color="auto" w:fill="auto"/>
            <w:noWrap/>
            <w:vAlign w:val="bottom"/>
            <w:hideMark/>
          </w:tcPr>
          <w:p w:rsidRPr="00AC7A1E" w:rsidR="00BB685A" w:rsidP="00C5122C" w:rsidRDefault="00BB685A">
            <w:pPr>
              <w:spacing w:line="240" w:lineRule="auto"/>
              <w:rPr>
                <w:rFonts w:cs="Arial"/>
                <w:sz w:val="16"/>
                <w:szCs w:val="16"/>
              </w:rPr>
            </w:pPr>
            <w:r w:rsidRPr="00AC7A1E">
              <w:rPr>
                <w:rFonts w:cs="Arial"/>
                <w:sz w:val="16"/>
                <w:szCs w:val="16"/>
              </w:rPr>
              <w:t>Mutatie Najaarsnota 2016</w:t>
            </w:r>
          </w:p>
        </w:tc>
        <w:tc>
          <w:tcPr>
            <w:tcW w:w="850" w:type="dxa"/>
            <w:tcBorders>
              <w:top w:val="nil"/>
              <w:left w:val="nil"/>
              <w:bottom w:val="nil"/>
              <w:right w:val="nil"/>
            </w:tcBorders>
            <w:shd w:val="clear" w:color="auto" w:fill="auto"/>
            <w:noWrap/>
            <w:vAlign w:val="bottom"/>
            <w:hideMark/>
          </w:tcPr>
          <w:p w:rsidRPr="00AC7A1E" w:rsidR="00BB685A" w:rsidP="00C5122C" w:rsidRDefault="00BB685A">
            <w:pPr>
              <w:spacing w:line="240" w:lineRule="auto"/>
              <w:jc w:val="right"/>
              <w:rPr>
                <w:rFonts w:cs="Arial"/>
                <w:sz w:val="16"/>
                <w:szCs w:val="16"/>
              </w:rPr>
            </w:pPr>
            <w:r w:rsidRPr="00AC7A1E">
              <w:rPr>
                <w:rFonts w:cs="Arial"/>
                <w:sz w:val="16"/>
                <w:szCs w:val="16"/>
              </w:rPr>
              <w:t>-0,4</w:t>
            </w:r>
          </w:p>
        </w:tc>
      </w:tr>
      <w:tr w:rsidRPr="00AC7A1E" w:rsidR="00BB685A" w:rsidTr="00C5122C">
        <w:trPr>
          <w:trHeight w:val="227"/>
        </w:trPr>
        <w:tc>
          <w:tcPr>
            <w:tcW w:w="6236" w:type="dxa"/>
            <w:tcBorders>
              <w:top w:val="nil"/>
              <w:left w:val="nil"/>
              <w:bottom w:val="single" w:color="auto" w:sz="4" w:space="0"/>
              <w:right w:val="nil"/>
            </w:tcBorders>
            <w:shd w:val="clear" w:color="auto" w:fill="auto"/>
            <w:noWrap/>
            <w:vAlign w:val="bottom"/>
            <w:hideMark/>
          </w:tcPr>
          <w:p w:rsidRPr="00AC7A1E" w:rsidR="00BB685A" w:rsidP="00C5122C" w:rsidRDefault="00BB685A">
            <w:pPr>
              <w:spacing w:line="240" w:lineRule="auto"/>
              <w:rPr>
                <w:rFonts w:cs="Arial"/>
                <w:b/>
                <w:bCs/>
                <w:sz w:val="16"/>
                <w:szCs w:val="16"/>
              </w:rPr>
            </w:pPr>
            <w:r w:rsidRPr="00AC7A1E">
              <w:rPr>
                <w:rFonts w:cs="Arial"/>
                <w:b/>
                <w:bCs/>
                <w:sz w:val="16"/>
                <w:szCs w:val="16"/>
              </w:rPr>
              <w:t>Budgettair Kader Zorg Najaarsnota 2016</w:t>
            </w:r>
          </w:p>
        </w:tc>
        <w:tc>
          <w:tcPr>
            <w:tcW w:w="850" w:type="dxa"/>
            <w:tcBorders>
              <w:top w:val="nil"/>
              <w:left w:val="nil"/>
              <w:bottom w:val="single" w:color="auto" w:sz="4" w:space="0"/>
              <w:right w:val="nil"/>
            </w:tcBorders>
            <w:shd w:val="clear" w:color="auto" w:fill="auto"/>
            <w:noWrap/>
            <w:vAlign w:val="bottom"/>
            <w:hideMark/>
          </w:tcPr>
          <w:p w:rsidRPr="00AC7A1E" w:rsidR="00BB685A" w:rsidP="00C5122C" w:rsidRDefault="00BB685A">
            <w:pPr>
              <w:spacing w:line="240" w:lineRule="auto"/>
              <w:jc w:val="right"/>
              <w:rPr>
                <w:rFonts w:cs="Arial"/>
                <w:b/>
                <w:bCs/>
                <w:sz w:val="16"/>
                <w:szCs w:val="16"/>
              </w:rPr>
            </w:pPr>
            <w:r w:rsidRPr="00AC7A1E">
              <w:rPr>
                <w:rFonts w:cs="Arial"/>
                <w:b/>
                <w:bCs/>
                <w:sz w:val="16"/>
                <w:szCs w:val="16"/>
              </w:rPr>
              <w:t>-1,2</w:t>
            </w:r>
          </w:p>
        </w:tc>
      </w:tr>
    </w:tbl>
    <w:p w:rsidRPr="00C02FD1" w:rsidR="00BB685A" w:rsidP="00BB685A" w:rsidRDefault="00BB685A">
      <w:pPr>
        <w:pStyle w:val="Kop2"/>
        <w:rPr>
          <w:b w:val="0"/>
          <w:sz w:val="18"/>
          <w:szCs w:val="18"/>
          <w:u w:val="single"/>
        </w:rPr>
      </w:pPr>
      <w:r w:rsidRPr="00C02FD1">
        <w:rPr>
          <w:b w:val="0"/>
          <w:sz w:val="18"/>
          <w:szCs w:val="18"/>
          <w:u w:val="single"/>
        </w:rPr>
        <w:t>Rijksbegroting in enge zin (RBG-eng)</w:t>
      </w:r>
    </w:p>
    <w:p w:rsidR="00BB685A" w:rsidP="00BB685A" w:rsidRDefault="00BB685A">
      <w:pPr>
        <w:pStyle w:val="tekst"/>
      </w:pPr>
      <w:r w:rsidRPr="00AC7A1E">
        <w:t xml:space="preserve">Tabel 2.2 geeft de uitgavenontwikkeling onder het kader RBG-eng weer sinds Miljoenennota 2017. Onder het kader RBG-eng is de overschrijding met 0,4 miljard euro toegenomen. Het totaal aan uitgaven ligt </w:t>
      </w:r>
      <w:r w:rsidRPr="00CD6E1C">
        <w:t>1,</w:t>
      </w:r>
      <w:r w:rsidRPr="00AC7A1E">
        <w:t>8 miljard euro hoger dan de hoogte van het uitgavenkader.</w:t>
      </w:r>
    </w:p>
    <w:p w:rsidRPr="003044FC" w:rsidR="00BB685A" w:rsidP="00BB685A" w:rsidRDefault="00BB685A">
      <w:pPr>
        <w:pStyle w:val="tekst"/>
      </w:pPr>
      <w:r w:rsidRPr="003044FC">
        <w:t>Bij de dividenden en afdrachten van staatsdeelnemingen is er sprake van 51 miljoen euro hogere ontvangsten dan eerder geraamd. Dit wordt onder andere veroorzaakt door hogere afdrachten van de Nederlandse Loterij.</w:t>
      </w:r>
    </w:p>
    <w:p w:rsidR="00BB685A" w:rsidP="00BB685A" w:rsidRDefault="00BB685A">
      <w:pPr>
        <w:pStyle w:val="tekst"/>
        <w:contextualSpacing/>
      </w:pPr>
    </w:p>
    <w:p w:rsidRPr="003044FC" w:rsidR="00BB685A" w:rsidP="00BB685A" w:rsidRDefault="00BB685A">
      <w:pPr>
        <w:pStyle w:val="tekst"/>
        <w:contextualSpacing/>
      </w:pPr>
      <w:r w:rsidRPr="003044FC">
        <w:t xml:space="preserve">Met de ratificatie van het Eigen Middelenbesluit worden de kortingen op de nationale afdrachten geëffectueerd. Dit wijzigt de omvang van de nationale afdrachten en moet door de Europese Commissie worden verwerkt in een aanvullende begroting. De aanname van deze aanvullende begroting door het Europees Parlement vindt waarschijnlijk pas laat in 2016 plaats, waardoor de </w:t>
      </w:r>
      <w:r w:rsidRPr="003044FC">
        <w:lastRenderedPageBreak/>
        <w:t xml:space="preserve">feitelijke kasontvangst van de Nederlandse korting doorschuift naar 2017. Daarnaast wordt met de ratificatie de perceptiekostenvergoeding per 1 oktober 2016 verlaagd. Samen leidt dit in 2016 tot een tegenvaller van 2,8 miljard euro. </w:t>
      </w:r>
    </w:p>
    <w:p w:rsidR="00C5122C" w:rsidP="00C5122C" w:rsidRDefault="00C5122C">
      <w:pPr>
        <w:pStyle w:val="bijschrift"/>
        <w:keepNext/>
        <w:keepLines/>
        <w:contextualSpacing/>
      </w:pPr>
      <w:r w:rsidRPr="00864D2A">
        <w:t>Tabel 2.2 Kadertoetsing RBG-eng (in miljarden euro; -/- is onderschrijding)</w:t>
      </w:r>
    </w:p>
    <w:tbl>
      <w:tblPr>
        <w:tblW w:w="6519" w:type="dxa"/>
        <w:tblInd w:w="70" w:type="dxa"/>
        <w:tblCellMar>
          <w:left w:w="70" w:type="dxa"/>
          <w:right w:w="70" w:type="dxa"/>
        </w:tblCellMar>
        <w:tblLook w:val="04A0"/>
      </w:tblPr>
      <w:tblGrid>
        <w:gridCol w:w="5669"/>
        <w:gridCol w:w="850"/>
      </w:tblGrid>
      <w:tr w:rsidRPr="0003523F" w:rsidR="00C5122C" w:rsidTr="00C5122C">
        <w:trPr>
          <w:trHeight w:val="210"/>
        </w:trPr>
        <w:tc>
          <w:tcPr>
            <w:tcW w:w="5669" w:type="dxa"/>
            <w:tcBorders>
              <w:top w:val="single" w:color="auto" w:sz="4" w:space="0"/>
              <w:left w:val="nil"/>
              <w:bottom w:val="single" w:color="auto" w:sz="4" w:space="0"/>
              <w:right w:val="nil"/>
            </w:tcBorders>
            <w:shd w:val="clear" w:color="auto" w:fill="auto"/>
            <w:noWrap/>
            <w:vAlign w:val="bottom"/>
            <w:hideMark/>
          </w:tcPr>
          <w:p w:rsidRPr="0003523F" w:rsidR="00C5122C" w:rsidP="00C5122C" w:rsidRDefault="00C5122C">
            <w:pPr>
              <w:spacing w:line="240" w:lineRule="auto"/>
              <w:rPr>
                <w:rFonts w:cs="Arial"/>
                <w:b/>
                <w:bCs/>
                <w:sz w:val="16"/>
                <w:szCs w:val="16"/>
              </w:rPr>
            </w:pPr>
            <w:r w:rsidRPr="0003523F">
              <w:rPr>
                <w:rFonts w:cs="Arial"/>
                <w:b/>
                <w:bCs/>
                <w:sz w:val="16"/>
                <w:szCs w:val="16"/>
              </w:rPr>
              <w:t> </w:t>
            </w:r>
          </w:p>
        </w:tc>
        <w:tc>
          <w:tcPr>
            <w:tcW w:w="850" w:type="dxa"/>
            <w:tcBorders>
              <w:top w:val="single" w:color="auto" w:sz="4" w:space="0"/>
              <w:left w:val="nil"/>
              <w:bottom w:val="single" w:color="auto" w:sz="4" w:space="0"/>
              <w:right w:val="nil"/>
            </w:tcBorders>
            <w:shd w:val="clear" w:color="auto" w:fill="auto"/>
            <w:noWrap/>
            <w:vAlign w:val="bottom"/>
            <w:hideMark/>
          </w:tcPr>
          <w:p w:rsidRPr="0003523F" w:rsidR="00C5122C" w:rsidP="00C5122C" w:rsidRDefault="00C5122C">
            <w:pPr>
              <w:spacing w:line="240" w:lineRule="auto"/>
              <w:jc w:val="right"/>
              <w:rPr>
                <w:rFonts w:cs="Arial"/>
                <w:b/>
                <w:bCs/>
                <w:sz w:val="16"/>
                <w:szCs w:val="16"/>
              </w:rPr>
            </w:pPr>
            <w:r w:rsidRPr="0003523F">
              <w:rPr>
                <w:rFonts w:cs="Arial"/>
                <w:b/>
                <w:bCs/>
                <w:sz w:val="16"/>
                <w:szCs w:val="16"/>
              </w:rPr>
              <w:t>2016</w:t>
            </w:r>
          </w:p>
        </w:tc>
      </w:tr>
      <w:tr w:rsidRPr="0003523F" w:rsidR="00C5122C" w:rsidTr="00C5122C">
        <w:trPr>
          <w:trHeight w:val="210"/>
        </w:trPr>
        <w:tc>
          <w:tcPr>
            <w:tcW w:w="5669" w:type="dxa"/>
            <w:tcBorders>
              <w:top w:val="nil"/>
              <w:left w:val="nil"/>
              <w:bottom w:val="nil"/>
              <w:right w:val="nil"/>
            </w:tcBorders>
            <w:shd w:val="clear" w:color="auto" w:fill="auto"/>
            <w:noWrap/>
            <w:vAlign w:val="bottom"/>
            <w:hideMark/>
          </w:tcPr>
          <w:p w:rsidRPr="0003523F" w:rsidR="00C5122C" w:rsidP="00C5122C" w:rsidRDefault="00C5122C">
            <w:pPr>
              <w:spacing w:line="240" w:lineRule="auto"/>
              <w:rPr>
                <w:rFonts w:cs="Arial"/>
                <w:b/>
                <w:bCs/>
                <w:sz w:val="16"/>
                <w:szCs w:val="16"/>
              </w:rPr>
            </w:pPr>
            <w:r w:rsidRPr="0003523F">
              <w:rPr>
                <w:rFonts w:cs="Arial"/>
                <w:b/>
                <w:bCs/>
                <w:sz w:val="16"/>
                <w:szCs w:val="16"/>
              </w:rPr>
              <w:t>Miljoenennota 2017</w:t>
            </w:r>
          </w:p>
        </w:tc>
        <w:tc>
          <w:tcPr>
            <w:tcW w:w="850" w:type="dxa"/>
            <w:tcBorders>
              <w:top w:val="nil"/>
              <w:left w:val="nil"/>
              <w:bottom w:val="nil"/>
              <w:right w:val="nil"/>
            </w:tcBorders>
            <w:shd w:val="clear" w:color="auto" w:fill="auto"/>
            <w:noWrap/>
            <w:vAlign w:val="bottom"/>
            <w:hideMark/>
          </w:tcPr>
          <w:p w:rsidRPr="0003523F" w:rsidR="00C5122C" w:rsidP="00C5122C" w:rsidRDefault="00C5122C">
            <w:pPr>
              <w:spacing w:line="240" w:lineRule="auto"/>
              <w:jc w:val="right"/>
              <w:rPr>
                <w:rFonts w:cs="Arial"/>
                <w:b/>
                <w:bCs/>
                <w:sz w:val="16"/>
                <w:szCs w:val="16"/>
              </w:rPr>
            </w:pPr>
            <w:r w:rsidRPr="0003523F">
              <w:rPr>
                <w:rFonts w:cs="Arial"/>
                <w:b/>
                <w:bCs/>
                <w:sz w:val="16"/>
                <w:szCs w:val="16"/>
              </w:rPr>
              <w:t>1,5</w:t>
            </w:r>
          </w:p>
        </w:tc>
      </w:tr>
      <w:tr w:rsidRPr="0003523F" w:rsidR="00C5122C" w:rsidTr="00C5122C">
        <w:trPr>
          <w:trHeight w:val="210"/>
        </w:trPr>
        <w:tc>
          <w:tcPr>
            <w:tcW w:w="5669" w:type="dxa"/>
            <w:tcBorders>
              <w:top w:val="nil"/>
              <w:left w:val="nil"/>
              <w:bottom w:val="nil"/>
              <w:right w:val="nil"/>
            </w:tcBorders>
            <w:shd w:val="clear" w:color="auto" w:fill="auto"/>
            <w:noWrap/>
            <w:vAlign w:val="bottom"/>
            <w:hideMark/>
          </w:tcPr>
          <w:p w:rsidRPr="0003523F" w:rsidR="00C5122C" w:rsidP="00C5122C" w:rsidRDefault="00C5122C">
            <w:pPr>
              <w:spacing w:line="240" w:lineRule="auto"/>
              <w:rPr>
                <w:rFonts w:cs="Arial"/>
                <w:sz w:val="16"/>
                <w:szCs w:val="16"/>
              </w:rPr>
            </w:pPr>
            <w:r w:rsidRPr="0003523F">
              <w:rPr>
                <w:rFonts w:cs="Arial"/>
                <w:sz w:val="16"/>
                <w:szCs w:val="16"/>
              </w:rPr>
              <w:t>Dividend staatsdeelnemingen</w:t>
            </w:r>
          </w:p>
        </w:tc>
        <w:tc>
          <w:tcPr>
            <w:tcW w:w="850" w:type="dxa"/>
            <w:tcBorders>
              <w:top w:val="nil"/>
              <w:left w:val="nil"/>
              <w:bottom w:val="nil"/>
              <w:right w:val="nil"/>
            </w:tcBorders>
            <w:shd w:val="clear" w:color="auto" w:fill="auto"/>
            <w:noWrap/>
            <w:vAlign w:val="bottom"/>
            <w:hideMark/>
          </w:tcPr>
          <w:p w:rsidRPr="0003523F" w:rsidR="00C5122C" w:rsidP="00C5122C" w:rsidRDefault="00C5122C">
            <w:pPr>
              <w:spacing w:line="240" w:lineRule="auto"/>
              <w:jc w:val="right"/>
              <w:rPr>
                <w:rFonts w:cs="Arial"/>
                <w:sz w:val="16"/>
                <w:szCs w:val="16"/>
              </w:rPr>
            </w:pPr>
            <w:r w:rsidRPr="0003523F">
              <w:rPr>
                <w:rFonts w:cs="Arial"/>
                <w:sz w:val="16"/>
                <w:szCs w:val="16"/>
              </w:rPr>
              <w:t>-0,1</w:t>
            </w:r>
          </w:p>
        </w:tc>
      </w:tr>
      <w:tr w:rsidRPr="0003523F" w:rsidR="00C5122C" w:rsidTr="00C5122C">
        <w:trPr>
          <w:trHeight w:val="210"/>
        </w:trPr>
        <w:tc>
          <w:tcPr>
            <w:tcW w:w="5669" w:type="dxa"/>
            <w:tcBorders>
              <w:top w:val="nil"/>
              <w:left w:val="nil"/>
              <w:bottom w:val="nil"/>
              <w:right w:val="nil"/>
            </w:tcBorders>
            <w:shd w:val="clear" w:color="auto" w:fill="auto"/>
            <w:noWrap/>
            <w:vAlign w:val="bottom"/>
            <w:hideMark/>
          </w:tcPr>
          <w:p w:rsidRPr="0003523F" w:rsidR="00C5122C" w:rsidP="00C5122C" w:rsidRDefault="00C5122C">
            <w:pPr>
              <w:spacing w:line="240" w:lineRule="auto"/>
              <w:rPr>
                <w:rFonts w:cs="Arial"/>
                <w:sz w:val="16"/>
                <w:szCs w:val="16"/>
              </w:rPr>
            </w:pPr>
            <w:r w:rsidRPr="0003523F">
              <w:rPr>
                <w:rFonts w:cs="Arial"/>
                <w:sz w:val="16"/>
                <w:szCs w:val="16"/>
              </w:rPr>
              <w:t>EU-afdrachten</w:t>
            </w:r>
          </w:p>
        </w:tc>
        <w:tc>
          <w:tcPr>
            <w:tcW w:w="850" w:type="dxa"/>
            <w:tcBorders>
              <w:top w:val="nil"/>
              <w:left w:val="nil"/>
              <w:bottom w:val="nil"/>
              <w:right w:val="nil"/>
            </w:tcBorders>
            <w:shd w:val="clear" w:color="auto" w:fill="auto"/>
            <w:noWrap/>
            <w:vAlign w:val="bottom"/>
            <w:hideMark/>
          </w:tcPr>
          <w:p w:rsidRPr="0003523F" w:rsidR="00C5122C" w:rsidP="00C5122C" w:rsidRDefault="00C5122C">
            <w:pPr>
              <w:spacing w:line="240" w:lineRule="auto"/>
              <w:jc w:val="right"/>
              <w:rPr>
                <w:rFonts w:cs="Arial"/>
                <w:sz w:val="16"/>
                <w:szCs w:val="16"/>
              </w:rPr>
            </w:pPr>
            <w:r w:rsidRPr="0003523F">
              <w:rPr>
                <w:rFonts w:cs="Arial"/>
                <w:sz w:val="16"/>
                <w:szCs w:val="16"/>
              </w:rPr>
              <w:t>2,8</w:t>
            </w:r>
          </w:p>
        </w:tc>
      </w:tr>
      <w:tr w:rsidRPr="0003523F" w:rsidR="00C5122C" w:rsidTr="00C5122C">
        <w:trPr>
          <w:trHeight w:val="210"/>
        </w:trPr>
        <w:tc>
          <w:tcPr>
            <w:tcW w:w="5669" w:type="dxa"/>
            <w:tcBorders>
              <w:top w:val="nil"/>
              <w:left w:val="nil"/>
              <w:bottom w:val="nil"/>
              <w:right w:val="nil"/>
            </w:tcBorders>
            <w:shd w:val="clear" w:color="auto" w:fill="auto"/>
            <w:noWrap/>
            <w:vAlign w:val="bottom"/>
            <w:hideMark/>
          </w:tcPr>
          <w:p w:rsidRPr="0003523F" w:rsidR="00C5122C" w:rsidP="00C5122C" w:rsidRDefault="00C5122C">
            <w:pPr>
              <w:spacing w:line="240" w:lineRule="auto"/>
              <w:rPr>
                <w:rFonts w:cs="Arial"/>
                <w:sz w:val="16"/>
                <w:szCs w:val="16"/>
              </w:rPr>
            </w:pPr>
            <w:r w:rsidRPr="0003523F">
              <w:rPr>
                <w:rFonts w:cs="Arial"/>
                <w:sz w:val="16"/>
                <w:szCs w:val="16"/>
              </w:rPr>
              <w:t>HGIS</w:t>
            </w:r>
          </w:p>
        </w:tc>
        <w:tc>
          <w:tcPr>
            <w:tcW w:w="850" w:type="dxa"/>
            <w:tcBorders>
              <w:top w:val="nil"/>
              <w:left w:val="nil"/>
              <w:bottom w:val="nil"/>
              <w:right w:val="nil"/>
            </w:tcBorders>
            <w:shd w:val="clear" w:color="auto" w:fill="auto"/>
            <w:noWrap/>
            <w:vAlign w:val="bottom"/>
            <w:hideMark/>
          </w:tcPr>
          <w:p w:rsidRPr="0003523F" w:rsidR="00C5122C" w:rsidP="00C5122C" w:rsidRDefault="00C5122C">
            <w:pPr>
              <w:spacing w:line="240" w:lineRule="auto"/>
              <w:jc w:val="right"/>
              <w:rPr>
                <w:rFonts w:cs="Arial"/>
                <w:sz w:val="16"/>
                <w:szCs w:val="16"/>
              </w:rPr>
            </w:pPr>
            <w:r w:rsidRPr="0003523F">
              <w:rPr>
                <w:rFonts w:cs="Arial"/>
                <w:sz w:val="16"/>
                <w:szCs w:val="16"/>
              </w:rPr>
              <w:t>0,3</w:t>
            </w:r>
          </w:p>
        </w:tc>
      </w:tr>
      <w:tr w:rsidRPr="0003523F" w:rsidR="00C5122C" w:rsidTr="00C5122C">
        <w:trPr>
          <w:trHeight w:val="210"/>
        </w:trPr>
        <w:tc>
          <w:tcPr>
            <w:tcW w:w="5669" w:type="dxa"/>
            <w:tcBorders>
              <w:top w:val="nil"/>
              <w:left w:val="nil"/>
              <w:bottom w:val="nil"/>
              <w:right w:val="nil"/>
            </w:tcBorders>
            <w:shd w:val="clear" w:color="auto" w:fill="auto"/>
            <w:noWrap/>
            <w:vAlign w:val="bottom"/>
            <w:hideMark/>
          </w:tcPr>
          <w:p w:rsidRPr="0003523F" w:rsidR="00C5122C" w:rsidP="00C5122C" w:rsidRDefault="00C5122C">
            <w:pPr>
              <w:spacing w:line="240" w:lineRule="auto"/>
              <w:rPr>
                <w:rFonts w:cs="Arial"/>
                <w:sz w:val="16"/>
                <w:szCs w:val="16"/>
              </w:rPr>
            </w:pPr>
            <w:r w:rsidRPr="0003523F">
              <w:rPr>
                <w:rFonts w:cs="Arial"/>
                <w:sz w:val="16"/>
                <w:szCs w:val="16"/>
              </w:rPr>
              <w:t>Gemeentefonds, Provinciefonds, BTW-compensatiefonds</w:t>
            </w:r>
          </w:p>
        </w:tc>
        <w:tc>
          <w:tcPr>
            <w:tcW w:w="850" w:type="dxa"/>
            <w:tcBorders>
              <w:top w:val="nil"/>
              <w:left w:val="nil"/>
              <w:bottom w:val="nil"/>
              <w:right w:val="nil"/>
            </w:tcBorders>
            <w:shd w:val="clear" w:color="auto" w:fill="auto"/>
            <w:noWrap/>
            <w:vAlign w:val="bottom"/>
            <w:hideMark/>
          </w:tcPr>
          <w:p w:rsidRPr="0003523F" w:rsidR="00C5122C" w:rsidP="00C5122C" w:rsidRDefault="00C5122C">
            <w:pPr>
              <w:spacing w:line="240" w:lineRule="auto"/>
              <w:jc w:val="right"/>
              <w:rPr>
                <w:rFonts w:cs="Arial"/>
                <w:sz w:val="16"/>
                <w:szCs w:val="16"/>
              </w:rPr>
            </w:pPr>
            <w:r w:rsidRPr="0003523F">
              <w:rPr>
                <w:rFonts w:cs="Arial"/>
                <w:sz w:val="16"/>
                <w:szCs w:val="16"/>
              </w:rPr>
              <w:t>0,1</w:t>
            </w:r>
          </w:p>
        </w:tc>
      </w:tr>
      <w:tr w:rsidRPr="0003523F" w:rsidR="00C5122C" w:rsidTr="00C5122C">
        <w:trPr>
          <w:trHeight w:val="210"/>
        </w:trPr>
        <w:tc>
          <w:tcPr>
            <w:tcW w:w="5669" w:type="dxa"/>
            <w:tcBorders>
              <w:top w:val="nil"/>
              <w:left w:val="nil"/>
              <w:bottom w:val="nil"/>
              <w:right w:val="nil"/>
            </w:tcBorders>
            <w:shd w:val="clear" w:color="auto" w:fill="auto"/>
            <w:noWrap/>
            <w:vAlign w:val="bottom"/>
            <w:hideMark/>
          </w:tcPr>
          <w:p w:rsidRPr="0003523F" w:rsidR="00C5122C" w:rsidP="00C5122C" w:rsidRDefault="00C5122C">
            <w:pPr>
              <w:spacing w:line="240" w:lineRule="auto"/>
              <w:rPr>
                <w:rFonts w:cs="Arial"/>
                <w:sz w:val="16"/>
                <w:szCs w:val="16"/>
              </w:rPr>
            </w:pPr>
            <w:r w:rsidRPr="0003523F">
              <w:rPr>
                <w:rFonts w:cs="Arial"/>
                <w:sz w:val="16"/>
                <w:szCs w:val="16"/>
              </w:rPr>
              <w:t>Overig</w:t>
            </w:r>
          </w:p>
        </w:tc>
        <w:tc>
          <w:tcPr>
            <w:tcW w:w="850" w:type="dxa"/>
            <w:tcBorders>
              <w:top w:val="nil"/>
              <w:left w:val="nil"/>
              <w:bottom w:val="nil"/>
              <w:right w:val="nil"/>
            </w:tcBorders>
            <w:shd w:val="clear" w:color="auto" w:fill="auto"/>
            <w:noWrap/>
            <w:vAlign w:val="bottom"/>
            <w:hideMark/>
          </w:tcPr>
          <w:p w:rsidRPr="0003523F" w:rsidR="00C5122C" w:rsidP="00C5122C" w:rsidRDefault="00C5122C">
            <w:pPr>
              <w:spacing w:line="240" w:lineRule="auto"/>
              <w:jc w:val="right"/>
              <w:rPr>
                <w:rFonts w:cs="Arial"/>
                <w:sz w:val="16"/>
                <w:szCs w:val="16"/>
              </w:rPr>
            </w:pPr>
            <w:r w:rsidRPr="0003523F">
              <w:rPr>
                <w:rFonts w:cs="Arial"/>
                <w:sz w:val="16"/>
                <w:szCs w:val="16"/>
              </w:rPr>
              <w:t>-0,5</w:t>
            </w:r>
          </w:p>
        </w:tc>
      </w:tr>
      <w:tr w:rsidRPr="0003523F" w:rsidR="00C5122C" w:rsidTr="00C5122C">
        <w:trPr>
          <w:trHeight w:val="210"/>
        </w:trPr>
        <w:tc>
          <w:tcPr>
            <w:tcW w:w="5669" w:type="dxa"/>
            <w:tcBorders>
              <w:top w:val="nil"/>
              <w:left w:val="nil"/>
              <w:bottom w:val="nil"/>
              <w:right w:val="nil"/>
            </w:tcBorders>
            <w:shd w:val="clear" w:color="auto" w:fill="auto"/>
            <w:noWrap/>
            <w:vAlign w:val="bottom"/>
            <w:hideMark/>
          </w:tcPr>
          <w:p w:rsidRPr="0003523F" w:rsidR="00C5122C" w:rsidP="00C5122C" w:rsidRDefault="00C5122C">
            <w:pPr>
              <w:spacing w:line="240" w:lineRule="auto"/>
              <w:rPr>
                <w:rFonts w:cs="Arial"/>
                <w:sz w:val="16"/>
                <w:szCs w:val="16"/>
              </w:rPr>
            </w:pPr>
            <w:r w:rsidRPr="0003523F">
              <w:rPr>
                <w:rFonts w:cs="Arial"/>
                <w:sz w:val="16"/>
                <w:szCs w:val="16"/>
              </w:rPr>
              <w:t>Onderuitputting diverse begrotingen (inclusief HGIS)</w:t>
            </w:r>
          </w:p>
        </w:tc>
        <w:tc>
          <w:tcPr>
            <w:tcW w:w="850" w:type="dxa"/>
            <w:tcBorders>
              <w:top w:val="nil"/>
              <w:left w:val="nil"/>
              <w:bottom w:val="nil"/>
              <w:right w:val="nil"/>
            </w:tcBorders>
            <w:shd w:val="clear" w:color="auto" w:fill="auto"/>
            <w:noWrap/>
            <w:vAlign w:val="bottom"/>
            <w:hideMark/>
          </w:tcPr>
          <w:p w:rsidRPr="0003523F" w:rsidR="00C5122C" w:rsidP="00C5122C" w:rsidRDefault="00C5122C">
            <w:pPr>
              <w:spacing w:line="240" w:lineRule="auto"/>
              <w:jc w:val="right"/>
              <w:rPr>
                <w:rFonts w:cs="Arial"/>
                <w:sz w:val="16"/>
                <w:szCs w:val="16"/>
              </w:rPr>
            </w:pPr>
            <w:r w:rsidRPr="0003523F">
              <w:rPr>
                <w:rFonts w:cs="Arial"/>
                <w:sz w:val="16"/>
                <w:szCs w:val="16"/>
              </w:rPr>
              <w:t>-0,9</w:t>
            </w:r>
          </w:p>
        </w:tc>
      </w:tr>
      <w:tr w:rsidRPr="0003523F" w:rsidR="00C5122C" w:rsidTr="00C5122C">
        <w:trPr>
          <w:trHeight w:val="210"/>
        </w:trPr>
        <w:tc>
          <w:tcPr>
            <w:tcW w:w="5669" w:type="dxa"/>
            <w:tcBorders>
              <w:top w:val="nil"/>
              <w:left w:val="nil"/>
              <w:bottom w:val="nil"/>
              <w:right w:val="nil"/>
            </w:tcBorders>
            <w:shd w:val="clear" w:color="auto" w:fill="auto"/>
            <w:noWrap/>
            <w:vAlign w:val="bottom"/>
            <w:hideMark/>
          </w:tcPr>
          <w:p w:rsidRPr="0003523F" w:rsidR="00C5122C" w:rsidP="00C5122C" w:rsidRDefault="00C5122C">
            <w:pPr>
              <w:spacing w:line="240" w:lineRule="auto"/>
              <w:rPr>
                <w:rFonts w:cs="Arial"/>
                <w:sz w:val="16"/>
                <w:szCs w:val="16"/>
              </w:rPr>
            </w:pPr>
            <w:r w:rsidRPr="0003523F">
              <w:rPr>
                <w:rFonts w:cs="Arial"/>
                <w:sz w:val="16"/>
                <w:szCs w:val="16"/>
              </w:rPr>
              <w:t>Invullen in=uit taakstelling</w:t>
            </w:r>
          </w:p>
        </w:tc>
        <w:tc>
          <w:tcPr>
            <w:tcW w:w="850" w:type="dxa"/>
            <w:tcBorders>
              <w:top w:val="nil"/>
              <w:left w:val="nil"/>
              <w:bottom w:val="nil"/>
              <w:right w:val="nil"/>
            </w:tcBorders>
            <w:shd w:val="clear" w:color="auto" w:fill="auto"/>
            <w:noWrap/>
            <w:vAlign w:val="bottom"/>
            <w:hideMark/>
          </w:tcPr>
          <w:p w:rsidRPr="0003523F" w:rsidR="00C5122C" w:rsidP="00C5122C" w:rsidRDefault="00C5122C">
            <w:pPr>
              <w:spacing w:line="240" w:lineRule="auto"/>
              <w:jc w:val="right"/>
              <w:rPr>
                <w:rFonts w:cs="Arial"/>
                <w:sz w:val="16"/>
                <w:szCs w:val="16"/>
              </w:rPr>
            </w:pPr>
            <w:r w:rsidRPr="0003523F">
              <w:rPr>
                <w:rFonts w:cs="Arial"/>
                <w:sz w:val="16"/>
                <w:szCs w:val="16"/>
              </w:rPr>
              <w:t>1,4</w:t>
            </w:r>
          </w:p>
        </w:tc>
      </w:tr>
      <w:tr w:rsidRPr="0003523F" w:rsidR="00C5122C" w:rsidTr="00C5122C">
        <w:trPr>
          <w:trHeight w:val="210"/>
        </w:trPr>
        <w:tc>
          <w:tcPr>
            <w:tcW w:w="5669" w:type="dxa"/>
            <w:tcBorders>
              <w:top w:val="nil"/>
              <w:left w:val="nil"/>
              <w:bottom w:val="nil"/>
              <w:right w:val="nil"/>
            </w:tcBorders>
            <w:shd w:val="clear" w:color="auto" w:fill="auto"/>
            <w:noWrap/>
            <w:vAlign w:val="bottom"/>
            <w:hideMark/>
          </w:tcPr>
          <w:p w:rsidRPr="0003523F" w:rsidR="00C5122C" w:rsidP="00C5122C" w:rsidRDefault="00C5122C">
            <w:pPr>
              <w:spacing w:line="240" w:lineRule="auto"/>
              <w:rPr>
                <w:rFonts w:cs="Arial"/>
                <w:i/>
                <w:iCs/>
                <w:sz w:val="16"/>
                <w:szCs w:val="16"/>
              </w:rPr>
            </w:pPr>
            <w:r w:rsidRPr="0003523F">
              <w:rPr>
                <w:rFonts w:cs="Arial"/>
                <w:i/>
                <w:iCs/>
                <w:sz w:val="16"/>
                <w:szCs w:val="16"/>
              </w:rPr>
              <w:t>Technische mutaties</w:t>
            </w:r>
          </w:p>
        </w:tc>
        <w:tc>
          <w:tcPr>
            <w:tcW w:w="850" w:type="dxa"/>
            <w:tcBorders>
              <w:top w:val="nil"/>
              <w:left w:val="nil"/>
              <w:bottom w:val="nil"/>
              <w:right w:val="nil"/>
            </w:tcBorders>
            <w:shd w:val="clear" w:color="auto" w:fill="auto"/>
            <w:noWrap/>
            <w:vAlign w:val="bottom"/>
            <w:hideMark/>
          </w:tcPr>
          <w:p w:rsidRPr="0003523F" w:rsidR="00C5122C" w:rsidP="00C5122C" w:rsidRDefault="00C5122C">
            <w:pPr>
              <w:spacing w:line="240" w:lineRule="auto"/>
              <w:jc w:val="right"/>
              <w:rPr>
                <w:rFonts w:cs="Arial"/>
                <w:sz w:val="16"/>
                <w:szCs w:val="16"/>
              </w:rPr>
            </w:pPr>
          </w:p>
        </w:tc>
      </w:tr>
      <w:tr w:rsidRPr="0003523F" w:rsidR="00C5122C" w:rsidTr="00C5122C">
        <w:trPr>
          <w:trHeight w:val="210"/>
        </w:trPr>
        <w:tc>
          <w:tcPr>
            <w:tcW w:w="5669" w:type="dxa"/>
            <w:tcBorders>
              <w:top w:val="nil"/>
              <w:left w:val="nil"/>
              <w:bottom w:val="nil"/>
              <w:right w:val="nil"/>
            </w:tcBorders>
            <w:shd w:val="clear" w:color="auto" w:fill="auto"/>
            <w:noWrap/>
            <w:vAlign w:val="bottom"/>
            <w:hideMark/>
          </w:tcPr>
          <w:p w:rsidRPr="0003523F" w:rsidR="00C5122C" w:rsidP="00C5122C" w:rsidRDefault="00C5122C">
            <w:pPr>
              <w:spacing w:line="240" w:lineRule="auto"/>
              <w:rPr>
                <w:rFonts w:cs="Arial"/>
                <w:sz w:val="16"/>
                <w:szCs w:val="16"/>
              </w:rPr>
            </w:pPr>
            <w:r w:rsidRPr="0003523F">
              <w:rPr>
                <w:rFonts w:cs="Arial"/>
                <w:sz w:val="16"/>
                <w:szCs w:val="16"/>
              </w:rPr>
              <w:t>Kadercorrectie EU afdrachten</w:t>
            </w:r>
          </w:p>
        </w:tc>
        <w:tc>
          <w:tcPr>
            <w:tcW w:w="850" w:type="dxa"/>
            <w:tcBorders>
              <w:top w:val="nil"/>
              <w:left w:val="nil"/>
              <w:bottom w:val="nil"/>
              <w:right w:val="nil"/>
            </w:tcBorders>
            <w:shd w:val="clear" w:color="auto" w:fill="auto"/>
            <w:noWrap/>
            <w:vAlign w:val="bottom"/>
            <w:hideMark/>
          </w:tcPr>
          <w:p w:rsidRPr="0003523F" w:rsidR="00C5122C" w:rsidP="00C5122C" w:rsidRDefault="00C5122C">
            <w:pPr>
              <w:spacing w:line="240" w:lineRule="auto"/>
              <w:jc w:val="right"/>
              <w:rPr>
                <w:rFonts w:cs="Arial"/>
                <w:sz w:val="16"/>
                <w:szCs w:val="16"/>
              </w:rPr>
            </w:pPr>
            <w:r w:rsidRPr="0003523F">
              <w:rPr>
                <w:rFonts w:cs="Arial"/>
                <w:sz w:val="16"/>
                <w:szCs w:val="16"/>
              </w:rPr>
              <w:t>-2,8</w:t>
            </w:r>
          </w:p>
        </w:tc>
      </w:tr>
      <w:tr w:rsidRPr="0003523F" w:rsidR="00C5122C" w:rsidTr="00C5122C">
        <w:trPr>
          <w:trHeight w:val="210"/>
        </w:trPr>
        <w:tc>
          <w:tcPr>
            <w:tcW w:w="5669" w:type="dxa"/>
            <w:tcBorders>
              <w:top w:val="nil"/>
              <w:left w:val="nil"/>
              <w:bottom w:val="single" w:color="auto" w:sz="4" w:space="0"/>
              <w:right w:val="nil"/>
            </w:tcBorders>
            <w:shd w:val="clear" w:color="auto" w:fill="auto"/>
            <w:noWrap/>
            <w:vAlign w:val="bottom"/>
            <w:hideMark/>
          </w:tcPr>
          <w:p w:rsidRPr="0003523F" w:rsidR="00C5122C" w:rsidP="00C5122C" w:rsidRDefault="00C5122C">
            <w:pPr>
              <w:spacing w:line="240" w:lineRule="auto"/>
              <w:rPr>
                <w:rFonts w:cs="Arial"/>
                <w:b/>
                <w:bCs/>
                <w:sz w:val="16"/>
                <w:szCs w:val="16"/>
              </w:rPr>
            </w:pPr>
            <w:r w:rsidRPr="0003523F">
              <w:rPr>
                <w:rFonts w:cs="Arial"/>
                <w:b/>
                <w:bCs/>
                <w:sz w:val="16"/>
                <w:szCs w:val="16"/>
              </w:rPr>
              <w:t>Najaarsnota 2016</w:t>
            </w:r>
          </w:p>
        </w:tc>
        <w:tc>
          <w:tcPr>
            <w:tcW w:w="850" w:type="dxa"/>
            <w:tcBorders>
              <w:top w:val="nil"/>
              <w:left w:val="nil"/>
              <w:bottom w:val="single" w:color="auto" w:sz="4" w:space="0"/>
              <w:right w:val="nil"/>
            </w:tcBorders>
            <w:shd w:val="clear" w:color="auto" w:fill="auto"/>
            <w:noWrap/>
            <w:vAlign w:val="bottom"/>
            <w:hideMark/>
          </w:tcPr>
          <w:p w:rsidRPr="0003523F" w:rsidR="00C5122C" w:rsidP="00C5122C" w:rsidRDefault="00C5122C">
            <w:pPr>
              <w:spacing w:line="240" w:lineRule="auto"/>
              <w:jc w:val="right"/>
              <w:rPr>
                <w:rFonts w:cs="Arial"/>
                <w:b/>
                <w:bCs/>
                <w:sz w:val="16"/>
                <w:szCs w:val="16"/>
              </w:rPr>
            </w:pPr>
            <w:r w:rsidRPr="0003523F">
              <w:rPr>
                <w:rFonts w:cs="Arial"/>
                <w:b/>
                <w:bCs/>
                <w:sz w:val="16"/>
                <w:szCs w:val="16"/>
              </w:rPr>
              <w:t>1,8</w:t>
            </w:r>
          </w:p>
        </w:tc>
      </w:tr>
    </w:tbl>
    <w:p w:rsidR="00BB685A" w:rsidP="00BB685A" w:rsidRDefault="00BB685A">
      <w:pPr>
        <w:contextualSpacing/>
      </w:pPr>
    </w:p>
    <w:p w:rsidR="00BB685A" w:rsidP="00BB685A" w:rsidRDefault="00BB685A">
      <w:pPr>
        <w:contextualSpacing/>
        <w:rPr>
          <w:rFonts w:ascii="Times New Roman" w:hAnsi="Times New Roman"/>
          <w:sz w:val="24"/>
        </w:rPr>
      </w:pPr>
      <w:r w:rsidRPr="003044FC">
        <w:t>Verwerking van de budgettaire gevolgen van de ratificatie van het Eigen Middelenbesluit onder het uitgavenkader zou leiden tot een grote incidentele krapte in 2016 en een grote incidentele ruimte in 2017. Dat ondermijnt de plafon</w:t>
      </w:r>
      <w:r>
        <w:t>n</w:t>
      </w:r>
      <w:r w:rsidRPr="003044FC">
        <w:t xml:space="preserve">erende werking van het uitgavenkader binnen het trendmatig begrotingsbeleid. Daarnaast staat de omvang van budgettaire gevolgen, in combinatie met de mate waarin het kabinet hierop nog kan sturen, op gespannen voet met het uitgangspunt dat het begrotingsbeleid bestuurlijke rust, eenvoud en duidelijkheid vooraf moeten bieden. Het kabinet heeft daarom besloten om het uitgavenkader te corrigeren. </w:t>
      </w:r>
    </w:p>
    <w:p w:rsidR="00BB685A" w:rsidP="00BB685A" w:rsidRDefault="00BB685A">
      <w:pPr>
        <w:contextualSpacing/>
      </w:pPr>
    </w:p>
    <w:p w:rsidR="00BB685A" w:rsidP="00BB685A" w:rsidRDefault="00BB685A">
      <w:pPr>
        <w:contextualSpacing/>
      </w:pPr>
      <w:r w:rsidRPr="003044FC">
        <w:t>Het HGIS-budget</w:t>
      </w:r>
      <w:r>
        <w:t xml:space="preserve"> omvat uitgaven van de verschillende ministeries op het gebied van buitenlandbeleid. Als gevolg van </w:t>
      </w:r>
      <w:r w:rsidRPr="003044FC">
        <w:t>de lager dan verwachte asielinstroom in 2016</w:t>
      </w:r>
      <w:r>
        <w:t xml:space="preserve"> wordt een deel</w:t>
      </w:r>
      <w:r w:rsidRPr="003044FC">
        <w:t xml:space="preserve"> van de ODA-toerekening </w:t>
      </w:r>
      <w:r>
        <w:t xml:space="preserve">(uitgaven voor ontwikkelingssamenwerking) </w:t>
      </w:r>
      <w:r w:rsidRPr="003044FC">
        <w:t xml:space="preserve">voor de </w:t>
      </w:r>
      <w:r w:rsidRPr="009F263F">
        <w:t xml:space="preserve">eerstejaarsopvang van asielzoekers teruggeboekt van de begroting van Veiligheid en Justitie naar de begroting van Buitenlandse Handel en Ontwikkelingssamenwerking. Verder wordt bij Najaarsnota de ODA toerekening van de kosten voor eerstejaarsopvang asiel 2015 </w:t>
      </w:r>
      <w:r>
        <w:t>en 2016 gecorrigeerd met 31 miljoen</w:t>
      </w:r>
      <w:r w:rsidRPr="009F263F">
        <w:t>. Het bedrag komt ten goede aan het Noodhulpfonds. Middelen van het Noodhulpfonds kunnen flexibel worden ingezet over de jaren 2014-2017. De correctie vanaf 2017 be</w:t>
      </w:r>
      <w:r>
        <w:t>draagt naar verwachting 17 miljoen</w:t>
      </w:r>
      <w:r w:rsidRPr="009F263F">
        <w:t xml:space="preserve"> en wordt bij Voorjaarsnota verwerkt, waarmee de totale intensivering van h</w:t>
      </w:r>
      <w:r>
        <w:t>et Noodhulpfonds op 48 miljoen</w:t>
      </w:r>
      <w:r w:rsidRPr="009F263F">
        <w:t xml:space="preserve"> komt.</w:t>
      </w:r>
      <w:r w:rsidRPr="009F263F">
        <w:rPr>
          <w:color w:val="1F497D"/>
        </w:rPr>
        <w:t xml:space="preserve"> </w:t>
      </w:r>
      <w:r w:rsidRPr="009F263F">
        <w:t>De uitgaven aan het gemeentefonds en provinciefonds stijgen doordat vanaf</w:t>
      </w:r>
      <w:r>
        <w:t xml:space="preserve"> verschillende andere begrotingshoofdstukken budgetten zijn overgeboekt naar de fondsen. De post overig bestaat voornamelijk uit de corresponderende boekingen op deze begrotingshoofdstukken en de afboeking van de genoemde ODA-toerekening op de begroting van Veiligheid en Justitie.</w:t>
      </w:r>
    </w:p>
    <w:p w:rsidRPr="00E52E55" w:rsidR="00BB685A" w:rsidP="00BB685A" w:rsidRDefault="00BB685A">
      <w:pPr>
        <w:pStyle w:val="tekst"/>
      </w:pPr>
      <w:r w:rsidRPr="00E52E55">
        <w:t>Op diverse begrotingen vindt onderuitputting plaats. Tabel 2.3 geeft inzicht in de verdeling hiervan over de verschillende departementale begrotingen onder het kader RBG-eng. De Verticale Toelichting (VT) in bijlage 2 geeft per begrotingshoofdstuk meer gedetailleerde informatie over de mutaties die hebben plaatsgevonden.</w:t>
      </w:r>
    </w:p>
    <w:p w:rsidR="00C5122C" w:rsidP="00C5122C" w:rsidRDefault="00C5122C">
      <w:pPr>
        <w:pStyle w:val="bijschrift"/>
        <w:keepNext/>
        <w:keepLines/>
        <w:contextualSpacing/>
      </w:pPr>
      <w:r w:rsidRPr="00E52E55">
        <w:t>Tabel 2.3 Onderuitputting per begrotingshoofdstuk (in miljoenen euro</w:t>
      </w:r>
      <w:r>
        <w:t>; -/- is onderuitputting</w:t>
      </w:r>
      <w:r w:rsidRPr="00E52E55">
        <w:t>)</w:t>
      </w:r>
    </w:p>
    <w:tbl>
      <w:tblPr>
        <w:tblW w:w="6519" w:type="dxa"/>
        <w:tblInd w:w="70" w:type="dxa"/>
        <w:tblCellMar>
          <w:left w:w="70" w:type="dxa"/>
          <w:right w:w="70" w:type="dxa"/>
        </w:tblCellMar>
        <w:tblLook w:val="04A0"/>
      </w:tblPr>
      <w:tblGrid>
        <w:gridCol w:w="5669"/>
        <w:gridCol w:w="850"/>
      </w:tblGrid>
      <w:tr w:rsidRPr="0003523F" w:rsidR="00C5122C" w:rsidTr="00C5122C">
        <w:trPr>
          <w:trHeight w:val="210"/>
        </w:trPr>
        <w:tc>
          <w:tcPr>
            <w:tcW w:w="5669" w:type="dxa"/>
            <w:tcBorders>
              <w:top w:val="single" w:color="auto" w:sz="4" w:space="0"/>
              <w:left w:val="nil"/>
              <w:bottom w:val="single" w:color="auto" w:sz="4" w:space="0"/>
              <w:right w:val="nil"/>
            </w:tcBorders>
            <w:shd w:val="clear" w:color="auto" w:fill="auto"/>
            <w:noWrap/>
            <w:vAlign w:val="bottom"/>
            <w:hideMark/>
          </w:tcPr>
          <w:p w:rsidRPr="0003523F" w:rsidR="00C5122C" w:rsidP="00C5122C" w:rsidRDefault="00C5122C">
            <w:pPr>
              <w:spacing w:line="240" w:lineRule="auto"/>
              <w:rPr>
                <w:rFonts w:cs="Arial"/>
                <w:b/>
                <w:bCs/>
                <w:sz w:val="16"/>
                <w:szCs w:val="16"/>
              </w:rPr>
            </w:pPr>
            <w:r w:rsidRPr="00C05422">
              <w:rPr>
                <w:rFonts w:cs="Arial"/>
                <w:b/>
                <w:bCs/>
                <w:sz w:val="16"/>
                <w:szCs w:val="16"/>
              </w:rPr>
              <w:t>Begroting</w:t>
            </w:r>
          </w:p>
        </w:tc>
        <w:tc>
          <w:tcPr>
            <w:tcW w:w="850" w:type="dxa"/>
            <w:tcBorders>
              <w:top w:val="single" w:color="auto" w:sz="4" w:space="0"/>
              <w:left w:val="nil"/>
              <w:bottom w:val="single" w:color="auto" w:sz="4" w:space="0"/>
              <w:right w:val="nil"/>
            </w:tcBorders>
            <w:shd w:val="clear" w:color="auto" w:fill="auto"/>
            <w:noWrap/>
            <w:vAlign w:val="bottom"/>
            <w:hideMark/>
          </w:tcPr>
          <w:p w:rsidRPr="0003523F" w:rsidR="00C5122C" w:rsidP="00C5122C" w:rsidRDefault="00C5122C">
            <w:pPr>
              <w:spacing w:line="240" w:lineRule="auto"/>
              <w:ind w:left="227"/>
              <w:jc w:val="center"/>
              <w:rPr>
                <w:rFonts w:cs="Arial"/>
                <w:b/>
                <w:bCs/>
                <w:sz w:val="16"/>
                <w:szCs w:val="16"/>
              </w:rPr>
            </w:pPr>
            <w:r w:rsidRPr="00C05422">
              <w:rPr>
                <w:rFonts w:cs="Arial"/>
                <w:b/>
                <w:bCs/>
                <w:sz w:val="16"/>
                <w:szCs w:val="16"/>
              </w:rPr>
              <w:t>2016</w:t>
            </w:r>
          </w:p>
        </w:tc>
      </w:tr>
      <w:tr w:rsidRPr="0003523F" w:rsidR="00C5122C" w:rsidTr="00C5122C">
        <w:trPr>
          <w:trHeight w:val="210"/>
        </w:trPr>
        <w:tc>
          <w:tcPr>
            <w:tcW w:w="5669" w:type="dxa"/>
            <w:tcBorders>
              <w:top w:val="nil"/>
              <w:left w:val="nil"/>
              <w:bottom w:val="nil"/>
              <w:right w:val="nil"/>
            </w:tcBorders>
            <w:shd w:val="clear" w:color="auto" w:fill="auto"/>
            <w:noWrap/>
            <w:vAlign w:val="bottom"/>
            <w:hideMark/>
          </w:tcPr>
          <w:p w:rsidRPr="0003523F" w:rsidR="00C5122C" w:rsidP="00C5122C" w:rsidRDefault="00C5122C">
            <w:pPr>
              <w:spacing w:line="240" w:lineRule="auto"/>
              <w:rPr>
                <w:rFonts w:cs="Arial"/>
                <w:sz w:val="16"/>
                <w:szCs w:val="16"/>
              </w:rPr>
            </w:pPr>
            <w:r w:rsidRPr="00C05422">
              <w:rPr>
                <w:rFonts w:cs="Arial"/>
                <w:sz w:val="16"/>
                <w:szCs w:val="16"/>
              </w:rPr>
              <w:t>Staten Generaal</w:t>
            </w:r>
          </w:p>
        </w:tc>
        <w:tc>
          <w:tcPr>
            <w:tcW w:w="850" w:type="dxa"/>
            <w:tcBorders>
              <w:top w:val="nil"/>
              <w:left w:val="nil"/>
              <w:bottom w:val="nil"/>
              <w:right w:val="nil"/>
            </w:tcBorders>
            <w:shd w:val="clear" w:color="auto" w:fill="auto"/>
            <w:noWrap/>
            <w:vAlign w:val="bottom"/>
            <w:hideMark/>
          </w:tcPr>
          <w:p w:rsidRPr="0003523F" w:rsidR="00C5122C" w:rsidP="00C5122C" w:rsidRDefault="00C5122C">
            <w:pPr>
              <w:spacing w:line="240" w:lineRule="auto"/>
              <w:jc w:val="right"/>
              <w:rPr>
                <w:rFonts w:cs="Arial"/>
                <w:sz w:val="16"/>
                <w:szCs w:val="16"/>
              </w:rPr>
            </w:pPr>
            <w:r w:rsidRPr="00C05422">
              <w:rPr>
                <w:rFonts w:cs="Arial"/>
                <w:sz w:val="16"/>
                <w:szCs w:val="16"/>
              </w:rPr>
              <w:t>-1</w:t>
            </w:r>
          </w:p>
        </w:tc>
      </w:tr>
      <w:tr w:rsidRPr="0003523F" w:rsidR="00C5122C" w:rsidTr="00C5122C">
        <w:trPr>
          <w:trHeight w:val="210"/>
        </w:trPr>
        <w:tc>
          <w:tcPr>
            <w:tcW w:w="5669" w:type="dxa"/>
            <w:tcBorders>
              <w:top w:val="nil"/>
              <w:left w:val="nil"/>
              <w:bottom w:val="nil"/>
              <w:right w:val="nil"/>
            </w:tcBorders>
            <w:shd w:val="clear" w:color="auto" w:fill="auto"/>
            <w:noWrap/>
            <w:vAlign w:val="bottom"/>
            <w:hideMark/>
          </w:tcPr>
          <w:p w:rsidRPr="0003523F" w:rsidR="00C5122C" w:rsidP="00C5122C" w:rsidRDefault="00C5122C">
            <w:pPr>
              <w:spacing w:line="240" w:lineRule="auto"/>
              <w:rPr>
                <w:rFonts w:cs="Arial"/>
                <w:sz w:val="16"/>
                <w:szCs w:val="16"/>
              </w:rPr>
            </w:pPr>
            <w:r w:rsidRPr="00C05422">
              <w:rPr>
                <w:rFonts w:cs="Arial"/>
                <w:sz w:val="16"/>
                <w:szCs w:val="16"/>
              </w:rPr>
              <w:t>Overige Hoge Colleges van Staat en Kabinetten van de Gouverneurs</w:t>
            </w:r>
          </w:p>
        </w:tc>
        <w:tc>
          <w:tcPr>
            <w:tcW w:w="850" w:type="dxa"/>
            <w:tcBorders>
              <w:top w:val="nil"/>
              <w:left w:val="nil"/>
              <w:bottom w:val="nil"/>
              <w:right w:val="nil"/>
            </w:tcBorders>
            <w:shd w:val="clear" w:color="auto" w:fill="auto"/>
            <w:noWrap/>
            <w:vAlign w:val="bottom"/>
            <w:hideMark/>
          </w:tcPr>
          <w:p w:rsidRPr="0003523F" w:rsidR="00C5122C" w:rsidP="00C5122C" w:rsidRDefault="00C5122C">
            <w:pPr>
              <w:spacing w:line="240" w:lineRule="auto"/>
              <w:jc w:val="right"/>
              <w:rPr>
                <w:rFonts w:cs="Arial"/>
                <w:sz w:val="16"/>
                <w:szCs w:val="16"/>
              </w:rPr>
            </w:pPr>
            <w:r w:rsidRPr="00C05422">
              <w:rPr>
                <w:rFonts w:cs="Arial"/>
                <w:sz w:val="16"/>
                <w:szCs w:val="16"/>
              </w:rPr>
              <w:t>-1</w:t>
            </w:r>
          </w:p>
        </w:tc>
      </w:tr>
      <w:tr w:rsidRPr="0003523F" w:rsidR="00C5122C" w:rsidTr="00C5122C">
        <w:trPr>
          <w:trHeight w:val="210"/>
        </w:trPr>
        <w:tc>
          <w:tcPr>
            <w:tcW w:w="5669" w:type="dxa"/>
            <w:tcBorders>
              <w:top w:val="nil"/>
              <w:left w:val="nil"/>
              <w:bottom w:val="nil"/>
              <w:right w:val="nil"/>
            </w:tcBorders>
            <w:shd w:val="clear" w:color="auto" w:fill="auto"/>
            <w:noWrap/>
            <w:vAlign w:val="bottom"/>
            <w:hideMark/>
          </w:tcPr>
          <w:p w:rsidRPr="0003523F" w:rsidR="00C5122C" w:rsidP="00C5122C" w:rsidRDefault="00C5122C">
            <w:pPr>
              <w:spacing w:line="240" w:lineRule="auto"/>
              <w:rPr>
                <w:rFonts w:cs="Arial"/>
                <w:sz w:val="16"/>
                <w:szCs w:val="16"/>
              </w:rPr>
            </w:pPr>
            <w:r w:rsidRPr="00C05422">
              <w:rPr>
                <w:rFonts w:cs="Arial"/>
                <w:sz w:val="16"/>
                <w:szCs w:val="16"/>
              </w:rPr>
              <w:t>Algemene zaken</w:t>
            </w:r>
          </w:p>
        </w:tc>
        <w:tc>
          <w:tcPr>
            <w:tcW w:w="850" w:type="dxa"/>
            <w:tcBorders>
              <w:top w:val="nil"/>
              <w:left w:val="nil"/>
              <w:bottom w:val="nil"/>
              <w:right w:val="nil"/>
            </w:tcBorders>
            <w:shd w:val="clear" w:color="auto" w:fill="auto"/>
            <w:noWrap/>
            <w:vAlign w:val="bottom"/>
            <w:hideMark/>
          </w:tcPr>
          <w:p w:rsidRPr="0003523F" w:rsidR="00C5122C" w:rsidP="00C5122C" w:rsidRDefault="00C5122C">
            <w:pPr>
              <w:spacing w:line="240" w:lineRule="auto"/>
              <w:jc w:val="right"/>
              <w:rPr>
                <w:rFonts w:cs="Arial"/>
                <w:sz w:val="16"/>
                <w:szCs w:val="16"/>
              </w:rPr>
            </w:pPr>
            <w:r w:rsidRPr="00C05422">
              <w:rPr>
                <w:rFonts w:cs="Arial"/>
                <w:sz w:val="16"/>
                <w:szCs w:val="16"/>
              </w:rPr>
              <w:t>-2</w:t>
            </w:r>
          </w:p>
        </w:tc>
      </w:tr>
      <w:tr w:rsidRPr="0003523F" w:rsidR="00C5122C" w:rsidTr="00C5122C">
        <w:trPr>
          <w:trHeight w:val="210"/>
        </w:trPr>
        <w:tc>
          <w:tcPr>
            <w:tcW w:w="5669" w:type="dxa"/>
            <w:tcBorders>
              <w:top w:val="nil"/>
              <w:left w:val="nil"/>
              <w:bottom w:val="nil"/>
              <w:right w:val="nil"/>
            </w:tcBorders>
            <w:shd w:val="clear" w:color="auto" w:fill="auto"/>
            <w:noWrap/>
            <w:vAlign w:val="bottom"/>
            <w:hideMark/>
          </w:tcPr>
          <w:p w:rsidRPr="0003523F" w:rsidR="00C5122C" w:rsidP="00C5122C" w:rsidRDefault="00C5122C">
            <w:pPr>
              <w:spacing w:line="240" w:lineRule="auto"/>
              <w:rPr>
                <w:rFonts w:cs="Arial"/>
                <w:sz w:val="16"/>
                <w:szCs w:val="16"/>
              </w:rPr>
            </w:pPr>
            <w:r w:rsidRPr="00C05422">
              <w:rPr>
                <w:rFonts w:cs="Arial"/>
                <w:sz w:val="16"/>
                <w:szCs w:val="16"/>
              </w:rPr>
              <w:t>Veiligheid en Justitie</w:t>
            </w:r>
          </w:p>
        </w:tc>
        <w:tc>
          <w:tcPr>
            <w:tcW w:w="850" w:type="dxa"/>
            <w:tcBorders>
              <w:top w:val="nil"/>
              <w:left w:val="nil"/>
              <w:bottom w:val="nil"/>
              <w:right w:val="nil"/>
            </w:tcBorders>
            <w:shd w:val="clear" w:color="auto" w:fill="auto"/>
            <w:noWrap/>
            <w:vAlign w:val="bottom"/>
            <w:hideMark/>
          </w:tcPr>
          <w:p w:rsidRPr="0003523F" w:rsidR="00C5122C" w:rsidP="00C5122C" w:rsidRDefault="00C5122C">
            <w:pPr>
              <w:spacing w:line="240" w:lineRule="auto"/>
              <w:jc w:val="right"/>
              <w:rPr>
                <w:rFonts w:cs="Arial"/>
                <w:sz w:val="16"/>
                <w:szCs w:val="16"/>
              </w:rPr>
            </w:pPr>
            <w:r w:rsidRPr="00C05422">
              <w:rPr>
                <w:rFonts w:cs="Arial"/>
                <w:sz w:val="16"/>
                <w:szCs w:val="16"/>
              </w:rPr>
              <w:t>10</w:t>
            </w:r>
            <w:r w:rsidR="002D593C">
              <w:rPr>
                <w:rFonts w:cs="Arial"/>
                <w:sz w:val="16"/>
                <w:szCs w:val="16"/>
              </w:rPr>
              <w:t>0</w:t>
            </w:r>
          </w:p>
        </w:tc>
      </w:tr>
      <w:tr w:rsidRPr="0003523F" w:rsidR="00C5122C" w:rsidTr="00C5122C">
        <w:trPr>
          <w:trHeight w:val="210"/>
        </w:trPr>
        <w:tc>
          <w:tcPr>
            <w:tcW w:w="5669" w:type="dxa"/>
            <w:tcBorders>
              <w:top w:val="nil"/>
              <w:left w:val="nil"/>
              <w:bottom w:val="nil"/>
              <w:right w:val="nil"/>
            </w:tcBorders>
            <w:shd w:val="clear" w:color="auto" w:fill="auto"/>
            <w:noWrap/>
            <w:vAlign w:val="bottom"/>
            <w:hideMark/>
          </w:tcPr>
          <w:p w:rsidRPr="0003523F" w:rsidR="00C5122C" w:rsidP="00C5122C" w:rsidRDefault="00C5122C">
            <w:pPr>
              <w:spacing w:line="240" w:lineRule="auto"/>
              <w:rPr>
                <w:rFonts w:cs="Arial"/>
                <w:sz w:val="16"/>
                <w:szCs w:val="16"/>
              </w:rPr>
            </w:pPr>
            <w:r w:rsidRPr="00C05422">
              <w:rPr>
                <w:rFonts w:cs="Arial"/>
                <w:sz w:val="16"/>
                <w:szCs w:val="16"/>
              </w:rPr>
              <w:t>Onderwijs, Cultuur en Wetenschap</w:t>
            </w:r>
          </w:p>
        </w:tc>
        <w:tc>
          <w:tcPr>
            <w:tcW w:w="850" w:type="dxa"/>
            <w:tcBorders>
              <w:top w:val="nil"/>
              <w:left w:val="nil"/>
              <w:bottom w:val="nil"/>
              <w:right w:val="nil"/>
            </w:tcBorders>
            <w:shd w:val="clear" w:color="auto" w:fill="auto"/>
            <w:noWrap/>
            <w:vAlign w:val="bottom"/>
            <w:hideMark/>
          </w:tcPr>
          <w:p w:rsidRPr="0003523F" w:rsidR="00C5122C" w:rsidP="00C5122C" w:rsidRDefault="00C5122C">
            <w:pPr>
              <w:spacing w:line="240" w:lineRule="auto"/>
              <w:jc w:val="right"/>
              <w:rPr>
                <w:rFonts w:cs="Arial"/>
                <w:sz w:val="16"/>
                <w:szCs w:val="16"/>
              </w:rPr>
            </w:pPr>
            <w:r w:rsidRPr="00C05422">
              <w:rPr>
                <w:rFonts w:cs="Arial"/>
                <w:sz w:val="16"/>
                <w:szCs w:val="16"/>
              </w:rPr>
              <w:t>-61</w:t>
            </w:r>
          </w:p>
        </w:tc>
      </w:tr>
      <w:tr w:rsidRPr="0003523F" w:rsidR="00C5122C" w:rsidTr="00C5122C">
        <w:trPr>
          <w:trHeight w:val="210"/>
        </w:trPr>
        <w:tc>
          <w:tcPr>
            <w:tcW w:w="5669" w:type="dxa"/>
            <w:tcBorders>
              <w:top w:val="nil"/>
              <w:left w:val="nil"/>
              <w:bottom w:val="nil"/>
              <w:right w:val="nil"/>
            </w:tcBorders>
            <w:shd w:val="clear" w:color="auto" w:fill="auto"/>
            <w:noWrap/>
            <w:vAlign w:val="bottom"/>
            <w:hideMark/>
          </w:tcPr>
          <w:p w:rsidRPr="0003523F" w:rsidR="00C5122C" w:rsidP="00C5122C" w:rsidRDefault="00C5122C">
            <w:pPr>
              <w:spacing w:line="240" w:lineRule="auto"/>
              <w:rPr>
                <w:rFonts w:cs="Arial"/>
                <w:sz w:val="16"/>
                <w:szCs w:val="16"/>
              </w:rPr>
            </w:pPr>
            <w:r w:rsidRPr="00C05422">
              <w:rPr>
                <w:rFonts w:cs="Arial"/>
                <w:sz w:val="16"/>
                <w:szCs w:val="16"/>
              </w:rPr>
              <w:t>Financiën</w:t>
            </w:r>
          </w:p>
        </w:tc>
        <w:tc>
          <w:tcPr>
            <w:tcW w:w="850" w:type="dxa"/>
            <w:tcBorders>
              <w:top w:val="nil"/>
              <w:left w:val="nil"/>
              <w:bottom w:val="nil"/>
              <w:right w:val="nil"/>
            </w:tcBorders>
            <w:shd w:val="clear" w:color="auto" w:fill="auto"/>
            <w:noWrap/>
            <w:vAlign w:val="bottom"/>
            <w:hideMark/>
          </w:tcPr>
          <w:p w:rsidRPr="0003523F" w:rsidR="00C5122C" w:rsidP="00C5122C" w:rsidRDefault="00C5122C">
            <w:pPr>
              <w:spacing w:line="240" w:lineRule="auto"/>
              <w:jc w:val="right"/>
              <w:rPr>
                <w:rFonts w:cs="Arial"/>
                <w:sz w:val="16"/>
                <w:szCs w:val="16"/>
              </w:rPr>
            </w:pPr>
            <w:r w:rsidRPr="00C05422">
              <w:rPr>
                <w:rFonts w:cs="Arial"/>
                <w:sz w:val="16"/>
                <w:szCs w:val="16"/>
              </w:rPr>
              <w:t>-54</w:t>
            </w:r>
          </w:p>
        </w:tc>
      </w:tr>
      <w:tr w:rsidRPr="0003523F" w:rsidR="00C5122C" w:rsidTr="00C5122C">
        <w:trPr>
          <w:trHeight w:val="210"/>
        </w:trPr>
        <w:tc>
          <w:tcPr>
            <w:tcW w:w="5669" w:type="dxa"/>
            <w:tcBorders>
              <w:top w:val="nil"/>
              <w:left w:val="nil"/>
              <w:bottom w:val="nil"/>
              <w:right w:val="nil"/>
            </w:tcBorders>
            <w:shd w:val="clear" w:color="auto" w:fill="auto"/>
            <w:noWrap/>
            <w:vAlign w:val="bottom"/>
            <w:hideMark/>
          </w:tcPr>
          <w:p w:rsidRPr="0003523F" w:rsidR="00C5122C" w:rsidP="00C5122C" w:rsidRDefault="00C5122C">
            <w:pPr>
              <w:spacing w:line="240" w:lineRule="auto"/>
              <w:rPr>
                <w:rFonts w:cs="Arial"/>
                <w:sz w:val="16"/>
                <w:szCs w:val="16"/>
              </w:rPr>
            </w:pPr>
            <w:r w:rsidRPr="00C05422">
              <w:rPr>
                <w:rFonts w:cs="Arial"/>
                <w:sz w:val="16"/>
                <w:szCs w:val="16"/>
              </w:rPr>
              <w:t>Infrastructuur en Milieu</w:t>
            </w:r>
          </w:p>
        </w:tc>
        <w:tc>
          <w:tcPr>
            <w:tcW w:w="850" w:type="dxa"/>
            <w:tcBorders>
              <w:top w:val="nil"/>
              <w:left w:val="nil"/>
              <w:bottom w:val="nil"/>
              <w:right w:val="nil"/>
            </w:tcBorders>
            <w:shd w:val="clear" w:color="auto" w:fill="auto"/>
            <w:noWrap/>
            <w:vAlign w:val="bottom"/>
            <w:hideMark/>
          </w:tcPr>
          <w:p w:rsidRPr="0003523F" w:rsidR="00C5122C" w:rsidP="00C5122C" w:rsidRDefault="00C5122C">
            <w:pPr>
              <w:spacing w:line="240" w:lineRule="auto"/>
              <w:jc w:val="right"/>
              <w:rPr>
                <w:rFonts w:cs="Arial"/>
                <w:sz w:val="16"/>
                <w:szCs w:val="16"/>
              </w:rPr>
            </w:pPr>
            <w:r w:rsidRPr="00C05422">
              <w:rPr>
                <w:rFonts w:cs="Arial"/>
                <w:sz w:val="16"/>
                <w:szCs w:val="16"/>
              </w:rPr>
              <w:t>-42</w:t>
            </w:r>
          </w:p>
        </w:tc>
      </w:tr>
      <w:tr w:rsidRPr="0003523F" w:rsidR="00C5122C" w:rsidTr="00C5122C">
        <w:trPr>
          <w:trHeight w:val="210"/>
        </w:trPr>
        <w:tc>
          <w:tcPr>
            <w:tcW w:w="5669" w:type="dxa"/>
            <w:tcBorders>
              <w:top w:val="nil"/>
              <w:left w:val="nil"/>
              <w:bottom w:val="nil"/>
              <w:right w:val="nil"/>
            </w:tcBorders>
            <w:shd w:val="clear" w:color="auto" w:fill="auto"/>
            <w:noWrap/>
            <w:vAlign w:val="bottom"/>
            <w:hideMark/>
          </w:tcPr>
          <w:p w:rsidRPr="0003523F" w:rsidR="00C5122C" w:rsidP="00C5122C" w:rsidRDefault="00C5122C">
            <w:pPr>
              <w:spacing w:line="240" w:lineRule="auto"/>
              <w:rPr>
                <w:rFonts w:cs="Arial"/>
                <w:sz w:val="16"/>
                <w:szCs w:val="16"/>
              </w:rPr>
            </w:pPr>
            <w:r w:rsidRPr="00C05422">
              <w:rPr>
                <w:rFonts w:cs="Arial"/>
                <w:sz w:val="16"/>
                <w:szCs w:val="16"/>
              </w:rPr>
              <w:t>Sociale Zaken en Werkgelegenheid</w:t>
            </w:r>
          </w:p>
        </w:tc>
        <w:tc>
          <w:tcPr>
            <w:tcW w:w="850" w:type="dxa"/>
            <w:tcBorders>
              <w:top w:val="nil"/>
              <w:left w:val="nil"/>
              <w:bottom w:val="nil"/>
              <w:right w:val="nil"/>
            </w:tcBorders>
            <w:shd w:val="clear" w:color="auto" w:fill="auto"/>
            <w:noWrap/>
            <w:vAlign w:val="bottom"/>
            <w:hideMark/>
          </w:tcPr>
          <w:p w:rsidRPr="0003523F" w:rsidR="00C5122C" w:rsidP="00C5122C" w:rsidRDefault="00C5122C">
            <w:pPr>
              <w:spacing w:line="240" w:lineRule="auto"/>
              <w:jc w:val="right"/>
              <w:rPr>
                <w:rFonts w:cs="Arial"/>
                <w:sz w:val="16"/>
                <w:szCs w:val="16"/>
              </w:rPr>
            </w:pPr>
            <w:r w:rsidRPr="00C05422">
              <w:rPr>
                <w:rFonts w:cs="Arial"/>
                <w:sz w:val="16"/>
                <w:szCs w:val="16"/>
              </w:rPr>
              <w:t>-37</w:t>
            </w:r>
          </w:p>
        </w:tc>
      </w:tr>
      <w:tr w:rsidRPr="0003523F" w:rsidR="00C5122C" w:rsidTr="00C5122C">
        <w:trPr>
          <w:trHeight w:val="210"/>
        </w:trPr>
        <w:tc>
          <w:tcPr>
            <w:tcW w:w="5669" w:type="dxa"/>
            <w:tcBorders>
              <w:top w:val="nil"/>
              <w:left w:val="nil"/>
              <w:bottom w:val="nil"/>
              <w:right w:val="nil"/>
            </w:tcBorders>
            <w:shd w:val="clear" w:color="auto" w:fill="auto"/>
            <w:noWrap/>
            <w:vAlign w:val="bottom"/>
            <w:hideMark/>
          </w:tcPr>
          <w:p w:rsidRPr="0003523F" w:rsidR="00C5122C" w:rsidP="00C5122C" w:rsidRDefault="00C5122C">
            <w:pPr>
              <w:spacing w:line="240" w:lineRule="auto"/>
              <w:rPr>
                <w:rFonts w:cs="Arial"/>
                <w:sz w:val="16"/>
                <w:szCs w:val="16"/>
              </w:rPr>
            </w:pPr>
            <w:r w:rsidRPr="00C05422">
              <w:rPr>
                <w:rFonts w:cs="Arial"/>
                <w:sz w:val="16"/>
                <w:szCs w:val="16"/>
              </w:rPr>
              <w:t>Volksgezondheid, Welzijn en Sport</w:t>
            </w:r>
          </w:p>
        </w:tc>
        <w:tc>
          <w:tcPr>
            <w:tcW w:w="850" w:type="dxa"/>
            <w:tcBorders>
              <w:top w:val="nil"/>
              <w:left w:val="nil"/>
              <w:bottom w:val="nil"/>
              <w:right w:val="nil"/>
            </w:tcBorders>
            <w:shd w:val="clear" w:color="auto" w:fill="auto"/>
            <w:noWrap/>
            <w:vAlign w:val="bottom"/>
            <w:hideMark/>
          </w:tcPr>
          <w:p w:rsidRPr="0003523F" w:rsidR="00C5122C" w:rsidP="00C5122C" w:rsidRDefault="00C5122C">
            <w:pPr>
              <w:spacing w:line="240" w:lineRule="auto"/>
              <w:jc w:val="right"/>
              <w:rPr>
                <w:rFonts w:cs="Arial"/>
                <w:sz w:val="16"/>
                <w:szCs w:val="16"/>
              </w:rPr>
            </w:pPr>
            <w:r w:rsidRPr="00C05422">
              <w:rPr>
                <w:rFonts w:cs="Arial"/>
                <w:sz w:val="16"/>
                <w:szCs w:val="16"/>
              </w:rPr>
              <w:t>-99</w:t>
            </w:r>
          </w:p>
        </w:tc>
      </w:tr>
      <w:tr w:rsidRPr="0003523F" w:rsidR="00C5122C" w:rsidTr="00C5122C">
        <w:trPr>
          <w:trHeight w:val="210"/>
        </w:trPr>
        <w:tc>
          <w:tcPr>
            <w:tcW w:w="5669" w:type="dxa"/>
            <w:tcBorders>
              <w:top w:val="nil"/>
              <w:left w:val="nil"/>
              <w:bottom w:val="nil"/>
              <w:right w:val="nil"/>
            </w:tcBorders>
            <w:shd w:val="clear" w:color="auto" w:fill="auto"/>
            <w:noWrap/>
            <w:vAlign w:val="bottom"/>
            <w:hideMark/>
          </w:tcPr>
          <w:p w:rsidRPr="0003523F" w:rsidR="00C5122C" w:rsidP="00C5122C" w:rsidRDefault="00C5122C">
            <w:pPr>
              <w:spacing w:line="240" w:lineRule="auto"/>
              <w:rPr>
                <w:rFonts w:cs="Arial"/>
                <w:sz w:val="16"/>
                <w:szCs w:val="16"/>
              </w:rPr>
            </w:pPr>
            <w:r w:rsidRPr="00C05422">
              <w:rPr>
                <w:rFonts w:cs="Arial"/>
                <w:sz w:val="16"/>
                <w:szCs w:val="16"/>
              </w:rPr>
              <w:t>Infrastructuurfonds</w:t>
            </w:r>
          </w:p>
        </w:tc>
        <w:tc>
          <w:tcPr>
            <w:tcW w:w="850" w:type="dxa"/>
            <w:tcBorders>
              <w:top w:val="nil"/>
              <w:left w:val="nil"/>
              <w:bottom w:val="nil"/>
              <w:right w:val="nil"/>
            </w:tcBorders>
            <w:shd w:val="clear" w:color="auto" w:fill="auto"/>
            <w:noWrap/>
            <w:vAlign w:val="bottom"/>
            <w:hideMark/>
          </w:tcPr>
          <w:p w:rsidRPr="0003523F" w:rsidR="00C5122C" w:rsidP="00C5122C" w:rsidRDefault="00C5122C">
            <w:pPr>
              <w:spacing w:line="240" w:lineRule="auto"/>
              <w:jc w:val="right"/>
              <w:rPr>
                <w:rFonts w:cs="Arial"/>
                <w:sz w:val="16"/>
                <w:szCs w:val="16"/>
              </w:rPr>
            </w:pPr>
            <w:r w:rsidRPr="00C05422">
              <w:rPr>
                <w:rFonts w:cs="Arial"/>
                <w:sz w:val="16"/>
                <w:szCs w:val="16"/>
              </w:rPr>
              <w:t>-500</w:t>
            </w:r>
          </w:p>
        </w:tc>
      </w:tr>
      <w:tr w:rsidRPr="0003523F" w:rsidR="00C5122C" w:rsidTr="00C5122C">
        <w:trPr>
          <w:trHeight w:val="210"/>
        </w:trPr>
        <w:tc>
          <w:tcPr>
            <w:tcW w:w="5669" w:type="dxa"/>
            <w:tcBorders>
              <w:top w:val="nil"/>
              <w:left w:val="nil"/>
              <w:bottom w:val="nil"/>
              <w:right w:val="nil"/>
            </w:tcBorders>
            <w:shd w:val="clear" w:color="auto" w:fill="auto"/>
            <w:noWrap/>
            <w:vAlign w:val="bottom"/>
            <w:hideMark/>
          </w:tcPr>
          <w:p w:rsidRPr="0003523F" w:rsidR="00C5122C" w:rsidP="00C5122C" w:rsidRDefault="00C5122C">
            <w:pPr>
              <w:spacing w:line="240" w:lineRule="auto"/>
              <w:rPr>
                <w:rFonts w:cs="Arial"/>
                <w:sz w:val="16"/>
                <w:szCs w:val="16"/>
              </w:rPr>
            </w:pPr>
            <w:r w:rsidRPr="00C05422">
              <w:rPr>
                <w:rFonts w:cs="Arial"/>
                <w:sz w:val="16"/>
                <w:szCs w:val="16"/>
              </w:rPr>
              <w:t>Deltafonds</w:t>
            </w:r>
          </w:p>
        </w:tc>
        <w:tc>
          <w:tcPr>
            <w:tcW w:w="850" w:type="dxa"/>
            <w:tcBorders>
              <w:top w:val="nil"/>
              <w:left w:val="nil"/>
              <w:bottom w:val="nil"/>
              <w:right w:val="nil"/>
            </w:tcBorders>
            <w:shd w:val="clear" w:color="auto" w:fill="auto"/>
            <w:noWrap/>
            <w:vAlign w:val="bottom"/>
            <w:hideMark/>
          </w:tcPr>
          <w:p w:rsidRPr="0003523F" w:rsidR="00C5122C" w:rsidP="00C5122C" w:rsidRDefault="00C5122C">
            <w:pPr>
              <w:spacing w:line="240" w:lineRule="auto"/>
              <w:jc w:val="right"/>
              <w:rPr>
                <w:rFonts w:cs="Arial"/>
                <w:sz w:val="16"/>
                <w:szCs w:val="16"/>
              </w:rPr>
            </w:pPr>
            <w:r w:rsidRPr="00C05422">
              <w:rPr>
                <w:rFonts w:cs="Arial"/>
                <w:sz w:val="16"/>
                <w:szCs w:val="16"/>
              </w:rPr>
              <w:t>-130</w:t>
            </w:r>
          </w:p>
        </w:tc>
      </w:tr>
      <w:tr w:rsidRPr="0003523F" w:rsidR="00C5122C" w:rsidTr="00C5122C">
        <w:trPr>
          <w:trHeight w:val="210"/>
        </w:trPr>
        <w:tc>
          <w:tcPr>
            <w:tcW w:w="5669" w:type="dxa"/>
            <w:tcBorders>
              <w:top w:val="nil"/>
              <w:left w:val="nil"/>
              <w:bottom w:val="nil"/>
              <w:right w:val="nil"/>
            </w:tcBorders>
            <w:shd w:val="clear" w:color="auto" w:fill="auto"/>
            <w:noWrap/>
            <w:vAlign w:val="bottom"/>
            <w:hideMark/>
          </w:tcPr>
          <w:p w:rsidRPr="0003523F" w:rsidR="00C5122C" w:rsidP="00C5122C" w:rsidRDefault="00C5122C">
            <w:pPr>
              <w:spacing w:line="240" w:lineRule="auto"/>
              <w:rPr>
                <w:rFonts w:cs="Arial"/>
                <w:sz w:val="16"/>
                <w:szCs w:val="16"/>
              </w:rPr>
            </w:pPr>
            <w:r w:rsidRPr="00C05422">
              <w:rPr>
                <w:rFonts w:cs="Arial"/>
                <w:sz w:val="16"/>
                <w:szCs w:val="16"/>
              </w:rPr>
              <w:t>Aanvullende posten</w:t>
            </w:r>
          </w:p>
        </w:tc>
        <w:tc>
          <w:tcPr>
            <w:tcW w:w="850" w:type="dxa"/>
            <w:tcBorders>
              <w:top w:val="nil"/>
              <w:left w:val="nil"/>
              <w:bottom w:val="nil"/>
              <w:right w:val="nil"/>
            </w:tcBorders>
            <w:shd w:val="clear" w:color="auto" w:fill="auto"/>
            <w:noWrap/>
            <w:vAlign w:val="bottom"/>
            <w:hideMark/>
          </w:tcPr>
          <w:p w:rsidRPr="0003523F" w:rsidR="00C5122C" w:rsidP="00C5122C" w:rsidRDefault="00C5122C">
            <w:pPr>
              <w:spacing w:line="240" w:lineRule="auto"/>
              <w:jc w:val="right"/>
              <w:rPr>
                <w:rFonts w:cs="Arial"/>
                <w:sz w:val="16"/>
                <w:szCs w:val="16"/>
              </w:rPr>
            </w:pPr>
            <w:r w:rsidRPr="00C05422">
              <w:rPr>
                <w:rFonts w:cs="Arial"/>
                <w:sz w:val="16"/>
                <w:szCs w:val="16"/>
              </w:rPr>
              <w:t>-65</w:t>
            </w:r>
          </w:p>
        </w:tc>
      </w:tr>
      <w:tr w:rsidRPr="0003523F" w:rsidR="00C5122C" w:rsidTr="00C5122C">
        <w:trPr>
          <w:trHeight w:val="210"/>
        </w:trPr>
        <w:tc>
          <w:tcPr>
            <w:tcW w:w="5669" w:type="dxa"/>
            <w:tcBorders>
              <w:top w:val="nil"/>
              <w:left w:val="nil"/>
              <w:bottom w:val="nil"/>
              <w:right w:val="nil"/>
            </w:tcBorders>
            <w:shd w:val="clear" w:color="auto" w:fill="auto"/>
            <w:noWrap/>
            <w:vAlign w:val="bottom"/>
            <w:hideMark/>
          </w:tcPr>
          <w:p w:rsidRPr="0003523F" w:rsidR="00C5122C" w:rsidP="00C5122C" w:rsidRDefault="00C5122C">
            <w:pPr>
              <w:spacing w:line="240" w:lineRule="auto"/>
              <w:rPr>
                <w:rFonts w:cs="Arial"/>
                <w:sz w:val="16"/>
                <w:szCs w:val="16"/>
              </w:rPr>
            </w:pPr>
            <w:r w:rsidRPr="00C05422">
              <w:rPr>
                <w:rFonts w:cs="Arial"/>
                <w:sz w:val="16"/>
                <w:szCs w:val="16"/>
              </w:rPr>
              <w:t>HGIS</w:t>
            </w:r>
          </w:p>
        </w:tc>
        <w:tc>
          <w:tcPr>
            <w:tcW w:w="850" w:type="dxa"/>
            <w:tcBorders>
              <w:top w:val="nil"/>
              <w:left w:val="nil"/>
              <w:bottom w:val="nil"/>
              <w:right w:val="nil"/>
            </w:tcBorders>
            <w:shd w:val="clear" w:color="auto" w:fill="auto"/>
            <w:noWrap/>
            <w:vAlign w:val="bottom"/>
            <w:hideMark/>
          </w:tcPr>
          <w:p w:rsidRPr="0003523F" w:rsidR="00C5122C" w:rsidP="00C5122C" w:rsidRDefault="00C5122C">
            <w:pPr>
              <w:spacing w:line="240" w:lineRule="auto"/>
              <w:jc w:val="right"/>
              <w:rPr>
                <w:rFonts w:cs="Arial"/>
                <w:sz w:val="16"/>
                <w:szCs w:val="16"/>
              </w:rPr>
            </w:pPr>
            <w:r w:rsidRPr="00C05422">
              <w:rPr>
                <w:rFonts w:cs="Arial"/>
                <w:sz w:val="16"/>
                <w:szCs w:val="16"/>
              </w:rPr>
              <w:t>-10</w:t>
            </w:r>
          </w:p>
        </w:tc>
      </w:tr>
      <w:tr w:rsidRPr="0003523F" w:rsidR="00C5122C" w:rsidTr="00C5122C">
        <w:trPr>
          <w:trHeight w:val="210"/>
        </w:trPr>
        <w:tc>
          <w:tcPr>
            <w:tcW w:w="5669" w:type="dxa"/>
            <w:tcBorders>
              <w:top w:val="nil"/>
              <w:left w:val="nil"/>
              <w:bottom w:val="single" w:color="auto" w:sz="4" w:space="0"/>
              <w:right w:val="nil"/>
            </w:tcBorders>
            <w:shd w:val="clear" w:color="auto" w:fill="auto"/>
            <w:noWrap/>
            <w:vAlign w:val="bottom"/>
            <w:hideMark/>
          </w:tcPr>
          <w:p w:rsidRPr="0003523F" w:rsidR="00C5122C" w:rsidP="00C5122C" w:rsidRDefault="00C5122C">
            <w:pPr>
              <w:spacing w:line="240" w:lineRule="auto"/>
              <w:rPr>
                <w:rFonts w:cs="Arial"/>
                <w:b/>
                <w:bCs/>
                <w:sz w:val="16"/>
                <w:szCs w:val="16"/>
              </w:rPr>
            </w:pPr>
            <w:r w:rsidRPr="00C05422">
              <w:rPr>
                <w:rFonts w:cs="Arial"/>
                <w:b/>
                <w:bCs/>
                <w:sz w:val="16"/>
                <w:szCs w:val="16"/>
              </w:rPr>
              <w:t>Totaal</w:t>
            </w:r>
          </w:p>
        </w:tc>
        <w:tc>
          <w:tcPr>
            <w:tcW w:w="850" w:type="dxa"/>
            <w:tcBorders>
              <w:top w:val="nil"/>
              <w:left w:val="nil"/>
              <w:bottom w:val="single" w:color="auto" w:sz="4" w:space="0"/>
              <w:right w:val="nil"/>
            </w:tcBorders>
            <w:shd w:val="clear" w:color="auto" w:fill="auto"/>
            <w:noWrap/>
            <w:vAlign w:val="bottom"/>
            <w:hideMark/>
          </w:tcPr>
          <w:p w:rsidRPr="0003523F" w:rsidR="00C5122C" w:rsidP="00C5122C" w:rsidRDefault="00C5122C">
            <w:pPr>
              <w:spacing w:line="240" w:lineRule="auto"/>
              <w:jc w:val="right"/>
              <w:rPr>
                <w:rFonts w:cs="Arial"/>
                <w:b/>
                <w:bCs/>
                <w:sz w:val="16"/>
                <w:szCs w:val="16"/>
              </w:rPr>
            </w:pPr>
            <w:r w:rsidRPr="00C05422">
              <w:rPr>
                <w:rFonts w:cs="Arial"/>
                <w:b/>
                <w:bCs/>
                <w:sz w:val="16"/>
                <w:szCs w:val="16"/>
              </w:rPr>
              <w:t>-</w:t>
            </w:r>
            <w:r w:rsidR="002D593C">
              <w:rPr>
                <w:rFonts w:cs="Arial"/>
                <w:b/>
                <w:bCs/>
                <w:sz w:val="16"/>
                <w:szCs w:val="16"/>
              </w:rPr>
              <w:t>901</w:t>
            </w:r>
          </w:p>
        </w:tc>
      </w:tr>
    </w:tbl>
    <w:p w:rsidR="00BB685A" w:rsidP="00BB685A" w:rsidRDefault="00BB685A"/>
    <w:p w:rsidR="00BB685A" w:rsidP="00BB685A" w:rsidRDefault="00BB685A">
      <w:r>
        <w:t>Bij Voorjaarsnota 2016 is, tegelijkertijd met de eindejaarsmarge van 2015, de in=uittaakstelling voor 2016 geboekt. In deze Najaarsnota word</w:t>
      </w:r>
      <w:r w:rsidR="007F2421">
        <w:t>t de in=uittaakstelling voor 1,4</w:t>
      </w:r>
      <w:r>
        <w:t xml:space="preserve"> miljard ingevuld. Deze invulling is onder andere mogelijk dankzij de onderuitputting</w:t>
      </w:r>
      <w:r>
        <w:rPr>
          <w:rStyle w:val="Verwijzingopmerking"/>
        </w:rPr>
        <w:t> </w:t>
      </w:r>
      <w:r>
        <w:t xml:space="preserve"> die in tot nu toe is opgetreden bij de departementen (zie tabel 2.3) en op het Budgettair Kader Zorg (zie tabel 2.5). De resterende in=uit</w:t>
      </w:r>
      <w:r w:rsidR="002150C6">
        <w:t>taakstelling ter grootte van 1,0</w:t>
      </w:r>
      <w:r>
        <w:t xml:space="preserve"> miljard euro moet nog worden ingevuld bij het Financieel Jaarverslag Rijk.</w:t>
      </w:r>
    </w:p>
    <w:p w:rsidR="00BB685A" w:rsidP="00BB685A" w:rsidRDefault="00BB685A">
      <w:pPr>
        <w:pStyle w:val="tekst"/>
      </w:pPr>
      <w:r>
        <w:t>Het kader RBG-eng is gecorrigeerd voor de budgettaire gevolgen van de ratificatie van het eigenmiddelenbesluit, zie ook de toelichting bij de EU-afdrachten hierboven.</w:t>
      </w:r>
    </w:p>
    <w:p w:rsidRPr="00C02FD1" w:rsidR="00BB685A" w:rsidP="00BB685A" w:rsidRDefault="00BB685A">
      <w:pPr>
        <w:pStyle w:val="Kop2"/>
        <w:rPr>
          <w:b w:val="0"/>
          <w:sz w:val="18"/>
          <w:szCs w:val="18"/>
          <w:u w:val="single"/>
        </w:rPr>
      </w:pPr>
      <w:r w:rsidRPr="00C02FD1">
        <w:rPr>
          <w:b w:val="0"/>
          <w:sz w:val="18"/>
          <w:szCs w:val="18"/>
          <w:u w:val="single"/>
        </w:rPr>
        <w:t>Sociale zekerheid en arbeidsmarktbeleid (SZA)</w:t>
      </w:r>
    </w:p>
    <w:p w:rsidR="00BB685A" w:rsidP="00BB685A" w:rsidRDefault="00BB685A">
      <w:pPr>
        <w:pStyle w:val="tekst"/>
      </w:pPr>
      <w:r w:rsidRPr="000B2011">
        <w:t xml:space="preserve">Tabel </w:t>
      </w:r>
      <w:r>
        <w:t>2.4</w:t>
      </w:r>
      <w:r w:rsidRPr="000B2011">
        <w:t xml:space="preserve"> geeft de uitgavenontwikkeling onder het SZA-kad</w:t>
      </w:r>
      <w:r>
        <w:t>er weer sinds Miljoenennota 2017</w:t>
      </w:r>
      <w:r w:rsidRPr="000B2011">
        <w:t>.</w:t>
      </w:r>
      <w:r>
        <w:t xml:space="preserve"> Er vinden slechts kleine bijstellingen plaats onder het SZA-kader, die per saldo de onderschrijding met 10 miljoen vergroot tot 0,7 miljard euro.</w:t>
      </w:r>
    </w:p>
    <w:p w:rsidR="00BB685A" w:rsidP="00BB685A" w:rsidRDefault="00BB685A">
      <w:pPr>
        <w:pStyle w:val="bijschrift"/>
        <w:keepNext/>
        <w:keepLines/>
        <w:contextualSpacing/>
      </w:pPr>
      <w:r w:rsidRPr="00BC2838">
        <w:t>Tabel 2.4 Kadertoetsing SZA (in miljarden euro; -/- is onderschrijding)</w:t>
      </w:r>
    </w:p>
    <w:tbl>
      <w:tblPr>
        <w:tblW w:w="6519" w:type="dxa"/>
        <w:tblInd w:w="70" w:type="dxa"/>
        <w:tblCellMar>
          <w:left w:w="70" w:type="dxa"/>
          <w:right w:w="70" w:type="dxa"/>
        </w:tblCellMar>
        <w:tblLook w:val="04A0"/>
      </w:tblPr>
      <w:tblGrid>
        <w:gridCol w:w="5669"/>
        <w:gridCol w:w="850"/>
      </w:tblGrid>
      <w:tr w:rsidRPr="002E622B" w:rsidR="00BB685A" w:rsidTr="00C5122C">
        <w:trPr>
          <w:trHeight w:val="227"/>
        </w:trPr>
        <w:tc>
          <w:tcPr>
            <w:tcW w:w="5669" w:type="dxa"/>
            <w:tcBorders>
              <w:top w:val="single" w:color="auto" w:sz="4" w:space="0"/>
              <w:left w:val="nil"/>
              <w:bottom w:val="single" w:color="auto" w:sz="4" w:space="0"/>
              <w:right w:val="nil"/>
            </w:tcBorders>
            <w:shd w:val="clear" w:color="auto" w:fill="auto"/>
            <w:noWrap/>
            <w:vAlign w:val="bottom"/>
            <w:hideMark/>
          </w:tcPr>
          <w:p w:rsidRPr="002E622B" w:rsidR="00BB685A" w:rsidP="00C5122C" w:rsidRDefault="00BB685A">
            <w:pPr>
              <w:keepNext/>
              <w:keepLines/>
              <w:spacing w:line="240" w:lineRule="auto"/>
              <w:rPr>
                <w:rFonts w:cs="Arial"/>
                <w:b/>
                <w:bCs/>
                <w:sz w:val="16"/>
                <w:szCs w:val="16"/>
              </w:rPr>
            </w:pPr>
            <w:r w:rsidRPr="002E622B">
              <w:rPr>
                <w:rFonts w:cs="Arial"/>
                <w:b/>
                <w:bCs/>
                <w:sz w:val="16"/>
                <w:szCs w:val="16"/>
              </w:rPr>
              <w:t> </w:t>
            </w:r>
          </w:p>
        </w:tc>
        <w:tc>
          <w:tcPr>
            <w:tcW w:w="850" w:type="dxa"/>
            <w:tcBorders>
              <w:top w:val="single" w:color="auto" w:sz="4" w:space="0"/>
              <w:left w:val="nil"/>
              <w:bottom w:val="single" w:color="auto" w:sz="4" w:space="0"/>
              <w:right w:val="nil"/>
            </w:tcBorders>
            <w:shd w:val="clear" w:color="auto" w:fill="auto"/>
            <w:noWrap/>
            <w:vAlign w:val="bottom"/>
            <w:hideMark/>
          </w:tcPr>
          <w:p w:rsidRPr="002E622B" w:rsidR="00BB685A" w:rsidP="00C5122C" w:rsidRDefault="00BB685A">
            <w:pPr>
              <w:keepNext/>
              <w:keepLines/>
              <w:spacing w:line="240" w:lineRule="auto"/>
              <w:jc w:val="right"/>
              <w:rPr>
                <w:rFonts w:cs="Arial"/>
                <w:b/>
                <w:bCs/>
                <w:sz w:val="16"/>
                <w:szCs w:val="16"/>
              </w:rPr>
            </w:pPr>
            <w:r w:rsidRPr="002E622B">
              <w:rPr>
                <w:rFonts w:cs="Arial"/>
                <w:b/>
                <w:bCs/>
                <w:sz w:val="16"/>
                <w:szCs w:val="16"/>
              </w:rPr>
              <w:t>2016</w:t>
            </w:r>
          </w:p>
        </w:tc>
      </w:tr>
      <w:tr w:rsidRPr="002E622B" w:rsidR="00BB685A" w:rsidTr="00C5122C">
        <w:trPr>
          <w:trHeight w:val="227"/>
        </w:trPr>
        <w:tc>
          <w:tcPr>
            <w:tcW w:w="5669" w:type="dxa"/>
            <w:tcBorders>
              <w:top w:val="nil"/>
              <w:left w:val="nil"/>
              <w:bottom w:val="nil"/>
              <w:right w:val="nil"/>
            </w:tcBorders>
            <w:shd w:val="clear" w:color="auto" w:fill="auto"/>
            <w:noWrap/>
            <w:vAlign w:val="bottom"/>
            <w:hideMark/>
          </w:tcPr>
          <w:p w:rsidRPr="002E622B" w:rsidR="00BB685A" w:rsidP="00C5122C" w:rsidRDefault="00BB685A">
            <w:pPr>
              <w:keepNext/>
              <w:keepLines/>
              <w:spacing w:line="240" w:lineRule="auto"/>
              <w:rPr>
                <w:rFonts w:cs="Arial"/>
                <w:b/>
                <w:bCs/>
                <w:sz w:val="16"/>
                <w:szCs w:val="16"/>
              </w:rPr>
            </w:pPr>
            <w:r w:rsidRPr="002E622B">
              <w:rPr>
                <w:rFonts w:cs="Arial"/>
                <w:b/>
                <w:bCs/>
                <w:sz w:val="16"/>
                <w:szCs w:val="16"/>
              </w:rPr>
              <w:t>Miljoenennota 2017</w:t>
            </w:r>
          </w:p>
        </w:tc>
        <w:tc>
          <w:tcPr>
            <w:tcW w:w="850" w:type="dxa"/>
            <w:tcBorders>
              <w:top w:val="nil"/>
              <w:left w:val="nil"/>
              <w:bottom w:val="nil"/>
              <w:right w:val="nil"/>
            </w:tcBorders>
            <w:shd w:val="clear" w:color="auto" w:fill="auto"/>
            <w:noWrap/>
            <w:vAlign w:val="bottom"/>
            <w:hideMark/>
          </w:tcPr>
          <w:p w:rsidRPr="002E622B" w:rsidR="00BB685A" w:rsidP="00C5122C" w:rsidRDefault="00BB685A">
            <w:pPr>
              <w:keepNext/>
              <w:keepLines/>
              <w:spacing w:line="240" w:lineRule="auto"/>
              <w:jc w:val="right"/>
              <w:rPr>
                <w:rFonts w:cs="Arial"/>
                <w:b/>
                <w:bCs/>
                <w:sz w:val="16"/>
                <w:szCs w:val="16"/>
              </w:rPr>
            </w:pPr>
            <w:r w:rsidRPr="002E622B">
              <w:rPr>
                <w:rFonts w:cs="Arial"/>
                <w:b/>
                <w:bCs/>
                <w:sz w:val="16"/>
                <w:szCs w:val="16"/>
              </w:rPr>
              <w:t>-0,7</w:t>
            </w:r>
          </w:p>
        </w:tc>
      </w:tr>
      <w:tr w:rsidRPr="002E622B" w:rsidR="00BB685A" w:rsidTr="00C5122C">
        <w:trPr>
          <w:trHeight w:val="227"/>
        </w:trPr>
        <w:tc>
          <w:tcPr>
            <w:tcW w:w="5669" w:type="dxa"/>
            <w:tcBorders>
              <w:top w:val="nil"/>
              <w:left w:val="nil"/>
              <w:bottom w:val="nil"/>
              <w:right w:val="nil"/>
            </w:tcBorders>
            <w:shd w:val="clear" w:color="auto" w:fill="auto"/>
            <w:noWrap/>
            <w:vAlign w:val="bottom"/>
            <w:hideMark/>
          </w:tcPr>
          <w:p w:rsidRPr="002E622B" w:rsidR="00BB685A" w:rsidP="00C5122C" w:rsidRDefault="00BB685A">
            <w:pPr>
              <w:keepNext/>
              <w:keepLines/>
              <w:spacing w:line="240" w:lineRule="auto"/>
              <w:rPr>
                <w:rFonts w:cs="Arial"/>
                <w:sz w:val="16"/>
                <w:szCs w:val="16"/>
              </w:rPr>
            </w:pPr>
            <w:r>
              <w:rPr>
                <w:rFonts w:cs="Arial"/>
                <w:sz w:val="16"/>
                <w:szCs w:val="16"/>
              </w:rPr>
              <w:t>Werkloosheidswet (</w:t>
            </w:r>
            <w:r w:rsidRPr="002E622B">
              <w:rPr>
                <w:rFonts w:cs="Arial"/>
                <w:sz w:val="16"/>
                <w:szCs w:val="16"/>
              </w:rPr>
              <w:t>WW</w:t>
            </w:r>
            <w:r>
              <w:rPr>
                <w:rFonts w:cs="Arial"/>
                <w:sz w:val="16"/>
                <w:szCs w:val="16"/>
              </w:rPr>
              <w:t>)</w:t>
            </w:r>
          </w:p>
        </w:tc>
        <w:tc>
          <w:tcPr>
            <w:tcW w:w="850" w:type="dxa"/>
            <w:tcBorders>
              <w:top w:val="nil"/>
              <w:left w:val="nil"/>
              <w:bottom w:val="nil"/>
              <w:right w:val="nil"/>
            </w:tcBorders>
            <w:shd w:val="clear" w:color="auto" w:fill="auto"/>
            <w:noWrap/>
            <w:vAlign w:val="bottom"/>
            <w:hideMark/>
          </w:tcPr>
          <w:p w:rsidRPr="002E622B" w:rsidR="00BB685A" w:rsidP="00C5122C" w:rsidRDefault="00BB685A">
            <w:pPr>
              <w:keepNext/>
              <w:keepLines/>
              <w:spacing w:line="240" w:lineRule="auto"/>
              <w:jc w:val="right"/>
              <w:rPr>
                <w:rFonts w:cs="Arial"/>
                <w:sz w:val="16"/>
                <w:szCs w:val="16"/>
              </w:rPr>
            </w:pPr>
            <w:r w:rsidRPr="002E622B">
              <w:rPr>
                <w:rFonts w:cs="Arial"/>
                <w:sz w:val="16"/>
                <w:szCs w:val="16"/>
              </w:rPr>
              <w:t>0,0</w:t>
            </w:r>
          </w:p>
        </w:tc>
      </w:tr>
      <w:tr w:rsidRPr="002E622B" w:rsidR="00BB685A" w:rsidTr="00C5122C">
        <w:trPr>
          <w:trHeight w:val="227"/>
        </w:trPr>
        <w:tc>
          <w:tcPr>
            <w:tcW w:w="5669" w:type="dxa"/>
            <w:tcBorders>
              <w:top w:val="nil"/>
              <w:left w:val="nil"/>
              <w:bottom w:val="nil"/>
              <w:right w:val="nil"/>
            </w:tcBorders>
            <w:shd w:val="clear" w:color="auto" w:fill="auto"/>
            <w:noWrap/>
            <w:vAlign w:val="bottom"/>
            <w:hideMark/>
          </w:tcPr>
          <w:p w:rsidRPr="002E622B" w:rsidR="00BB685A" w:rsidP="00C5122C" w:rsidRDefault="00BB685A">
            <w:pPr>
              <w:keepNext/>
              <w:keepLines/>
              <w:spacing w:line="240" w:lineRule="auto"/>
              <w:rPr>
                <w:rFonts w:cs="Arial"/>
                <w:sz w:val="16"/>
                <w:szCs w:val="16"/>
              </w:rPr>
            </w:pPr>
            <w:r w:rsidRPr="002E622B">
              <w:rPr>
                <w:rFonts w:cs="Arial"/>
                <w:sz w:val="16"/>
                <w:szCs w:val="16"/>
              </w:rPr>
              <w:t>Kinderopvangtoeslag</w:t>
            </w:r>
          </w:p>
        </w:tc>
        <w:tc>
          <w:tcPr>
            <w:tcW w:w="850" w:type="dxa"/>
            <w:tcBorders>
              <w:top w:val="nil"/>
              <w:left w:val="nil"/>
              <w:bottom w:val="nil"/>
              <w:right w:val="nil"/>
            </w:tcBorders>
            <w:shd w:val="clear" w:color="auto" w:fill="auto"/>
            <w:noWrap/>
            <w:vAlign w:val="bottom"/>
            <w:hideMark/>
          </w:tcPr>
          <w:p w:rsidRPr="002E622B" w:rsidR="00BB685A" w:rsidP="00C5122C" w:rsidRDefault="00BB685A">
            <w:pPr>
              <w:keepNext/>
              <w:keepLines/>
              <w:spacing w:line="240" w:lineRule="auto"/>
              <w:jc w:val="right"/>
              <w:rPr>
                <w:rFonts w:cs="Arial"/>
                <w:sz w:val="16"/>
                <w:szCs w:val="16"/>
              </w:rPr>
            </w:pPr>
            <w:r w:rsidRPr="002E622B">
              <w:rPr>
                <w:rFonts w:cs="Arial"/>
                <w:sz w:val="16"/>
                <w:szCs w:val="16"/>
              </w:rPr>
              <w:t>0,0</w:t>
            </w:r>
          </w:p>
        </w:tc>
      </w:tr>
      <w:tr w:rsidRPr="002E622B" w:rsidR="00BB685A" w:rsidTr="00C5122C">
        <w:trPr>
          <w:trHeight w:val="227"/>
        </w:trPr>
        <w:tc>
          <w:tcPr>
            <w:tcW w:w="5669" w:type="dxa"/>
            <w:tcBorders>
              <w:top w:val="nil"/>
              <w:left w:val="nil"/>
              <w:bottom w:val="nil"/>
              <w:right w:val="nil"/>
            </w:tcBorders>
            <w:shd w:val="clear" w:color="auto" w:fill="auto"/>
            <w:noWrap/>
            <w:vAlign w:val="bottom"/>
            <w:hideMark/>
          </w:tcPr>
          <w:p w:rsidRPr="002E622B" w:rsidR="00BB685A" w:rsidP="00C5122C" w:rsidRDefault="00BB685A">
            <w:pPr>
              <w:keepNext/>
              <w:keepLines/>
              <w:spacing w:line="240" w:lineRule="auto"/>
              <w:rPr>
                <w:rFonts w:cs="Arial"/>
                <w:sz w:val="16"/>
                <w:szCs w:val="16"/>
              </w:rPr>
            </w:pPr>
            <w:r w:rsidRPr="002E622B">
              <w:rPr>
                <w:rFonts w:cs="Arial"/>
                <w:sz w:val="16"/>
                <w:szCs w:val="16"/>
              </w:rPr>
              <w:t xml:space="preserve">Overig </w:t>
            </w:r>
          </w:p>
        </w:tc>
        <w:tc>
          <w:tcPr>
            <w:tcW w:w="850" w:type="dxa"/>
            <w:tcBorders>
              <w:top w:val="nil"/>
              <w:left w:val="nil"/>
              <w:bottom w:val="nil"/>
              <w:right w:val="nil"/>
            </w:tcBorders>
            <w:shd w:val="clear" w:color="auto" w:fill="auto"/>
            <w:noWrap/>
            <w:vAlign w:val="bottom"/>
            <w:hideMark/>
          </w:tcPr>
          <w:p w:rsidRPr="002E622B" w:rsidR="00BB685A" w:rsidP="00C5122C" w:rsidRDefault="00BB685A">
            <w:pPr>
              <w:keepNext/>
              <w:keepLines/>
              <w:spacing w:line="240" w:lineRule="auto"/>
              <w:jc w:val="right"/>
              <w:rPr>
                <w:rFonts w:cs="Arial"/>
                <w:sz w:val="16"/>
                <w:szCs w:val="16"/>
              </w:rPr>
            </w:pPr>
            <w:r w:rsidRPr="002E622B">
              <w:rPr>
                <w:rFonts w:cs="Arial"/>
                <w:sz w:val="16"/>
                <w:szCs w:val="16"/>
              </w:rPr>
              <w:t>0,0</w:t>
            </w:r>
          </w:p>
        </w:tc>
      </w:tr>
      <w:tr w:rsidRPr="002E622B" w:rsidR="00BB685A" w:rsidTr="00C5122C">
        <w:trPr>
          <w:trHeight w:val="227"/>
        </w:trPr>
        <w:tc>
          <w:tcPr>
            <w:tcW w:w="5669" w:type="dxa"/>
            <w:tcBorders>
              <w:top w:val="nil"/>
              <w:left w:val="nil"/>
              <w:bottom w:val="single" w:color="auto" w:sz="4" w:space="0"/>
              <w:right w:val="nil"/>
            </w:tcBorders>
            <w:shd w:val="clear" w:color="auto" w:fill="auto"/>
            <w:noWrap/>
            <w:vAlign w:val="bottom"/>
            <w:hideMark/>
          </w:tcPr>
          <w:p w:rsidRPr="002E622B" w:rsidR="00BB685A" w:rsidP="00C5122C" w:rsidRDefault="00BB685A">
            <w:pPr>
              <w:keepNext/>
              <w:keepLines/>
              <w:spacing w:line="240" w:lineRule="auto"/>
              <w:rPr>
                <w:rFonts w:cs="Arial"/>
                <w:b/>
                <w:bCs/>
                <w:sz w:val="16"/>
                <w:szCs w:val="16"/>
              </w:rPr>
            </w:pPr>
            <w:r w:rsidRPr="002E622B">
              <w:rPr>
                <w:rFonts w:cs="Arial"/>
                <w:b/>
                <w:bCs/>
                <w:sz w:val="16"/>
                <w:szCs w:val="16"/>
              </w:rPr>
              <w:t>Najaarsnota 2016</w:t>
            </w:r>
          </w:p>
        </w:tc>
        <w:tc>
          <w:tcPr>
            <w:tcW w:w="850" w:type="dxa"/>
            <w:tcBorders>
              <w:top w:val="nil"/>
              <w:left w:val="nil"/>
              <w:bottom w:val="single" w:color="auto" w:sz="4" w:space="0"/>
              <w:right w:val="nil"/>
            </w:tcBorders>
            <w:shd w:val="clear" w:color="auto" w:fill="auto"/>
            <w:noWrap/>
            <w:vAlign w:val="bottom"/>
            <w:hideMark/>
          </w:tcPr>
          <w:p w:rsidRPr="002E622B" w:rsidR="00BB685A" w:rsidP="00C5122C" w:rsidRDefault="00BB685A">
            <w:pPr>
              <w:keepNext/>
              <w:keepLines/>
              <w:spacing w:line="240" w:lineRule="auto"/>
              <w:jc w:val="right"/>
              <w:rPr>
                <w:rFonts w:cs="Arial"/>
                <w:b/>
                <w:bCs/>
                <w:sz w:val="16"/>
                <w:szCs w:val="16"/>
              </w:rPr>
            </w:pPr>
            <w:r w:rsidRPr="002E622B">
              <w:rPr>
                <w:rFonts w:cs="Arial"/>
                <w:b/>
                <w:bCs/>
                <w:sz w:val="16"/>
                <w:szCs w:val="16"/>
              </w:rPr>
              <w:t>-0,7</w:t>
            </w:r>
          </w:p>
        </w:tc>
      </w:tr>
    </w:tbl>
    <w:p w:rsidR="00BB685A" w:rsidP="00BB685A" w:rsidRDefault="00BB685A">
      <w:pPr>
        <w:pStyle w:val="tekst"/>
      </w:pPr>
      <w:r>
        <w:t>De WW laat een marginale tegenvaller zien, die het saldo is van een kleine tegenvaller op de overige lasten WW (met name bij faillissementsuitkeringen) en een kleine conjuncturele meevaller op de uitkeringslasten ontslagwerkloosheid.</w:t>
      </w:r>
    </w:p>
    <w:p w:rsidR="00BB685A" w:rsidP="00BB685A" w:rsidRDefault="00BB685A">
      <w:pPr>
        <w:pStyle w:val="tekst"/>
      </w:pPr>
      <w:r>
        <w:t>Ook binnen de arbeidsongeschiktheid vindt een kleine meevaller plaats. Er vindt weliswaar een hogere instroom in de Wet werk en inkomen naar arbeidsvermogen (WIA) plaats, maar ook de uitstroom is hoger dan eerder verwacht. Daarnaast vindt op de Wet op de arbeidsongeschiktheidsverzekering (WAO) op zowel de instroom als de uitstroom een meevaller plaats. Verder is de gemiddelde jaaruitkering voor alle arbeidsongeschiktheidsregelingen</w:t>
      </w:r>
      <w:r w:rsidRPr="00917F70">
        <w:t xml:space="preserve"> </w:t>
      </w:r>
      <w:r>
        <w:t>lager dan eerder geraamd.</w:t>
      </w:r>
    </w:p>
    <w:p w:rsidRPr="00C1363F" w:rsidR="00BB685A" w:rsidP="00BB685A" w:rsidRDefault="00BB685A">
      <w:pPr>
        <w:pStyle w:val="tekst"/>
      </w:pPr>
      <w:r>
        <w:t>De overige mutaties zijn een combinatie van uitvoeringsinformatie op verschillende regelingen en onderuitputting op bepaalde budgetten. De grootste mutaties zijn een tegenvaller op de ontvangsten van de Wet op het Kindgebonden Budget (WKB), een tegenvaller op de Aanvullende Inkomensvoorziening Ouderen (AIO) en onderuitputting op maatschappelijke begeleiding.</w:t>
      </w:r>
    </w:p>
    <w:p w:rsidRPr="00C02FD1" w:rsidR="00BB685A" w:rsidP="00BB685A" w:rsidRDefault="00BB685A">
      <w:pPr>
        <w:pStyle w:val="Kop2"/>
        <w:rPr>
          <w:b w:val="0"/>
          <w:sz w:val="18"/>
          <w:szCs w:val="18"/>
          <w:u w:val="single"/>
        </w:rPr>
      </w:pPr>
      <w:r w:rsidRPr="00C02FD1">
        <w:rPr>
          <w:b w:val="0"/>
          <w:sz w:val="18"/>
          <w:szCs w:val="18"/>
          <w:u w:val="single"/>
        </w:rPr>
        <w:t>Budgettair Kader Zorg</w:t>
      </w:r>
    </w:p>
    <w:p w:rsidRPr="00AC4BB9" w:rsidR="00BB685A" w:rsidP="00BB685A" w:rsidRDefault="00BB685A">
      <w:pPr>
        <w:pStyle w:val="tekst"/>
        <w:rPr>
          <w:color w:val="808080" w:themeColor="background1" w:themeShade="80"/>
        </w:rPr>
      </w:pPr>
      <w:r w:rsidRPr="00AC4BB9">
        <w:t xml:space="preserve">Tabel </w:t>
      </w:r>
      <w:r>
        <w:t>2.5</w:t>
      </w:r>
      <w:r w:rsidRPr="00AC4BB9">
        <w:t xml:space="preserve"> geeft de uitgavenontwikkeling onder het Budgettair Kader Zorg (BKZ) weer sinds Miljoenennota 2017. De onderschrijding van het BKZ is met 0</w:t>
      </w:r>
      <w:r>
        <w:t>,4 miljard euro vergroot tot 1,2</w:t>
      </w:r>
      <w:r w:rsidRPr="00AC4BB9">
        <w:t xml:space="preserve"> miljard euro.</w:t>
      </w:r>
    </w:p>
    <w:p w:rsidR="00BB685A" w:rsidP="00BB685A" w:rsidRDefault="00BB685A">
      <w:pPr>
        <w:pStyle w:val="bijschrift"/>
        <w:contextualSpacing/>
      </w:pPr>
      <w:r w:rsidRPr="00AC4BB9">
        <w:t>Tabel 2.5 Kadertoetsing BKZ (in miljarden euro; -/- is onderschrijding)</w:t>
      </w:r>
    </w:p>
    <w:tbl>
      <w:tblPr>
        <w:tblW w:w="6519" w:type="dxa"/>
        <w:tblInd w:w="70" w:type="dxa"/>
        <w:tblCellMar>
          <w:left w:w="70" w:type="dxa"/>
          <w:right w:w="70" w:type="dxa"/>
        </w:tblCellMar>
        <w:tblLook w:val="04A0"/>
      </w:tblPr>
      <w:tblGrid>
        <w:gridCol w:w="5669"/>
        <w:gridCol w:w="850"/>
      </w:tblGrid>
      <w:tr w:rsidRPr="002E622B" w:rsidR="00BB685A" w:rsidTr="00C5122C">
        <w:trPr>
          <w:trHeight w:val="227"/>
        </w:trPr>
        <w:tc>
          <w:tcPr>
            <w:tcW w:w="5669" w:type="dxa"/>
            <w:tcBorders>
              <w:top w:val="single" w:color="auto" w:sz="4" w:space="0"/>
              <w:left w:val="nil"/>
              <w:bottom w:val="single" w:color="auto" w:sz="4" w:space="0"/>
              <w:right w:val="nil"/>
            </w:tcBorders>
            <w:shd w:val="clear" w:color="auto" w:fill="auto"/>
            <w:noWrap/>
            <w:vAlign w:val="bottom"/>
            <w:hideMark/>
          </w:tcPr>
          <w:p w:rsidRPr="002E622B" w:rsidR="00BB685A" w:rsidP="00C5122C" w:rsidRDefault="00BB685A">
            <w:pPr>
              <w:spacing w:line="240" w:lineRule="auto"/>
              <w:rPr>
                <w:rFonts w:cs="Arial"/>
                <w:b/>
                <w:bCs/>
                <w:sz w:val="16"/>
                <w:szCs w:val="16"/>
              </w:rPr>
            </w:pPr>
            <w:r w:rsidRPr="002E622B">
              <w:rPr>
                <w:rFonts w:cs="Arial"/>
                <w:b/>
                <w:bCs/>
                <w:sz w:val="16"/>
                <w:szCs w:val="16"/>
              </w:rPr>
              <w:t> </w:t>
            </w:r>
          </w:p>
        </w:tc>
        <w:tc>
          <w:tcPr>
            <w:tcW w:w="850" w:type="dxa"/>
            <w:tcBorders>
              <w:top w:val="single" w:color="auto" w:sz="4" w:space="0"/>
              <w:left w:val="nil"/>
              <w:bottom w:val="single" w:color="auto" w:sz="4" w:space="0"/>
              <w:right w:val="nil"/>
            </w:tcBorders>
            <w:shd w:val="clear" w:color="auto" w:fill="auto"/>
            <w:noWrap/>
            <w:vAlign w:val="bottom"/>
            <w:hideMark/>
          </w:tcPr>
          <w:p w:rsidRPr="002E622B" w:rsidR="00BB685A" w:rsidP="00C5122C" w:rsidRDefault="00BB685A">
            <w:pPr>
              <w:spacing w:line="240" w:lineRule="auto"/>
              <w:jc w:val="right"/>
              <w:rPr>
                <w:rFonts w:cs="Arial"/>
                <w:b/>
                <w:bCs/>
                <w:sz w:val="16"/>
                <w:szCs w:val="16"/>
              </w:rPr>
            </w:pPr>
            <w:r w:rsidRPr="002E622B">
              <w:rPr>
                <w:rFonts w:cs="Arial"/>
                <w:b/>
                <w:bCs/>
                <w:sz w:val="16"/>
                <w:szCs w:val="16"/>
              </w:rPr>
              <w:t>2016</w:t>
            </w:r>
          </w:p>
        </w:tc>
      </w:tr>
      <w:tr w:rsidRPr="00B91CBF" w:rsidR="00BB685A" w:rsidTr="00C5122C">
        <w:trPr>
          <w:trHeight w:val="227"/>
        </w:trPr>
        <w:tc>
          <w:tcPr>
            <w:tcW w:w="5669" w:type="dxa"/>
            <w:tcBorders>
              <w:top w:val="nil"/>
              <w:left w:val="nil"/>
              <w:bottom w:val="nil"/>
              <w:right w:val="nil"/>
            </w:tcBorders>
            <w:shd w:val="clear" w:color="auto" w:fill="auto"/>
            <w:noWrap/>
            <w:vAlign w:val="bottom"/>
            <w:hideMark/>
          </w:tcPr>
          <w:p w:rsidRPr="002E622B" w:rsidR="00BB685A" w:rsidP="00C5122C" w:rsidRDefault="00BB685A">
            <w:pPr>
              <w:spacing w:line="240" w:lineRule="auto"/>
              <w:rPr>
                <w:rFonts w:cs="Arial"/>
                <w:b/>
                <w:bCs/>
                <w:sz w:val="16"/>
                <w:szCs w:val="16"/>
              </w:rPr>
            </w:pPr>
            <w:r w:rsidRPr="002E622B">
              <w:rPr>
                <w:rFonts w:cs="Arial"/>
                <w:b/>
                <w:bCs/>
                <w:sz w:val="16"/>
                <w:szCs w:val="16"/>
              </w:rPr>
              <w:t>Miljoenennota 2017</w:t>
            </w:r>
          </w:p>
        </w:tc>
        <w:tc>
          <w:tcPr>
            <w:tcW w:w="850" w:type="dxa"/>
            <w:tcBorders>
              <w:top w:val="nil"/>
              <w:left w:val="nil"/>
              <w:bottom w:val="nil"/>
              <w:right w:val="nil"/>
            </w:tcBorders>
            <w:shd w:val="clear" w:color="auto" w:fill="auto"/>
            <w:noWrap/>
            <w:vAlign w:val="bottom"/>
            <w:hideMark/>
          </w:tcPr>
          <w:p w:rsidRPr="00B91CBF" w:rsidR="00BB685A" w:rsidP="00C5122C" w:rsidRDefault="00BB685A">
            <w:pPr>
              <w:spacing w:line="240" w:lineRule="auto"/>
              <w:jc w:val="right"/>
              <w:rPr>
                <w:rFonts w:cs="Arial"/>
                <w:b/>
                <w:bCs/>
                <w:sz w:val="16"/>
                <w:szCs w:val="16"/>
              </w:rPr>
            </w:pPr>
            <w:r w:rsidRPr="00B91CBF">
              <w:rPr>
                <w:rFonts w:cs="Arial"/>
                <w:b/>
                <w:bCs/>
                <w:sz w:val="16"/>
                <w:szCs w:val="16"/>
              </w:rPr>
              <w:t>-0,8</w:t>
            </w:r>
          </w:p>
        </w:tc>
      </w:tr>
      <w:tr w:rsidRPr="00B91CBF" w:rsidR="00BB685A" w:rsidTr="00C5122C">
        <w:trPr>
          <w:trHeight w:val="227"/>
        </w:trPr>
        <w:tc>
          <w:tcPr>
            <w:tcW w:w="5669" w:type="dxa"/>
            <w:tcBorders>
              <w:top w:val="nil"/>
              <w:left w:val="nil"/>
              <w:bottom w:val="nil"/>
              <w:right w:val="nil"/>
            </w:tcBorders>
            <w:shd w:val="clear" w:color="auto" w:fill="auto"/>
            <w:noWrap/>
            <w:vAlign w:val="bottom"/>
            <w:hideMark/>
          </w:tcPr>
          <w:p w:rsidRPr="002E622B" w:rsidR="00BB685A" w:rsidP="00C5122C" w:rsidRDefault="00BB685A">
            <w:pPr>
              <w:spacing w:line="240" w:lineRule="auto"/>
              <w:rPr>
                <w:rFonts w:cs="Arial"/>
                <w:color w:val="000000"/>
                <w:sz w:val="16"/>
                <w:szCs w:val="16"/>
              </w:rPr>
            </w:pPr>
            <w:r w:rsidRPr="002E622B">
              <w:rPr>
                <w:rFonts w:cs="Arial"/>
                <w:color w:val="000000"/>
                <w:sz w:val="16"/>
                <w:szCs w:val="16"/>
              </w:rPr>
              <w:t>Actualisering zorguitgaven</w:t>
            </w:r>
          </w:p>
        </w:tc>
        <w:tc>
          <w:tcPr>
            <w:tcW w:w="850" w:type="dxa"/>
            <w:tcBorders>
              <w:top w:val="nil"/>
              <w:left w:val="nil"/>
              <w:bottom w:val="nil"/>
              <w:right w:val="nil"/>
            </w:tcBorders>
            <w:shd w:val="clear" w:color="auto" w:fill="auto"/>
            <w:noWrap/>
            <w:vAlign w:val="bottom"/>
            <w:hideMark/>
          </w:tcPr>
          <w:p w:rsidRPr="00B91CBF" w:rsidR="00BB685A" w:rsidP="00C5122C" w:rsidRDefault="00BB685A">
            <w:pPr>
              <w:spacing w:line="240" w:lineRule="auto"/>
              <w:jc w:val="right"/>
              <w:rPr>
                <w:rFonts w:cs="Arial"/>
                <w:sz w:val="16"/>
                <w:szCs w:val="16"/>
              </w:rPr>
            </w:pPr>
            <w:r w:rsidRPr="00B91CBF">
              <w:rPr>
                <w:rFonts w:cs="Arial"/>
                <w:sz w:val="16"/>
                <w:szCs w:val="16"/>
              </w:rPr>
              <w:t>-0,4</w:t>
            </w:r>
          </w:p>
        </w:tc>
      </w:tr>
      <w:tr w:rsidRPr="00B91CBF" w:rsidR="00BB685A" w:rsidTr="00C5122C">
        <w:trPr>
          <w:trHeight w:val="227"/>
        </w:trPr>
        <w:tc>
          <w:tcPr>
            <w:tcW w:w="5669" w:type="dxa"/>
            <w:tcBorders>
              <w:top w:val="nil"/>
              <w:left w:val="nil"/>
              <w:bottom w:val="nil"/>
              <w:right w:val="nil"/>
            </w:tcBorders>
            <w:shd w:val="clear" w:color="auto" w:fill="auto"/>
            <w:noWrap/>
            <w:vAlign w:val="bottom"/>
            <w:hideMark/>
          </w:tcPr>
          <w:p w:rsidRPr="002E622B" w:rsidR="00BB685A" w:rsidP="00C5122C" w:rsidRDefault="00BB685A">
            <w:pPr>
              <w:spacing w:line="240" w:lineRule="auto"/>
              <w:rPr>
                <w:rFonts w:cs="Arial"/>
                <w:color w:val="000000"/>
                <w:sz w:val="16"/>
                <w:szCs w:val="16"/>
              </w:rPr>
            </w:pPr>
            <w:r>
              <w:rPr>
                <w:rFonts w:cs="Arial"/>
                <w:color w:val="000000"/>
                <w:sz w:val="16"/>
                <w:szCs w:val="16"/>
              </w:rPr>
              <w:t>Overig</w:t>
            </w:r>
          </w:p>
        </w:tc>
        <w:tc>
          <w:tcPr>
            <w:tcW w:w="850" w:type="dxa"/>
            <w:tcBorders>
              <w:top w:val="nil"/>
              <w:left w:val="nil"/>
              <w:bottom w:val="nil"/>
              <w:right w:val="nil"/>
            </w:tcBorders>
            <w:shd w:val="clear" w:color="auto" w:fill="auto"/>
            <w:noWrap/>
            <w:vAlign w:val="bottom"/>
            <w:hideMark/>
          </w:tcPr>
          <w:p w:rsidRPr="00B91CBF" w:rsidR="00BB685A" w:rsidP="00C5122C" w:rsidRDefault="00BB685A">
            <w:pPr>
              <w:spacing w:line="240" w:lineRule="auto"/>
              <w:jc w:val="right"/>
              <w:rPr>
                <w:rFonts w:cs="Arial"/>
                <w:sz w:val="16"/>
                <w:szCs w:val="16"/>
              </w:rPr>
            </w:pPr>
            <w:r>
              <w:rPr>
                <w:rFonts w:cs="Arial"/>
                <w:sz w:val="16"/>
                <w:szCs w:val="16"/>
              </w:rPr>
              <w:t>0,0</w:t>
            </w:r>
          </w:p>
        </w:tc>
      </w:tr>
      <w:tr w:rsidRPr="00B91CBF" w:rsidR="00BB685A" w:rsidTr="00C5122C">
        <w:trPr>
          <w:trHeight w:val="227"/>
        </w:trPr>
        <w:tc>
          <w:tcPr>
            <w:tcW w:w="5669" w:type="dxa"/>
            <w:tcBorders>
              <w:top w:val="nil"/>
              <w:left w:val="nil"/>
              <w:bottom w:val="single" w:color="auto" w:sz="4" w:space="0"/>
              <w:right w:val="nil"/>
            </w:tcBorders>
            <w:shd w:val="clear" w:color="auto" w:fill="auto"/>
            <w:noWrap/>
            <w:vAlign w:val="bottom"/>
            <w:hideMark/>
          </w:tcPr>
          <w:p w:rsidRPr="002E622B" w:rsidR="00BB685A" w:rsidP="00C5122C" w:rsidRDefault="00BB685A">
            <w:pPr>
              <w:spacing w:line="240" w:lineRule="auto"/>
              <w:rPr>
                <w:rFonts w:cs="Arial"/>
                <w:b/>
                <w:bCs/>
                <w:sz w:val="16"/>
                <w:szCs w:val="16"/>
              </w:rPr>
            </w:pPr>
            <w:r w:rsidRPr="002E622B">
              <w:rPr>
                <w:rFonts w:cs="Arial"/>
                <w:b/>
                <w:bCs/>
                <w:sz w:val="16"/>
                <w:szCs w:val="16"/>
              </w:rPr>
              <w:t>Najaarsnota 2016</w:t>
            </w:r>
          </w:p>
        </w:tc>
        <w:tc>
          <w:tcPr>
            <w:tcW w:w="850" w:type="dxa"/>
            <w:tcBorders>
              <w:top w:val="nil"/>
              <w:left w:val="nil"/>
              <w:bottom w:val="single" w:color="auto" w:sz="4" w:space="0"/>
              <w:right w:val="nil"/>
            </w:tcBorders>
            <w:shd w:val="clear" w:color="auto" w:fill="auto"/>
            <w:noWrap/>
            <w:vAlign w:val="bottom"/>
            <w:hideMark/>
          </w:tcPr>
          <w:p w:rsidRPr="00B91CBF" w:rsidR="00BB685A" w:rsidP="00C5122C" w:rsidRDefault="00BB685A">
            <w:pPr>
              <w:spacing w:line="240" w:lineRule="auto"/>
              <w:jc w:val="right"/>
              <w:rPr>
                <w:rFonts w:cs="Arial"/>
                <w:b/>
                <w:bCs/>
                <w:sz w:val="16"/>
                <w:szCs w:val="16"/>
              </w:rPr>
            </w:pPr>
            <w:r w:rsidRPr="00B91CBF">
              <w:rPr>
                <w:rFonts w:cs="Arial"/>
                <w:b/>
                <w:bCs/>
                <w:sz w:val="16"/>
                <w:szCs w:val="16"/>
              </w:rPr>
              <w:t>-1,2</w:t>
            </w:r>
          </w:p>
        </w:tc>
      </w:tr>
    </w:tbl>
    <w:p w:rsidRPr="00205093" w:rsidR="00BB685A" w:rsidP="00BB685A" w:rsidRDefault="00BB685A">
      <w:pPr>
        <w:pStyle w:val="tekst"/>
      </w:pPr>
      <w:r w:rsidRPr="00205093">
        <w:t>Op basis van voorlopige gegevens over het eerste half jaar van 201</w:t>
      </w:r>
      <w:r>
        <w:t>6</w:t>
      </w:r>
      <w:r w:rsidRPr="00205093">
        <w:t xml:space="preserve"> van het Zorginstituut Nederland (ZiNL) zijn de ramingen van de zorguitgaven 201</w:t>
      </w:r>
      <w:r>
        <w:t>6</w:t>
      </w:r>
      <w:r w:rsidRPr="00205093">
        <w:t xml:space="preserve"> geactualiseerd.</w:t>
      </w:r>
      <w:r>
        <w:t xml:space="preserve"> Dit leidt tot een neerwaartse bijstelling van de uitgaven binnen de Zorgverzekeringswet van 0,4 miljard euro.</w:t>
      </w:r>
      <w:r w:rsidRPr="00205093">
        <w:t xml:space="preserve"> Deze geraamde onderschrijding kan nog wijzigen op grond van de realisatiecijfers over geheel 201</w:t>
      </w:r>
      <w:r>
        <w:t>6</w:t>
      </w:r>
      <w:r w:rsidRPr="00205093">
        <w:t xml:space="preserve">. </w:t>
      </w:r>
      <w:r>
        <w:t xml:space="preserve">Hierover wordt </w:t>
      </w:r>
      <w:r w:rsidRPr="00205093">
        <w:t>in het jaarverslag 201</w:t>
      </w:r>
      <w:r>
        <w:t>6</w:t>
      </w:r>
      <w:r w:rsidRPr="00205093">
        <w:t xml:space="preserve"> gerapporteerd.</w:t>
      </w:r>
    </w:p>
    <w:p w:rsidR="00BB685A" w:rsidP="00BB685A" w:rsidRDefault="00BB685A">
      <w:pPr>
        <w:spacing w:line="240" w:lineRule="auto"/>
        <w:rPr>
          <w:szCs w:val="18"/>
        </w:rPr>
      </w:pPr>
    </w:p>
    <w:p w:rsidR="00BB685A" w:rsidP="00BB685A" w:rsidRDefault="00BB685A">
      <w:pPr>
        <w:pStyle w:val="Lijstalinea"/>
        <w:spacing w:line="240" w:lineRule="auto"/>
        <w:rPr>
          <w:b/>
          <w:szCs w:val="18"/>
        </w:rPr>
      </w:pPr>
    </w:p>
    <w:p w:rsidRPr="007024A9" w:rsidR="00BB685A" w:rsidP="00BB685A" w:rsidRDefault="00BB685A">
      <w:pPr>
        <w:pStyle w:val="Lijstalinea"/>
        <w:numPr>
          <w:ilvl w:val="0"/>
          <w:numId w:val="14"/>
        </w:numPr>
        <w:spacing w:line="240" w:lineRule="auto"/>
        <w:rPr>
          <w:b/>
          <w:szCs w:val="18"/>
        </w:rPr>
      </w:pPr>
      <w:r w:rsidRPr="007024A9">
        <w:rPr>
          <w:b/>
          <w:szCs w:val="18"/>
        </w:rPr>
        <w:t>Inkomsten</w:t>
      </w:r>
    </w:p>
    <w:p w:rsidR="00BB685A" w:rsidP="00BB685A" w:rsidRDefault="00BB685A">
      <w:pPr>
        <w:pStyle w:val="tekst"/>
      </w:pPr>
      <w:r w:rsidRPr="00AF1B52">
        <w:t>De raming van de totale belasting- en premieontvangsten 201</w:t>
      </w:r>
      <w:r>
        <w:t>6</w:t>
      </w:r>
      <w:r w:rsidRPr="00AF1B52">
        <w:t xml:space="preserve"> </w:t>
      </w:r>
      <w:r>
        <w:t xml:space="preserve">is met 4,3 miljard euro opwaarts bijgesteld </w:t>
      </w:r>
      <w:r w:rsidRPr="00AF1B52">
        <w:t>ten op</w:t>
      </w:r>
      <w:r>
        <w:t>zichte van de Miljoenennota 2017</w:t>
      </w:r>
      <w:r w:rsidRPr="00AF1B52">
        <w:t>.</w:t>
      </w:r>
    </w:p>
    <w:p w:rsidR="00BB685A" w:rsidP="00BB685A" w:rsidRDefault="00BB685A">
      <w:pPr>
        <w:pStyle w:val="bijschrift"/>
      </w:pPr>
      <w:r w:rsidRPr="00892590">
        <w:t>Tabel 3.1 Mutatie van de bela</w:t>
      </w:r>
      <w:r>
        <w:t>sting- en premieontvangsten 2016</w:t>
      </w:r>
      <w:r w:rsidRPr="00892590">
        <w:t xml:space="preserve"> op EMU-basis (in miljarden euro)</w:t>
      </w:r>
    </w:p>
    <w:tbl>
      <w:tblPr>
        <w:tblW w:w="7595" w:type="dxa"/>
        <w:tblInd w:w="70" w:type="dxa"/>
        <w:tblCellMar>
          <w:left w:w="70" w:type="dxa"/>
          <w:right w:w="70" w:type="dxa"/>
        </w:tblCellMar>
        <w:tblLook w:val="04A0"/>
      </w:tblPr>
      <w:tblGrid>
        <w:gridCol w:w="4535"/>
        <w:gridCol w:w="1020"/>
        <w:gridCol w:w="1020"/>
        <w:gridCol w:w="1020"/>
      </w:tblGrid>
      <w:tr w:rsidRPr="00892590" w:rsidR="00BB685A" w:rsidTr="00C5122C">
        <w:trPr>
          <w:trHeight w:val="454"/>
        </w:trPr>
        <w:tc>
          <w:tcPr>
            <w:tcW w:w="4535" w:type="dxa"/>
            <w:tcBorders>
              <w:top w:val="single" w:color="auto" w:sz="4" w:space="0"/>
              <w:left w:val="nil"/>
              <w:bottom w:val="single" w:color="auto" w:sz="4" w:space="0"/>
              <w:right w:val="nil"/>
            </w:tcBorders>
            <w:shd w:val="clear" w:color="auto" w:fill="FFFFFF" w:themeFill="background1"/>
            <w:noWrap/>
            <w:vAlign w:val="bottom"/>
            <w:hideMark/>
          </w:tcPr>
          <w:p w:rsidRPr="00892590" w:rsidR="00BB685A" w:rsidP="00C5122C" w:rsidRDefault="00BB685A">
            <w:pPr>
              <w:spacing w:line="240" w:lineRule="auto"/>
              <w:rPr>
                <w:rFonts w:cs="Arial"/>
                <w:b/>
                <w:bCs/>
                <w:sz w:val="16"/>
                <w:szCs w:val="16"/>
              </w:rPr>
            </w:pPr>
            <w:r w:rsidRPr="00892590">
              <w:rPr>
                <w:rFonts w:cs="Arial"/>
                <w:b/>
                <w:bCs/>
                <w:sz w:val="16"/>
                <w:szCs w:val="16"/>
              </w:rPr>
              <w:t> </w:t>
            </w:r>
          </w:p>
        </w:tc>
        <w:tc>
          <w:tcPr>
            <w:tcW w:w="1020" w:type="dxa"/>
            <w:tcBorders>
              <w:top w:val="single" w:color="auto" w:sz="4" w:space="0"/>
              <w:left w:val="nil"/>
              <w:bottom w:val="single" w:color="auto" w:sz="4" w:space="0"/>
              <w:right w:val="nil"/>
            </w:tcBorders>
            <w:shd w:val="clear" w:color="auto" w:fill="FFFFFF" w:themeFill="background1"/>
            <w:noWrap/>
            <w:vAlign w:val="bottom"/>
            <w:hideMark/>
          </w:tcPr>
          <w:p w:rsidRPr="00892590" w:rsidR="00BB685A" w:rsidP="00C5122C" w:rsidRDefault="00BB685A">
            <w:pPr>
              <w:spacing w:line="240" w:lineRule="auto"/>
              <w:jc w:val="center"/>
              <w:rPr>
                <w:rFonts w:cs="Arial"/>
                <w:b/>
                <w:bCs/>
                <w:sz w:val="16"/>
                <w:szCs w:val="16"/>
              </w:rPr>
            </w:pPr>
            <w:r w:rsidRPr="00892590">
              <w:rPr>
                <w:rFonts w:cs="Arial"/>
                <w:b/>
                <w:bCs/>
                <w:sz w:val="16"/>
                <w:szCs w:val="16"/>
              </w:rPr>
              <w:t xml:space="preserve">Stand </w:t>
            </w:r>
            <w:r>
              <w:rPr>
                <w:rFonts w:cs="Arial"/>
                <w:b/>
                <w:bCs/>
                <w:sz w:val="16"/>
                <w:szCs w:val="16"/>
              </w:rPr>
              <w:br/>
            </w:r>
            <w:r w:rsidRPr="00892590">
              <w:rPr>
                <w:rFonts w:cs="Arial"/>
                <w:b/>
                <w:bCs/>
                <w:sz w:val="16"/>
                <w:szCs w:val="16"/>
              </w:rPr>
              <w:t>MN 201</w:t>
            </w:r>
            <w:r>
              <w:rPr>
                <w:rFonts w:cs="Arial"/>
                <w:b/>
                <w:bCs/>
                <w:sz w:val="16"/>
                <w:szCs w:val="16"/>
              </w:rPr>
              <w:t>7</w:t>
            </w:r>
          </w:p>
        </w:tc>
        <w:tc>
          <w:tcPr>
            <w:tcW w:w="1020" w:type="dxa"/>
            <w:tcBorders>
              <w:top w:val="single" w:color="auto" w:sz="4" w:space="0"/>
              <w:left w:val="nil"/>
              <w:bottom w:val="single" w:color="auto" w:sz="4" w:space="0"/>
              <w:right w:val="nil"/>
            </w:tcBorders>
            <w:shd w:val="clear" w:color="auto" w:fill="FFFFFF" w:themeFill="background1"/>
            <w:noWrap/>
            <w:vAlign w:val="bottom"/>
            <w:hideMark/>
          </w:tcPr>
          <w:p w:rsidRPr="00892590" w:rsidR="00BB685A" w:rsidP="00C5122C" w:rsidRDefault="00BB685A">
            <w:pPr>
              <w:spacing w:line="240" w:lineRule="auto"/>
              <w:jc w:val="center"/>
              <w:rPr>
                <w:rFonts w:cs="Arial"/>
                <w:b/>
                <w:bCs/>
                <w:sz w:val="16"/>
                <w:szCs w:val="16"/>
              </w:rPr>
            </w:pPr>
            <w:r w:rsidRPr="00892590">
              <w:rPr>
                <w:rFonts w:cs="Arial"/>
                <w:b/>
                <w:bCs/>
                <w:sz w:val="16"/>
                <w:szCs w:val="16"/>
              </w:rPr>
              <w:t>Stand NJN 201</w:t>
            </w:r>
            <w:r>
              <w:rPr>
                <w:rFonts w:cs="Arial"/>
                <w:b/>
                <w:bCs/>
                <w:sz w:val="16"/>
                <w:szCs w:val="16"/>
              </w:rPr>
              <w:t>6</w:t>
            </w:r>
          </w:p>
        </w:tc>
        <w:tc>
          <w:tcPr>
            <w:tcW w:w="1020" w:type="dxa"/>
            <w:tcBorders>
              <w:top w:val="single" w:color="auto" w:sz="4" w:space="0"/>
              <w:left w:val="nil"/>
              <w:bottom w:val="single" w:color="auto" w:sz="4" w:space="0"/>
              <w:right w:val="nil"/>
            </w:tcBorders>
            <w:shd w:val="clear" w:color="auto" w:fill="FFFFFF" w:themeFill="background1"/>
            <w:noWrap/>
            <w:vAlign w:val="bottom"/>
            <w:hideMark/>
          </w:tcPr>
          <w:p w:rsidRPr="00892590" w:rsidR="00BB685A" w:rsidP="00C5122C" w:rsidRDefault="00BB685A">
            <w:pPr>
              <w:spacing w:line="240" w:lineRule="auto"/>
              <w:jc w:val="center"/>
              <w:rPr>
                <w:rFonts w:cs="Arial"/>
                <w:b/>
                <w:bCs/>
                <w:sz w:val="16"/>
                <w:szCs w:val="16"/>
              </w:rPr>
            </w:pPr>
            <w:r w:rsidRPr="00892590">
              <w:rPr>
                <w:rFonts w:cs="Arial"/>
                <w:b/>
                <w:bCs/>
                <w:sz w:val="16"/>
                <w:szCs w:val="16"/>
              </w:rPr>
              <w:t>Mutatie</w:t>
            </w:r>
          </w:p>
        </w:tc>
      </w:tr>
      <w:tr w:rsidRPr="00892590" w:rsidR="00BB685A" w:rsidTr="00C5122C">
        <w:trPr>
          <w:trHeight w:val="227"/>
        </w:trPr>
        <w:tc>
          <w:tcPr>
            <w:tcW w:w="4535" w:type="dxa"/>
            <w:tcBorders>
              <w:top w:val="nil"/>
              <w:left w:val="nil"/>
              <w:bottom w:val="nil"/>
              <w:right w:val="nil"/>
            </w:tcBorders>
            <w:shd w:val="clear" w:color="auto" w:fill="auto"/>
            <w:noWrap/>
            <w:vAlign w:val="bottom"/>
            <w:hideMark/>
          </w:tcPr>
          <w:p w:rsidRPr="00892590" w:rsidR="00BB685A" w:rsidP="00C5122C" w:rsidRDefault="00BB685A">
            <w:pPr>
              <w:spacing w:line="240" w:lineRule="auto"/>
              <w:rPr>
                <w:rFonts w:cs="Arial"/>
                <w:sz w:val="16"/>
                <w:szCs w:val="16"/>
              </w:rPr>
            </w:pPr>
            <w:r w:rsidRPr="00892590">
              <w:rPr>
                <w:rFonts w:cs="Arial"/>
                <w:sz w:val="16"/>
                <w:szCs w:val="16"/>
              </w:rPr>
              <w:t>Totaal belastingen en premies op EMU-basis</w:t>
            </w:r>
          </w:p>
        </w:tc>
        <w:tc>
          <w:tcPr>
            <w:tcW w:w="1020" w:type="dxa"/>
            <w:tcBorders>
              <w:top w:val="nil"/>
              <w:left w:val="nil"/>
              <w:bottom w:val="nil"/>
              <w:right w:val="nil"/>
            </w:tcBorders>
            <w:shd w:val="clear" w:color="auto" w:fill="auto"/>
            <w:noWrap/>
            <w:hideMark/>
          </w:tcPr>
          <w:p w:rsidRPr="00892590" w:rsidR="00BB685A" w:rsidP="00C5122C" w:rsidRDefault="00BB685A">
            <w:pPr>
              <w:spacing w:line="240" w:lineRule="auto"/>
              <w:jc w:val="center"/>
              <w:rPr>
                <w:rFonts w:cs="Arial"/>
                <w:sz w:val="16"/>
                <w:szCs w:val="16"/>
              </w:rPr>
            </w:pPr>
            <w:r>
              <w:rPr>
                <w:rFonts w:cs="Arial"/>
                <w:sz w:val="16"/>
                <w:szCs w:val="16"/>
              </w:rPr>
              <w:t>251,3</w:t>
            </w:r>
          </w:p>
        </w:tc>
        <w:tc>
          <w:tcPr>
            <w:tcW w:w="1020" w:type="dxa"/>
            <w:tcBorders>
              <w:top w:val="nil"/>
              <w:left w:val="nil"/>
              <w:bottom w:val="nil"/>
              <w:right w:val="nil"/>
            </w:tcBorders>
            <w:shd w:val="clear" w:color="auto" w:fill="auto"/>
            <w:noWrap/>
            <w:hideMark/>
          </w:tcPr>
          <w:p w:rsidRPr="00892590" w:rsidR="00BB685A" w:rsidP="00C5122C" w:rsidRDefault="00BB685A">
            <w:pPr>
              <w:spacing w:line="240" w:lineRule="auto"/>
              <w:jc w:val="center"/>
              <w:rPr>
                <w:rFonts w:cs="Arial"/>
                <w:sz w:val="16"/>
                <w:szCs w:val="16"/>
              </w:rPr>
            </w:pPr>
            <w:r>
              <w:rPr>
                <w:rFonts w:cs="Arial"/>
                <w:sz w:val="16"/>
                <w:szCs w:val="16"/>
              </w:rPr>
              <w:t>255,6</w:t>
            </w:r>
          </w:p>
        </w:tc>
        <w:tc>
          <w:tcPr>
            <w:tcW w:w="1020" w:type="dxa"/>
            <w:tcBorders>
              <w:top w:val="nil"/>
              <w:left w:val="nil"/>
              <w:bottom w:val="nil"/>
              <w:right w:val="nil"/>
            </w:tcBorders>
            <w:shd w:val="clear" w:color="auto" w:fill="auto"/>
            <w:noWrap/>
            <w:hideMark/>
          </w:tcPr>
          <w:p w:rsidRPr="00892590" w:rsidR="00BB685A" w:rsidP="00C5122C" w:rsidRDefault="00BB685A">
            <w:pPr>
              <w:spacing w:line="240" w:lineRule="auto"/>
              <w:jc w:val="center"/>
              <w:rPr>
                <w:rFonts w:cs="Arial"/>
                <w:sz w:val="16"/>
                <w:szCs w:val="16"/>
              </w:rPr>
            </w:pPr>
            <w:r>
              <w:rPr>
                <w:rFonts w:cs="Arial"/>
                <w:sz w:val="16"/>
                <w:szCs w:val="16"/>
              </w:rPr>
              <w:t>4,3</w:t>
            </w:r>
          </w:p>
        </w:tc>
      </w:tr>
      <w:tr w:rsidRPr="00892590" w:rsidR="00BB685A" w:rsidTr="00C5122C">
        <w:trPr>
          <w:trHeight w:val="227"/>
        </w:trPr>
        <w:tc>
          <w:tcPr>
            <w:tcW w:w="4535" w:type="dxa"/>
            <w:tcBorders>
              <w:top w:val="nil"/>
              <w:left w:val="nil"/>
              <w:bottom w:val="nil"/>
              <w:right w:val="nil"/>
            </w:tcBorders>
            <w:shd w:val="clear" w:color="auto" w:fill="auto"/>
            <w:noWrap/>
            <w:vAlign w:val="bottom"/>
            <w:hideMark/>
          </w:tcPr>
          <w:p w:rsidRPr="00892590" w:rsidR="00BB685A" w:rsidP="00C5122C" w:rsidRDefault="00BB685A">
            <w:pPr>
              <w:spacing w:line="240" w:lineRule="auto"/>
              <w:rPr>
                <w:rFonts w:cs="Arial"/>
                <w:sz w:val="16"/>
                <w:szCs w:val="16"/>
              </w:rPr>
            </w:pPr>
            <w:r w:rsidRPr="00892590">
              <w:rPr>
                <w:rFonts w:cs="Arial"/>
                <w:sz w:val="16"/>
                <w:szCs w:val="16"/>
              </w:rPr>
              <w:t>waarvan belastingen en premies volksverzekeringen</w:t>
            </w:r>
          </w:p>
        </w:tc>
        <w:tc>
          <w:tcPr>
            <w:tcW w:w="1020" w:type="dxa"/>
            <w:tcBorders>
              <w:top w:val="nil"/>
              <w:left w:val="nil"/>
              <w:bottom w:val="nil"/>
              <w:right w:val="nil"/>
            </w:tcBorders>
            <w:shd w:val="clear" w:color="auto" w:fill="auto"/>
            <w:noWrap/>
            <w:hideMark/>
          </w:tcPr>
          <w:p w:rsidRPr="00892590" w:rsidR="00BB685A" w:rsidP="00C5122C" w:rsidRDefault="00BB685A">
            <w:pPr>
              <w:spacing w:line="240" w:lineRule="auto"/>
              <w:jc w:val="center"/>
              <w:rPr>
                <w:rFonts w:cs="Arial"/>
                <w:sz w:val="16"/>
                <w:szCs w:val="16"/>
              </w:rPr>
            </w:pPr>
            <w:r>
              <w:rPr>
                <w:rFonts w:cs="Arial"/>
                <w:sz w:val="16"/>
                <w:szCs w:val="16"/>
              </w:rPr>
              <w:t>194,2</w:t>
            </w:r>
          </w:p>
        </w:tc>
        <w:tc>
          <w:tcPr>
            <w:tcW w:w="1020" w:type="dxa"/>
            <w:tcBorders>
              <w:top w:val="nil"/>
              <w:left w:val="nil"/>
              <w:bottom w:val="nil"/>
              <w:right w:val="nil"/>
            </w:tcBorders>
            <w:shd w:val="clear" w:color="auto" w:fill="auto"/>
            <w:noWrap/>
            <w:hideMark/>
          </w:tcPr>
          <w:p w:rsidRPr="00892590" w:rsidR="00BB685A" w:rsidP="00C5122C" w:rsidRDefault="00BB685A">
            <w:pPr>
              <w:spacing w:line="240" w:lineRule="auto"/>
              <w:jc w:val="center"/>
              <w:rPr>
                <w:rFonts w:cs="Arial"/>
                <w:sz w:val="16"/>
                <w:szCs w:val="16"/>
              </w:rPr>
            </w:pPr>
            <w:r>
              <w:rPr>
                <w:rFonts w:cs="Arial"/>
                <w:sz w:val="16"/>
                <w:szCs w:val="16"/>
              </w:rPr>
              <w:t>198,5</w:t>
            </w:r>
          </w:p>
        </w:tc>
        <w:tc>
          <w:tcPr>
            <w:tcW w:w="1020" w:type="dxa"/>
            <w:tcBorders>
              <w:top w:val="nil"/>
              <w:left w:val="nil"/>
              <w:bottom w:val="nil"/>
              <w:right w:val="nil"/>
            </w:tcBorders>
            <w:shd w:val="clear" w:color="auto" w:fill="auto"/>
            <w:noWrap/>
            <w:hideMark/>
          </w:tcPr>
          <w:p w:rsidRPr="00892590" w:rsidR="00BB685A" w:rsidP="00C5122C" w:rsidRDefault="00BB685A">
            <w:pPr>
              <w:spacing w:line="240" w:lineRule="auto"/>
              <w:jc w:val="center"/>
              <w:rPr>
                <w:rFonts w:cs="Arial"/>
                <w:sz w:val="16"/>
                <w:szCs w:val="16"/>
              </w:rPr>
            </w:pPr>
            <w:r>
              <w:rPr>
                <w:rFonts w:cs="Arial"/>
                <w:sz w:val="16"/>
                <w:szCs w:val="16"/>
              </w:rPr>
              <w:t>4,3</w:t>
            </w:r>
          </w:p>
        </w:tc>
      </w:tr>
      <w:tr w:rsidRPr="00892590" w:rsidR="00BB685A" w:rsidTr="00C5122C">
        <w:trPr>
          <w:trHeight w:val="227"/>
        </w:trPr>
        <w:tc>
          <w:tcPr>
            <w:tcW w:w="4535" w:type="dxa"/>
            <w:tcBorders>
              <w:top w:val="nil"/>
              <w:left w:val="nil"/>
              <w:bottom w:val="single" w:color="auto" w:sz="4" w:space="0"/>
              <w:right w:val="nil"/>
            </w:tcBorders>
            <w:shd w:val="clear" w:color="auto" w:fill="auto"/>
            <w:noWrap/>
            <w:vAlign w:val="bottom"/>
            <w:hideMark/>
          </w:tcPr>
          <w:p w:rsidRPr="00892590" w:rsidR="00BB685A" w:rsidP="00C5122C" w:rsidRDefault="00BB685A">
            <w:pPr>
              <w:spacing w:line="240" w:lineRule="auto"/>
              <w:contextualSpacing/>
              <w:rPr>
                <w:rFonts w:cs="Arial"/>
                <w:sz w:val="16"/>
                <w:szCs w:val="16"/>
              </w:rPr>
            </w:pPr>
            <w:r w:rsidRPr="00892590">
              <w:rPr>
                <w:rFonts w:cs="Arial"/>
                <w:sz w:val="16"/>
                <w:szCs w:val="16"/>
              </w:rPr>
              <w:t>waarvan premies werknemersverzekeringen</w:t>
            </w:r>
          </w:p>
        </w:tc>
        <w:tc>
          <w:tcPr>
            <w:tcW w:w="1020" w:type="dxa"/>
            <w:tcBorders>
              <w:top w:val="nil"/>
              <w:left w:val="nil"/>
              <w:bottom w:val="single" w:color="auto" w:sz="4" w:space="0"/>
              <w:right w:val="nil"/>
            </w:tcBorders>
            <w:shd w:val="clear" w:color="auto" w:fill="auto"/>
            <w:noWrap/>
            <w:hideMark/>
          </w:tcPr>
          <w:p w:rsidRPr="00892590" w:rsidR="00BB685A" w:rsidP="00C5122C" w:rsidRDefault="00BB685A">
            <w:pPr>
              <w:spacing w:line="240" w:lineRule="auto"/>
              <w:contextualSpacing/>
              <w:jc w:val="center"/>
              <w:rPr>
                <w:rFonts w:cs="Arial"/>
                <w:sz w:val="16"/>
                <w:szCs w:val="16"/>
              </w:rPr>
            </w:pPr>
            <w:r>
              <w:rPr>
                <w:rFonts w:cs="Arial"/>
                <w:sz w:val="16"/>
                <w:szCs w:val="16"/>
              </w:rPr>
              <w:t>57,1</w:t>
            </w:r>
          </w:p>
        </w:tc>
        <w:tc>
          <w:tcPr>
            <w:tcW w:w="1020" w:type="dxa"/>
            <w:tcBorders>
              <w:top w:val="nil"/>
              <w:left w:val="nil"/>
              <w:bottom w:val="single" w:color="auto" w:sz="4" w:space="0"/>
              <w:right w:val="nil"/>
            </w:tcBorders>
            <w:shd w:val="clear" w:color="auto" w:fill="auto"/>
            <w:noWrap/>
            <w:hideMark/>
          </w:tcPr>
          <w:p w:rsidRPr="00892590" w:rsidR="00BB685A" w:rsidP="00C5122C" w:rsidRDefault="00BB685A">
            <w:pPr>
              <w:spacing w:line="240" w:lineRule="auto"/>
              <w:contextualSpacing/>
              <w:jc w:val="center"/>
              <w:rPr>
                <w:rFonts w:cs="Arial"/>
                <w:sz w:val="16"/>
                <w:szCs w:val="16"/>
              </w:rPr>
            </w:pPr>
            <w:r>
              <w:rPr>
                <w:rFonts w:cs="Arial"/>
                <w:sz w:val="16"/>
                <w:szCs w:val="16"/>
              </w:rPr>
              <w:t>57,1</w:t>
            </w:r>
          </w:p>
        </w:tc>
        <w:tc>
          <w:tcPr>
            <w:tcW w:w="1020" w:type="dxa"/>
            <w:tcBorders>
              <w:top w:val="nil"/>
              <w:left w:val="nil"/>
              <w:bottom w:val="single" w:color="auto" w:sz="4" w:space="0"/>
              <w:right w:val="nil"/>
            </w:tcBorders>
            <w:shd w:val="clear" w:color="auto" w:fill="auto"/>
            <w:noWrap/>
            <w:hideMark/>
          </w:tcPr>
          <w:p w:rsidRPr="00892590" w:rsidR="00BB685A" w:rsidP="00C5122C" w:rsidRDefault="00BB685A">
            <w:pPr>
              <w:spacing w:line="240" w:lineRule="auto"/>
              <w:contextualSpacing/>
              <w:jc w:val="center"/>
              <w:rPr>
                <w:rFonts w:cs="Arial"/>
                <w:sz w:val="16"/>
                <w:szCs w:val="16"/>
              </w:rPr>
            </w:pPr>
            <w:r w:rsidRPr="00892590">
              <w:rPr>
                <w:rFonts w:cs="Arial"/>
                <w:sz w:val="16"/>
                <w:szCs w:val="16"/>
              </w:rPr>
              <w:t>0,0</w:t>
            </w:r>
          </w:p>
        </w:tc>
      </w:tr>
    </w:tbl>
    <w:p w:rsidRPr="00AF1B52" w:rsidR="00BB685A" w:rsidP="00BB685A" w:rsidRDefault="00BB685A">
      <w:pPr>
        <w:pStyle w:val="tekst"/>
      </w:pPr>
      <w:r w:rsidRPr="00AF1B52">
        <w:t>De Najaarsnotaraming is vrijwel geheel gebaseerd op de gerealiseerde ontvangsten over 201</w:t>
      </w:r>
      <w:r>
        <w:t xml:space="preserve">6 tot en met de maand oktober. De bijstelling betreft met name de vennootschapsbelasting (vpb), de inkomensheffing en de omzetbelasting (btw). </w:t>
      </w:r>
    </w:p>
    <w:p w:rsidR="00BB685A" w:rsidP="00BB685A" w:rsidRDefault="00BB685A">
      <w:pPr>
        <w:pStyle w:val="tekst"/>
        <w:contextualSpacing/>
      </w:pPr>
    </w:p>
    <w:p w:rsidR="00BB685A" w:rsidP="00BB685A" w:rsidRDefault="00BB685A">
      <w:pPr>
        <w:pStyle w:val="tekst"/>
        <w:contextualSpacing/>
      </w:pPr>
      <w:r w:rsidRPr="001F125A">
        <w:t xml:space="preserve">De realisaties van de vpb-ontvangsten tot en met </w:t>
      </w:r>
      <w:r>
        <w:t>oktober 2016 geven aanleiding om de</w:t>
      </w:r>
      <w:r w:rsidRPr="001F125A">
        <w:t xml:space="preserve"> vpb-ontvangsten over 2016 </w:t>
      </w:r>
      <w:r>
        <w:t>m</w:t>
      </w:r>
      <w:r w:rsidRPr="001F125A">
        <w:t>et 2 miljard euro omhoog bij te stellen</w:t>
      </w:r>
      <w:r>
        <w:t>. I</w:t>
      </w:r>
      <w:r w:rsidRPr="00970C99">
        <w:t xml:space="preserve">n 2016 </w:t>
      </w:r>
      <w:r>
        <w:t xml:space="preserve">komen zowel </w:t>
      </w:r>
      <w:r w:rsidRPr="00970C99">
        <w:t xml:space="preserve">de kasontvangsten over </w:t>
      </w:r>
      <w:r>
        <w:t xml:space="preserve">het </w:t>
      </w:r>
      <w:r w:rsidRPr="00970C99">
        <w:t xml:space="preserve">winstjaar 2015 </w:t>
      </w:r>
      <w:r>
        <w:t xml:space="preserve">als die over 2016 fors </w:t>
      </w:r>
      <w:r w:rsidRPr="00970C99">
        <w:t xml:space="preserve">hoger uit dan </w:t>
      </w:r>
      <w:r>
        <w:t xml:space="preserve">bij Miljoenennota 2017 werd verwacht. </w:t>
      </w:r>
      <w:r w:rsidRPr="00970C99">
        <w:t>Ondernemingen vragen vaker dan vorig</w:t>
      </w:r>
      <w:r>
        <w:t>e</w:t>
      </w:r>
      <w:r w:rsidRPr="00970C99">
        <w:t xml:space="preserve"> jar</w:t>
      </w:r>
      <w:r>
        <w:t>en</w:t>
      </w:r>
      <w:r w:rsidRPr="00970C99">
        <w:t xml:space="preserve"> om een (aangepaste) voorlopige aanslag over t-1</w:t>
      </w:r>
      <w:r>
        <w:t xml:space="preserve">. Hiermee vermijden ze dat ze </w:t>
      </w:r>
      <w:r w:rsidRPr="00970C99">
        <w:t xml:space="preserve">op een later moment belastingrente </w:t>
      </w:r>
      <w:r>
        <w:t xml:space="preserve">moeten </w:t>
      </w:r>
      <w:r w:rsidRPr="005B24D2">
        <w:t xml:space="preserve">betalen. </w:t>
      </w:r>
      <w:r>
        <w:t xml:space="preserve">In de eerste helft van 2016 kwamen de ontvangsten over het winstjaar 2015 daardoor fors hoger uit vergeleken met wat in de kas van 2015 over het winstjaar 2014 was ontvangen. In recente maanden zijn de kasontvangsten over 2015 nog verder opgelopen. Daarnaast </w:t>
      </w:r>
      <w:r w:rsidRPr="005B24D2">
        <w:t xml:space="preserve">zorgt het </w:t>
      </w:r>
      <w:r>
        <w:t xml:space="preserve">- met ingang van dit jaar – veel </w:t>
      </w:r>
      <w:r w:rsidRPr="005B24D2">
        <w:t>actiever</w:t>
      </w:r>
      <w:r>
        <w:rPr>
          <w:rStyle w:val="Voetnootmarkering"/>
        </w:rPr>
        <w:footnoteReference w:id="1"/>
      </w:r>
      <w:r>
        <w:t xml:space="preserve"> </w:t>
      </w:r>
      <w:r w:rsidRPr="005B24D2">
        <w:t xml:space="preserve">opleggen van voorlopige aanslagen over 2016 door de Belastingdienst voor </w:t>
      </w:r>
      <w:r>
        <w:t xml:space="preserve">fors </w:t>
      </w:r>
      <w:r w:rsidRPr="005B24D2">
        <w:t>hogere kastontvangsten</w:t>
      </w:r>
      <w:r>
        <w:t xml:space="preserve"> in 2016. </w:t>
      </w:r>
      <w:r w:rsidRPr="005B24D2">
        <w:t xml:space="preserve">Een deel van de meevaller over 2016 zal </w:t>
      </w:r>
      <w:r>
        <w:t xml:space="preserve">naar verwachting </w:t>
      </w:r>
      <w:r w:rsidRPr="005B24D2">
        <w:t xml:space="preserve">incidenteel zijn omdat een actueler aanslagniveau </w:t>
      </w:r>
      <w:r>
        <w:t xml:space="preserve">in 2016 over zowel het winstjaar 2015 als 2016 </w:t>
      </w:r>
      <w:r w:rsidRPr="005B24D2">
        <w:t xml:space="preserve">belastingontvangsten </w:t>
      </w:r>
      <w:r>
        <w:t xml:space="preserve">naar voren haalt, </w:t>
      </w:r>
      <w:r w:rsidRPr="005B24D2">
        <w:t>die anders in latere jaren zouden worden ontvangen.</w:t>
      </w:r>
    </w:p>
    <w:p w:rsidR="00BB685A" w:rsidP="00BB685A" w:rsidRDefault="00BB685A">
      <w:pPr>
        <w:pStyle w:val="bijschrift"/>
        <w:keepNext/>
        <w:keepLines/>
      </w:pPr>
      <w:r w:rsidRPr="00892590">
        <w:t>Tabel 3.2 Mutatie bela</w:t>
      </w:r>
      <w:r>
        <w:t>sting- en premieontvangsten 2016</w:t>
      </w:r>
      <w:r w:rsidRPr="00892590">
        <w:t xml:space="preserve"> </w:t>
      </w:r>
      <w:r>
        <w:t xml:space="preserve">op </w:t>
      </w:r>
      <w:r w:rsidRPr="00892590">
        <w:t>EMU-basis uitgesplitst (in miljarden euro)</w:t>
      </w:r>
    </w:p>
    <w:tbl>
      <w:tblPr>
        <w:tblW w:w="6519" w:type="dxa"/>
        <w:tblInd w:w="70" w:type="dxa"/>
        <w:tblCellMar>
          <w:left w:w="70" w:type="dxa"/>
          <w:right w:w="70" w:type="dxa"/>
        </w:tblCellMar>
        <w:tblLook w:val="04A0"/>
      </w:tblPr>
      <w:tblGrid>
        <w:gridCol w:w="5669"/>
        <w:gridCol w:w="850"/>
      </w:tblGrid>
      <w:tr w:rsidRPr="00715FC8" w:rsidR="00BB685A" w:rsidTr="00C5122C">
        <w:trPr>
          <w:cantSplit/>
          <w:trHeight w:val="227"/>
        </w:trPr>
        <w:tc>
          <w:tcPr>
            <w:tcW w:w="5669" w:type="dxa"/>
            <w:tcBorders>
              <w:top w:val="single" w:color="auto" w:sz="4" w:space="0"/>
              <w:left w:val="nil"/>
              <w:bottom w:val="single" w:color="auto" w:sz="4" w:space="0"/>
              <w:right w:val="nil"/>
            </w:tcBorders>
            <w:shd w:val="clear" w:color="auto" w:fill="FFFFFF" w:themeFill="background1"/>
            <w:noWrap/>
            <w:vAlign w:val="bottom"/>
            <w:hideMark/>
          </w:tcPr>
          <w:p w:rsidRPr="00715FC8" w:rsidR="00BB685A" w:rsidP="00C5122C" w:rsidRDefault="00BB685A">
            <w:pPr>
              <w:keepNext/>
              <w:keepLines/>
              <w:spacing w:line="240" w:lineRule="auto"/>
              <w:rPr>
                <w:rFonts w:cs="Arial"/>
                <w:b/>
                <w:bCs/>
                <w:sz w:val="16"/>
                <w:szCs w:val="16"/>
              </w:rPr>
            </w:pPr>
            <w:r w:rsidRPr="00715FC8">
              <w:rPr>
                <w:rFonts w:cs="Arial"/>
                <w:b/>
                <w:bCs/>
                <w:sz w:val="16"/>
                <w:szCs w:val="16"/>
              </w:rPr>
              <w:t> </w:t>
            </w:r>
          </w:p>
        </w:tc>
        <w:tc>
          <w:tcPr>
            <w:tcW w:w="850" w:type="dxa"/>
            <w:tcBorders>
              <w:top w:val="single" w:color="auto" w:sz="4" w:space="0"/>
              <w:left w:val="nil"/>
              <w:bottom w:val="single" w:color="auto" w:sz="4" w:space="0"/>
              <w:right w:val="nil"/>
            </w:tcBorders>
            <w:shd w:val="clear" w:color="auto" w:fill="FFFFFF" w:themeFill="background1"/>
            <w:noWrap/>
            <w:vAlign w:val="bottom"/>
            <w:hideMark/>
          </w:tcPr>
          <w:p w:rsidRPr="00715FC8" w:rsidR="00BB685A" w:rsidP="00C5122C" w:rsidRDefault="00BB685A">
            <w:pPr>
              <w:keepNext/>
              <w:keepLines/>
              <w:spacing w:line="240" w:lineRule="auto"/>
              <w:jc w:val="right"/>
              <w:rPr>
                <w:rFonts w:cs="Arial"/>
                <w:b/>
                <w:bCs/>
                <w:sz w:val="16"/>
                <w:szCs w:val="16"/>
              </w:rPr>
            </w:pPr>
            <w:r w:rsidRPr="00715FC8">
              <w:rPr>
                <w:rFonts w:cs="Arial"/>
                <w:b/>
                <w:bCs/>
                <w:sz w:val="16"/>
                <w:szCs w:val="16"/>
              </w:rPr>
              <w:t>Mutatie</w:t>
            </w:r>
          </w:p>
        </w:tc>
      </w:tr>
      <w:tr w:rsidRPr="00715FC8" w:rsidR="00BB685A" w:rsidTr="00C5122C">
        <w:trPr>
          <w:cantSplit/>
          <w:trHeight w:val="454"/>
        </w:trPr>
        <w:tc>
          <w:tcPr>
            <w:tcW w:w="5669" w:type="dxa"/>
            <w:tcBorders>
              <w:top w:val="nil"/>
              <w:left w:val="nil"/>
              <w:bottom w:val="nil"/>
              <w:right w:val="nil"/>
            </w:tcBorders>
            <w:shd w:val="clear" w:color="auto" w:fill="auto"/>
            <w:vAlign w:val="bottom"/>
            <w:hideMark/>
          </w:tcPr>
          <w:p w:rsidRPr="00715FC8" w:rsidR="00BB685A" w:rsidP="00C5122C" w:rsidRDefault="00BB685A">
            <w:pPr>
              <w:keepNext/>
              <w:keepLines/>
              <w:spacing w:line="240" w:lineRule="auto"/>
              <w:rPr>
                <w:rFonts w:cs="Arial"/>
                <w:b/>
                <w:bCs/>
                <w:sz w:val="16"/>
                <w:szCs w:val="16"/>
              </w:rPr>
            </w:pPr>
            <w:r w:rsidRPr="00715FC8">
              <w:rPr>
                <w:rFonts w:cs="Arial"/>
                <w:b/>
                <w:bCs/>
                <w:sz w:val="16"/>
                <w:szCs w:val="16"/>
              </w:rPr>
              <w:t>Kostprijsverhogende belastingen</w:t>
            </w:r>
          </w:p>
        </w:tc>
        <w:tc>
          <w:tcPr>
            <w:tcW w:w="850" w:type="dxa"/>
            <w:tcBorders>
              <w:top w:val="nil"/>
              <w:left w:val="nil"/>
              <w:bottom w:val="nil"/>
              <w:right w:val="nil"/>
            </w:tcBorders>
            <w:shd w:val="clear" w:color="auto" w:fill="auto"/>
            <w:noWrap/>
            <w:vAlign w:val="bottom"/>
            <w:hideMark/>
          </w:tcPr>
          <w:p w:rsidRPr="00715FC8" w:rsidR="00BB685A" w:rsidP="00C5122C" w:rsidRDefault="00BB685A">
            <w:pPr>
              <w:keepNext/>
              <w:keepLines/>
              <w:spacing w:line="240" w:lineRule="auto"/>
              <w:jc w:val="right"/>
              <w:rPr>
                <w:rFonts w:cs="Arial"/>
                <w:b/>
                <w:bCs/>
                <w:sz w:val="16"/>
                <w:szCs w:val="16"/>
              </w:rPr>
            </w:pPr>
            <w:r>
              <w:rPr>
                <w:rFonts w:cs="Arial"/>
                <w:b/>
                <w:bCs/>
                <w:sz w:val="16"/>
                <w:szCs w:val="16"/>
              </w:rPr>
              <w:t>1</w:t>
            </w:r>
            <w:r w:rsidRPr="00715FC8">
              <w:rPr>
                <w:rFonts w:cs="Arial"/>
                <w:b/>
                <w:bCs/>
                <w:sz w:val="16"/>
                <w:szCs w:val="16"/>
              </w:rPr>
              <w:t>,0</w:t>
            </w:r>
          </w:p>
        </w:tc>
      </w:tr>
      <w:tr w:rsidRPr="00715FC8" w:rsidR="00BB685A" w:rsidTr="00C5122C">
        <w:trPr>
          <w:cantSplit/>
          <w:trHeight w:val="227"/>
        </w:trPr>
        <w:tc>
          <w:tcPr>
            <w:tcW w:w="5669" w:type="dxa"/>
            <w:tcBorders>
              <w:top w:val="nil"/>
              <w:left w:val="nil"/>
              <w:bottom w:val="nil"/>
              <w:right w:val="nil"/>
            </w:tcBorders>
            <w:shd w:val="clear" w:color="auto" w:fill="auto"/>
            <w:vAlign w:val="bottom"/>
            <w:hideMark/>
          </w:tcPr>
          <w:p w:rsidRPr="00715FC8" w:rsidR="00BB685A" w:rsidP="00C5122C" w:rsidRDefault="00BB685A">
            <w:pPr>
              <w:keepNext/>
              <w:keepLines/>
              <w:spacing w:line="240" w:lineRule="auto"/>
              <w:rPr>
                <w:rFonts w:cs="Arial"/>
                <w:sz w:val="16"/>
                <w:szCs w:val="16"/>
              </w:rPr>
            </w:pPr>
            <w:r w:rsidRPr="00715FC8">
              <w:rPr>
                <w:rFonts w:cs="Arial"/>
                <w:sz w:val="16"/>
                <w:szCs w:val="16"/>
              </w:rPr>
              <w:t>Omzetbelasting</w:t>
            </w:r>
          </w:p>
        </w:tc>
        <w:tc>
          <w:tcPr>
            <w:tcW w:w="850" w:type="dxa"/>
            <w:tcBorders>
              <w:top w:val="nil"/>
              <w:left w:val="nil"/>
              <w:bottom w:val="nil"/>
              <w:right w:val="nil"/>
            </w:tcBorders>
            <w:shd w:val="clear" w:color="auto" w:fill="auto"/>
            <w:noWrap/>
            <w:vAlign w:val="bottom"/>
            <w:hideMark/>
          </w:tcPr>
          <w:p w:rsidRPr="00715FC8" w:rsidR="00BB685A" w:rsidP="00C5122C" w:rsidRDefault="00BB685A">
            <w:pPr>
              <w:keepNext/>
              <w:keepLines/>
              <w:spacing w:line="240" w:lineRule="auto"/>
              <w:jc w:val="right"/>
              <w:rPr>
                <w:rFonts w:cs="Arial"/>
                <w:sz w:val="16"/>
                <w:szCs w:val="16"/>
              </w:rPr>
            </w:pPr>
            <w:r>
              <w:rPr>
                <w:rFonts w:cs="Arial"/>
                <w:sz w:val="16"/>
                <w:szCs w:val="16"/>
              </w:rPr>
              <w:t>1</w:t>
            </w:r>
            <w:r w:rsidRPr="00715FC8">
              <w:rPr>
                <w:rFonts w:cs="Arial"/>
                <w:sz w:val="16"/>
                <w:szCs w:val="16"/>
              </w:rPr>
              <w:t>,0</w:t>
            </w:r>
          </w:p>
        </w:tc>
      </w:tr>
      <w:tr w:rsidRPr="00715FC8" w:rsidR="00BB685A" w:rsidTr="00C5122C">
        <w:trPr>
          <w:cantSplit/>
          <w:trHeight w:val="227"/>
        </w:trPr>
        <w:tc>
          <w:tcPr>
            <w:tcW w:w="5669" w:type="dxa"/>
            <w:tcBorders>
              <w:top w:val="nil"/>
              <w:left w:val="nil"/>
              <w:bottom w:val="nil"/>
              <w:right w:val="nil"/>
            </w:tcBorders>
            <w:shd w:val="clear" w:color="auto" w:fill="auto"/>
            <w:vAlign w:val="bottom"/>
            <w:hideMark/>
          </w:tcPr>
          <w:p w:rsidRPr="00715FC8" w:rsidR="00BB685A" w:rsidP="00C5122C" w:rsidRDefault="00BB685A">
            <w:pPr>
              <w:keepNext/>
              <w:keepLines/>
              <w:spacing w:line="240" w:lineRule="auto"/>
              <w:rPr>
                <w:rFonts w:cs="Arial"/>
                <w:sz w:val="16"/>
                <w:szCs w:val="16"/>
              </w:rPr>
            </w:pPr>
            <w:r w:rsidRPr="00715FC8">
              <w:rPr>
                <w:rFonts w:cs="Arial"/>
                <w:sz w:val="16"/>
                <w:szCs w:val="16"/>
              </w:rPr>
              <w:t>Accijnzen</w:t>
            </w:r>
          </w:p>
        </w:tc>
        <w:tc>
          <w:tcPr>
            <w:tcW w:w="850" w:type="dxa"/>
            <w:tcBorders>
              <w:top w:val="nil"/>
              <w:left w:val="nil"/>
              <w:bottom w:val="nil"/>
              <w:right w:val="nil"/>
            </w:tcBorders>
            <w:shd w:val="clear" w:color="auto" w:fill="auto"/>
            <w:noWrap/>
            <w:vAlign w:val="bottom"/>
            <w:hideMark/>
          </w:tcPr>
          <w:p w:rsidRPr="00715FC8" w:rsidR="00BB685A" w:rsidP="00C5122C" w:rsidRDefault="00BB685A">
            <w:pPr>
              <w:keepNext/>
              <w:keepLines/>
              <w:spacing w:line="240" w:lineRule="auto"/>
              <w:jc w:val="right"/>
              <w:rPr>
                <w:rFonts w:cs="Arial"/>
                <w:sz w:val="16"/>
                <w:szCs w:val="16"/>
              </w:rPr>
            </w:pPr>
            <w:r w:rsidRPr="00715FC8">
              <w:rPr>
                <w:rFonts w:cs="Arial"/>
                <w:sz w:val="16"/>
                <w:szCs w:val="16"/>
              </w:rPr>
              <w:t>0,0</w:t>
            </w:r>
          </w:p>
        </w:tc>
      </w:tr>
      <w:tr w:rsidRPr="00715FC8" w:rsidR="00BB685A" w:rsidTr="00C5122C">
        <w:trPr>
          <w:cantSplit/>
          <w:trHeight w:val="227"/>
        </w:trPr>
        <w:tc>
          <w:tcPr>
            <w:tcW w:w="5669" w:type="dxa"/>
            <w:tcBorders>
              <w:top w:val="nil"/>
              <w:left w:val="nil"/>
              <w:bottom w:val="nil"/>
              <w:right w:val="nil"/>
            </w:tcBorders>
            <w:shd w:val="clear" w:color="auto" w:fill="auto"/>
            <w:vAlign w:val="bottom"/>
            <w:hideMark/>
          </w:tcPr>
          <w:p w:rsidRPr="00715FC8" w:rsidR="00BB685A" w:rsidP="00C5122C" w:rsidRDefault="00BB685A">
            <w:pPr>
              <w:keepNext/>
              <w:keepLines/>
              <w:spacing w:line="240" w:lineRule="auto"/>
              <w:rPr>
                <w:rFonts w:cs="Arial"/>
                <w:sz w:val="16"/>
                <w:szCs w:val="16"/>
              </w:rPr>
            </w:pPr>
            <w:r w:rsidRPr="00715FC8">
              <w:rPr>
                <w:rFonts w:cs="Arial"/>
                <w:sz w:val="16"/>
                <w:szCs w:val="16"/>
              </w:rPr>
              <w:t>Overdrachtsbelasting</w:t>
            </w:r>
          </w:p>
        </w:tc>
        <w:tc>
          <w:tcPr>
            <w:tcW w:w="850" w:type="dxa"/>
            <w:tcBorders>
              <w:top w:val="nil"/>
              <w:left w:val="nil"/>
              <w:bottom w:val="nil"/>
              <w:right w:val="nil"/>
            </w:tcBorders>
            <w:shd w:val="clear" w:color="auto" w:fill="auto"/>
            <w:noWrap/>
            <w:vAlign w:val="bottom"/>
            <w:hideMark/>
          </w:tcPr>
          <w:p w:rsidRPr="00715FC8" w:rsidR="00BB685A" w:rsidP="00C5122C" w:rsidRDefault="00BB685A">
            <w:pPr>
              <w:keepNext/>
              <w:keepLines/>
              <w:spacing w:line="240" w:lineRule="auto"/>
              <w:jc w:val="right"/>
              <w:rPr>
                <w:rFonts w:cs="Arial"/>
                <w:sz w:val="16"/>
                <w:szCs w:val="16"/>
              </w:rPr>
            </w:pPr>
            <w:r w:rsidRPr="00715FC8">
              <w:rPr>
                <w:rFonts w:cs="Arial"/>
                <w:sz w:val="16"/>
                <w:szCs w:val="16"/>
              </w:rPr>
              <w:t>0,0</w:t>
            </w:r>
          </w:p>
        </w:tc>
      </w:tr>
      <w:tr w:rsidRPr="00715FC8" w:rsidR="00BB685A" w:rsidTr="00C5122C">
        <w:trPr>
          <w:cantSplit/>
          <w:trHeight w:val="227"/>
        </w:trPr>
        <w:tc>
          <w:tcPr>
            <w:tcW w:w="5669" w:type="dxa"/>
            <w:tcBorders>
              <w:top w:val="nil"/>
              <w:left w:val="nil"/>
              <w:bottom w:val="nil"/>
              <w:right w:val="nil"/>
            </w:tcBorders>
            <w:shd w:val="clear" w:color="auto" w:fill="auto"/>
            <w:vAlign w:val="bottom"/>
            <w:hideMark/>
          </w:tcPr>
          <w:p w:rsidRPr="00715FC8" w:rsidR="00BB685A" w:rsidP="00C5122C" w:rsidRDefault="00BB685A">
            <w:pPr>
              <w:keepNext/>
              <w:keepLines/>
              <w:spacing w:line="240" w:lineRule="auto"/>
              <w:rPr>
                <w:rFonts w:cs="Arial"/>
                <w:sz w:val="16"/>
                <w:szCs w:val="16"/>
              </w:rPr>
            </w:pPr>
            <w:r w:rsidRPr="00715FC8">
              <w:rPr>
                <w:rFonts w:cs="Arial"/>
                <w:sz w:val="16"/>
                <w:szCs w:val="16"/>
              </w:rPr>
              <w:t>Assurantiebelasting</w:t>
            </w:r>
          </w:p>
        </w:tc>
        <w:tc>
          <w:tcPr>
            <w:tcW w:w="850" w:type="dxa"/>
            <w:tcBorders>
              <w:top w:val="nil"/>
              <w:left w:val="nil"/>
              <w:bottom w:val="nil"/>
              <w:right w:val="nil"/>
            </w:tcBorders>
            <w:shd w:val="clear" w:color="auto" w:fill="auto"/>
            <w:noWrap/>
            <w:vAlign w:val="bottom"/>
            <w:hideMark/>
          </w:tcPr>
          <w:p w:rsidRPr="00715FC8" w:rsidR="00BB685A" w:rsidP="00C5122C" w:rsidRDefault="00BB685A">
            <w:pPr>
              <w:keepNext/>
              <w:keepLines/>
              <w:spacing w:line="240" w:lineRule="auto"/>
              <w:jc w:val="right"/>
              <w:rPr>
                <w:rFonts w:cs="Arial"/>
                <w:sz w:val="16"/>
                <w:szCs w:val="16"/>
              </w:rPr>
            </w:pPr>
            <w:r w:rsidRPr="00715FC8">
              <w:rPr>
                <w:rFonts w:cs="Arial"/>
                <w:sz w:val="16"/>
                <w:szCs w:val="16"/>
              </w:rPr>
              <w:t>0,0</w:t>
            </w:r>
          </w:p>
        </w:tc>
      </w:tr>
      <w:tr w:rsidRPr="00715FC8" w:rsidR="00BB685A" w:rsidTr="00C5122C">
        <w:trPr>
          <w:cantSplit/>
          <w:trHeight w:val="227"/>
        </w:trPr>
        <w:tc>
          <w:tcPr>
            <w:tcW w:w="5669" w:type="dxa"/>
            <w:tcBorders>
              <w:top w:val="nil"/>
              <w:left w:val="nil"/>
              <w:bottom w:val="nil"/>
              <w:right w:val="nil"/>
            </w:tcBorders>
            <w:shd w:val="clear" w:color="auto" w:fill="auto"/>
            <w:vAlign w:val="bottom"/>
            <w:hideMark/>
          </w:tcPr>
          <w:p w:rsidRPr="00715FC8" w:rsidR="00BB685A" w:rsidP="00C5122C" w:rsidRDefault="00BB685A">
            <w:pPr>
              <w:keepNext/>
              <w:keepLines/>
              <w:spacing w:line="240" w:lineRule="auto"/>
              <w:rPr>
                <w:rFonts w:cs="Arial"/>
                <w:sz w:val="16"/>
                <w:szCs w:val="16"/>
              </w:rPr>
            </w:pPr>
            <w:r w:rsidRPr="00715FC8">
              <w:rPr>
                <w:rFonts w:cs="Arial"/>
                <w:sz w:val="16"/>
                <w:szCs w:val="16"/>
              </w:rPr>
              <w:t>Belastingen op milieugrondslag</w:t>
            </w:r>
          </w:p>
        </w:tc>
        <w:tc>
          <w:tcPr>
            <w:tcW w:w="850" w:type="dxa"/>
            <w:tcBorders>
              <w:top w:val="nil"/>
              <w:left w:val="nil"/>
              <w:bottom w:val="nil"/>
              <w:right w:val="nil"/>
            </w:tcBorders>
            <w:shd w:val="clear" w:color="auto" w:fill="auto"/>
            <w:noWrap/>
            <w:vAlign w:val="bottom"/>
            <w:hideMark/>
          </w:tcPr>
          <w:p w:rsidRPr="00715FC8" w:rsidR="00BB685A" w:rsidP="00C5122C" w:rsidRDefault="00BB685A">
            <w:pPr>
              <w:keepNext/>
              <w:keepLines/>
              <w:spacing w:line="240" w:lineRule="auto"/>
              <w:jc w:val="right"/>
              <w:rPr>
                <w:rFonts w:cs="Arial"/>
                <w:sz w:val="16"/>
                <w:szCs w:val="16"/>
              </w:rPr>
            </w:pPr>
            <w:r>
              <w:rPr>
                <w:rFonts w:cs="Arial"/>
                <w:sz w:val="16"/>
                <w:szCs w:val="16"/>
              </w:rPr>
              <w:t>0,0</w:t>
            </w:r>
          </w:p>
        </w:tc>
      </w:tr>
      <w:tr w:rsidRPr="00715FC8" w:rsidR="00BB685A" w:rsidTr="00C5122C">
        <w:trPr>
          <w:cantSplit/>
          <w:trHeight w:val="227"/>
        </w:trPr>
        <w:tc>
          <w:tcPr>
            <w:tcW w:w="5669" w:type="dxa"/>
            <w:tcBorders>
              <w:top w:val="nil"/>
              <w:left w:val="nil"/>
              <w:bottom w:val="nil"/>
              <w:right w:val="nil"/>
            </w:tcBorders>
            <w:shd w:val="clear" w:color="auto" w:fill="auto"/>
            <w:vAlign w:val="bottom"/>
            <w:hideMark/>
          </w:tcPr>
          <w:p w:rsidRPr="00715FC8" w:rsidR="00BB685A" w:rsidP="00C5122C" w:rsidRDefault="00BB685A">
            <w:pPr>
              <w:keepNext/>
              <w:keepLines/>
              <w:spacing w:line="240" w:lineRule="auto"/>
              <w:rPr>
                <w:rFonts w:cs="Arial"/>
                <w:sz w:val="16"/>
                <w:szCs w:val="16"/>
              </w:rPr>
            </w:pPr>
            <w:r w:rsidRPr="00715FC8">
              <w:rPr>
                <w:rFonts w:cs="Arial"/>
                <w:sz w:val="16"/>
                <w:szCs w:val="16"/>
              </w:rPr>
              <w:t>BPM/MRB</w:t>
            </w:r>
          </w:p>
        </w:tc>
        <w:tc>
          <w:tcPr>
            <w:tcW w:w="850" w:type="dxa"/>
            <w:tcBorders>
              <w:top w:val="nil"/>
              <w:left w:val="nil"/>
              <w:bottom w:val="nil"/>
              <w:right w:val="nil"/>
            </w:tcBorders>
            <w:shd w:val="clear" w:color="auto" w:fill="auto"/>
            <w:noWrap/>
            <w:vAlign w:val="bottom"/>
            <w:hideMark/>
          </w:tcPr>
          <w:p w:rsidRPr="00715FC8" w:rsidR="00BB685A" w:rsidP="00C5122C" w:rsidRDefault="00BB685A">
            <w:pPr>
              <w:keepNext/>
              <w:keepLines/>
              <w:spacing w:line="240" w:lineRule="auto"/>
              <w:jc w:val="right"/>
              <w:rPr>
                <w:rFonts w:cs="Arial"/>
                <w:sz w:val="16"/>
                <w:szCs w:val="16"/>
              </w:rPr>
            </w:pPr>
            <w:r w:rsidRPr="00715FC8">
              <w:rPr>
                <w:rFonts w:cs="Arial"/>
                <w:sz w:val="16"/>
                <w:szCs w:val="16"/>
              </w:rPr>
              <w:t>0,0</w:t>
            </w:r>
          </w:p>
        </w:tc>
      </w:tr>
      <w:tr w:rsidRPr="00715FC8" w:rsidR="00BB685A" w:rsidTr="00C5122C">
        <w:trPr>
          <w:cantSplit/>
          <w:trHeight w:val="227"/>
        </w:trPr>
        <w:tc>
          <w:tcPr>
            <w:tcW w:w="5669" w:type="dxa"/>
            <w:tcBorders>
              <w:top w:val="nil"/>
              <w:left w:val="nil"/>
              <w:bottom w:val="nil"/>
              <w:right w:val="nil"/>
            </w:tcBorders>
            <w:shd w:val="clear" w:color="auto" w:fill="auto"/>
            <w:vAlign w:val="bottom"/>
            <w:hideMark/>
          </w:tcPr>
          <w:p w:rsidRPr="00715FC8" w:rsidR="00BB685A" w:rsidP="00C5122C" w:rsidRDefault="00BB685A">
            <w:pPr>
              <w:keepNext/>
              <w:keepLines/>
              <w:spacing w:line="240" w:lineRule="auto"/>
              <w:rPr>
                <w:rFonts w:cs="Arial"/>
                <w:sz w:val="16"/>
                <w:szCs w:val="16"/>
              </w:rPr>
            </w:pPr>
            <w:r w:rsidRPr="00715FC8">
              <w:rPr>
                <w:rFonts w:cs="Arial"/>
                <w:sz w:val="16"/>
                <w:szCs w:val="16"/>
              </w:rPr>
              <w:t>Bankbelasting</w:t>
            </w:r>
          </w:p>
        </w:tc>
        <w:tc>
          <w:tcPr>
            <w:tcW w:w="850" w:type="dxa"/>
            <w:tcBorders>
              <w:top w:val="nil"/>
              <w:left w:val="nil"/>
              <w:bottom w:val="nil"/>
              <w:right w:val="nil"/>
            </w:tcBorders>
            <w:shd w:val="clear" w:color="auto" w:fill="auto"/>
            <w:noWrap/>
            <w:vAlign w:val="bottom"/>
            <w:hideMark/>
          </w:tcPr>
          <w:p w:rsidRPr="00715FC8" w:rsidR="00BB685A" w:rsidP="00C5122C" w:rsidRDefault="00BB685A">
            <w:pPr>
              <w:keepNext/>
              <w:keepLines/>
              <w:spacing w:line="240" w:lineRule="auto"/>
              <w:jc w:val="right"/>
              <w:rPr>
                <w:rFonts w:cs="Arial"/>
                <w:sz w:val="16"/>
                <w:szCs w:val="16"/>
              </w:rPr>
            </w:pPr>
            <w:r w:rsidRPr="00715FC8">
              <w:rPr>
                <w:rFonts w:cs="Arial"/>
                <w:sz w:val="16"/>
                <w:szCs w:val="16"/>
              </w:rPr>
              <w:t>0,0</w:t>
            </w:r>
          </w:p>
        </w:tc>
      </w:tr>
      <w:tr w:rsidRPr="00715FC8" w:rsidR="00BB685A" w:rsidTr="00C5122C">
        <w:trPr>
          <w:cantSplit/>
          <w:trHeight w:val="227"/>
        </w:trPr>
        <w:tc>
          <w:tcPr>
            <w:tcW w:w="5669" w:type="dxa"/>
            <w:tcBorders>
              <w:top w:val="nil"/>
              <w:left w:val="nil"/>
              <w:bottom w:val="nil"/>
              <w:right w:val="nil"/>
            </w:tcBorders>
            <w:shd w:val="clear" w:color="auto" w:fill="auto"/>
            <w:vAlign w:val="bottom"/>
            <w:hideMark/>
          </w:tcPr>
          <w:p w:rsidRPr="00715FC8" w:rsidR="00BB685A" w:rsidP="00C5122C" w:rsidRDefault="00BB685A">
            <w:pPr>
              <w:keepNext/>
              <w:keepLines/>
              <w:spacing w:line="240" w:lineRule="auto"/>
              <w:rPr>
                <w:rFonts w:cs="Arial"/>
                <w:sz w:val="16"/>
                <w:szCs w:val="16"/>
              </w:rPr>
            </w:pPr>
            <w:r w:rsidRPr="00715FC8">
              <w:rPr>
                <w:rFonts w:cs="Arial"/>
                <w:sz w:val="16"/>
                <w:szCs w:val="16"/>
              </w:rPr>
              <w:t>Verhuurderheffing</w:t>
            </w:r>
          </w:p>
        </w:tc>
        <w:tc>
          <w:tcPr>
            <w:tcW w:w="850" w:type="dxa"/>
            <w:tcBorders>
              <w:top w:val="nil"/>
              <w:left w:val="nil"/>
              <w:bottom w:val="nil"/>
              <w:right w:val="nil"/>
            </w:tcBorders>
            <w:shd w:val="clear" w:color="auto" w:fill="auto"/>
            <w:noWrap/>
            <w:vAlign w:val="bottom"/>
            <w:hideMark/>
          </w:tcPr>
          <w:p w:rsidRPr="00715FC8" w:rsidR="00BB685A" w:rsidP="00C5122C" w:rsidRDefault="00BB685A">
            <w:pPr>
              <w:keepNext/>
              <w:keepLines/>
              <w:spacing w:line="240" w:lineRule="auto"/>
              <w:jc w:val="right"/>
              <w:rPr>
                <w:rFonts w:cs="Arial"/>
                <w:sz w:val="16"/>
                <w:szCs w:val="16"/>
              </w:rPr>
            </w:pPr>
            <w:r w:rsidRPr="00715FC8">
              <w:rPr>
                <w:rFonts w:cs="Arial"/>
                <w:sz w:val="16"/>
                <w:szCs w:val="16"/>
              </w:rPr>
              <w:t>0,0</w:t>
            </w:r>
          </w:p>
        </w:tc>
      </w:tr>
      <w:tr w:rsidRPr="00715FC8" w:rsidR="00BB685A" w:rsidTr="00C5122C">
        <w:trPr>
          <w:cantSplit/>
          <w:trHeight w:val="227"/>
        </w:trPr>
        <w:tc>
          <w:tcPr>
            <w:tcW w:w="5669" w:type="dxa"/>
            <w:tcBorders>
              <w:top w:val="nil"/>
              <w:left w:val="nil"/>
              <w:bottom w:val="nil"/>
              <w:right w:val="nil"/>
            </w:tcBorders>
            <w:shd w:val="clear" w:color="auto" w:fill="auto"/>
            <w:vAlign w:val="bottom"/>
            <w:hideMark/>
          </w:tcPr>
          <w:p w:rsidRPr="00715FC8" w:rsidR="00BB685A" w:rsidP="00C5122C" w:rsidRDefault="00BB685A">
            <w:pPr>
              <w:keepNext/>
              <w:keepLines/>
              <w:spacing w:line="240" w:lineRule="auto"/>
              <w:rPr>
                <w:rFonts w:cs="Arial"/>
                <w:sz w:val="16"/>
                <w:szCs w:val="16"/>
              </w:rPr>
            </w:pPr>
            <w:r w:rsidRPr="00715FC8">
              <w:rPr>
                <w:rFonts w:cs="Arial"/>
                <w:sz w:val="16"/>
                <w:szCs w:val="16"/>
              </w:rPr>
              <w:t>Invoerrechten</w:t>
            </w:r>
          </w:p>
        </w:tc>
        <w:tc>
          <w:tcPr>
            <w:tcW w:w="850" w:type="dxa"/>
            <w:tcBorders>
              <w:top w:val="nil"/>
              <w:left w:val="nil"/>
              <w:bottom w:val="nil"/>
              <w:right w:val="nil"/>
            </w:tcBorders>
            <w:shd w:val="clear" w:color="auto" w:fill="auto"/>
            <w:noWrap/>
            <w:vAlign w:val="bottom"/>
            <w:hideMark/>
          </w:tcPr>
          <w:p w:rsidRPr="00715FC8" w:rsidR="00BB685A" w:rsidP="00C5122C" w:rsidRDefault="00BB685A">
            <w:pPr>
              <w:keepNext/>
              <w:keepLines/>
              <w:spacing w:line="240" w:lineRule="auto"/>
              <w:jc w:val="right"/>
              <w:rPr>
                <w:rFonts w:cs="Arial"/>
                <w:sz w:val="16"/>
                <w:szCs w:val="16"/>
              </w:rPr>
            </w:pPr>
            <w:r>
              <w:rPr>
                <w:rFonts w:cs="Arial"/>
                <w:sz w:val="16"/>
                <w:szCs w:val="16"/>
              </w:rPr>
              <w:t>0,0</w:t>
            </w:r>
          </w:p>
        </w:tc>
      </w:tr>
      <w:tr w:rsidRPr="00715FC8" w:rsidR="00BB685A" w:rsidTr="00C5122C">
        <w:trPr>
          <w:cantSplit/>
          <w:trHeight w:val="227"/>
        </w:trPr>
        <w:tc>
          <w:tcPr>
            <w:tcW w:w="5669" w:type="dxa"/>
            <w:tcBorders>
              <w:top w:val="nil"/>
              <w:left w:val="nil"/>
              <w:bottom w:val="nil"/>
              <w:right w:val="nil"/>
            </w:tcBorders>
            <w:shd w:val="clear" w:color="auto" w:fill="auto"/>
            <w:vAlign w:val="bottom"/>
            <w:hideMark/>
          </w:tcPr>
          <w:p w:rsidRPr="00715FC8" w:rsidR="00BB685A" w:rsidP="00C5122C" w:rsidRDefault="00BB685A">
            <w:pPr>
              <w:keepNext/>
              <w:keepLines/>
              <w:spacing w:line="240" w:lineRule="auto"/>
              <w:rPr>
                <w:rFonts w:cs="Arial"/>
                <w:sz w:val="16"/>
                <w:szCs w:val="16"/>
              </w:rPr>
            </w:pPr>
            <w:r w:rsidRPr="00715FC8">
              <w:rPr>
                <w:rFonts w:cs="Arial"/>
                <w:sz w:val="16"/>
                <w:szCs w:val="16"/>
              </w:rPr>
              <w:t>Overige kostprijsverhogende belastingen</w:t>
            </w:r>
          </w:p>
        </w:tc>
        <w:tc>
          <w:tcPr>
            <w:tcW w:w="850" w:type="dxa"/>
            <w:tcBorders>
              <w:top w:val="nil"/>
              <w:left w:val="nil"/>
              <w:bottom w:val="nil"/>
              <w:right w:val="nil"/>
            </w:tcBorders>
            <w:shd w:val="clear" w:color="auto" w:fill="auto"/>
            <w:noWrap/>
            <w:vAlign w:val="bottom"/>
            <w:hideMark/>
          </w:tcPr>
          <w:p w:rsidRPr="00715FC8" w:rsidR="00BB685A" w:rsidP="00C5122C" w:rsidRDefault="00BB685A">
            <w:pPr>
              <w:keepNext/>
              <w:keepLines/>
              <w:spacing w:line="240" w:lineRule="auto"/>
              <w:jc w:val="right"/>
              <w:rPr>
                <w:rFonts w:cs="Arial"/>
                <w:sz w:val="16"/>
                <w:szCs w:val="16"/>
              </w:rPr>
            </w:pPr>
            <w:r w:rsidRPr="00715FC8">
              <w:rPr>
                <w:rFonts w:cs="Arial"/>
                <w:sz w:val="16"/>
                <w:szCs w:val="16"/>
              </w:rPr>
              <w:t>0,0</w:t>
            </w:r>
          </w:p>
        </w:tc>
      </w:tr>
      <w:tr w:rsidRPr="00715FC8" w:rsidR="00BB685A" w:rsidTr="00C5122C">
        <w:trPr>
          <w:cantSplit/>
          <w:trHeight w:val="454"/>
        </w:trPr>
        <w:tc>
          <w:tcPr>
            <w:tcW w:w="5669" w:type="dxa"/>
            <w:tcBorders>
              <w:top w:val="nil"/>
              <w:left w:val="nil"/>
              <w:bottom w:val="nil"/>
              <w:right w:val="nil"/>
            </w:tcBorders>
            <w:shd w:val="clear" w:color="auto" w:fill="auto"/>
            <w:vAlign w:val="bottom"/>
            <w:hideMark/>
          </w:tcPr>
          <w:p w:rsidRPr="00715FC8" w:rsidR="00BB685A" w:rsidP="00C5122C" w:rsidRDefault="00BB685A">
            <w:pPr>
              <w:keepNext/>
              <w:keepLines/>
              <w:spacing w:line="240" w:lineRule="auto"/>
              <w:rPr>
                <w:rFonts w:cs="Arial"/>
                <w:b/>
                <w:bCs/>
                <w:sz w:val="16"/>
                <w:szCs w:val="16"/>
              </w:rPr>
            </w:pPr>
            <w:r w:rsidRPr="00715FC8">
              <w:rPr>
                <w:rFonts w:cs="Arial"/>
                <w:b/>
                <w:bCs/>
                <w:sz w:val="16"/>
                <w:szCs w:val="16"/>
              </w:rPr>
              <w:t>Belastingen en premies volksverzekeringen op inkomen, winst en vermogen</w:t>
            </w:r>
          </w:p>
        </w:tc>
        <w:tc>
          <w:tcPr>
            <w:tcW w:w="850" w:type="dxa"/>
            <w:tcBorders>
              <w:top w:val="nil"/>
              <w:left w:val="nil"/>
              <w:bottom w:val="nil"/>
              <w:right w:val="nil"/>
            </w:tcBorders>
            <w:shd w:val="clear" w:color="auto" w:fill="auto"/>
            <w:noWrap/>
            <w:vAlign w:val="bottom"/>
            <w:hideMark/>
          </w:tcPr>
          <w:p w:rsidRPr="00715FC8" w:rsidR="00BB685A" w:rsidP="00C5122C" w:rsidRDefault="00BB685A">
            <w:pPr>
              <w:keepNext/>
              <w:keepLines/>
              <w:spacing w:line="240" w:lineRule="auto"/>
              <w:jc w:val="right"/>
              <w:rPr>
                <w:rFonts w:cs="Arial"/>
                <w:b/>
                <w:bCs/>
                <w:sz w:val="16"/>
                <w:szCs w:val="16"/>
              </w:rPr>
            </w:pPr>
            <w:r>
              <w:rPr>
                <w:rFonts w:cs="Arial"/>
                <w:b/>
                <w:bCs/>
                <w:sz w:val="16"/>
                <w:szCs w:val="16"/>
              </w:rPr>
              <w:t>3,3</w:t>
            </w:r>
          </w:p>
        </w:tc>
      </w:tr>
      <w:tr w:rsidRPr="00715FC8" w:rsidR="00BB685A" w:rsidTr="00C5122C">
        <w:trPr>
          <w:cantSplit/>
          <w:trHeight w:val="227"/>
        </w:trPr>
        <w:tc>
          <w:tcPr>
            <w:tcW w:w="5669" w:type="dxa"/>
            <w:tcBorders>
              <w:top w:val="nil"/>
              <w:left w:val="nil"/>
              <w:bottom w:val="nil"/>
              <w:right w:val="nil"/>
            </w:tcBorders>
            <w:shd w:val="clear" w:color="auto" w:fill="auto"/>
            <w:vAlign w:val="bottom"/>
            <w:hideMark/>
          </w:tcPr>
          <w:p w:rsidRPr="00715FC8" w:rsidR="00BB685A" w:rsidP="00C5122C" w:rsidRDefault="00BB685A">
            <w:pPr>
              <w:keepNext/>
              <w:keepLines/>
              <w:spacing w:line="240" w:lineRule="auto"/>
              <w:rPr>
                <w:rFonts w:cs="Arial"/>
                <w:sz w:val="16"/>
                <w:szCs w:val="16"/>
              </w:rPr>
            </w:pPr>
            <w:r w:rsidRPr="00715FC8">
              <w:rPr>
                <w:rFonts w:cs="Arial"/>
                <w:sz w:val="16"/>
                <w:szCs w:val="16"/>
              </w:rPr>
              <w:t>Loon- en inkomensheffing</w:t>
            </w:r>
          </w:p>
        </w:tc>
        <w:tc>
          <w:tcPr>
            <w:tcW w:w="850" w:type="dxa"/>
            <w:tcBorders>
              <w:top w:val="nil"/>
              <w:left w:val="nil"/>
              <w:bottom w:val="nil"/>
              <w:right w:val="nil"/>
            </w:tcBorders>
            <w:shd w:val="clear" w:color="auto" w:fill="auto"/>
            <w:noWrap/>
            <w:vAlign w:val="bottom"/>
            <w:hideMark/>
          </w:tcPr>
          <w:p w:rsidRPr="00715FC8" w:rsidR="00BB685A" w:rsidP="00C5122C" w:rsidRDefault="00BB685A">
            <w:pPr>
              <w:keepNext/>
              <w:keepLines/>
              <w:spacing w:line="240" w:lineRule="auto"/>
              <w:jc w:val="right"/>
              <w:rPr>
                <w:rFonts w:cs="Arial"/>
                <w:sz w:val="16"/>
                <w:szCs w:val="16"/>
              </w:rPr>
            </w:pPr>
            <w:r>
              <w:rPr>
                <w:rFonts w:cs="Arial"/>
                <w:sz w:val="16"/>
                <w:szCs w:val="16"/>
              </w:rPr>
              <w:t>1</w:t>
            </w:r>
            <w:r w:rsidRPr="00715FC8">
              <w:rPr>
                <w:rFonts w:cs="Arial"/>
                <w:sz w:val="16"/>
                <w:szCs w:val="16"/>
              </w:rPr>
              <w:t>,</w:t>
            </w:r>
            <w:r>
              <w:rPr>
                <w:rFonts w:cs="Arial"/>
                <w:sz w:val="16"/>
                <w:szCs w:val="16"/>
              </w:rPr>
              <w:t>2</w:t>
            </w:r>
          </w:p>
        </w:tc>
      </w:tr>
      <w:tr w:rsidRPr="00715FC8" w:rsidR="00BB685A" w:rsidTr="00C5122C">
        <w:trPr>
          <w:cantSplit/>
          <w:trHeight w:val="227"/>
        </w:trPr>
        <w:tc>
          <w:tcPr>
            <w:tcW w:w="5669" w:type="dxa"/>
            <w:tcBorders>
              <w:top w:val="nil"/>
              <w:left w:val="nil"/>
              <w:bottom w:val="nil"/>
              <w:right w:val="nil"/>
            </w:tcBorders>
            <w:shd w:val="clear" w:color="auto" w:fill="auto"/>
            <w:vAlign w:val="bottom"/>
            <w:hideMark/>
          </w:tcPr>
          <w:p w:rsidRPr="00715FC8" w:rsidR="00BB685A" w:rsidP="00C5122C" w:rsidRDefault="00BB685A">
            <w:pPr>
              <w:keepNext/>
              <w:keepLines/>
              <w:spacing w:line="240" w:lineRule="auto"/>
              <w:rPr>
                <w:rFonts w:cs="Arial"/>
                <w:sz w:val="16"/>
                <w:szCs w:val="16"/>
              </w:rPr>
            </w:pPr>
            <w:r w:rsidRPr="00715FC8">
              <w:rPr>
                <w:rFonts w:cs="Arial"/>
                <w:sz w:val="16"/>
                <w:szCs w:val="16"/>
              </w:rPr>
              <w:t>Dividendbelasting</w:t>
            </w:r>
          </w:p>
        </w:tc>
        <w:tc>
          <w:tcPr>
            <w:tcW w:w="850" w:type="dxa"/>
            <w:tcBorders>
              <w:top w:val="nil"/>
              <w:left w:val="nil"/>
              <w:bottom w:val="nil"/>
              <w:right w:val="nil"/>
            </w:tcBorders>
            <w:shd w:val="clear" w:color="auto" w:fill="auto"/>
            <w:noWrap/>
            <w:vAlign w:val="bottom"/>
            <w:hideMark/>
          </w:tcPr>
          <w:p w:rsidRPr="00715FC8" w:rsidR="00BB685A" w:rsidP="00C5122C" w:rsidRDefault="00BB685A">
            <w:pPr>
              <w:keepNext/>
              <w:keepLines/>
              <w:spacing w:line="240" w:lineRule="auto"/>
              <w:jc w:val="right"/>
              <w:rPr>
                <w:rFonts w:cs="Arial"/>
                <w:sz w:val="16"/>
                <w:szCs w:val="16"/>
              </w:rPr>
            </w:pPr>
            <w:r w:rsidRPr="00715FC8">
              <w:rPr>
                <w:rFonts w:cs="Arial"/>
                <w:sz w:val="16"/>
                <w:szCs w:val="16"/>
              </w:rPr>
              <w:t>0,0</w:t>
            </w:r>
          </w:p>
        </w:tc>
      </w:tr>
      <w:tr w:rsidRPr="00715FC8" w:rsidR="00BB685A" w:rsidTr="00C5122C">
        <w:trPr>
          <w:cantSplit/>
          <w:trHeight w:val="227"/>
        </w:trPr>
        <w:tc>
          <w:tcPr>
            <w:tcW w:w="5669" w:type="dxa"/>
            <w:tcBorders>
              <w:top w:val="nil"/>
              <w:left w:val="nil"/>
              <w:bottom w:val="nil"/>
              <w:right w:val="nil"/>
            </w:tcBorders>
            <w:shd w:val="clear" w:color="auto" w:fill="auto"/>
            <w:vAlign w:val="bottom"/>
            <w:hideMark/>
          </w:tcPr>
          <w:p w:rsidRPr="00715FC8" w:rsidR="00BB685A" w:rsidP="00C5122C" w:rsidRDefault="00BB685A">
            <w:pPr>
              <w:keepNext/>
              <w:keepLines/>
              <w:spacing w:line="240" w:lineRule="auto"/>
              <w:rPr>
                <w:rFonts w:cs="Arial"/>
                <w:sz w:val="16"/>
                <w:szCs w:val="16"/>
              </w:rPr>
            </w:pPr>
            <w:r w:rsidRPr="00715FC8">
              <w:rPr>
                <w:rFonts w:cs="Arial"/>
                <w:sz w:val="16"/>
                <w:szCs w:val="16"/>
              </w:rPr>
              <w:t>Vennootschapsbelasting</w:t>
            </w:r>
          </w:p>
        </w:tc>
        <w:tc>
          <w:tcPr>
            <w:tcW w:w="850" w:type="dxa"/>
            <w:tcBorders>
              <w:top w:val="nil"/>
              <w:left w:val="nil"/>
              <w:bottom w:val="nil"/>
              <w:right w:val="nil"/>
            </w:tcBorders>
            <w:shd w:val="clear" w:color="auto" w:fill="auto"/>
            <w:noWrap/>
            <w:vAlign w:val="bottom"/>
            <w:hideMark/>
          </w:tcPr>
          <w:p w:rsidRPr="00715FC8" w:rsidR="00BB685A" w:rsidP="00C5122C" w:rsidRDefault="00BB685A">
            <w:pPr>
              <w:keepNext/>
              <w:keepLines/>
              <w:spacing w:line="240" w:lineRule="auto"/>
              <w:jc w:val="right"/>
              <w:rPr>
                <w:rFonts w:cs="Arial"/>
                <w:sz w:val="16"/>
                <w:szCs w:val="16"/>
              </w:rPr>
            </w:pPr>
            <w:r>
              <w:rPr>
                <w:rFonts w:cs="Arial"/>
                <w:sz w:val="16"/>
                <w:szCs w:val="16"/>
              </w:rPr>
              <w:t>2</w:t>
            </w:r>
            <w:r w:rsidRPr="00715FC8">
              <w:rPr>
                <w:rFonts w:cs="Arial"/>
                <w:sz w:val="16"/>
                <w:szCs w:val="16"/>
              </w:rPr>
              <w:t>,0</w:t>
            </w:r>
          </w:p>
        </w:tc>
      </w:tr>
      <w:tr w:rsidRPr="00715FC8" w:rsidR="00BB685A" w:rsidTr="00C5122C">
        <w:trPr>
          <w:cantSplit/>
          <w:trHeight w:val="227"/>
        </w:trPr>
        <w:tc>
          <w:tcPr>
            <w:tcW w:w="5669" w:type="dxa"/>
            <w:tcBorders>
              <w:top w:val="nil"/>
              <w:left w:val="nil"/>
              <w:bottom w:val="nil"/>
              <w:right w:val="nil"/>
            </w:tcBorders>
            <w:shd w:val="clear" w:color="auto" w:fill="auto"/>
            <w:vAlign w:val="bottom"/>
            <w:hideMark/>
          </w:tcPr>
          <w:p w:rsidRPr="00715FC8" w:rsidR="00BB685A" w:rsidP="00C5122C" w:rsidRDefault="00BB685A">
            <w:pPr>
              <w:keepNext/>
              <w:keepLines/>
              <w:spacing w:line="240" w:lineRule="auto"/>
              <w:rPr>
                <w:rFonts w:cs="Arial"/>
                <w:sz w:val="16"/>
                <w:szCs w:val="16"/>
              </w:rPr>
            </w:pPr>
            <w:r w:rsidRPr="00715FC8">
              <w:rPr>
                <w:rFonts w:cs="Arial"/>
                <w:sz w:val="16"/>
                <w:szCs w:val="16"/>
              </w:rPr>
              <w:t>Schenk- en erfbelasting</w:t>
            </w:r>
          </w:p>
        </w:tc>
        <w:tc>
          <w:tcPr>
            <w:tcW w:w="850" w:type="dxa"/>
            <w:tcBorders>
              <w:top w:val="nil"/>
              <w:left w:val="nil"/>
              <w:bottom w:val="nil"/>
              <w:right w:val="nil"/>
            </w:tcBorders>
            <w:shd w:val="clear" w:color="auto" w:fill="auto"/>
            <w:noWrap/>
            <w:vAlign w:val="bottom"/>
            <w:hideMark/>
          </w:tcPr>
          <w:p w:rsidRPr="00715FC8" w:rsidR="00BB685A" w:rsidP="00C5122C" w:rsidRDefault="00BB685A">
            <w:pPr>
              <w:keepNext/>
              <w:keepLines/>
              <w:spacing w:line="240" w:lineRule="auto"/>
              <w:jc w:val="right"/>
              <w:rPr>
                <w:rFonts w:cs="Arial"/>
                <w:sz w:val="16"/>
                <w:szCs w:val="16"/>
              </w:rPr>
            </w:pPr>
            <w:r w:rsidRPr="00715FC8">
              <w:rPr>
                <w:rFonts w:cs="Arial"/>
                <w:sz w:val="16"/>
                <w:szCs w:val="16"/>
              </w:rPr>
              <w:t>0,</w:t>
            </w:r>
            <w:r>
              <w:rPr>
                <w:rFonts w:cs="Arial"/>
                <w:sz w:val="16"/>
                <w:szCs w:val="16"/>
              </w:rPr>
              <w:t>1</w:t>
            </w:r>
          </w:p>
        </w:tc>
      </w:tr>
      <w:tr w:rsidRPr="00715FC8" w:rsidR="00BB685A" w:rsidTr="00C5122C">
        <w:trPr>
          <w:cantSplit/>
          <w:trHeight w:val="227"/>
        </w:trPr>
        <w:tc>
          <w:tcPr>
            <w:tcW w:w="5669" w:type="dxa"/>
            <w:tcBorders>
              <w:top w:val="nil"/>
              <w:left w:val="nil"/>
              <w:bottom w:val="nil"/>
              <w:right w:val="nil"/>
            </w:tcBorders>
            <w:shd w:val="clear" w:color="auto" w:fill="auto"/>
            <w:vAlign w:val="bottom"/>
            <w:hideMark/>
          </w:tcPr>
          <w:p w:rsidRPr="00715FC8" w:rsidR="00BB685A" w:rsidP="00C5122C" w:rsidRDefault="00BB685A">
            <w:pPr>
              <w:keepNext/>
              <w:keepLines/>
              <w:spacing w:line="240" w:lineRule="auto"/>
              <w:rPr>
                <w:rFonts w:cs="Arial"/>
                <w:sz w:val="16"/>
                <w:szCs w:val="16"/>
              </w:rPr>
            </w:pPr>
            <w:r w:rsidRPr="00715FC8">
              <w:rPr>
                <w:rFonts w:cs="Arial"/>
                <w:sz w:val="16"/>
                <w:szCs w:val="16"/>
              </w:rPr>
              <w:t>Overige belastingen op inkomen, winst, vermogen</w:t>
            </w:r>
          </w:p>
        </w:tc>
        <w:tc>
          <w:tcPr>
            <w:tcW w:w="850" w:type="dxa"/>
            <w:tcBorders>
              <w:top w:val="nil"/>
              <w:left w:val="nil"/>
              <w:bottom w:val="nil"/>
              <w:right w:val="nil"/>
            </w:tcBorders>
            <w:shd w:val="clear" w:color="auto" w:fill="auto"/>
            <w:noWrap/>
            <w:vAlign w:val="bottom"/>
            <w:hideMark/>
          </w:tcPr>
          <w:p w:rsidRPr="00715FC8" w:rsidR="00BB685A" w:rsidP="00C5122C" w:rsidRDefault="00BB685A">
            <w:pPr>
              <w:keepNext/>
              <w:keepLines/>
              <w:spacing w:line="240" w:lineRule="auto"/>
              <w:jc w:val="right"/>
              <w:rPr>
                <w:rFonts w:cs="Arial"/>
                <w:sz w:val="16"/>
                <w:szCs w:val="16"/>
              </w:rPr>
            </w:pPr>
            <w:r w:rsidRPr="00715FC8">
              <w:rPr>
                <w:rFonts w:cs="Arial"/>
                <w:sz w:val="16"/>
                <w:szCs w:val="16"/>
              </w:rPr>
              <w:t>0,0</w:t>
            </w:r>
          </w:p>
        </w:tc>
      </w:tr>
      <w:tr w:rsidRPr="00715FC8" w:rsidR="00BB685A" w:rsidTr="00C5122C">
        <w:trPr>
          <w:cantSplit/>
          <w:trHeight w:val="454"/>
        </w:trPr>
        <w:tc>
          <w:tcPr>
            <w:tcW w:w="5669" w:type="dxa"/>
            <w:tcBorders>
              <w:top w:val="nil"/>
              <w:left w:val="nil"/>
              <w:bottom w:val="nil"/>
              <w:right w:val="nil"/>
            </w:tcBorders>
            <w:shd w:val="clear" w:color="auto" w:fill="auto"/>
            <w:vAlign w:val="bottom"/>
            <w:hideMark/>
          </w:tcPr>
          <w:p w:rsidRPr="00715FC8" w:rsidR="00BB685A" w:rsidP="00C5122C" w:rsidRDefault="00BB685A">
            <w:pPr>
              <w:keepNext/>
              <w:keepLines/>
              <w:spacing w:line="240" w:lineRule="auto"/>
              <w:rPr>
                <w:rFonts w:cs="Arial"/>
                <w:b/>
                <w:bCs/>
                <w:sz w:val="16"/>
                <w:szCs w:val="16"/>
              </w:rPr>
            </w:pPr>
            <w:r w:rsidRPr="00715FC8">
              <w:rPr>
                <w:rFonts w:cs="Arial"/>
                <w:b/>
                <w:bCs/>
                <w:sz w:val="16"/>
                <w:szCs w:val="16"/>
              </w:rPr>
              <w:t>Totaal belastingen en premies volkverzekeringen</w:t>
            </w:r>
          </w:p>
        </w:tc>
        <w:tc>
          <w:tcPr>
            <w:tcW w:w="850" w:type="dxa"/>
            <w:tcBorders>
              <w:top w:val="nil"/>
              <w:left w:val="nil"/>
              <w:bottom w:val="nil"/>
              <w:right w:val="nil"/>
            </w:tcBorders>
            <w:shd w:val="clear" w:color="auto" w:fill="auto"/>
            <w:noWrap/>
            <w:vAlign w:val="bottom"/>
            <w:hideMark/>
          </w:tcPr>
          <w:p w:rsidRPr="00715FC8" w:rsidR="00BB685A" w:rsidP="00C5122C" w:rsidRDefault="00BB685A">
            <w:pPr>
              <w:keepNext/>
              <w:keepLines/>
              <w:spacing w:line="240" w:lineRule="auto"/>
              <w:jc w:val="right"/>
              <w:rPr>
                <w:rFonts w:cs="Arial"/>
                <w:b/>
                <w:bCs/>
                <w:sz w:val="16"/>
                <w:szCs w:val="16"/>
              </w:rPr>
            </w:pPr>
            <w:r>
              <w:rPr>
                <w:rFonts w:cs="Arial"/>
                <w:b/>
                <w:bCs/>
                <w:sz w:val="16"/>
                <w:szCs w:val="16"/>
              </w:rPr>
              <w:t>4</w:t>
            </w:r>
            <w:r w:rsidRPr="00715FC8">
              <w:rPr>
                <w:rFonts w:cs="Arial"/>
                <w:b/>
                <w:bCs/>
                <w:sz w:val="16"/>
                <w:szCs w:val="16"/>
              </w:rPr>
              <w:t>,</w:t>
            </w:r>
            <w:r>
              <w:rPr>
                <w:rFonts w:cs="Arial"/>
                <w:b/>
                <w:bCs/>
                <w:sz w:val="16"/>
                <w:szCs w:val="16"/>
              </w:rPr>
              <w:t>3</w:t>
            </w:r>
          </w:p>
        </w:tc>
      </w:tr>
      <w:tr w:rsidRPr="00715FC8" w:rsidR="00BB685A" w:rsidTr="00C5122C">
        <w:trPr>
          <w:cantSplit/>
          <w:trHeight w:val="227"/>
        </w:trPr>
        <w:tc>
          <w:tcPr>
            <w:tcW w:w="5669" w:type="dxa"/>
            <w:tcBorders>
              <w:top w:val="nil"/>
              <w:left w:val="nil"/>
              <w:bottom w:val="nil"/>
              <w:right w:val="nil"/>
            </w:tcBorders>
            <w:shd w:val="clear" w:color="auto" w:fill="auto"/>
            <w:vAlign w:val="bottom"/>
            <w:hideMark/>
          </w:tcPr>
          <w:p w:rsidRPr="00715FC8" w:rsidR="00BB685A" w:rsidP="00C5122C" w:rsidRDefault="00BB685A">
            <w:pPr>
              <w:keepNext/>
              <w:keepLines/>
              <w:spacing w:line="240" w:lineRule="auto"/>
              <w:rPr>
                <w:rFonts w:cs="Arial"/>
                <w:sz w:val="16"/>
                <w:szCs w:val="16"/>
              </w:rPr>
            </w:pPr>
            <w:r w:rsidRPr="00715FC8">
              <w:rPr>
                <w:rFonts w:cs="Arial"/>
                <w:sz w:val="16"/>
                <w:szCs w:val="16"/>
              </w:rPr>
              <w:t>Premies werknemersverzekeringen</w:t>
            </w:r>
          </w:p>
        </w:tc>
        <w:tc>
          <w:tcPr>
            <w:tcW w:w="850" w:type="dxa"/>
            <w:tcBorders>
              <w:top w:val="nil"/>
              <w:left w:val="nil"/>
              <w:bottom w:val="nil"/>
              <w:right w:val="nil"/>
            </w:tcBorders>
            <w:shd w:val="clear" w:color="auto" w:fill="auto"/>
            <w:noWrap/>
            <w:vAlign w:val="bottom"/>
            <w:hideMark/>
          </w:tcPr>
          <w:p w:rsidRPr="00715FC8" w:rsidR="00BB685A" w:rsidP="00C5122C" w:rsidRDefault="00BB685A">
            <w:pPr>
              <w:keepNext/>
              <w:keepLines/>
              <w:spacing w:line="240" w:lineRule="auto"/>
              <w:jc w:val="right"/>
              <w:rPr>
                <w:rFonts w:cs="Arial"/>
                <w:sz w:val="16"/>
                <w:szCs w:val="16"/>
              </w:rPr>
            </w:pPr>
            <w:r w:rsidRPr="00715FC8">
              <w:rPr>
                <w:rFonts w:cs="Arial"/>
                <w:sz w:val="16"/>
                <w:szCs w:val="16"/>
              </w:rPr>
              <w:t>0,0</w:t>
            </w:r>
          </w:p>
        </w:tc>
      </w:tr>
      <w:tr w:rsidRPr="00715FC8" w:rsidR="00BB685A" w:rsidTr="00C5122C">
        <w:trPr>
          <w:cantSplit/>
          <w:trHeight w:val="454"/>
        </w:trPr>
        <w:tc>
          <w:tcPr>
            <w:tcW w:w="5669" w:type="dxa"/>
            <w:tcBorders>
              <w:top w:val="nil"/>
              <w:left w:val="nil"/>
              <w:bottom w:val="single" w:color="auto" w:sz="4" w:space="0"/>
              <w:right w:val="nil"/>
            </w:tcBorders>
            <w:shd w:val="clear" w:color="auto" w:fill="auto"/>
            <w:vAlign w:val="bottom"/>
            <w:hideMark/>
          </w:tcPr>
          <w:p w:rsidRPr="00715FC8" w:rsidR="00BB685A" w:rsidP="00C5122C" w:rsidRDefault="00BB685A">
            <w:pPr>
              <w:keepNext/>
              <w:keepLines/>
              <w:spacing w:line="240" w:lineRule="auto"/>
              <w:rPr>
                <w:rFonts w:cs="Arial"/>
                <w:b/>
                <w:bCs/>
                <w:sz w:val="16"/>
                <w:szCs w:val="16"/>
              </w:rPr>
            </w:pPr>
            <w:r w:rsidRPr="00715FC8">
              <w:rPr>
                <w:rFonts w:cs="Arial"/>
                <w:b/>
                <w:bCs/>
                <w:sz w:val="16"/>
                <w:szCs w:val="16"/>
              </w:rPr>
              <w:t>Totaal belastingen en premies</w:t>
            </w:r>
          </w:p>
        </w:tc>
        <w:tc>
          <w:tcPr>
            <w:tcW w:w="850" w:type="dxa"/>
            <w:tcBorders>
              <w:top w:val="nil"/>
              <w:left w:val="nil"/>
              <w:bottom w:val="single" w:color="auto" w:sz="4" w:space="0"/>
              <w:right w:val="nil"/>
            </w:tcBorders>
            <w:shd w:val="clear" w:color="auto" w:fill="auto"/>
            <w:noWrap/>
            <w:vAlign w:val="bottom"/>
            <w:hideMark/>
          </w:tcPr>
          <w:p w:rsidRPr="00715FC8" w:rsidR="00BB685A" w:rsidP="00C5122C" w:rsidRDefault="00BB685A">
            <w:pPr>
              <w:keepNext/>
              <w:keepLines/>
              <w:spacing w:line="240" w:lineRule="auto"/>
              <w:jc w:val="right"/>
              <w:rPr>
                <w:rFonts w:cs="Arial"/>
                <w:b/>
                <w:bCs/>
                <w:sz w:val="16"/>
                <w:szCs w:val="16"/>
              </w:rPr>
            </w:pPr>
            <w:r>
              <w:rPr>
                <w:rFonts w:cs="Arial"/>
                <w:b/>
                <w:bCs/>
                <w:sz w:val="16"/>
                <w:szCs w:val="16"/>
              </w:rPr>
              <w:t>4</w:t>
            </w:r>
            <w:r w:rsidRPr="00715FC8">
              <w:rPr>
                <w:rFonts w:cs="Arial"/>
                <w:b/>
                <w:bCs/>
                <w:sz w:val="16"/>
                <w:szCs w:val="16"/>
              </w:rPr>
              <w:t>,</w:t>
            </w:r>
            <w:r w:rsidR="004F77E1">
              <w:rPr>
                <w:rFonts w:cs="Arial"/>
                <w:b/>
                <w:bCs/>
                <w:sz w:val="16"/>
                <w:szCs w:val="16"/>
              </w:rPr>
              <w:t>3</w:t>
            </w:r>
          </w:p>
        </w:tc>
      </w:tr>
    </w:tbl>
    <w:p w:rsidR="00BB685A" w:rsidP="00BB685A" w:rsidRDefault="00BB685A">
      <w:pPr>
        <w:contextualSpacing/>
      </w:pPr>
    </w:p>
    <w:p w:rsidR="00BB685A" w:rsidP="00BB685A" w:rsidRDefault="00BB685A">
      <w:pPr>
        <w:contextualSpacing/>
      </w:pPr>
      <w:r>
        <w:t>Ook de raming van de ontvangsten uit de loon- en inkomensheffing is opwaarts bijgesteld. Deze meevaller (1,2 miljard euro) betreft met name de inkomensheffing en volgt enerzijds uit hogere winsten van IB-ondernemers over eerdere jaren. Anderzijds geldt ook bij de inkomensheffing dat het aanslagniveau van IB-ondernemers over 2016 veel actueler is dan vorig jaar waardoor een deel van toekomstige belastingontvangsten naar voren is gehaald.</w:t>
      </w:r>
    </w:p>
    <w:p w:rsidR="00BB685A" w:rsidP="00BB685A" w:rsidRDefault="00BB685A">
      <w:pPr>
        <w:contextualSpacing/>
      </w:pPr>
    </w:p>
    <w:p w:rsidR="00BB685A" w:rsidP="00BB685A" w:rsidRDefault="00BB685A">
      <w:pPr>
        <w:contextualSpacing/>
      </w:pPr>
      <w:r>
        <w:t>Verder kennen de btw-ontvangsten een meevaller ten opzichte van de Miljoenennota van 1,0 miljard. Dit eveneens op basis van de realisaties tot en met het derde kwartaal van 2016.</w:t>
      </w:r>
    </w:p>
    <w:p w:rsidRPr="00AF1B52" w:rsidR="00BB685A" w:rsidP="00BB685A" w:rsidRDefault="00BB685A">
      <w:pPr>
        <w:pStyle w:val="tekst"/>
        <w:contextualSpacing/>
      </w:pPr>
      <w:r>
        <w:t>Tot slot zijn de ontvangsten uit de schenk- en erfbelasting 0,1 miljard euro opwaarts bijgesteld op basis van de realisaties tot en met oktober.</w:t>
      </w:r>
    </w:p>
    <w:p w:rsidR="00BB685A" w:rsidP="00BB685A" w:rsidRDefault="00BB685A">
      <w:pPr>
        <w:pStyle w:val="Kop1"/>
        <w:ind w:left="720"/>
        <w:contextualSpacing/>
        <w:rPr>
          <w:sz w:val="18"/>
          <w:szCs w:val="18"/>
        </w:rPr>
      </w:pPr>
    </w:p>
    <w:p w:rsidRPr="00435186" w:rsidR="00BB685A" w:rsidP="00BB685A" w:rsidRDefault="00BB685A">
      <w:pPr>
        <w:pStyle w:val="Kop1"/>
        <w:numPr>
          <w:ilvl w:val="0"/>
          <w:numId w:val="14"/>
        </w:numPr>
        <w:contextualSpacing/>
        <w:rPr>
          <w:sz w:val="18"/>
          <w:szCs w:val="18"/>
        </w:rPr>
      </w:pPr>
      <w:r w:rsidRPr="00435186">
        <w:rPr>
          <w:sz w:val="18"/>
          <w:szCs w:val="18"/>
        </w:rPr>
        <w:t>EMU-saldo en EMU-schuld</w:t>
      </w:r>
    </w:p>
    <w:p w:rsidR="00BB685A" w:rsidP="00BB685A" w:rsidRDefault="00BB685A">
      <w:pPr>
        <w:pStyle w:val="tekst"/>
      </w:pPr>
      <w:r>
        <w:t>Naar de huidige inzichten komt het EMU-saldo in 2016 uit op -0,4 procent van het bbp. Het geraamde tekort is daarmee 0,7 procentpunt lager dan werd verwacht in de Miljoenennota 2017. De onderliggende mutaties worden toegelicht in tabel 4.1.</w:t>
      </w:r>
    </w:p>
    <w:p w:rsidR="00BB685A" w:rsidP="00BB685A" w:rsidRDefault="00BB685A">
      <w:pPr>
        <w:pStyle w:val="bijschrift"/>
      </w:pPr>
      <w:r>
        <w:t>Tabel 4.1 Ontwikkeling EMU-saldo sinds Miljoenennota 2017 (in procent bbp)</w:t>
      </w:r>
    </w:p>
    <w:tbl>
      <w:tblPr>
        <w:tblW w:w="6519" w:type="dxa"/>
        <w:tblInd w:w="70" w:type="dxa"/>
        <w:tblCellMar>
          <w:left w:w="0" w:type="dxa"/>
          <w:right w:w="0" w:type="dxa"/>
        </w:tblCellMar>
        <w:tblLook w:val="04A0"/>
      </w:tblPr>
      <w:tblGrid>
        <w:gridCol w:w="5669"/>
        <w:gridCol w:w="850"/>
      </w:tblGrid>
      <w:tr w:rsidR="00BB685A" w:rsidTr="00C5122C">
        <w:trPr>
          <w:trHeight w:val="227"/>
        </w:trPr>
        <w:tc>
          <w:tcPr>
            <w:tcW w:w="5669"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00BB685A" w:rsidP="00C5122C" w:rsidRDefault="00BB685A">
            <w:pPr>
              <w:rPr>
                <w:rFonts w:cs="Calibri" w:eastAsiaTheme="minorHAnsi"/>
                <w:b/>
                <w:bCs/>
                <w:sz w:val="16"/>
                <w:szCs w:val="16"/>
              </w:rPr>
            </w:pPr>
            <w:r>
              <w:rPr>
                <w:b/>
                <w:bCs/>
                <w:sz w:val="16"/>
                <w:szCs w:val="16"/>
              </w:rPr>
              <w:t> </w:t>
            </w:r>
          </w:p>
        </w:tc>
        <w:tc>
          <w:tcPr>
            <w:tcW w:w="850"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00BB685A" w:rsidP="00C5122C" w:rsidRDefault="00BB685A">
            <w:pPr>
              <w:jc w:val="right"/>
              <w:rPr>
                <w:rFonts w:cs="Calibri" w:eastAsiaTheme="minorHAnsi"/>
                <w:b/>
                <w:bCs/>
                <w:sz w:val="16"/>
                <w:szCs w:val="16"/>
              </w:rPr>
            </w:pPr>
            <w:r>
              <w:rPr>
                <w:b/>
                <w:bCs/>
                <w:sz w:val="16"/>
                <w:szCs w:val="16"/>
              </w:rPr>
              <w:t>2016</w:t>
            </w:r>
          </w:p>
        </w:tc>
      </w:tr>
      <w:tr w:rsidR="00BB685A" w:rsidTr="00C5122C">
        <w:trPr>
          <w:trHeight w:val="227"/>
        </w:trPr>
        <w:tc>
          <w:tcPr>
            <w:tcW w:w="5669" w:type="dxa"/>
            <w:noWrap/>
            <w:tcMar>
              <w:top w:w="0" w:type="dxa"/>
              <w:left w:w="70" w:type="dxa"/>
              <w:bottom w:w="0" w:type="dxa"/>
              <w:right w:w="70" w:type="dxa"/>
            </w:tcMar>
            <w:vAlign w:val="bottom"/>
            <w:hideMark/>
          </w:tcPr>
          <w:p w:rsidR="00BB685A" w:rsidP="00C5122C" w:rsidRDefault="00BB685A">
            <w:pPr>
              <w:rPr>
                <w:rFonts w:cs="Calibri" w:eastAsiaTheme="minorHAnsi"/>
                <w:b/>
                <w:bCs/>
                <w:sz w:val="16"/>
                <w:szCs w:val="16"/>
              </w:rPr>
            </w:pPr>
            <w:r>
              <w:rPr>
                <w:b/>
                <w:bCs/>
                <w:sz w:val="16"/>
                <w:szCs w:val="16"/>
              </w:rPr>
              <w:t>EMU-saldo Miljoenennota 2017</w:t>
            </w:r>
          </w:p>
        </w:tc>
        <w:tc>
          <w:tcPr>
            <w:tcW w:w="850" w:type="dxa"/>
            <w:noWrap/>
            <w:tcMar>
              <w:top w:w="0" w:type="dxa"/>
              <w:left w:w="70" w:type="dxa"/>
              <w:bottom w:w="0" w:type="dxa"/>
              <w:right w:w="70" w:type="dxa"/>
            </w:tcMar>
            <w:vAlign w:val="bottom"/>
            <w:hideMark/>
          </w:tcPr>
          <w:p w:rsidR="00BB685A" w:rsidP="00C5122C" w:rsidRDefault="00BB685A">
            <w:pPr>
              <w:jc w:val="right"/>
              <w:rPr>
                <w:rFonts w:cs="Calibri" w:eastAsiaTheme="minorHAnsi"/>
                <w:b/>
                <w:bCs/>
                <w:sz w:val="16"/>
                <w:szCs w:val="16"/>
              </w:rPr>
            </w:pPr>
            <w:r>
              <w:rPr>
                <w:b/>
                <w:bCs/>
                <w:sz w:val="16"/>
                <w:szCs w:val="16"/>
              </w:rPr>
              <w:t>-1,1%</w:t>
            </w:r>
          </w:p>
        </w:tc>
      </w:tr>
      <w:tr w:rsidR="00BB685A" w:rsidTr="00C5122C">
        <w:trPr>
          <w:trHeight w:val="227"/>
        </w:trPr>
        <w:tc>
          <w:tcPr>
            <w:tcW w:w="5669" w:type="dxa"/>
            <w:noWrap/>
            <w:tcMar>
              <w:top w:w="0" w:type="dxa"/>
              <w:left w:w="70" w:type="dxa"/>
              <w:bottom w:w="0" w:type="dxa"/>
              <w:right w:w="70" w:type="dxa"/>
            </w:tcMar>
            <w:vAlign w:val="bottom"/>
            <w:hideMark/>
          </w:tcPr>
          <w:p w:rsidR="00BB685A" w:rsidP="00C5122C" w:rsidRDefault="00BB685A">
            <w:pPr>
              <w:rPr>
                <w:rFonts w:cs="Calibri" w:eastAsiaTheme="minorHAnsi"/>
                <w:sz w:val="16"/>
                <w:szCs w:val="16"/>
              </w:rPr>
            </w:pPr>
            <w:r>
              <w:rPr>
                <w:sz w:val="16"/>
                <w:szCs w:val="16"/>
              </w:rPr>
              <w:t>Inkomsten</w:t>
            </w:r>
          </w:p>
        </w:tc>
        <w:tc>
          <w:tcPr>
            <w:tcW w:w="850" w:type="dxa"/>
            <w:noWrap/>
            <w:tcMar>
              <w:top w:w="0" w:type="dxa"/>
              <w:left w:w="70" w:type="dxa"/>
              <w:bottom w:w="0" w:type="dxa"/>
              <w:right w:w="70" w:type="dxa"/>
            </w:tcMar>
            <w:vAlign w:val="bottom"/>
            <w:hideMark/>
          </w:tcPr>
          <w:p w:rsidR="00BB685A" w:rsidP="00C5122C" w:rsidRDefault="00BB685A">
            <w:pPr>
              <w:jc w:val="right"/>
              <w:rPr>
                <w:rFonts w:cs="Calibri" w:eastAsiaTheme="minorHAnsi"/>
                <w:sz w:val="16"/>
                <w:szCs w:val="16"/>
              </w:rPr>
            </w:pPr>
            <w:r>
              <w:rPr>
                <w:sz w:val="16"/>
                <w:szCs w:val="16"/>
              </w:rPr>
              <w:t>0,6%</w:t>
            </w:r>
          </w:p>
        </w:tc>
      </w:tr>
      <w:tr w:rsidR="00BB685A" w:rsidTr="00C5122C">
        <w:trPr>
          <w:trHeight w:val="227"/>
        </w:trPr>
        <w:tc>
          <w:tcPr>
            <w:tcW w:w="5669" w:type="dxa"/>
            <w:noWrap/>
            <w:tcMar>
              <w:top w:w="0" w:type="dxa"/>
              <w:left w:w="70" w:type="dxa"/>
              <w:bottom w:w="0" w:type="dxa"/>
              <w:right w:w="70" w:type="dxa"/>
            </w:tcMar>
            <w:vAlign w:val="bottom"/>
            <w:hideMark/>
          </w:tcPr>
          <w:p w:rsidR="00BB685A" w:rsidP="00C5122C" w:rsidRDefault="00BB685A">
            <w:pPr>
              <w:rPr>
                <w:rFonts w:cs="Calibri" w:eastAsiaTheme="minorHAnsi"/>
                <w:sz w:val="16"/>
                <w:szCs w:val="16"/>
              </w:rPr>
            </w:pPr>
            <w:r>
              <w:rPr>
                <w:sz w:val="16"/>
                <w:szCs w:val="16"/>
              </w:rPr>
              <w:t>Uitgaven onder het uitgavenkader</w:t>
            </w:r>
          </w:p>
        </w:tc>
        <w:tc>
          <w:tcPr>
            <w:tcW w:w="850" w:type="dxa"/>
            <w:noWrap/>
            <w:tcMar>
              <w:top w:w="0" w:type="dxa"/>
              <w:left w:w="70" w:type="dxa"/>
              <w:bottom w:w="0" w:type="dxa"/>
              <w:right w:w="70" w:type="dxa"/>
            </w:tcMar>
            <w:vAlign w:val="bottom"/>
            <w:hideMark/>
          </w:tcPr>
          <w:p w:rsidR="00BB685A" w:rsidP="00C5122C" w:rsidRDefault="00BB685A">
            <w:pPr>
              <w:jc w:val="right"/>
              <w:rPr>
                <w:rFonts w:cs="Calibri" w:eastAsiaTheme="minorHAnsi"/>
                <w:sz w:val="16"/>
                <w:szCs w:val="16"/>
              </w:rPr>
            </w:pPr>
            <w:r>
              <w:rPr>
                <w:sz w:val="16"/>
                <w:szCs w:val="16"/>
              </w:rPr>
              <w:t>-0,4%</w:t>
            </w:r>
          </w:p>
        </w:tc>
      </w:tr>
      <w:tr w:rsidR="00BB685A" w:rsidTr="00C5122C">
        <w:trPr>
          <w:trHeight w:val="227"/>
        </w:trPr>
        <w:tc>
          <w:tcPr>
            <w:tcW w:w="5669" w:type="dxa"/>
            <w:noWrap/>
            <w:tcMar>
              <w:top w:w="0" w:type="dxa"/>
              <w:left w:w="70" w:type="dxa"/>
              <w:bottom w:w="0" w:type="dxa"/>
              <w:right w:w="70" w:type="dxa"/>
            </w:tcMar>
            <w:vAlign w:val="bottom"/>
            <w:hideMark/>
          </w:tcPr>
          <w:p w:rsidR="00BB685A" w:rsidP="00C5122C" w:rsidRDefault="00BB685A">
            <w:pPr>
              <w:rPr>
                <w:rFonts w:cs="Calibri" w:eastAsiaTheme="minorHAnsi"/>
                <w:sz w:val="16"/>
                <w:szCs w:val="16"/>
              </w:rPr>
            </w:pPr>
            <w:r>
              <w:rPr>
                <w:sz w:val="16"/>
                <w:szCs w:val="16"/>
              </w:rPr>
              <w:t>Kas-transverschil EU-afdrachten</w:t>
            </w:r>
          </w:p>
        </w:tc>
        <w:tc>
          <w:tcPr>
            <w:tcW w:w="850" w:type="dxa"/>
            <w:noWrap/>
            <w:tcMar>
              <w:top w:w="0" w:type="dxa"/>
              <w:left w:w="70" w:type="dxa"/>
              <w:bottom w:w="0" w:type="dxa"/>
              <w:right w:w="70" w:type="dxa"/>
            </w:tcMar>
            <w:vAlign w:val="bottom"/>
            <w:hideMark/>
          </w:tcPr>
          <w:p w:rsidR="00BB685A" w:rsidP="00C5122C" w:rsidRDefault="00BB685A">
            <w:pPr>
              <w:jc w:val="right"/>
              <w:rPr>
                <w:rFonts w:cs="Calibri" w:eastAsiaTheme="minorHAnsi"/>
                <w:sz w:val="16"/>
                <w:szCs w:val="16"/>
              </w:rPr>
            </w:pPr>
            <w:r>
              <w:rPr>
                <w:sz w:val="16"/>
                <w:szCs w:val="16"/>
              </w:rPr>
              <w:t>0,4%</w:t>
            </w:r>
          </w:p>
        </w:tc>
      </w:tr>
      <w:tr w:rsidR="00BB685A" w:rsidTr="00C5122C">
        <w:trPr>
          <w:trHeight w:val="227"/>
        </w:trPr>
        <w:tc>
          <w:tcPr>
            <w:tcW w:w="5669" w:type="dxa"/>
            <w:noWrap/>
            <w:tcMar>
              <w:top w:w="0" w:type="dxa"/>
              <w:left w:w="70" w:type="dxa"/>
              <w:bottom w:w="0" w:type="dxa"/>
              <w:right w:w="70" w:type="dxa"/>
            </w:tcMar>
            <w:vAlign w:val="bottom"/>
            <w:hideMark/>
          </w:tcPr>
          <w:p w:rsidR="00BB685A" w:rsidP="00C5122C" w:rsidRDefault="00BB685A">
            <w:pPr>
              <w:rPr>
                <w:rFonts w:cs="Calibri" w:eastAsiaTheme="minorHAnsi"/>
                <w:sz w:val="16"/>
                <w:szCs w:val="16"/>
              </w:rPr>
            </w:pPr>
            <w:r>
              <w:rPr>
                <w:sz w:val="16"/>
                <w:szCs w:val="16"/>
              </w:rPr>
              <w:t>Overig</w:t>
            </w:r>
          </w:p>
        </w:tc>
        <w:tc>
          <w:tcPr>
            <w:tcW w:w="850" w:type="dxa"/>
            <w:noWrap/>
            <w:tcMar>
              <w:top w:w="0" w:type="dxa"/>
              <w:left w:w="70" w:type="dxa"/>
              <w:bottom w:w="0" w:type="dxa"/>
              <w:right w:w="70" w:type="dxa"/>
            </w:tcMar>
            <w:vAlign w:val="bottom"/>
            <w:hideMark/>
          </w:tcPr>
          <w:p w:rsidR="00BB685A" w:rsidP="00C5122C" w:rsidRDefault="00BB685A">
            <w:pPr>
              <w:jc w:val="right"/>
              <w:rPr>
                <w:rFonts w:cs="Calibri" w:eastAsiaTheme="minorHAnsi"/>
                <w:sz w:val="16"/>
                <w:szCs w:val="16"/>
              </w:rPr>
            </w:pPr>
            <w:r>
              <w:rPr>
                <w:sz w:val="16"/>
                <w:szCs w:val="16"/>
              </w:rPr>
              <w:t>0,0%</w:t>
            </w:r>
          </w:p>
        </w:tc>
      </w:tr>
      <w:tr w:rsidR="00BB685A" w:rsidTr="00C5122C">
        <w:trPr>
          <w:trHeight w:val="227"/>
        </w:trPr>
        <w:tc>
          <w:tcPr>
            <w:tcW w:w="5669" w:type="dxa"/>
            <w:tcBorders>
              <w:top w:val="nil"/>
              <w:left w:val="nil"/>
              <w:bottom w:val="single" w:color="auto" w:sz="8" w:space="0"/>
              <w:right w:val="nil"/>
            </w:tcBorders>
            <w:noWrap/>
            <w:tcMar>
              <w:top w:w="0" w:type="dxa"/>
              <w:left w:w="70" w:type="dxa"/>
              <w:bottom w:w="0" w:type="dxa"/>
              <w:right w:w="70" w:type="dxa"/>
            </w:tcMar>
            <w:vAlign w:val="bottom"/>
            <w:hideMark/>
          </w:tcPr>
          <w:p w:rsidR="00BB685A" w:rsidP="00C5122C" w:rsidRDefault="00BB685A">
            <w:pPr>
              <w:rPr>
                <w:rFonts w:cs="Calibri" w:eastAsiaTheme="minorHAnsi"/>
                <w:b/>
                <w:bCs/>
                <w:sz w:val="16"/>
                <w:szCs w:val="16"/>
              </w:rPr>
            </w:pPr>
            <w:r>
              <w:rPr>
                <w:b/>
                <w:bCs/>
                <w:sz w:val="16"/>
                <w:szCs w:val="16"/>
              </w:rPr>
              <w:t>EMU-saldo Najaarsnota 2016</w:t>
            </w:r>
          </w:p>
        </w:tc>
        <w:tc>
          <w:tcPr>
            <w:tcW w:w="850" w:type="dxa"/>
            <w:tcBorders>
              <w:top w:val="nil"/>
              <w:left w:val="nil"/>
              <w:bottom w:val="single" w:color="auto" w:sz="8" w:space="0"/>
              <w:right w:val="nil"/>
            </w:tcBorders>
            <w:noWrap/>
            <w:tcMar>
              <w:top w:w="0" w:type="dxa"/>
              <w:left w:w="70" w:type="dxa"/>
              <w:bottom w:w="0" w:type="dxa"/>
              <w:right w:w="70" w:type="dxa"/>
            </w:tcMar>
            <w:vAlign w:val="bottom"/>
            <w:hideMark/>
          </w:tcPr>
          <w:p w:rsidR="00BB685A" w:rsidP="00C5122C" w:rsidRDefault="00BB685A">
            <w:pPr>
              <w:jc w:val="right"/>
              <w:rPr>
                <w:rFonts w:cs="Calibri" w:eastAsiaTheme="minorHAnsi"/>
                <w:b/>
                <w:bCs/>
                <w:sz w:val="16"/>
                <w:szCs w:val="16"/>
              </w:rPr>
            </w:pPr>
            <w:r>
              <w:rPr>
                <w:b/>
                <w:bCs/>
                <w:sz w:val="16"/>
                <w:szCs w:val="16"/>
              </w:rPr>
              <w:t>-0,4%</w:t>
            </w:r>
          </w:p>
        </w:tc>
      </w:tr>
    </w:tbl>
    <w:p w:rsidR="00BB685A" w:rsidP="00BB685A" w:rsidRDefault="00BB685A">
      <w:pPr>
        <w:pStyle w:val="tekst"/>
        <w:rPr>
          <w:rFonts w:eastAsiaTheme="minorHAnsi"/>
        </w:rPr>
      </w:pPr>
      <w:r>
        <w:t xml:space="preserve">De grootste bijdrage aan het betere EMU-saldo wordt geleverd door de inkomsten. Deze worden nu 0,6 procent bbp hoger geraamd dan ten tijde van de Miljoenennota. De netto uitgaven onder het uitgavenkader stijgen doordat de korting op de EU-afdrachten niet zoals eerder geraamd in 2016 wordt ontvangen, maar in 2017. Tegelijkertijd is sprake van een kas-transverschil, omdat voor de berekening van het EMU-saldo niet het moment waarop het geld wordt ontvangen van belang is, maar het moment waarop de aanvullende begroting door het Europees Parlement wordt aangenomen. Aangezien deze goedkeuring wordt voorzien voor eind 2016 heeft de teruggave nog in dit jaar een (tekortverbeterend) effect op het EMU-saldo.  </w:t>
      </w:r>
    </w:p>
    <w:p w:rsidRPr="00AC7A1E" w:rsidR="00BB685A" w:rsidP="00BB685A" w:rsidRDefault="00BB685A">
      <w:pPr>
        <w:pStyle w:val="tekst"/>
      </w:pPr>
      <w:r w:rsidRPr="00CD6E1C">
        <w:t xml:space="preserve">De EMU-schuld komt in </w:t>
      </w:r>
      <w:r>
        <w:t xml:space="preserve">2016 </w:t>
      </w:r>
      <w:r w:rsidRPr="00CD6E1C">
        <w:t xml:space="preserve">naar verwachting uit op </w:t>
      </w:r>
      <w:r>
        <w:t>63,0</w:t>
      </w:r>
      <w:r w:rsidRPr="00CD6E1C">
        <w:t xml:space="preserve"> procent bbp. Dit is een verbetering ten opzichte van de raming in de Miljoenennota </w:t>
      </w:r>
      <w:r>
        <w:t>2017</w:t>
      </w:r>
      <w:r w:rsidRPr="00CD6E1C">
        <w:t xml:space="preserve">, toen de schuld geraamd werd op </w:t>
      </w:r>
      <w:r>
        <w:t>63,4</w:t>
      </w:r>
      <w:r w:rsidRPr="00CD6E1C">
        <w:t xml:space="preserve"> procent bbp. De veranderingen in de EMU-schuld worden toegelicht in tabel 4.2.</w:t>
      </w:r>
    </w:p>
    <w:p w:rsidR="00BB685A" w:rsidP="00BB685A" w:rsidRDefault="00BB685A">
      <w:pPr>
        <w:pStyle w:val="bijschrift"/>
        <w:keepNext/>
        <w:keepLines/>
        <w:contextualSpacing/>
      </w:pPr>
      <w:r w:rsidRPr="00CD6E1C">
        <w:t>Tabel 4.2 Ontwikkeling EMU-schuld sinds Miljoenennota 2017 (in procent bbp)</w:t>
      </w:r>
    </w:p>
    <w:tbl>
      <w:tblPr>
        <w:tblW w:w="6152" w:type="dxa"/>
        <w:tblInd w:w="70" w:type="dxa"/>
        <w:tblCellMar>
          <w:left w:w="70" w:type="dxa"/>
          <w:right w:w="70" w:type="dxa"/>
        </w:tblCellMar>
        <w:tblLook w:val="04A0"/>
      </w:tblPr>
      <w:tblGrid>
        <w:gridCol w:w="5016"/>
        <w:gridCol w:w="1136"/>
      </w:tblGrid>
      <w:tr w:rsidRPr="00235F5C" w:rsidR="00BB685A" w:rsidTr="00C5122C">
        <w:trPr>
          <w:trHeight w:val="210"/>
        </w:trPr>
        <w:tc>
          <w:tcPr>
            <w:tcW w:w="5016" w:type="dxa"/>
            <w:tcBorders>
              <w:top w:val="single" w:color="auto" w:sz="4" w:space="0"/>
              <w:left w:val="nil"/>
              <w:bottom w:val="single" w:color="auto" w:sz="4" w:space="0"/>
              <w:right w:val="nil"/>
            </w:tcBorders>
            <w:shd w:val="clear" w:color="auto" w:fill="auto"/>
            <w:noWrap/>
            <w:vAlign w:val="bottom"/>
            <w:hideMark/>
          </w:tcPr>
          <w:p w:rsidRPr="00235F5C" w:rsidR="00BB685A" w:rsidP="00C5122C" w:rsidRDefault="00BB685A">
            <w:pPr>
              <w:spacing w:line="240" w:lineRule="auto"/>
              <w:rPr>
                <w:rFonts w:cs="Arial"/>
                <w:b/>
                <w:bCs/>
                <w:sz w:val="16"/>
                <w:szCs w:val="16"/>
              </w:rPr>
            </w:pPr>
            <w:r w:rsidRPr="00235F5C">
              <w:rPr>
                <w:rFonts w:cs="Arial"/>
                <w:b/>
                <w:bCs/>
                <w:sz w:val="16"/>
                <w:szCs w:val="16"/>
              </w:rPr>
              <w:t> </w:t>
            </w:r>
          </w:p>
        </w:tc>
        <w:tc>
          <w:tcPr>
            <w:tcW w:w="1136" w:type="dxa"/>
            <w:tcBorders>
              <w:top w:val="single" w:color="auto" w:sz="4" w:space="0"/>
              <w:left w:val="nil"/>
              <w:bottom w:val="single" w:color="auto" w:sz="4" w:space="0"/>
              <w:right w:val="nil"/>
            </w:tcBorders>
            <w:shd w:val="clear" w:color="auto" w:fill="auto"/>
            <w:noWrap/>
            <w:vAlign w:val="bottom"/>
            <w:hideMark/>
          </w:tcPr>
          <w:p w:rsidRPr="00235F5C" w:rsidR="00BB685A" w:rsidP="00C5122C" w:rsidRDefault="00BB685A">
            <w:pPr>
              <w:spacing w:line="240" w:lineRule="auto"/>
              <w:jc w:val="right"/>
              <w:rPr>
                <w:rFonts w:cs="Arial"/>
                <w:b/>
                <w:bCs/>
                <w:sz w:val="16"/>
                <w:szCs w:val="16"/>
              </w:rPr>
            </w:pPr>
            <w:r w:rsidRPr="00235F5C">
              <w:rPr>
                <w:rFonts w:cs="Arial"/>
                <w:b/>
                <w:bCs/>
                <w:sz w:val="16"/>
                <w:szCs w:val="16"/>
              </w:rPr>
              <w:t>2016</w:t>
            </w:r>
          </w:p>
        </w:tc>
      </w:tr>
      <w:tr w:rsidRPr="00235F5C" w:rsidR="00BB685A" w:rsidTr="00C5122C">
        <w:trPr>
          <w:trHeight w:val="210"/>
        </w:trPr>
        <w:tc>
          <w:tcPr>
            <w:tcW w:w="5016" w:type="dxa"/>
            <w:tcBorders>
              <w:top w:val="nil"/>
              <w:left w:val="nil"/>
              <w:bottom w:val="nil"/>
              <w:right w:val="nil"/>
            </w:tcBorders>
            <w:shd w:val="clear" w:color="auto" w:fill="auto"/>
            <w:noWrap/>
            <w:vAlign w:val="bottom"/>
            <w:hideMark/>
          </w:tcPr>
          <w:p w:rsidRPr="00235F5C" w:rsidR="00BB685A" w:rsidP="00C5122C" w:rsidRDefault="00BB685A">
            <w:pPr>
              <w:spacing w:line="240" w:lineRule="auto"/>
              <w:rPr>
                <w:rFonts w:cs="Arial"/>
                <w:b/>
                <w:bCs/>
                <w:sz w:val="16"/>
                <w:szCs w:val="16"/>
              </w:rPr>
            </w:pPr>
            <w:r w:rsidRPr="00235F5C">
              <w:rPr>
                <w:rFonts w:cs="Arial"/>
                <w:b/>
                <w:bCs/>
                <w:sz w:val="16"/>
                <w:szCs w:val="16"/>
              </w:rPr>
              <w:t>EMU-schuld Miljoenennota 2017</w:t>
            </w:r>
          </w:p>
        </w:tc>
        <w:tc>
          <w:tcPr>
            <w:tcW w:w="1136" w:type="dxa"/>
            <w:tcBorders>
              <w:top w:val="nil"/>
              <w:left w:val="nil"/>
              <w:bottom w:val="nil"/>
              <w:right w:val="nil"/>
            </w:tcBorders>
            <w:shd w:val="clear" w:color="auto" w:fill="auto"/>
            <w:noWrap/>
            <w:vAlign w:val="bottom"/>
            <w:hideMark/>
          </w:tcPr>
          <w:p w:rsidRPr="00235F5C" w:rsidR="00BB685A" w:rsidP="00C5122C" w:rsidRDefault="00BB685A">
            <w:pPr>
              <w:spacing w:line="240" w:lineRule="auto"/>
              <w:jc w:val="right"/>
              <w:rPr>
                <w:rFonts w:cs="Arial"/>
                <w:b/>
                <w:bCs/>
                <w:sz w:val="16"/>
                <w:szCs w:val="16"/>
              </w:rPr>
            </w:pPr>
            <w:r w:rsidRPr="00235F5C">
              <w:rPr>
                <w:rFonts w:cs="Arial"/>
                <w:b/>
                <w:bCs/>
                <w:sz w:val="16"/>
                <w:szCs w:val="16"/>
              </w:rPr>
              <w:t>63,4%</w:t>
            </w:r>
          </w:p>
        </w:tc>
      </w:tr>
      <w:tr w:rsidRPr="00235F5C" w:rsidR="00BB685A" w:rsidTr="00C5122C">
        <w:trPr>
          <w:trHeight w:val="210"/>
        </w:trPr>
        <w:tc>
          <w:tcPr>
            <w:tcW w:w="5016" w:type="dxa"/>
            <w:tcBorders>
              <w:top w:val="nil"/>
              <w:left w:val="nil"/>
              <w:bottom w:val="nil"/>
              <w:right w:val="nil"/>
            </w:tcBorders>
            <w:shd w:val="clear" w:color="auto" w:fill="auto"/>
            <w:noWrap/>
            <w:vAlign w:val="bottom"/>
            <w:hideMark/>
          </w:tcPr>
          <w:p w:rsidRPr="00235F5C" w:rsidR="00BB685A" w:rsidP="00C5122C" w:rsidRDefault="00BB685A">
            <w:pPr>
              <w:spacing w:line="240" w:lineRule="auto"/>
              <w:rPr>
                <w:rFonts w:cs="Arial"/>
                <w:sz w:val="16"/>
                <w:szCs w:val="16"/>
              </w:rPr>
            </w:pPr>
            <w:r w:rsidRPr="00235F5C">
              <w:rPr>
                <w:rFonts w:cs="Arial"/>
                <w:sz w:val="16"/>
                <w:szCs w:val="16"/>
              </w:rPr>
              <w:t>EMU-saldo</w:t>
            </w:r>
          </w:p>
        </w:tc>
        <w:tc>
          <w:tcPr>
            <w:tcW w:w="1136" w:type="dxa"/>
            <w:tcBorders>
              <w:top w:val="nil"/>
              <w:left w:val="nil"/>
              <w:bottom w:val="nil"/>
              <w:right w:val="nil"/>
            </w:tcBorders>
            <w:shd w:val="clear" w:color="auto" w:fill="auto"/>
            <w:noWrap/>
            <w:vAlign w:val="bottom"/>
            <w:hideMark/>
          </w:tcPr>
          <w:p w:rsidRPr="00235F5C" w:rsidR="00BB685A" w:rsidP="00C5122C" w:rsidRDefault="00BB685A">
            <w:pPr>
              <w:spacing w:line="240" w:lineRule="auto"/>
              <w:jc w:val="right"/>
              <w:rPr>
                <w:rFonts w:cs="Arial"/>
                <w:sz w:val="16"/>
                <w:szCs w:val="16"/>
              </w:rPr>
            </w:pPr>
            <w:r w:rsidRPr="00235F5C">
              <w:rPr>
                <w:rFonts w:cs="Arial"/>
                <w:sz w:val="16"/>
                <w:szCs w:val="16"/>
              </w:rPr>
              <w:t>-0,7%</w:t>
            </w:r>
          </w:p>
        </w:tc>
      </w:tr>
      <w:tr w:rsidRPr="00235F5C" w:rsidR="00BB685A" w:rsidTr="00C5122C">
        <w:trPr>
          <w:trHeight w:val="210"/>
        </w:trPr>
        <w:tc>
          <w:tcPr>
            <w:tcW w:w="5016" w:type="dxa"/>
            <w:tcBorders>
              <w:top w:val="nil"/>
              <w:left w:val="nil"/>
              <w:bottom w:val="nil"/>
              <w:right w:val="nil"/>
            </w:tcBorders>
            <w:shd w:val="clear" w:color="auto" w:fill="auto"/>
            <w:noWrap/>
            <w:vAlign w:val="bottom"/>
            <w:hideMark/>
          </w:tcPr>
          <w:p w:rsidRPr="00235F5C" w:rsidR="00BB685A" w:rsidP="00C5122C" w:rsidRDefault="00BB685A">
            <w:pPr>
              <w:spacing w:line="240" w:lineRule="auto"/>
              <w:rPr>
                <w:rFonts w:cs="Arial"/>
                <w:sz w:val="16"/>
                <w:szCs w:val="16"/>
              </w:rPr>
            </w:pPr>
            <w:r w:rsidRPr="00235F5C">
              <w:rPr>
                <w:rFonts w:cs="Arial"/>
                <w:sz w:val="16"/>
                <w:szCs w:val="16"/>
              </w:rPr>
              <w:t>Kas-transverschillen</w:t>
            </w:r>
          </w:p>
        </w:tc>
        <w:tc>
          <w:tcPr>
            <w:tcW w:w="1136" w:type="dxa"/>
            <w:tcBorders>
              <w:top w:val="nil"/>
              <w:left w:val="nil"/>
              <w:bottom w:val="nil"/>
              <w:right w:val="nil"/>
            </w:tcBorders>
            <w:shd w:val="clear" w:color="auto" w:fill="auto"/>
            <w:noWrap/>
            <w:vAlign w:val="bottom"/>
            <w:hideMark/>
          </w:tcPr>
          <w:p w:rsidRPr="00235F5C" w:rsidR="00BB685A" w:rsidP="00C5122C" w:rsidRDefault="00BB685A">
            <w:pPr>
              <w:spacing w:line="240" w:lineRule="auto"/>
              <w:jc w:val="right"/>
              <w:rPr>
                <w:rFonts w:cs="Arial"/>
                <w:sz w:val="16"/>
                <w:szCs w:val="16"/>
              </w:rPr>
            </w:pPr>
            <w:r w:rsidRPr="00235F5C">
              <w:rPr>
                <w:rFonts w:cs="Arial"/>
                <w:sz w:val="16"/>
                <w:szCs w:val="16"/>
              </w:rPr>
              <w:t>0,4%</w:t>
            </w:r>
          </w:p>
        </w:tc>
      </w:tr>
      <w:tr w:rsidRPr="00235F5C" w:rsidR="00BB685A" w:rsidTr="00C5122C">
        <w:trPr>
          <w:trHeight w:val="210"/>
        </w:trPr>
        <w:tc>
          <w:tcPr>
            <w:tcW w:w="5016" w:type="dxa"/>
            <w:tcBorders>
              <w:top w:val="nil"/>
              <w:left w:val="nil"/>
              <w:bottom w:val="nil"/>
              <w:right w:val="nil"/>
            </w:tcBorders>
            <w:shd w:val="clear" w:color="auto" w:fill="auto"/>
            <w:noWrap/>
            <w:vAlign w:val="bottom"/>
            <w:hideMark/>
          </w:tcPr>
          <w:p w:rsidRPr="00235F5C" w:rsidR="00BB685A" w:rsidP="00C5122C" w:rsidRDefault="00BB685A">
            <w:pPr>
              <w:spacing w:line="240" w:lineRule="auto"/>
              <w:rPr>
                <w:rFonts w:cs="Arial"/>
                <w:sz w:val="16"/>
                <w:szCs w:val="16"/>
              </w:rPr>
            </w:pPr>
            <w:r w:rsidRPr="00235F5C">
              <w:rPr>
                <w:rFonts w:cs="Arial"/>
                <w:sz w:val="16"/>
                <w:szCs w:val="16"/>
              </w:rPr>
              <w:t>Verkoop staatsbezit</w:t>
            </w:r>
          </w:p>
        </w:tc>
        <w:tc>
          <w:tcPr>
            <w:tcW w:w="1136" w:type="dxa"/>
            <w:tcBorders>
              <w:top w:val="nil"/>
              <w:left w:val="nil"/>
              <w:bottom w:val="nil"/>
              <w:right w:val="nil"/>
            </w:tcBorders>
            <w:shd w:val="clear" w:color="auto" w:fill="auto"/>
            <w:noWrap/>
            <w:vAlign w:val="bottom"/>
            <w:hideMark/>
          </w:tcPr>
          <w:p w:rsidRPr="00235F5C" w:rsidR="00BB685A" w:rsidP="00C5122C" w:rsidRDefault="00BB685A">
            <w:pPr>
              <w:spacing w:line="240" w:lineRule="auto"/>
              <w:jc w:val="right"/>
              <w:rPr>
                <w:rFonts w:cs="Arial"/>
                <w:sz w:val="16"/>
                <w:szCs w:val="16"/>
              </w:rPr>
            </w:pPr>
            <w:r w:rsidRPr="00235F5C">
              <w:rPr>
                <w:rFonts w:cs="Arial"/>
                <w:sz w:val="16"/>
                <w:szCs w:val="16"/>
              </w:rPr>
              <w:t>-0,2%</w:t>
            </w:r>
          </w:p>
        </w:tc>
      </w:tr>
      <w:tr w:rsidRPr="00235F5C" w:rsidR="00BB685A" w:rsidTr="00C5122C">
        <w:trPr>
          <w:trHeight w:val="210"/>
        </w:trPr>
        <w:tc>
          <w:tcPr>
            <w:tcW w:w="5016" w:type="dxa"/>
            <w:tcBorders>
              <w:top w:val="nil"/>
              <w:left w:val="nil"/>
              <w:bottom w:val="nil"/>
              <w:right w:val="nil"/>
            </w:tcBorders>
            <w:shd w:val="clear" w:color="auto" w:fill="auto"/>
            <w:noWrap/>
            <w:vAlign w:val="bottom"/>
            <w:hideMark/>
          </w:tcPr>
          <w:p w:rsidRPr="00235F5C" w:rsidR="00BB685A" w:rsidP="00C5122C" w:rsidRDefault="00BB685A">
            <w:pPr>
              <w:spacing w:line="240" w:lineRule="auto"/>
              <w:rPr>
                <w:rFonts w:cs="Arial"/>
                <w:sz w:val="16"/>
                <w:szCs w:val="16"/>
              </w:rPr>
            </w:pPr>
            <w:r w:rsidRPr="00235F5C">
              <w:rPr>
                <w:rFonts w:cs="Arial"/>
                <w:sz w:val="16"/>
                <w:szCs w:val="16"/>
              </w:rPr>
              <w:t>Overig</w:t>
            </w:r>
          </w:p>
        </w:tc>
        <w:tc>
          <w:tcPr>
            <w:tcW w:w="1136" w:type="dxa"/>
            <w:tcBorders>
              <w:top w:val="nil"/>
              <w:left w:val="nil"/>
              <w:bottom w:val="nil"/>
              <w:right w:val="nil"/>
            </w:tcBorders>
            <w:shd w:val="clear" w:color="auto" w:fill="auto"/>
            <w:noWrap/>
            <w:vAlign w:val="bottom"/>
            <w:hideMark/>
          </w:tcPr>
          <w:p w:rsidRPr="00235F5C" w:rsidR="00BB685A" w:rsidP="00C5122C" w:rsidRDefault="00BB685A">
            <w:pPr>
              <w:spacing w:line="240" w:lineRule="auto"/>
              <w:jc w:val="right"/>
              <w:rPr>
                <w:rFonts w:cs="Arial"/>
                <w:sz w:val="16"/>
                <w:szCs w:val="16"/>
              </w:rPr>
            </w:pPr>
            <w:r w:rsidRPr="00235F5C">
              <w:rPr>
                <w:rFonts w:cs="Arial"/>
                <w:sz w:val="16"/>
                <w:szCs w:val="16"/>
              </w:rPr>
              <w:t>0,0%</w:t>
            </w:r>
          </w:p>
        </w:tc>
      </w:tr>
      <w:tr w:rsidRPr="00235F5C" w:rsidR="00BB685A" w:rsidTr="00C5122C">
        <w:trPr>
          <w:trHeight w:val="210"/>
        </w:trPr>
        <w:tc>
          <w:tcPr>
            <w:tcW w:w="5016" w:type="dxa"/>
            <w:tcBorders>
              <w:top w:val="nil"/>
              <w:left w:val="nil"/>
              <w:bottom w:val="single" w:color="auto" w:sz="4" w:space="0"/>
              <w:right w:val="nil"/>
            </w:tcBorders>
            <w:shd w:val="clear" w:color="auto" w:fill="auto"/>
            <w:noWrap/>
            <w:vAlign w:val="bottom"/>
            <w:hideMark/>
          </w:tcPr>
          <w:p w:rsidRPr="00235F5C" w:rsidR="00BB685A" w:rsidP="00C5122C" w:rsidRDefault="00BB685A">
            <w:pPr>
              <w:spacing w:line="240" w:lineRule="auto"/>
              <w:rPr>
                <w:rFonts w:cs="Arial"/>
                <w:b/>
                <w:bCs/>
                <w:sz w:val="16"/>
                <w:szCs w:val="16"/>
              </w:rPr>
            </w:pPr>
            <w:r w:rsidRPr="00235F5C">
              <w:rPr>
                <w:rFonts w:cs="Arial"/>
                <w:b/>
                <w:bCs/>
                <w:sz w:val="16"/>
                <w:szCs w:val="16"/>
              </w:rPr>
              <w:t>EMU-schuld Najaarsnota 2016</w:t>
            </w:r>
          </w:p>
        </w:tc>
        <w:tc>
          <w:tcPr>
            <w:tcW w:w="1136" w:type="dxa"/>
            <w:tcBorders>
              <w:top w:val="nil"/>
              <w:left w:val="nil"/>
              <w:bottom w:val="single" w:color="auto" w:sz="4" w:space="0"/>
              <w:right w:val="nil"/>
            </w:tcBorders>
            <w:shd w:val="clear" w:color="auto" w:fill="auto"/>
            <w:noWrap/>
            <w:vAlign w:val="bottom"/>
            <w:hideMark/>
          </w:tcPr>
          <w:p w:rsidRPr="00235F5C" w:rsidR="00BB685A" w:rsidP="00C5122C" w:rsidRDefault="00BB685A">
            <w:pPr>
              <w:spacing w:line="240" w:lineRule="auto"/>
              <w:jc w:val="right"/>
              <w:rPr>
                <w:rFonts w:cs="Arial"/>
                <w:b/>
                <w:bCs/>
                <w:sz w:val="16"/>
                <w:szCs w:val="16"/>
              </w:rPr>
            </w:pPr>
            <w:r w:rsidRPr="00235F5C">
              <w:rPr>
                <w:rFonts w:cs="Arial"/>
                <w:b/>
                <w:bCs/>
                <w:sz w:val="16"/>
                <w:szCs w:val="16"/>
              </w:rPr>
              <w:t>63,0%</w:t>
            </w:r>
          </w:p>
        </w:tc>
      </w:tr>
    </w:tbl>
    <w:p w:rsidR="00BB685A" w:rsidP="00BB685A" w:rsidRDefault="00BB685A">
      <w:pPr>
        <w:pStyle w:val="tekst"/>
      </w:pPr>
    </w:p>
    <w:p w:rsidR="00BB685A" w:rsidP="00BB685A" w:rsidRDefault="00BB685A">
      <w:pPr>
        <w:spacing w:line="240" w:lineRule="auto"/>
        <w:rPr>
          <w:szCs w:val="18"/>
        </w:rPr>
      </w:pPr>
      <w:r>
        <w:br w:type="page"/>
      </w:r>
    </w:p>
    <w:p w:rsidR="00BB685A" w:rsidP="00BB685A" w:rsidRDefault="00BB685A">
      <w:pPr>
        <w:pStyle w:val="tekst"/>
      </w:pPr>
      <w:r w:rsidRPr="00CD6E1C">
        <w:t>De raming van de EMU-schuld aan h</w:t>
      </w:r>
      <w:r>
        <w:t>et einde van het jaar is nu</w:t>
      </w:r>
      <w:r w:rsidRPr="00CD6E1C">
        <w:t xml:space="preserve"> lager dan in de Miljoenennota nog werd verwacht. Dit komt allereerst doordat het EMU-saldo is verbeterd. Dit kleinere tekort in 2016 werkt door in een </w:t>
      </w:r>
      <w:r>
        <w:t xml:space="preserve">0,7 procent bbp </w:t>
      </w:r>
      <w:r w:rsidRPr="00CD6E1C">
        <w:t xml:space="preserve">lagere schuld aan het einde van het jaar. De post kas-transverschillen bevat voornamelijk de budgettaire gevolgen van de ratificatie van het eigenmiddelenbesluit. De Nederlandse korting wordt voor het EMU-saldo aan 2016 toegerekend. Op kasbasis wordt de korting echter pas begin 2017 ontvangen. Waar in de Miljoenennota </w:t>
      </w:r>
      <w:r>
        <w:t xml:space="preserve">dus </w:t>
      </w:r>
      <w:r w:rsidRPr="00CD6E1C">
        <w:t xml:space="preserve">nog werd gerekend met het ontvangen van de korting in 2016 verschuift </w:t>
      </w:r>
      <w:r>
        <w:t xml:space="preserve">dat </w:t>
      </w:r>
      <w:r w:rsidRPr="00CD6E1C">
        <w:t xml:space="preserve">schuldverlagende effect nu naar 2017 waardoor de schuld eind 2016 </w:t>
      </w:r>
      <w:r>
        <w:t xml:space="preserve">0,4 procent bbp </w:t>
      </w:r>
      <w:r w:rsidRPr="00CD6E1C">
        <w:t xml:space="preserve">hoger uitvalt dan eerder geraamd. </w:t>
      </w:r>
      <w:r>
        <w:t>De verkoop van een gedeelte van het belang van de staat in ABN Amro, met een opbrengst van 1,3 miljard euro, verlaagt de EMU-schuld met 0,2 procent bbp.</w:t>
      </w:r>
    </w:p>
    <w:p w:rsidRPr="00435186" w:rsidR="00BB685A" w:rsidP="00BB685A" w:rsidRDefault="00BB685A">
      <w:pPr>
        <w:pStyle w:val="Kop2"/>
        <w:rPr>
          <w:b w:val="0"/>
          <w:sz w:val="18"/>
          <w:szCs w:val="18"/>
          <w:u w:val="single"/>
        </w:rPr>
      </w:pPr>
      <w:r w:rsidRPr="00435186">
        <w:rPr>
          <w:b w:val="0"/>
          <w:sz w:val="18"/>
          <w:szCs w:val="18"/>
          <w:u w:val="single"/>
        </w:rPr>
        <w:t>EMU-saldo en EMU-schuld in de Eurozone</w:t>
      </w:r>
    </w:p>
    <w:p w:rsidRPr="006918FC" w:rsidR="00BB685A" w:rsidP="00BB685A" w:rsidRDefault="00BB685A">
      <w:pPr>
        <w:pStyle w:val="tekst"/>
      </w:pPr>
      <w:r w:rsidRPr="006918FC">
        <w:t xml:space="preserve">Figuur </w:t>
      </w:r>
      <w:r>
        <w:t>4.</w:t>
      </w:r>
      <w:r w:rsidRPr="006918FC">
        <w:t xml:space="preserve">1 </w:t>
      </w:r>
      <w:r>
        <w:t xml:space="preserve">laat </w:t>
      </w:r>
      <w:r w:rsidRPr="006918FC">
        <w:t xml:space="preserve">het </w:t>
      </w:r>
      <w:r>
        <w:t xml:space="preserve">voor 2016 geraamde </w:t>
      </w:r>
      <w:r w:rsidRPr="006918FC">
        <w:t xml:space="preserve">EMU-saldo en de EMU-schuld </w:t>
      </w:r>
      <w:r>
        <w:t xml:space="preserve">zien </w:t>
      </w:r>
      <w:r w:rsidRPr="006918FC">
        <w:t xml:space="preserve">voor de landen </w:t>
      </w:r>
      <w:r>
        <w:t xml:space="preserve">in </w:t>
      </w:r>
      <w:r w:rsidRPr="006918FC">
        <w:t>de Eurozone</w:t>
      </w:r>
      <w:r>
        <w:t>. Deze cijfers zijn afkomstig uit de herfstraming</w:t>
      </w:r>
      <w:r w:rsidRPr="006918FC">
        <w:t xml:space="preserve"> van de Europese Commissie</w:t>
      </w:r>
      <w:r>
        <w:rPr>
          <w:rStyle w:val="Voetnootmarkering"/>
        </w:rPr>
        <w:footnoteReference w:id="2"/>
      </w:r>
      <w:r w:rsidRPr="006918FC">
        <w:t xml:space="preserve">. </w:t>
      </w:r>
      <w:r>
        <w:t xml:space="preserve">Voor </w:t>
      </w:r>
      <w:r w:rsidRPr="006918FC">
        <w:t>Nederland bevat</w:t>
      </w:r>
      <w:r>
        <w:t>ten de figuren</w:t>
      </w:r>
      <w:r w:rsidRPr="006918FC">
        <w:t xml:space="preserve"> de recentere raming uit deze Najaarsnota.</w:t>
      </w:r>
    </w:p>
    <w:p w:rsidR="00BB685A" w:rsidP="00BB685A" w:rsidRDefault="00BB685A">
      <w:pPr>
        <w:pStyle w:val="bijschrift"/>
        <w:keepNext/>
        <w:keepLines/>
        <w:contextualSpacing/>
      </w:pPr>
      <w:r w:rsidRPr="00CD6E1C">
        <w:t>Figuur 4.1 EMU-saldo en EMU-schuld in de eurozone 2016 (in procenten bbp)</w:t>
      </w:r>
    </w:p>
    <w:p w:rsidR="00BB685A" w:rsidP="00BB685A" w:rsidRDefault="00BB685A">
      <w:pPr>
        <w:pStyle w:val="bijschrift"/>
        <w:keepLines/>
        <w:contextualSpacing/>
      </w:pPr>
      <w:r w:rsidRPr="008A2829">
        <w:rPr>
          <w:noProof/>
        </w:rPr>
        <w:drawing>
          <wp:inline distT="0" distB="0" distL="0" distR="0">
            <wp:extent cx="4820285" cy="2754449"/>
            <wp:effectExtent l="0" t="0" r="0" b="0"/>
            <wp:docPr id="6"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Pr="007B6A2B" w:rsidR="00BB685A" w:rsidP="00BB685A" w:rsidRDefault="00BB685A">
      <w:pPr>
        <w:pStyle w:val="tekst"/>
      </w:pPr>
      <w:r w:rsidRPr="00191209">
        <w:t xml:space="preserve">Het </w:t>
      </w:r>
      <w:r>
        <w:t xml:space="preserve">gemiddelde </w:t>
      </w:r>
      <w:r w:rsidRPr="00191209">
        <w:t>EMU-</w:t>
      </w:r>
      <w:r>
        <w:t>saldo</w:t>
      </w:r>
      <w:r w:rsidRPr="00191209">
        <w:t xml:space="preserve"> van de Eurozone </w:t>
      </w:r>
      <w:r>
        <w:t>is naar verwachting gemiddeld -1,8</w:t>
      </w:r>
      <w:r w:rsidRPr="00191209">
        <w:t xml:space="preserve"> procent bbp in </w:t>
      </w:r>
      <w:r>
        <w:t>2016</w:t>
      </w:r>
      <w:r w:rsidRPr="00191209">
        <w:t xml:space="preserve">. Dit is </w:t>
      </w:r>
      <w:r>
        <w:t xml:space="preserve">licht beter dan het tekort van 1,9 procent dat de Europese Commissie in het voorjaar raamde. Het nu voor 2016 geraamde tekort is een verbetering </w:t>
      </w:r>
      <w:r w:rsidRPr="007B6A2B">
        <w:t xml:space="preserve">van 0,3 procent bbp ten opzichte van 2015. Het in deze Najaarsnota geraamde Nederlandse tekort is 0,4 procent bbp en dus fors kleiner dan het gemiddelde in de Eurozone. </w:t>
      </w:r>
    </w:p>
    <w:p w:rsidRPr="00856BA7" w:rsidR="00BB685A" w:rsidP="00BB685A" w:rsidRDefault="00BB685A">
      <w:pPr>
        <w:pStyle w:val="tekst"/>
      </w:pPr>
      <w:r>
        <w:t>De door de commissie geraamde EMU-schuld in de eurozone is 91,6 procent bbp in 2016. Ook dit is een verbetering ten opzichte van de voorjaarsraming (92,2 procent bbp) en ten opzichte van het schuldniveau in 2015 (92,6 procent bbp). De Nederlandse schuld ligt met een raming van 63,0</w:t>
      </w:r>
      <w:r w:rsidRPr="007B6A2B">
        <w:t xml:space="preserve"> procentpunt bbp </w:t>
      </w:r>
      <w:r w:rsidRPr="00CD6E1C">
        <w:t>meer dan 28 procentpunt</w:t>
      </w:r>
      <w:r w:rsidRPr="007B6A2B">
        <w:t xml:space="preserve"> lager dan het gemiddelde voor de</w:t>
      </w:r>
      <w:r w:rsidRPr="00191209">
        <w:t xml:space="preserve"> Eurozone. Dit neemt niet weg dat de Nederlandse schuld </w:t>
      </w:r>
      <w:r>
        <w:t>nog steeds iets</w:t>
      </w:r>
      <w:r w:rsidRPr="00191209">
        <w:t xml:space="preserve"> hoger is dan de Europese grenswaarde van 60 procent bbp.</w:t>
      </w:r>
    </w:p>
    <w:p w:rsidR="00BB685A" w:rsidP="00BB685A" w:rsidRDefault="00BB685A">
      <w:pPr>
        <w:pStyle w:val="tekst"/>
      </w:pPr>
    </w:p>
    <w:p w:rsidR="00BB685A" w:rsidP="00BB685A" w:rsidRDefault="00BB685A">
      <w:pPr>
        <w:pStyle w:val="tekst"/>
      </w:pPr>
      <w:r>
        <w:t xml:space="preserve">De Minister van Financiën, </w:t>
      </w:r>
    </w:p>
    <w:p w:rsidR="00BB685A" w:rsidP="00BB685A" w:rsidRDefault="00BB685A">
      <w:pPr>
        <w:pStyle w:val="tekst"/>
      </w:pPr>
    </w:p>
    <w:p w:rsidR="00BB685A" w:rsidP="00BB685A" w:rsidRDefault="00BB685A">
      <w:pPr>
        <w:pStyle w:val="tekst"/>
      </w:pPr>
      <w:r>
        <w:t>J.R.V.A. Dijsselbloem</w:t>
      </w:r>
    </w:p>
    <w:p w:rsidR="00BB685A" w:rsidP="00BB685A" w:rsidRDefault="00BB685A">
      <w:pPr>
        <w:spacing w:line="240" w:lineRule="auto"/>
        <w:contextualSpacing/>
      </w:pPr>
      <w:r>
        <w:br w:type="page"/>
      </w:r>
    </w:p>
    <w:p w:rsidRPr="00806A91" w:rsidR="00BB685A" w:rsidP="00BB685A" w:rsidRDefault="00BB685A">
      <w:pPr>
        <w:tabs>
          <w:tab w:val="left" w:pos="4515"/>
        </w:tabs>
        <w:contextualSpacing/>
        <w:rPr>
          <w:b/>
        </w:rPr>
      </w:pPr>
      <w:r w:rsidRPr="00806A91">
        <w:rPr>
          <w:b/>
        </w:rPr>
        <w:t>Bijlage 1: Budgettaire kerngegevens</w:t>
      </w:r>
    </w:p>
    <w:p w:rsidR="00BB685A" w:rsidP="00BB685A" w:rsidRDefault="00BB685A">
      <w:pPr>
        <w:pStyle w:val="bijschrift"/>
      </w:pPr>
      <w:r w:rsidRPr="00970561">
        <w:t>Tabel 1 Opbouw EMU-saldo (in miljarden euro; - is tekort)</w:t>
      </w:r>
    </w:p>
    <w:tbl>
      <w:tblPr>
        <w:tblW w:w="6519" w:type="dxa"/>
        <w:tblInd w:w="70" w:type="dxa"/>
        <w:tblCellMar>
          <w:left w:w="70" w:type="dxa"/>
          <w:right w:w="70" w:type="dxa"/>
        </w:tblCellMar>
        <w:tblLook w:val="04A0"/>
      </w:tblPr>
      <w:tblGrid>
        <w:gridCol w:w="397"/>
        <w:gridCol w:w="5272"/>
        <w:gridCol w:w="850"/>
      </w:tblGrid>
      <w:tr w:rsidRPr="00CE523A" w:rsidR="00BB685A" w:rsidTr="00C5122C">
        <w:trPr>
          <w:trHeight w:val="227"/>
        </w:trPr>
        <w:tc>
          <w:tcPr>
            <w:tcW w:w="397" w:type="dxa"/>
            <w:tcBorders>
              <w:top w:val="nil"/>
              <w:left w:val="nil"/>
              <w:bottom w:val="nil"/>
              <w:right w:val="nil"/>
            </w:tcBorders>
            <w:shd w:val="clear" w:color="000000" w:fill="000000"/>
            <w:noWrap/>
            <w:vAlign w:val="bottom"/>
            <w:hideMark/>
          </w:tcPr>
          <w:p w:rsidRPr="00CE523A" w:rsidR="00BB685A" w:rsidP="00C5122C" w:rsidRDefault="00BB685A">
            <w:pPr>
              <w:spacing w:line="240" w:lineRule="auto"/>
              <w:rPr>
                <w:rFonts w:cs="Arial"/>
                <w:b/>
                <w:bCs/>
                <w:color w:val="FFFFFF"/>
                <w:sz w:val="16"/>
                <w:szCs w:val="16"/>
              </w:rPr>
            </w:pPr>
            <w:r w:rsidRPr="00CE523A">
              <w:rPr>
                <w:rFonts w:cs="Arial"/>
                <w:b/>
                <w:bCs/>
                <w:color w:val="FFFFFF"/>
                <w:sz w:val="16"/>
                <w:szCs w:val="16"/>
              </w:rPr>
              <w:t> </w:t>
            </w:r>
          </w:p>
        </w:tc>
        <w:tc>
          <w:tcPr>
            <w:tcW w:w="5272" w:type="dxa"/>
            <w:tcBorders>
              <w:top w:val="nil"/>
              <w:left w:val="nil"/>
              <w:bottom w:val="nil"/>
              <w:right w:val="nil"/>
            </w:tcBorders>
            <w:shd w:val="clear" w:color="000000" w:fill="000000"/>
            <w:noWrap/>
            <w:vAlign w:val="bottom"/>
            <w:hideMark/>
          </w:tcPr>
          <w:p w:rsidRPr="00CE523A" w:rsidR="00BB685A" w:rsidP="00C5122C" w:rsidRDefault="00BB685A">
            <w:pPr>
              <w:spacing w:line="240" w:lineRule="auto"/>
              <w:rPr>
                <w:rFonts w:cs="Arial"/>
                <w:b/>
                <w:bCs/>
                <w:color w:val="FFFFFF"/>
                <w:sz w:val="16"/>
                <w:szCs w:val="16"/>
              </w:rPr>
            </w:pPr>
            <w:r w:rsidRPr="00CE523A">
              <w:rPr>
                <w:rFonts w:cs="Arial"/>
                <w:b/>
                <w:bCs/>
                <w:color w:val="FFFFFF"/>
                <w:sz w:val="16"/>
                <w:szCs w:val="16"/>
              </w:rPr>
              <w:t> </w:t>
            </w:r>
          </w:p>
        </w:tc>
        <w:tc>
          <w:tcPr>
            <w:tcW w:w="850" w:type="dxa"/>
            <w:tcBorders>
              <w:top w:val="nil"/>
              <w:left w:val="nil"/>
              <w:bottom w:val="nil"/>
              <w:right w:val="nil"/>
            </w:tcBorders>
            <w:shd w:val="clear" w:color="000000" w:fill="000000"/>
            <w:noWrap/>
            <w:vAlign w:val="bottom"/>
            <w:hideMark/>
          </w:tcPr>
          <w:p w:rsidRPr="00CE523A" w:rsidR="00BB685A" w:rsidP="00C5122C" w:rsidRDefault="00BB685A">
            <w:pPr>
              <w:spacing w:line="240" w:lineRule="auto"/>
              <w:jc w:val="right"/>
              <w:rPr>
                <w:rFonts w:cs="Arial"/>
                <w:b/>
                <w:bCs/>
                <w:color w:val="FFFFFF"/>
                <w:sz w:val="16"/>
                <w:szCs w:val="16"/>
              </w:rPr>
            </w:pPr>
            <w:r w:rsidRPr="00CE523A">
              <w:rPr>
                <w:rFonts w:cs="Arial"/>
                <w:b/>
                <w:bCs/>
                <w:color w:val="FFFFFF"/>
                <w:sz w:val="16"/>
                <w:szCs w:val="16"/>
              </w:rPr>
              <w:t>2016</w:t>
            </w:r>
          </w:p>
        </w:tc>
      </w:tr>
      <w:tr w:rsidRPr="00CE523A" w:rsidR="00BB685A" w:rsidTr="00C5122C">
        <w:trPr>
          <w:trHeight w:val="227"/>
        </w:trPr>
        <w:tc>
          <w:tcPr>
            <w:tcW w:w="397" w:type="dxa"/>
            <w:tcBorders>
              <w:top w:val="nil"/>
              <w:left w:val="nil"/>
              <w:bottom w:val="nil"/>
              <w:right w:val="nil"/>
            </w:tcBorders>
            <w:shd w:val="clear" w:color="auto" w:fill="auto"/>
            <w:noWrap/>
            <w:vAlign w:val="bottom"/>
            <w:hideMark/>
          </w:tcPr>
          <w:p w:rsidRPr="00CE523A" w:rsidR="00BB685A" w:rsidP="00C5122C" w:rsidRDefault="00BB685A">
            <w:pPr>
              <w:spacing w:line="240" w:lineRule="auto"/>
              <w:jc w:val="right"/>
              <w:rPr>
                <w:rFonts w:cs="Arial"/>
                <w:sz w:val="16"/>
                <w:szCs w:val="16"/>
              </w:rPr>
            </w:pPr>
            <w:r w:rsidRPr="00CE523A">
              <w:rPr>
                <w:rFonts w:cs="Arial"/>
                <w:sz w:val="16"/>
                <w:szCs w:val="16"/>
              </w:rPr>
              <w:t>1</w:t>
            </w:r>
          </w:p>
        </w:tc>
        <w:tc>
          <w:tcPr>
            <w:tcW w:w="5272" w:type="dxa"/>
            <w:tcBorders>
              <w:top w:val="nil"/>
              <w:left w:val="nil"/>
              <w:bottom w:val="nil"/>
              <w:right w:val="nil"/>
            </w:tcBorders>
            <w:shd w:val="clear" w:color="auto" w:fill="auto"/>
            <w:noWrap/>
            <w:vAlign w:val="bottom"/>
            <w:hideMark/>
          </w:tcPr>
          <w:p w:rsidRPr="00CE523A" w:rsidR="00BB685A" w:rsidP="00C5122C" w:rsidRDefault="00BB685A">
            <w:pPr>
              <w:spacing w:line="240" w:lineRule="auto"/>
              <w:rPr>
                <w:rFonts w:cs="Arial"/>
                <w:b/>
                <w:bCs/>
                <w:sz w:val="16"/>
                <w:szCs w:val="16"/>
              </w:rPr>
            </w:pPr>
            <w:r w:rsidRPr="00CE523A">
              <w:rPr>
                <w:rFonts w:cs="Arial"/>
                <w:b/>
                <w:bCs/>
                <w:sz w:val="16"/>
                <w:szCs w:val="16"/>
              </w:rPr>
              <w:t>Inkomsten (belastingen en sociale premies)</w:t>
            </w:r>
          </w:p>
        </w:tc>
        <w:tc>
          <w:tcPr>
            <w:tcW w:w="850" w:type="dxa"/>
            <w:tcBorders>
              <w:top w:val="nil"/>
              <w:left w:val="nil"/>
              <w:bottom w:val="nil"/>
              <w:right w:val="nil"/>
            </w:tcBorders>
            <w:shd w:val="clear" w:color="auto" w:fill="auto"/>
            <w:noWrap/>
            <w:vAlign w:val="bottom"/>
            <w:hideMark/>
          </w:tcPr>
          <w:p w:rsidRPr="00CE523A" w:rsidR="00BB685A" w:rsidP="00C5122C" w:rsidRDefault="00BB685A">
            <w:pPr>
              <w:spacing w:line="240" w:lineRule="auto"/>
              <w:jc w:val="right"/>
              <w:rPr>
                <w:rFonts w:cs="Arial"/>
                <w:b/>
                <w:bCs/>
                <w:sz w:val="16"/>
                <w:szCs w:val="16"/>
              </w:rPr>
            </w:pPr>
            <w:r w:rsidRPr="00CE523A">
              <w:rPr>
                <w:rFonts w:cs="Arial"/>
                <w:b/>
                <w:bCs/>
                <w:sz w:val="16"/>
                <w:szCs w:val="16"/>
              </w:rPr>
              <w:t>255,6</w:t>
            </w:r>
          </w:p>
        </w:tc>
      </w:tr>
      <w:tr w:rsidRPr="00CE523A" w:rsidR="00BB685A" w:rsidTr="00C5122C">
        <w:trPr>
          <w:trHeight w:val="227"/>
        </w:trPr>
        <w:tc>
          <w:tcPr>
            <w:tcW w:w="397" w:type="dxa"/>
            <w:tcBorders>
              <w:top w:val="nil"/>
              <w:left w:val="nil"/>
              <w:bottom w:val="nil"/>
              <w:right w:val="nil"/>
            </w:tcBorders>
            <w:shd w:val="clear" w:color="auto" w:fill="auto"/>
            <w:noWrap/>
            <w:vAlign w:val="bottom"/>
            <w:hideMark/>
          </w:tcPr>
          <w:p w:rsidRPr="00CE523A" w:rsidR="00BB685A" w:rsidP="00C5122C" w:rsidRDefault="00BB685A">
            <w:pPr>
              <w:spacing w:line="240" w:lineRule="auto"/>
              <w:rPr>
                <w:rFonts w:cs="Arial"/>
                <w:sz w:val="16"/>
                <w:szCs w:val="16"/>
              </w:rPr>
            </w:pPr>
          </w:p>
        </w:tc>
        <w:tc>
          <w:tcPr>
            <w:tcW w:w="5272" w:type="dxa"/>
            <w:tcBorders>
              <w:top w:val="nil"/>
              <w:left w:val="nil"/>
              <w:bottom w:val="nil"/>
              <w:right w:val="nil"/>
            </w:tcBorders>
            <w:shd w:val="clear" w:color="auto" w:fill="auto"/>
            <w:noWrap/>
            <w:vAlign w:val="bottom"/>
            <w:hideMark/>
          </w:tcPr>
          <w:p w:rsidRPr="00CE523A" w:rsidR="00BB685A" w:rsidP="00C5122C" w:rsidRDefault="00BB685A">
            <w:pPr>
              <w:spacing w:line="240" w:lineRule="auto"/>
              <w:rPr>
                <w:rFonts w:cs="Arial"/>
                <w:sz w:val="16"/>
                <w:szCs w:val="16"/>
              </w:rPr>
            </w:pPr>
          </w:p>
        </w:tc>
        <w:tc>
          <w:tcPr>
            <w:tcW w:w="850" w:type="dxa"/>
            <w:tcBorders>
              <w:top w:val="nil"/>
              <w:left w:val="nil"/>
              <w:bottom w:val="nil"/>
              <w:right w:val="nil"/>
            </w:tcBorders>
            <w:shd w:val="clear" w:color="auto" w:fill="auto"/>
            <w:noWrap/>
            <w:vAlign w:val="bottom"/>
            <w:hideMark/>
          </w:tcPr>
          <w:p w:rsidRPr="00CE523A" w:rsidR="00BB685A" w:rsidP="00C5122C" w:rsidRDefault="00BB685A">
            <w:pPr>
              <w:spacing w:line="240" w:lineRule="auto"/>
              <w:jc w:val="right"/>
              <w:rPr>
                <w:rFonts w:cs="Arial"/>
                <w:sz w:val="16"/>
                <w:szCs w:val="16"/>
              </w:rPr>
            </w:pPr>
          </w:p>
        </w:tc>
      </w:tr>
      <w:tr w:rsidRPr="00CE523A" w:rsidR="00BB685A" w:rsidTr="00C5122C">
        <w:trPr>
          <w:trHeight w:val="227"/>
        </w:trPr>
        <w:tc>
          <w:tcPr>
            <w:tcW w:w="397" w:type="dxa"/>
            <w:tcBorders>
              <w:top w:val="nil"/>
              <w:left w:val="nil"/>
              <w:bottom w:val="nil"/>
              <w:right w:val="nil"/>
            </w:tcBorders>
            <w:shd w:val="clear" w:color="auto" w:fill="auto"/>
            <w:noWrap/>
            <w:vAlign w:val="bottom"/>
            <w:hideMark/>
          </w:tcPr>
          <w:p w:rsidRPr="00CE523A" w:rsidR="00BB685A" w:rsidP="00C5122C" w:rsidRDefault="00BB685A">
            <w:pPr>
              <w:spacing w:line="240" w:lineRule="auto"/>
              <w:jc w:val="right"/>
              <w:rPr>
                <w:rFonts w:cs="Arial"/>
                <w:sz w:val="16"/>
                <w:szCs w:val="16"/>
              </w:rPr>
            </w:pPr>
            <w:r w:rsidRPr="00CE523A">
              <w:rPr>
                <w:rFonts w:cs="Arial"/>
                <w:sz w:val="16"/>
                <w:szCs w:val="16"/>
              </w:rPr>
              <w:t>2</w:t>
            </w:r>
          </w:p>
        </w:tc>
        <w:tc>
          <w:tcPr>
            <w:tcW w:w="5272" w:type="dxa"/>
            <w:tcBorders>
              <w:top w:val="nil"/>
              <w:left w:val="nil"/>
              <w:bottom w:val="nil"/>
              <w:right w:val="nil"/>
            </w:tcBorders>
            <w:shd w:val="clear" w:color="auto" w:fill="auto"/>
            <w:noWrap/>
            <w:vAlign w:val="bottom"/>
            <w:hideMark/>
          </w:tcPr>
          <w:p w:rsidRPr="00CE523A" w:rsidR="00BB685A" w:rsidP="00C5122C" w:rsidRDefault="00BB685A">
            <w:pPr>
              <w:spacing w:line="240" w:lineRule="auto"/>
              <w:rPr>
                <w:rFonts w:cs="Arial"/>
                <w:b/>
                <w:bCs/>
                <w:sz w:val="16"/>
                <w:szCs w:val="16"/>
              </w:rPr>
            </w:pPr>
            <w:r w:rsidRPr="00CE523A">
              <w:rPr>
                <w:rFonts w:cs="Arial"/>
                <w:b/>
                <w:bCs/>
                <w:sz w:val="16"/>
                <w:szCs w:val="16"/>
              </w:rPr>
              <w:t>Netto-uitgaven onder het uitgavenkader</w:t>
            </w:r>
          </w:p>
        </w:tc>
        <w:tc>
          <w:tcPr>
            <w:tcW w:w="850" w:type="dxa"/>
            <w:tcBorders>
              <w:top w:val="nil"/>
              <w:left w:val="nil"/>
              <w:bottom w:val="nil"/>
              <w:right w:val="nil"/>
            </w:tcBorders>
            <w:shd w:val="clear" w:color="auto" w:fill="auto"/>
            <w:noWrap/>
            <w:vAlign w:val="bottom"/>
            <w:hideMark/>
          </w:tcPr>
          <w:p w:rsidRPr="00CE523A" w:rsidR="00BB685A" w:rsidP="00C5122C" w:rsidRDefault="00BB685A">
            <w:pPr>
              <w:spacing w:line="240" w:lineRule="auto"/>
              <w:jc w:val="right"/>
              <w:rPr>
                <w:rFonts w:cs="Arial"/>
                <w:b/>
                <w:bCs/>
                <w:sz w:val="16"/>
                <w:szCs w:val="16"/>
              </w:rPr>
            </w:pPr>
            <w:r w:rsidRPr="00CE523A">
              <w:rPr>
                <w:rFonts w:cs="Arial"/>
                <w:b/>
                <w:bCs/>
                <w:sz w:val="16"/>
                <w:szCs w:val="16"/>
              </w:rPr>
              <w:t>254,3</w:t>
            </w:r>
          </w:p>
        </w:tc>
      </w:tr>
      <w:tr w:rsidRPr="00CE523A" w:rsidR="00BB685A" w:rsidTr="00C5122C">
        <w:trPr>
          <w:trHeight w:val="227"/>
        </w:trPr>
        <w:tc>
          <w:tcPr>
            <w:tcW w:w="397" w:type="dxa"/>
            <w:tcBorders>
              <w:top w:val="nil"/>
              <w:left w:val="nil"/>
              <w:bottom w:val="nil"/>
              <w:right w:val="nil"/>
            </w:tcBorders>
            <w:shd w:val="clear" w:color="auto" w:fill="auto"/>
            <w:noWrap/>
            <w:vAlign w:val="bottom"/>
            <w:hideMark/>
          </w:tcPr>
          <w:p w:rsidRPr="00CE523A" w:rsidR="00BB685A" w:rsidP="00C5122C" w:rsidRDefault="00BB685A">
            <w:pPr>
              <w:spacing w:line="240" w:lineRule="auto"/>
              <w:jc w:val="right"/>
              <w:rPr>
                <w:rFonts w:cs="Arial"/>
                <w:sz w:val="16"/>
                <w:szCs w:val="16"/>
              </w:rPr>
            </w:pPr>
            <w:r w:rsidRPr="00CE523A">
              <w:rPr>
                <w:rFonts w:cs="Arial"/>
                <w:sz w:val="16"/>
                <w:szCs w:val="16"/>
              </w:rPr>
              <w:t>3</w:t>
            </w:r>
          </w:p>
        </w:tc>
        <w:tc>
          <w:tcPr>
            <w:tcW w:w="5272" w:type="dxa"/>
            <w:tcBorders>
              <w:top w:val="nil"/>
              <w:left w:val="nil"/>
              <w:bottom w:val="nil"/>
              <w:right w:val="nil"/>
            </w:tcBorders>
            <w:shd w:val="clear" w:color="auto" w:fill="auto"/>
            <w:noWrap/>
            <w:vAlign w:val="bottom"/>
            <w:hideMark/>
          </w:tcPr>
          <w:p w:rsidRPr="00CE523A" w:rsidR="00BB685A" w:rsidP="00C5122C" w:rsidRDefault="00BB685A">
            <w:pPr>
              <w:spacing w:line="240" w:lineRule="auto"/>
              <w:rPr>
                <w:rFonts w:cs="Arial"/>
                <w:sz w:val="16"/>
                <w:szCs w:val="16"/>
              </w:rPr>
            </w:pPr>
            <w:r w:rsidRPr="00CE523A">
              <w:rPr>
                <w:rFonts w:cs="Arial"/>
                <w:sz w:val="16"/>
                <w:szCs w:val="16"/>
              </w:rPr>
              <w:t>Rijksbegroting in enge zin</w:t>
            </w:r>
          </w:p>
        </w:tc>
        <w:tc>
          <w:tcPr>
            <w:tcW w:w="850" w:type="dxa"/>
            <w:tcBorders>
              <w:top w:val="nil"/>
              <w:left w:val="nil"/>
              <w:bottom w:val="nil"/>
              <w:right w:val="nil"/>
            </w:tcBorders>
            <w:shd w:val="clear" w:color="auto" w:fill="auto"/>
            <w:noWrap/>
            <w:vAlign w:val="bottom"/>
            <w:hideMark/>
          </w:tcPr>
          <w:p w:rsidRPr="00CE523A" w:rsidR="00BB685A" w:rsidP="00C5122C" w:rsidRDefault="00BB685A">
            <w:pPr>
              <w:spacing w:line="240" w:lineRule="auto"/>
              <w:jc w:val="right"/>
              <w:rPr>
                <w:rFonts w:cs="Arial"/>
                <w:sz w:val="16"/>
                <w:szCs w:val="16"/>
              </w:rPr>
            </w:pPr>
            <w:r w:rsidRPr="00CE523A">
              <w:rPr>
                <w:rFonts w:cs="Arial"/>
                <w:sz w:val="16"/>
                <w:szCs w:val="16"/>
              </w:rPr>
              <w:t>110,9</w:t>
            </w:r>
          </w:p>
        </w:tc>
      </w:tr>
      <w:tr w:rsidRPr="00CE523A" w:rsidR="00BB685A" w:rsidTr="00C5122C">
        <w:trPr>
          <w:trHeight w:val="227"/>
        </w:trPr>
        <w:tc>
          <w:tcPr>
            <w:tcW w:w="397" w:type="dxa"/>
            <w:tcBorders>
              <w:top w:val="nil"/>
              <w:left w:val="nil"/>
              <w:bottom w:val="nil"/>
              <w:right w:val="nil"/>
            </w:tcBorders>
            <w:shd w:val="clear" w:color="auto" w:fill="auto"/>
            <w:noWrap/>
            <w:vAlign w:val="bottom"/>
            <w:hideMark/>
          </w:tcPr>
          <w:p w:rsidRPr="00CE523A" w:rsidR="00BB685A" w:rsidP="00C5122C" w:rsidRDefault="00BB685A">
            <w:pPr>
              <w:spacing w:line="240" w:lineRule="auto"/>
              <w:jc w:val="right"/>
              <w:rPr>
                <w:rFonts w:cs="Arial"/>
                <w:sz w:val="16"/>
                <w:szCs w:val="16"/>
              </w:rPr>
            </w:pPr>
            <w:r w:rsidRPr="00CE523A">
              <w:rPr>
                <w:rFonts w:cs="Arial"/>
                <w:sz w:val="16"/>
                <w:szCs w:val="16"/>
              </w:rPr>
              <w:t>4</w:t>
            </w:r>
          </w:p>
        </w:tc>
        <w:tc>
          <w:tcPr>
            <w:tcW w:w="5272" w:type="dxa"/>
            <w:tcBorders>
              <w:top w:val="nil"/>
              <w:left w:val="nil"/>
              <w:bottom w:val="nil"/>
              <w:right w:val="nil"/>
            </w:tcBorders>
            <w:shd w:val="clear" w:color="auto" w:fill="auto"/>
            <w:noWrap/>
            <w:vAlign w:val="bottom"/>
            <w:hideMark/>
          </w:tcPr>
          <w:p w:rsidRPr="00CE523A" w:rsidR="00BB685A" w:rsidP="00C5122C" w:rsidRDefault="00BB685A">
            <w:pPr>
              <w:spacing w:line="240" w:lineRule="auto"/>
              <w:rPr>
                <w:rFonts w:cs="Arial"/>
                <w:sz w:val="16"/>
                <w:szCs w:val="16"/>
              </w:rPr>
            </w:pPr>
            <w:r w:rsidRPr="00CE523A">
              <w:rPr>
                <w:rFonts w:cs="Arial"/>
                <w:sz w:val="16"/>
                <w:szCs w:val="16"/>
              </w:rPr>
              <w:t>Sociale Zekerheid en Arbeidsmarktbeleid</w:t>
            </w:r>
          </w:p>
        </w:tc>
        <w:tc>
          <w:tcPr>
            <w:tcW w:w="850" w:type="dxa"/>
            <w:tcBorders>
              <w:top w:val="nil"/>
              <w:left w:val="nil"/>
              <w:bottom w:val="nil"/>
              <w:right w:val="nil"/>
            </w:tcBorders>
            <w:shd w:val="clear" w:color="auto" w:fill="auto"/>
            <w:noWrap/>
            <w:vAlign w:val="bottom"/>
            <w:hideMark/>
          </w:tcPr>
          <w:p w:rsidRPr="00CE523A" w:rsidR="00BB685A" w:rsidP="00C5122C" w:rsidRDefault="00BB685A">
            <w:pPr>
              <w:spacing w:line="240" w:lineRule="auto"/>
              <w:jc w:val="right"/>
              <w:rPr>
                <w:rFonts w:cs="Arial"/>
                <w:sz w:val="16"/>
                <w:szCs w:val="16"/>
              </w:rPr>
            </w:pPr>
            <w:r w:rsidRPr="00CE523A">
              <w:rPr>
                <w:rFonts w:cs="Arial"/>
                <w:sz w:val="16"/>
                <w:szCs w:val="16"/>
              </w:rPr>
              <w:t>76,7</w:t>
            </w:r>
          </w:p>
        </w:tc>
      </w:tr>
      <w:tr w:rsidRPr="00CE523A" w:rsidR="00BB685A" w:rsidTr="00C5122C">
        <w:trPr>
          <w:trHeight w:val="227"/>
        </w:trPr>
        <w:tc>
          <w:tcPr>
            <w:tcW w:w="397" w:type="dxa"/>
            <w:tcBorders>
              <w:top w:val="nil"/>
              <w:left w:val="nil"/>
              <w:bottom w:val="nil"/>
              <w:right w:val="nil"/>
            </w:tcBorders>
            <w:shd w:val="clear" w:color="auto" w:fill="auto"/>
            <w:noWrap/>
            <w:vAlign w:val="bottom"/>
            <w:hideMark/>
          </w:tcPr>
          <w:p w:rsidRPr="00CE523A" w:rsidR="00BB685A" w:rsidP="00C5122C" w:rsidRDefault="00BB685A">
            <w:pPr>
              <w:spacing w:line="240" w:lineRule="auto"/>
              <w:jc w:val="right"/>
              <w:rPr>
                <w:rFonts w:cs="Arial"/>
                <w:sz w:val="16"/>
                <w:szCs w:val="16"/>
              </w:rPr>
            </w:pPr>
            <w:r w:rsidRPr="00CE523A">
              <w:rPr>
                <w:rFonts w:cs="Arial"/>
                <w:sz w:val="16"/>
                <w:szCs w:val="16"/>
              </w:rPr>
              <w:t>5</w:t>
            </w:r>
          </w:p>
        </w:tc>
        <w:tc>
          <w:tcPr>
            <w:tcW w:w="5272" w:type="dxa"/>
            <w:tcBorders>
              <w:top w:val="nil"/>
              <w:left w:val="nil"/>
              <w:bottom w:val="nil"/>
              <w:right w:val="nil"/>
            </w:tcBorders>
            <w:shd w:val="clear" w:color="auto" w:fill="auto"/>
            <w:noWrap/>
            <w:vAlign w:val="bottom"/>
            <w:hideMark/>
          </w:tcPr>
          <w:p w:rsidRPr="00CE523A" w:rsidR="00BB685A" w:rsidP="00C5122C" w:rsidRDefault="00BB685A">
            <w:pPr>
              <w:spacing w:line="240" w:lineRule="auto"/>
              <w:rPr>
                <w:rFonts w:cs="Arial"/>
                <w:sz w:val="16"/>
                <w:szCs w:val="16"/>
              </w:rPr>
            </w:pPr>
            <w:r w:rsidRPr="00CE523A">
              <w:rPr>
                <w:rFonts w:cs="Arial"/>
                <w:sz w:val="16"/>
                <w:szCs w:val="16"/>
              </w:rPr>
              <w:t>Budgettair Kader Zorg</w:t>
            </w:r>
          </w:p>
        </w:tc>
        <w:tc>
          <w:tcPr>
            <w:tcW w:w="850" w:type="dxa"/>
            <w:tcBorders>
              <w:top w:val="nil"/>
              <w:left w:val="nil"/>
              <w:bottom w:val="nil"/>
              <w:right w:val="nil"/>
            </w:tcBorders>
            <w:shd w:val="clear" w:color="auto" w:fill="auto"/>
            <w:noWrap/>
            <w:vAlign w:val="bottom"/>
            <w:hideMark/>
          </w:tcPr>
          <w:p w:rsidRPr="00CE523A" w:rsidR="00BB685A" w:rsidP="00C5122C" w:rsidRDefault="00BB685A">
            <w:pPr>
              <w:spacing w:line="240" w:lineRule="auto"/>
              <w:jc w:val="right"/>
              <w:rPr>
                <w:rFonts w:cs="Arial"/>
                <w:sz w:val="16"/>
                <w:szCs w:val="16"/>
              </w:rPr>
            </w:pPr>
            <w:r w:rsidRPr="00CE523A">
              <w:rPr>
                <w:rFonts w:cs="Arial"/>
                <w:sz w:val="16"/>
                <w:szCs w:val="16"/>
              </w:rPr>
              <w:t>66,7</w:t>
            </w:r>
          </w:p>
        </w:tc>
      </w:tr>
      <w:tr w:rsidRPr="00CE523A" w:rsidR="00BB685A" w:rsidTr="00C5122C">
        <w:trPr>
          <w:trHeight w:val="227"/>
        </w:trPr>
        <w:tc>
          <w:tcPr>
            <w:tcW w:w="397" w:type="dxa"/>
            <w:tcBorders>
              <w:top w:val="nil"/>
              <w:left w:val="nil"/>
              <w:bottom w:val="nil"/>
              <w:right w:val="nil"/>
            </w:tcBorders>
            <w:shd w:val="clear" w:color="auto" w:fill="auto"/>
            <w:noWrap/>
            <w:vAlign w:val="bottom"/>
            <w:hideMark/>
          </w:tcPr>
          <w:p w:rsidRPr="00CE523A" w:rsidR="00BB685A" w:rsidP="00C5122C" w:rsidRDefault="00BB685A">
            <w:pPr>
              <w:spacing w:line="240" w:lineRule="auto"/>
              <w:jc w:val="right"/>
              <w:rPr>
                <w:rFonts w:cs="Arial"/>
                <w:sz w:val="16"/>
                <w:szCs w:val="16"/>
              </w:rPr>
            </w:pPr>
            <w:r w:rsidRPr="00CE523A">
              <w:rPr>
                <w:rFonts w:cs="Arial"/>
                <w:sz w:val="16"/>
                <w:szCs w:val="16"/>
              </w:rPr>
              <w:t>6</w:t>
            </w:r>
          </w:p>
        </w:tc>
        <w:tc>
          <w:tcPr>
            <w:tcW w:w="5272" w:type="dxa"/>
            <w:tcBorders>
              <w:top w:val="nil"/>
              <w:left w:val="nil"/>
              <w:bottom w:val="nil"/>
              <w:right w:val="nil"/>
            </w:tcBorders>
            <w:shd w:val="clear" w:color="auto" w:fill="auto"/>
            <w:noWrap/>
            <w:vAlign w:val="bottom"/>
            <w:hideMark/>
          </w:tcPr>
          <w:p w:rsidRPr="00CE523A" w:rsidR="00BB685A" w:rsidP="00C5122C" w:rsidRDefault="00BB685A">
            <w:pPr>
              <w:spacing w:line="240" w:lineRule="auto"/>
              <w:rPr>
                <w:rFonts w:cs="Arial"/>
                <w:b/>
                <w:bCs/>
                <w:sz w:val="16"/>
                <w:szCs w:val="16"/>
              </w:rPr>
            </w:pPr>
            <w:r w:rsidRPr="00CE523A">
              <w:rPr>
                <w:rFonts w:cs="Arial"/>
                <w:b/>
                <w:bCs/>
                <w:sz w:val="16"/>
                <w:szCs w:val="16"/>
              </w:rPr>
              <w:t>Overige netto-uitgaven</w:t>
            </w:r>
          </w:p>
        </w:tc>
        <w:tc>
          <w:tcPr>
            <w:tcW w:w="850" w:type="dxa"/>
            <w:tcBorders>
              <w:top w:val="nil"/>
              <w:left w:val="nil"/>
              <w:bottom w:val="nil"/>
              <w:right w:val="nil"/>
            </w:tcBorders>
            <w:shd w:val="clear" w:color="auto" w:fill="auto"/>
            <w:noWrap/>
            <w:vAlign w:val="bottom"/>
            <w:hideMark/>
          </w:tcPr>
          <w:p w:rsidRPr="00CE523A" w:rsidR="00BB685A" w:rsidP="00C5122C" w:rsidRDefault="00BB685A">
            <w:pPr>
              <w:spacing w:line="240" w:lineRule="auto"/>
              <w:jc w:val="right"/>
              <w:rPr>
                <w:rFonts w:cs="Arial"/>
                <w:b/>
                <w:bCs/>
                <w:sz w:val="16"/>
                <w:szCs w:val="16"/>
              </w:rPr>
            </w:pPr>
            <w:r w:rsidRPr="00CE523A">
              <w:rPr>
                <w:rFonts w:cs="Arial"/>
                <w:b/>
                <w:bCs/>
                <w:sz w:val="16"/>
                <w:szCs w:val="16"/>
              </w:rPr>
              <w:t>2,2</w:t>
            </w:r>
          </w:p>
        </w:tc>
      </w:tr>
      <w:tr w:rsidRPr="00CE523A" w:rsidR="00BB685A" w:rsidTr="00C5122C">
        <w:trPr>
          <w:trHeight w:val="227"/>
        </w:trPr>
        <w:tc>
          <w:tcPr>
            <w:tcW w:w="397" w:type="dxa"/>
            <w:tcBorders>
              <w:top w:val="nil"/>
              <w:left w:val="nil"/>
              <w:bottom w:val="nil"/>
              <w:right w:val="nil"/>
            </w:tcBorders>
            <w:shd w:val="clear" w:color="auto" w:fill="auto"/>
            <w:noWrap/>
            <w:vAlign w:val="bottom"/>
            <w:hideMark/>
          </w:tcPr>
          <w:p w:rsidRPr="00CE523A" w:rsidR="00BB685A" w:rsidP="00C5122C" w:rsidRDefault="00BB685A">
            <w:pPr>
              <w:spacing w:line="240" w:lineRule="auto"/>
              <w:jc w:val="right"/>
              <w:rPr>
                <w:rFonts w:cs="Arial"/>
                <w:sz w:val="16"/>
                <w:szCs w:val="16"/>
              </w:rPr>
            </w:pPr>
            <w:r w:rsidRPr="00CE523A">
              <w:rPr>
                <w:rFonts w:cs="Arial"/>
                <w:sz w:val="16"/>
                <w:szCs w:val="16"/>
              </w:rPr>
              <w:t>7</w:t>
            </w:r>
          </w:p>
        </w:tc>
        <w:tc>
          <w:tcPr>
            <w:tcW w:w="5272" w:type="dxa"/>
            <w:tcBorders>
              <w:top w:val="nil"/>
              <w:left w:val="nil"/>
              <w:bottom w:val="nil"/>
              <w:right w:val="nil"/>
            </w:tcBorders>
            <w:shd w:val="clear" w:color="auto" w:fill="auto"/>
            <w:noWrap/>
            <w:vAlign w:val="bottom"/>
            <w:hideMark/>
          </w:tcPr>
          <w:p w:rsidRPr="00CE523A" w:rsidR="00BB685A" w:rsidP="00C5122C" w:rsidRDefault="00BB685A">
            <w:pPr>
              <w:spacing w:line="240" w:lineRule="auto"/>
              <w:rPr>
                <w:rFonts w:cs="Arial"/>
                <w:sz w:val="16"/>
                <w:szCs w:val="16"/>
              </w:rPr>
            </w:pPr>
            <w:r w:rsidRPr="00CE523A">
              <w:rPr>
                <w:rFonts w:cs="Arial"/>
                <w:sz w:val="16"/>
                <w:szCs w:val="16"/>
              </w:rPr>
              <w:t>Gasbaten</w:t>
            </w:r>
          </w:p>
        </w:tc>
        <w:tc>
          <w:tcPr>
            <w:tcW w:w="850" w:type="dxa"/>
            <w:tcBorders>
              <w:top w:val="nil"/>
              <w:left w:val="nil"/>
              <w:bottom w:val="nil"/>
              <w:right w:val="nil"/>
            </w:tcBorders>
            <w:shd w:val="clear" w:color="auto" w:fill="auto"/>
            <w:noWrap/>
            <w:vAlign w:val="bottom"/>
            <w:hideMark/>
          </w:tcPr>
          <w:p w:rsidRPr="00CE523A" w:rsidR="00BB685A" w:rsidP="00C5122C" w:rsidRDefault="00BB685A">
            <w:pPr>
              <w:spacing w:line="240" w:lineRule="auto"/>
              <w:jc w:val="right"/>
              <w:rPr>
                <w:rFonts w:cs="Arial"/>
                <w:sz w:val="16"/>
                <w:szCs w:val="16"/>
              </w:rPr>
            </w:pPr>
            <w:r w:rsidRPr="00CE523A">
              <w:rPr>
                <w:rFonts w:cs="Arial"/>
                <w:sz w:val="16"/>
                <w:szCs w:val="16"/>
              </w:rPr>
              <w:t>-2,2</w:t>
            </w:r>
          </w:p>
        </w:tc>
      </w:tr>
      <w:tr w:rsidRPr="00CE523A" w:rsidR="00BB685A" w:rsidTr="00C5122C">
        <w:trPr>
          <w:trHeight w:val="227"/>
        </w:trPr>
        <w:tc>
          <w:tcPr>
            <w:tcW w:w="397" w:type="dxa"/>
            <w:tcBorders>
              <w:top w:val="nil"/>
              <w:left w:val="nil"/>
              <w:bottom w:val="nil"/>
              <w:right w:val="nil"/>
            </w:tcBorders>
            <w:shd w:val="clear" w:color="auto" w:fill="auto"/>
            <w:noWrap/>
            <w:vAlign w:val="bottom"/>
            <w:hideMark/>
          </w:tcPr>
          <w:p w:rsidRPr="00CE523A" w:rsidR="00BB685A" w:rsidP="00C5122C" w:rsidRDefault="00BB685A">
            <w:pPr>
              <w:spacing w:line="240" w:lineRule="auto"/>
              <w:jc w:val="right"/>
              <w:rPr>
                <w:rFonts w:cs="Arial"/>
                <w:sz w:val="16"/>
                <w:szCs w:val="16"/>
              </w:rPr>
            </w:pPr>
            <w:r w:rsidRPr="00CE523A">
              <w:rPr>
                <w:rFonts w:cs="Arial"/>
                <w:sz w:val="16"/>
                <w:szCs w:val="16"/>
              </w:rPr>
              <w:t>8</w:t>
            </w:r>
          </w:p>
        </w:tc>
        <w:tc>
          <w:tcPr>
            <w:tcW w:w="5272" w:type="dxa"/>
            <w:tcBorders>
              <w:top w:val="nil"/>
              <w:left w:val="nil"/>
              <w:bottom w:val="nil"/>
              <w:right w:val="nil"/>
            </w:tcBorders>
            <w:shd w:val="clear" w:color="auto" w:fill="auto"/>
            <w:noWrap/>
            <w:vAlign w:val="bottom"/>
            <w:hideMark/>
          </w:tcPr>
          <w:p w:rsidRPr="00CE523A" w:rsidR="00BB685A" w:rsidP="00C5122C" w:rsidRDefault="00BB685A">
            <w:pPr>
              <w:spacing w:line="240" w:lineRule="auto"/>
              <w:rPr>
                <w:rFonts w:cs="Arial"/>
                <w:sz w:val="16"/>
                <w:szCs w:val="16"/>
              </w:rPr>
            </w:pPr>
            <w:r w:rsidRPr="00CE523A">
              <w:rPr>
                <w:rFonts w:cs="Arial"/>
                <w:sz w:val="16"/>
                <w:szCs w:val="16"/>
              </w:rPr>
              <w:t>Rentelasten</w:t>
            </w:r>
          </w:p>
        </w:tc>
        <w:tc>
          <w:tcPr>
            <w:tcW w:w="850" w:type="dxa"/>
            <w:tcBorders>
              <w:top w:val="nil"/>
              <w:left w:val="nil"/>
              <w:bottom w:val="nil"/>
              <w:right w:val="nil"/>
            </w:tcBorders>
            <w:shd w:val="clear" w:color="auto" w:fill="auto"/>
            <w:noWrap/>
            <w:vAlign w:val="bottom"/>
            <w:hideMark/>
          </w:tcPr>
          <w:p w:rsidRPr="00CE523A" w:rsidR="00BB685A" w:rsidP="00C5122C" w:rsidRDefault="00BB685A">
            <w:pPr>
              <w:spacing w:line="240" w:lineRule="auto"/>
              <w:jc w:val="right"/>
              <w:rPr>
                <w:rFonts w:cs="Arial"/>
                <w:sz w:val="16"/>
                <w:szCs w:val="16"/>
              </w:rPr>
            </w:pPr>
            <w:r w:rsidRPr="00CE523A">
              <w:rPr>
                <w:rFonts w:cs="Arial"/>
                <w:sz w:val="16"/>
                <w:szCs w:val="16"/>
              </w:rPr>
              <w:t>7,2</w:t>
            </w:r>
          </w:p>
        </w:tc>
      </w:tr>
      <w:tr w:rsidRPr="00CE523A" w:rsidR="00BB685A" w:rsidTr="00C5122C">
        <w:trPr>
          <w:trHeight w:val="227"/>
        </w:trPr>
        <w:tc>
          <w:tcPr>
            <w:tcW w:w="397" w:type="dxa"/>
            <w:tcBorders>
              <w:top w:val="nil"/>
              <w:left w:val="nil"/>
              <w:bottom w:val="nil"/>
              <w:right w:val="nil"/>
            </w:tcBorders>
            <w:shd w:val="clear" w:color="auto" w:fill="auto"/>
            <w:noWrap/>
            <w:vAlign w:val="bottom"/>
            <w:hideMark/>
          </w:tcPr>
          <w:p w:rsidRPr="00CE523A" w:rsidR="00BB685A" w:rsidP="00C5122C" w:rsidRDefault="00BB685A">
            <w:pPr>
              <w:spacing w:line="240" w:lineRule="auto"/>
              <w:jc w:val="right"/>
              <w:rPr>
                <w:rFonts w:cs="Arial"/>
                <w:sz w:val="16"/>
                <w:szCs w:val="16"/>
              </w:rPr>
            </w:pPr>
            <w:r w:rsidRPr="00CE523A">
              <w:rPr>
                <w:rFonts w:cs="Arial"/>
                <w:sz w:val="16"/>
                <w:szCs w:val="16"/>
              </w:rPr>
              <w:t>9</w:t>
            </w:r>
          </w:p>
        </w:tc>
        <w:tc>
          <w:tcPr>
            <w:tcW w:w="5272" w:type="dxa"/>
            <w:tcBorders>
              <w:top w:val="nil"/>
              <w:left w:val="nil"/>
              <w:bottom w:val="nil"/>
              <w:right w:val="nil"/>
            </w:tcBorders>
            <w:shd w:val="clear" w:color="auto" w:fill="auto"/>
            <w:noWrap/>
            <w:vAlign w:val="bottom"/>
            <w:hideMark/>
          </w:tcPr>
          <w:p w:rsidRPr="00CE523A" w:rsidR="00BB685A" w:rsidP="00C5122C" w:rsidRDefault="00BB685A">
            <w:pPr>
              <w:spacing w:line="240" w:lineRule="auto"/>
              <w:rPr>
                <w:rFonts w:cs="Arial"/>
                <w:sz w:val="16"/>
                <w:szCs w:val="16"/>
              </w:rPr>
            </w:pPr>
            <w:r w:rsidRPr="00CE523A">
              <w:rPr>
                <w:rFonts w:cs="Arial"/>
                <w:sz w:val="16"/>
                <w:szCs w:val="16"/>
              </w:rPr>
              <w:t>Zorgtoeslag</w:t>
            </w:r>
          </w:p>
        </w:tc>
        <w:tc>
          <w:tcPr>
            <w:tcW w:w="850" w:type="dxa"/>
            <w:tcBorders>
              <w:top w:val="nil"/>
              <w:left w:val="nil"/>
              <w:bottom w:val="nil"/>
              <w:right w:val="nil"/>
            </w:tcBorders>
            <w:shd w:val="clear" w:color="auto" w:fill="auto"/>
            <w:noWrap/>
            <w:vAlign w:val="bottom"/>
            <w:hideMark/>
          </w:tcPr>
          <w:p w:rsidRPr="00CE523A" w:rsidR="00BB685A" w:rsidP="00C5122C" w:rsidRDefault="00BB685A">
            <w:pPr>
              <w:spacing w:line="240" w:lineRule="auto"/>
              <w:jc w:val="right"/>
              <w:rPr>
                <w:rFonts w:cs="Arial"/>
                <w:sz w:val="16"/>
                <w:szCs w:val="16"/>
              </w:rPr>
            </w:pPr>
            <w:r w:rsidRPr="00CE523A">
              <w:rPr>
                <w:rFonts w:cs="Arial"/>
                <w:sz w:val="16"/>
                <w:szCs w:val="16"/>
              </w:rPr>
              <w:t>4,2</w:t>
            </w:r>
          </w:p>
        </w:tc>
      </w:tr>
      <w:tr w:rsidRPr="00CE523A" w:rsidR="00BB685A" w:rsidTr="00C5122C">
        <w:trPr>
          <w:trHeight w:val="227"/>
        </w:trPr>
        <w:tc>
          <w:tcPr>
            <w:tcW w:w="397" w:type="dxa"/>
            <w:tcBorders>
              <w:top w:val="nil"/>
              <w:left w:val="nil"/>
              <w:bottom w:val="nil"/>
              <w:right w:val="nil"/>
            </w:tcBorders>
            <w:shd w:val="clear" w:color="auto" w:fill="auto"/>
            <w:noWrap/>
            <w:vAlign w:val="bottom"/>
            <w:hideMark/>
          </w:tcPr>
          <w:p w:rsidRPr="00CE523A" w:rsidR="00BB685A" w:rsidP="00C5122C" w:rsidRDefault="00BB685A">
            <w:pPr>
              <w:spacing w:line="240" w:lineRule="auto"/>
              <w:jc w:val="right"/>
              <w:rPr>
                <w:rFonts w:cs="Arial"/>
                <w:sz w:val="16"/>
                <w:szCs w:val="16"/>
              </w:rPr>
            </w:pPr>
            <w:r w:rsidRPr="00CE523A">
              <w:rPr>
                <w:rFonts w:cs="Arial"/>
                <w:sz w:val="16"/>
                <w:szCs w:val="16"/>
              </w:rPr>
              <w:t>10</w:t>
            </w:r>
          </w:p>
        </w:tc>
        <w:tc>
          <w:tcPr>
            <w:tcW w:w="5272" w:type="dxa"/>
            <w:tcBorders>
              <w:top w:val="nil"/>
              <w:left w:val="nil"/>
              <w:bottom w:val="nil"/>
              <w:right w:val="nil"/>
            </w:tcBorders>
            <w:shd w:val="clear" w:color="auto" w:fill="auto"/>
            <w:noWrap/>
            <w:vAlign w:val="bottom"/>
            <w:hideMark/>
          </w:tcPr>
          <w:p w:rsidRPr="00CE523A" w:rsidR="00BB685A" w:rsidP="00C5122C" w:rsidRDefault="00BB685A">
            <w:pPr>
              <w:spacing w:line="240" w:lineRule="auto"/>
              <w:rPr>
                <w:rFonts w:cs="Arial"/>
                <w:sz w:val="16"/>
                <w:szCs w:val="16"/>
              </w:rPr>
            </w:pPr>
            <w:r w:rsidRPr="00CE523A">
              <w:rPr>
                <w:rFonts w:cs="Arial"/>
                <w:sz w:val="16"/>
                <w:szCs w:val="16"/>
              </w:rPr>
              <w:t xml:space="preserve">Overig </w:t>
            </w:r>
          </w:p>
        </w:tc>
        <w:tc>
          <w:tcPr>
            <w:tcW w:w="850" w:type="dxa"/>
            <w:tcBorders>
              <w:top w:val="nil"/>
              <w:left w:val="nil"/>
              <w:bottom w:val="nil"/>
              <w:right w:val="nil"/>
            </w:tcBorders>
            <w:shd w:val="clear" w:color="auto" w:fill="auto"/>
            <w:noWrap/>
            <w:vAlign w:val="bottom"/>
            <w:hideMark/>
          </w:tcPr>
          <w:p w:rsidRPr="00CE523A" w:rsidR="00BB685A" w:rsidP="00C5122C" w:rsidRDefault="00BB685A">
            <w:pPr>
              <w:spacing w:line="240" w:lineRule="auto"/>
              <w:jc w:val="right"/>
              <w:rPr>
                <w:rFonts w:cs="Arial"/>
                <w:sz w:val="16"/>
                <w:szCs w:val="16"/>
              </w:rPr>
            </w:pPr>
            <w:r w:rsidRPr="00CE523A">
              <w:rPr>
                <w:rFonts w:cs="Arial"/>
                <w:sz w:val="16"/>
                <w:szCs w:val="16"/>
              </w:rPr>
              <w:t>-7,0</w:t>
            </w:r>
          </w:p>
        </w:tc>
      </w:tr>
      <w:tr w:rsidRPr="00CE523A" w:rsidR="00BB685A" w:rsidTr="00C5122C">
        <w:trPr>
          <w:trHeight w:val="227"/>
        </w:trPr>
        <w:tc>
          <w:tcPr>
            <w:tcW w:w="397" w:type="dxa"/>
            <w:tcBorders>
              <w:top w:val="nil"/>
              <w:left w:val="nil"/>
              <w:bottom w:val="nil"/>
              <w:right w:val="nil"/>
            </w:tcBorders>
            <w:shd w:val="clear" w:color="auto" w:fill="auto"/>
            <w:noWrap/>
            <w:vAlign w:val="bottom"/>
            <w:hideMark/>
          </w:tcPr>
          <w:p w:rsidRPr="00CE523A" w:rsidR="00BB685A" w:rsidP="00C5122C" w:rsidRDefault="00BB685A">
            <w:pPr>
              <w:spacing w:line="240" w:lineRule="auto"/>
              <w:jc w:val="right"/>
              <w:rPr>
                <w:rFonts w:cs="Arial"/>
                <w:sz w:val="16"/>
                <w:szCs w:val="16"/>
              </w:rPr>
            </w:pPr>
            <w:r w:rsidRPr="00CE523A">
              <w:rPr>
                <w:rFonts w:cs="Arial"/>
                <w:sz w:val="16"/>
                <w:szCs w:val="16"/>
              </w:rPr>
              <w:t>11</w:t>
            </w:r>
          </w:p>
        </w:tc>
        <w:tc>
          <w:tcPr>
            <w:tcW w:w="5272" w:type="dxa"/>
            <w:tcBorders>
              <w:top w:val="nil"/>
              <w:left w:val="nil"/>
              <w:bottom w:val="nil"/>
              <w:right w:val="nil"/>
            </w:tcBorders>
            <w:shd w:val="clear" w:color="auto" w:fill="auto"/>
            <w:noWrap/>
            <w:vAlign w:val="bottom"/>
            <w:hideMark/>
          </w:tcPr>
          <w:p w:rsidRPr="00CE523A" w:rsidR="00BB685A" w:rsidP="00C5122C" w:rsidRDefault="00BB685A">
            <w:pPr>
              <w:spacing w:line="240" w:lineRule="auto"/>
              <w:rPr>
                <w:rFonts w:cs="Arial"/>
                <w:b/>
                <w:bCs/>
                <w:sz w:val="16"/>
                <w:szCs w:val="16"/>
              </w:rPr>
            </w:pPr>
            <w:r w:rsidRPr="00CE523A">
              <w:rPr>
                <w:rFonts w:cs="Arial"/>
                <w:b/>
                <w:bCs/>
                <w:sz w:val="16"/>
                <w:szCs w:val="16"/>
              </w:rPr>
              <w:t>Totale netto-uitgaven</w:t>
            </w:r>
            <w:r w:rsidRPr="00CE523A">
              <w:rPr>
                <w:rFonts w:cs="Arial"/>
                <w:sz w:val="16"/>
                <w:szCs w:val="16"/>
              </w:rPr>
              <w:t xml:space="preserve"> (2+6)</w:t>
            </w:r>
          </w:p>
        </w:tc>
        <w:tc>
          <w:tcPr>
            <w:tcW w:w="850" w:type="dxa"/>
            <w:tcBorders>
              <w:top w:val="nil"/>
              <w:left w:val="nil"/>
              <w:bottom w:val="nil"/>
              <w:right w:val="nil"/>
            </w:tcBorders>
            <w:shd w:val="clear" w:color="auto" w:fill="auto"/>
            <w:noWrap/>
            <w:vAlign w:val="bottom"/>
            <w:hideMark/>
          </w:tcPr>
          <w:p w:rsidRPr="00CE523A" w:rsidR="00BB685A" w:rsidP="00C5122C" w:rsidRDefault="00BB685A">
            <w:pPr>
              <w:spacing w:line="240" w:lineRule="auto"/>
              <w:jc w:val="right"/>
              <w:rPr>
                <w:rFonts w:cs="Arial"/>
                <w:b/>
                <w:bCs/>
                <w:sz w:val="16"/>
                <w:szCs w:val="16"/>
              </w:rPr>
            </w:pPr>
            <w:r w:rsidRPr="00CE523A">
              <w:rPr>
                <w:rFonts w:cs="Arial"/>
                <w:b/>
                <w:bCs/>
                <w:sz w:val="16"/>
                <w:szCs w:val="16"/>
              </w:rPr>
              <w:t>256,6</w:t>
            </w:r>
          </w:p>
        </w:tc>
      </w:tr>
      <w:tr w:rsidRPr="00CE523A" w:rsidR="00BB685A" w:rsidTr="00C5122C">
        <w:trPr>
          <w:trHeight w:val="227"/>
        </w:trPr>
        <w:tc>
          <w:tcPr>
            <w:tcW w:w="397" w:type="dxa"/>
            <w:tcBorders>
              <w:top w:val="nil"/>
              <w:left w:val="nil"/>
              <w:bottom w:val="nil"/>
              <w:right w:val="nil"/>
            </w:tcBorders>
            <w:shd w:val="clear" w:color="auto" w:fill="auto"/>
            <w:noWrap/>
            <w:vAlign w:val="bottom"/>
            <w:hideMark/>
          </w:tcPr>
          <w:p w:rsidRPr="00CE523A" w:rsidR="00BB685A" w:rsidP="00C5122C" w:rsidRDefault="00BB685A">
            <w:pPr>
              <w:spacing w:line="240" w:lineRule="auto"/>
              <w:rPr>
                <w:rFonts w:cs="Arial"/>
                <w:sz w:val="16"/>
                <w:szCs w:val="16"/>
              </w:rPr>
            </w:pPr>
          </w:p>
        </w:tc>
        <w:tc>
          <w:tcPr>
            <w:tcW w:w="5272" w:type="dxa"/>
            <w:tcBorders>
              <w:top w:val="nil"/>
              <w:left w:val="nil"/>
              <w:bottom w:val="nil"/>
              <w:right w:val="nil"/>
            </w:tcBorders>
            <w:shd w:val="clear" w:color="auto" w:fill="auto"/>
            <w:noWrap/>
            <w:vAlign w:val="bottom"/>
            <w:hideMark/>
          </w:tcPr>
          <w:p w:rsidRPr="00CE523A" w:rsidR="00BB685A" w:rsidP="00C5122C" w:rsidRDefault="00BB685A">
            <w:pPr>
              <w:spacing w:line="240" w:lineRule="auto"/>
              <w:rPr>
                <w:rFonts w:cs="Arial"/>
                <w:sz w:val="16"/>
                <w:szCs w:val="16"/>
              </w:rPr>
            </w:pPr>
          </w:p>
        </w:tc>
        <w:tc>
          <w:tcPr>
            <w:tcW w:w="850" w:type="dxa"/>
            <w:tcBorders>
              <w:top w:val="nil"/>
              <w:left w:val="nil"/>
              <w:bottom w:val="nil"/>
              <w:right w:val="nil"/>
            </w:tcBorders>
            <w:shd w:val="clear" w:color="auto" w:fill="auto"/>
            <w:noWrap/>
            <w:vAlign w:val="bottom"/>
            <w:hideMark/>
          </w:tcPr>
          <w:p w:rsidRPr="00CE523A" w:rsidR="00BB685A" w:rsidP="00C5122C" w:rsidRDefault="00BB685A">
            <w:pPr>
              <w:spacing w:line="240" w:lineRule="auto"/>
              <w:jc w:val="right"/>
              <w:rPr>
                <w:rFonts w:cs="Arial"/>
                <w:sz w:val="16"/>
                <w:szCs w:val="16"/>
              </w:rPr>
            </w:pPr>
          </w:p>
        </w:tc>
      </w:tr>
      <w:tr w:rsidRPr="00CE523A" w:rsidR="00BB685A" w:rsidTr="00C5122C">
        <w:trPr>
          <w:trHeight w:val="227"/>
        </w:trPr>
        <w:tc>
          <w:tcPr>
            <w:tcW w:w="397" w:type="dxa"/>
            <w:tcBorders>
              <w:top w:val="nil"/>
              <w:left w:val="nil"/>
              <w:bottom w:val="nil"/>
              <w:right w:val="nil"/>
            </w:tcBorders>
            <w:shd w:val="clear" w:color="auto" w:fill="auto"/>
            <w:noWrap/>
            <w:vAlign w:val="bottom"/>
            <w:hideMark/>
          </w:tcPr>
          <w:p w:rsidRPr="00CE523A" w:rsidR="00BB685A" w:rsidP="00C5122C" w:rsidRDefault="00BB685A">
            <w:pPr>
              <w:spacing w:line="240" w:lineRule="auto"/>
              <w:jc w:val="right"/>
              <w:rPr>
                <w:rFonts w:cs="Arial"/>
                <w:sz w:val="16"/>
                <w:szCs w:val="16"/>
              </w:rPr>
            </w:pPr>
            <w:r w:rsidRPr="00CE523A">
              <w:rPr>
                <w:rFonts w:cs="Arial"/>
                <w:sz w:val="16"/>
                <w:szCs w:val="16"/>
              </w:rPr>
              <w:t>12</w:t>
            </w:r>
          </w:p>
        </w:tc>
        <w:tc>
          <w:tcPr>
            <w:tcW w:w="5272" w:type="dxa"/>
            <w:tcBorders>
              <w:top w:val="nil"/>
              <w:left w:val="nil"/>
              <w:bottom w:val="nil"/>
              <w:right w:val="nil"/>
            </w:tcBorders>
            <w:shd w:val="clear" w:color="auto" w:fill="auto"/>
            <w:noWrap/>
            <w:vAlign w:val="bottom"/>
            <w:hideMark/>
          </w:tcPr>
          <w:p w:rsidRPr="00CE523A" w:rsidR="00BB685A" w:rsidP="00C5122C" w:rsidRDefault="00BB685A">
            <w:pPr>
              <w:spacing w:line="240" w:lineRule="auto"/>
              <w:rPr>
                <w:rFonts w:cs="Arial"/>
                <w:b/>
                <w:bCs/>
                <w:sz w:val="16"/>
                <w:szCs w:val="16"/>
              </w:rPr>
            </w:pPr>
            <w:r w:rsidRPr="00CE523A">
              <w:rPr>
                <w:rFonts w:cs="Arial"/>
                <w:b/>
                <w:bCs/>
                <w:sz w:val="16"/>
                <w:szCs w:val="16"/>
              </w:rPr>
              <w:t xml:space="preserve">EMU-saldo centrale overheid </w:t>
            </w:r>
            <w:r w:rsidRPr="00CE523A">
              <w:rPr>
                <w:rFonts w:cs="Arial"/>
                <w:sz w:val="16"/>
                <w:szCs w:val="16"/>
              </w:rPr>
              <w:t>(1-11)</w:t>
            </w:r>
          </w:p>
        </w:tc>
        <w:tc>
          <w:tcPr>
            <w:tcW w:w="850" w:type="dxa"/>
            <w:tcBorders>
              <w:top w:val="nil"/>
              <w:left w:val="nil"/>
              <w:bottom w:val="nil"/>
              <w:right w:val="nil"/>
            </w:tcBorders>
            <w:shd w:val="clear" w:color="auto" w:fill="auto"/>
            <w:noWrap/>
            <w:vAlign w:val="bottom"/>
            <w:hideMark/>
          </w:tcPr>
          <w:p w:rsidRPr="00CE523A" w:rsidR="00BB685A" w:rsidP="00C5122C" w:rsidRDefault="00BB685A">
            <w:pPr>
              <w:spacing w:line="240" w:lineRule="auto"/>
              <w:jc w:val="right"/>
              <w:rPr>
                <w:rFonts w:cs="Arial"/>
                <w:b/>
                <w:bCs/>
                <w:sz w:val="16"/>
                <w:szCs w:val="16"/>
              </w:rPr>
            </w:pPr>
            <w:r w:rsidRPr="00CE523A">
              <w:rPr>
                <w:rFonts w:cs="Arial"/>
                <w:b/>
                <w:bCs/>
                <w:sz w:val="16"/>
                <w:szCs w:val="16"/>
              </w:rPr>
              <w:t>-0,9</w:t>
            </w:r>
          </w:p>
        </w:tc>
      </w:tr>
      <w:tr w:rsidRPr="00CE523A" w:rsidR="00BB685A" w:rsidTr="00C5122C">
        <w:trPr>
          <w:trHeight w:val="227"/>
        </w:trPr>
        <w:tc>
          <w:tcPr>
            <w:tcW w:w="397" w:type="dxa"/>
            <w:tcBorders>
              <w:top w:val="nil"/>
              <w:left w:val="nil"/>
              <w:bottom w:val="nil"/>
              <w:right w:val="nil"/>
            </w:tcBorders>
            <w:shd w:val="clear" w:color="auto" w:fill="auto"/>
            <w:noWrap/>
            <w:vAlign w:val="bottom"/>
            <w:hideMark/>
          </w:tcPr>
          <w:p w:rsidRPr="00CE523A" w:rsidR="00BB685A" w:rsidP="00C5122C" w:rsidRDefault="00BB685A">
            <w:pPr>
              <w:spacing w:line="240" w:lineRule="auto"/>
              <w:jc w:val="right"/>
              <w:rPr>
                <w:rFonts w:cs="Arial"/>
                <w:sz w:val="16"/>
                <w:szCs w:val="16"/>
              </w:rPr>
            </w:pPr>
            <w:r w:rsidRPr="00CE523A">
              <w:rPr>
                <w:rFonts w:cs="Arial"/>
                <w:sz w:val="16"/>
                <w:szCs w:val="16"/>
              </w:rPr>
              <w:t>13</w:t>
            </w:r>
          </w:p>
        </w:tc>
        <w:tc>
          <w:tcPr>
            <w:tcW w:w="5272" w:type="dxa"/>
            <w:tcBorders>
              <w:top w:val="nil"/>
              <w:left w:val="nil"/>
              <w:bottom w:val="nil"/>
              <w:right w:val="nil"/>
            </w:tcBorders>
            <w:shd w:val="clear" w:color="auto" w:fill="auto"/>
            <w:noWrap/>
            <w:vAlign w:val="bottom"/>
            <w:hideMark/>
          </w:tcPr>
          <w:p w:rsidRPr="00CE523A" w:rsidR="00BB685A" w:rsidP="00C5122C" w:rsidRDefault="00BB685A">
            <w:pPr>
              <w:spacing w:line="240" w:lineRule="auto"/>
              <w:rPr>
                <w:rFonts w:cs="Arial"/>
                <w:b/>
                <w:bCs/>
                <w:sz w:val="16"/>
                <w:szCs w:val="16"/>
              </w:rPr>
            </w:pPr>
            <w:r w:rsidRPr="00CE523A">
              <w:rPr>
                <w:rFonts w:cs="Arial"/>
                <w:b/>
                <w:bCs/>
                <w:sz w:val="16"/>
                <w:szCs w:val="16"/>
              </w:rPr>
              <w:t>EMU-saldo decentrale overheden</w:t>
            </w:r>
          </w:p>
        </w:tc>
        <w:tc>
          <w:tcPr>
            <w:tcW w:w="850" w:type="dxa"/>
            <w:tcBorders>
              <w:top w:val="nil"/>
              <w:left w:val="nil"/>
              <w:bottom w:val="nil"/>
              <w:right w:val="nil"/>
            </w:tcBorders>
            <w:shd w:val="clear" w:color="auto" w:fill="auto"/>
            <w:noWrap/>
            <w:vAlign w:val="bottom"/>
            <w:hideMark/>
          </w:tcPr>
          <w:p w:rsidRPr="00CE523A" w:rsidR="00BB685A" w:rsidP="00C5122C" w:rsidRDefault="00BB685A">
            <w:pPr>
              <w:spacing w:line="240" w:lineRule="auto"/>
              <w:jc w:val="right"/>
              <w:rPr>
                <w:rFonts w:cs="Arial"/>
                <w:b/>
                <w:bCs/>
                <w:sz w:val="16"/>
                <w:szCs w:val="16"/>
              </w:rPr>
            </w:pPr>
            <w:r w:rsidRPr="00CE523A">
              <w:rPr>
                <w:rFonts w:cs="Arial"/>
                <w:b/>
                <w:bCs/>
                <w:sz w:val="16"/>
                <w:szCs w:val="16"/>
              </w:rPr>
              <w:t>-2,1</w:t>
            </w:r>
          </w:p>
        </w:tc>
      </w:tr>
      <w:tr w:rsidRPr="00CE523A" w:rsidR="00BB685A" w:rsidTr="00C5122C">
        <w:trPr>
          <w:trHeight w:val="227"/>
        </w:trPr>
        <w:tc>
          <w:tcPr>
            <w:tcW w:w="397" w:type="dxa"/>
            <w:tcBorders>
              <w:top w:val="nil"/>
              <w:left w:val="nil"/>
              <w:bottom w:val="nil"/>
              <w:right w:val="nil"/>
            </w:tcBorders>
            <w:shd w:val="clear" w:color="auto" w:fill="auto"/>
            <w:noWrap/>
            <w:vAlign w:val="bottom"/>
            <w:hideMark/>
          </w:tcPr>
          <w:p w:rsidRPr="00CE523A" w:rsidR="00BB685A" w:rsidP="00C5122C" w:rsidRDefault="00BB685A">
            <w:pPr>
              <w:spacing w:line="240" w:lineRule="auto"/>
              <w:rPr>
                <w:rFonts w:cs="Arial"/>
                <w:sz w:val="16"/>
                <w:szCs w:val="16"/>
              </w:rPr>
            </w:pPr>
          </w:p>
        </w:tc>
        <w:tc>
          <w:tcPr>
            <w:tcW w:w="5272" w:type="dxa"/>
            <w:tcBorders>
              <w:top w:val="nil"/>
              <w:left w:val="nil"/>
              <w:bottom w:val="nil"/>
              <w:right w:val="nil"/>
            </w:tcBorders>
            <w:shd w:val="clear" w:color="auto" w:fill="auto"/>
            <w:noWrap/>
            <w:vAlign w:val="bottom"/>
            <w:hideMark/>
          </w:tcPr>
          <w:p w:rsidRPr="00CE523A" w:rsidR="00BB685A" w:rsidP="00C5122C" w:rsidRDefault="00BB685A">
            <w:pPr>
              <w:spacing w:line="240" w:lineRule="auto"/>
              <w:rPr>
                <w:rFonts w:cs="Arial"/>
                <w:sz w:val="16"/>
                <w:szCs w:val="16"/>
              </w:rPr>
            </w:pPr>
          </w:p>
        </w:tc>
        <w:tc>
          <w:tcPr>
            <w:tcW w:w="850" w:type="dxa"/>
            <w:tcBorders>
              <w:top w:val="nil"/>
              <w:left w:val="nil"/>
              <w:bottom w:val="nil"/>
              <w:right w:val="nil"/>
            </w:tcBorders>
            <w:shd w:val="clear" w:color="auto" w:fill="auto"/>
            <w:noWrap/>
            <w:vAlign w:val="bottom"/>
            <w:hideMark/>
          </w:tcPr>
          <w:p w:rsidRPr="00CE523A" w:rsidR="00BB685A" w:rsidP="00C5122C" w:rsidRDefault="00BB685A">
            <w:pPr>
              <w:spacing w:line="240" w:lineRule="auto"/>
              <w:jc w:val="right"/>
              <w:rPr>
                <w:rFonts w:cs="Arial"/>
                <w:sz w:val="16"/>
                <w:szCs w:val="16"/>
              </w:rPr>
            </w:pPr>
          </w:p>
        </w:tc>
      </w:tr>
      <w:tr w:rsidRPr="00CE523A" w:rsidR="00BB685A" w:rsidTr="00C5122C">
        <w:trPr>
          <w:trHeight w:val="227"/>
        </w:trPr>
        <w:tc>
          <w:tcPr>
            <w:tcW w:w="397" w:type="dxa"/>
            <w:tcBorders>
              <w:top w:val="nil"/>
              <w:left w:val="nil"/>
              <w:bottom w:val="nil"/>
              <w:right w:val="nil"/>
            </w:tcBorders>
            <w:shd w:val="clear" w:color="auto" w:fill="auto"/>
            <w:noWrap/>
            <w:vAlign w:val="bottom"/>
            <w:hideMark/>
          </w:tcPr>
          <w:p w:rsidRPr="00CE523A" w:rsidR="00BB685A" w:rsidP="00C5122C" w:rsidRDefault="00BB685A">
            <w:pPr>
              <w:spacing w:line="240" w:lineRule="auto"/>
              <w:jc w:val="right"/>
              <w:rPr>
                <w:rFonts w:cs="Arial"/>
                <w:sz w:val="16"/>
                <w:szCs w:val="16"/>
              </w:rPr>
            </w:pPr>
            <w:r w:rsidRPr="00CE523A">
              <w:rPr>
                <w:rFonts w:cs="Arial"/>
                <w:sz w:val="16"/>
                <w:szCs w:val="16"/>
              </w:rPr>
              <w:t>14</w:t>
            </w:r>
          </w:p>
        </w:tc>
        <w:tc>
          <w:tcPr>
            <w:tcW w:w="5272" w:type="dxa"/>
            <w:tcBorders>
              <w:top w:val="nil"/>
              <w:left w:val="nil"/>
              <w:bottom w:val="nil"/>
              <w:right w:val="nil"/>
            </w:tcBorders>
            <w:shd w:val="clear" w:color="auto" w:fill="auto"/>
            <w:noWrap/>
            <w:vAlign w:val="bottom"/>
            <w:hideMark/>
          </w:tcPr>
          <w:p w:rsidRPr="00CE523A" w:rsidR="00BB685A" w:rsidP="00C5122C" w:rsidRDefault="00BB685A">
            <w:pPr>
              <w:spacing w:line="240" w:lineRule="auto"/>
              <w:rPr>
                <w:rFonts w:cs="Arial"/>
                <w:b/>
                <w:bCs/>
                <w:sz w:val="16"/>
                <w:szCs w:val="16"/>
              </w:rPr>
            </w:pPr>
            <w:r w:rsidRPr="00CE523A">
              <w:rPr>
                <w:rFonts w:cs="Arial"/>
                <w:b/>
                <w:bCs/>
                <w:sz w:val="16"/>
                <w:szCs w:val="16"/>
              </w:rPr>
              <w:t xml:space="preserve">Feitelijk EMU-saldo </w:t>
            </w:r>
            <w:r w:rsidRPr="00CE523A">
              <w:rPr>
                <w:rFonts w:cs="Arial"/>
                <w:sz w:val="16"/>
                <w:szCs w:val="16"/>
              </w:rPr>
              <w:t>(12+13)</w:t>
            </w:r>
          </w:p>
        </w:tc>
        <w:tc>
          <w:tcPr>
            <w:tcW w:w="850" w:type="dxa"/>
            <w:tcBorders>
              <w:top w:val="nil"/>
              <w:left w:val="nil"/>
              <w:bottom w:val="nil"/>
              <w:right w:val="nil"/>
            </w:tcBorders>
            <w:shd w:val="clear" w:color="auto" w:fill="auto"/>
            <w:noWrap/>
            <w:vAlign w:val="bottom"/>
            <w:hideMark/>
          </w:tcPr>
          <w:p w:rsidRPr="00CE523A" w:rsidR="00BB685A" w:rsidP="00C5122C" w:rsidRDefault="00BB685A">
            <w:pPr>
              <w:spacing w:line="240" w:lineRule="auto"/>
              <w:jc w:val="right"/>
              <w:rPr>
                <w:rFonts w:cs="Arial"/>
                <w:b/>
                <w:bCs/>
                <w:sz w:val="16"/>
                <w:szCs w:val="16"/>
              </w:rPr>
            </w:pPr>
            <w:r w:rsidRPr="00CE523A">
              <w:rPr>
                <w:rFonts w:cs="Arial"/>
                <w:b/>
                <w:bCs/>
                <w:sz w:val="16"/>
                <w:szCs w:val="16"/>
              </w:rPr>
              <w:t>-3,1</w:t>
            </w:r>
          </w:p>
        </w:tc>
      </w:tr>
      <w:tr w:rsidRPr="00CE523A" w:rsidR="00BB685A" w:rsidTr="00C5122C">
        <w:trPr>
          <w:trHeight w:val="227"/>
        </w:trPr>
        <w:tc>
          <w:tcPr>
            <w:tcW w:w="397" w:type="dxa"/>
            <w:tcBorders>
              <w:top w:val="nil"/>
              <w:left w:val="nil"/>
              <w:bottom w:val="nil"/>
              <w:right w:val="nil"/>
            </w:tcBorders>
            <w:shd w:val="clear" w:color="auto" w:fill="auto"/>
            <w:noWrap/>
            <w:vAlign w:val="bottom"/>
            <w:hideMark/>
          </w:tcPr>
          <w:p w:rsidRPr="00CE523A" w:rsidR="00BB685A" w:rsidP="00C5122C" w:rsidRDefault="00BB685A">
            <w:pPr>
              <w:spacing w:line="240" w:lineRule="auto"/>
              <w:jc w:val="right"/>
              <w:rPr>
                <w:rFonts w:cs="Arial"/>
                <w:sz w:val="16"/>
                <w:szCs w:val="16"/>
              </w:rPr>
            </w:pPr>
            <w:r w:rsidRPr="00CE523A">
              <w:rPr>
                <w:rFonts w:cs="Arial"/>
                <w:sz w:val="16"/>
                <w:szCs w:val="16"/>
              </w:rPr>
              <w:t>15</w:t>
            </w:r>
          </w:p>
        </w:tc>
        <w:tc>
          <w:tcPr>
            <w:tcW w:w="5272" w:type="dxa"/>
            <w:tcBorders>
              <w:top w:val="nil"/>
              <w:left w:val="nil"/>
              <w:bottom w:val="nil"/>
              <w:right w:val="nil"/>
            </w:tcBorders>
            <w:shd w:val="clear" w:color="auto" w:fill="auto"/>
            <w:noWrap/>
            <w:vAlign w:val="bottom"/>
            <w:hideMark/>
          </w:tcPr>
          <w:p w:rsidRPr="00CE523A" w:rsidR="00BB685A" w:rsidP="00C5122C" w:rsidRDefault="00BB685A">
            <w:pPr>
              <w:spacing w:line="240" w:lineRule="auto"/>
              <w:rPr>
                <w:rFonts w:cs="Arial"/>
                <w:b/>
                <w:bCs/>
                <w:sz w:val="16"/>
                <w:szCs w:val="16"/>
              </w:rPr>
            </w:pPr>
            <w:r w:rsidRPr="00CE523A">
              <w:rPr>
                <w:rFonts w:cs="Arial"/>
                <w:b/>
                <w:bCs/>
                <w:sz w:val="16"/>
                <w:szCs w:val="16"/>
              </w:rPr>
              <w:t>Feitelijk EMU-saldo (in procenten bbp)</w:t>
            </w:r>
          </w:p>
        </w:tc>
        <w:tc>
          <w:tcPr>
            <w:tcW w:w="850" w:type="dxa"/>
            <w:tcBorders>
              <w:top w:val="nil"/>
              <w:left w:val="nil"/>
              <w:bottom w:val="nil"/>
              <w:right w:val="nil"/>
            </w:tcBorders>
            <w:shd w:val="clear" w:color="auto" w:fill="auto"/>
            <w:noWrap/>
            <w:vAlign w:val="bottom"/>
            <w:hideMark/>
          </w:tcPr>
          <w:p w:rsidRPr="00CE523A" w:rsidR="00BB685A" w:rsidP="00C5122C" w:rsidRDefault="00BB685A">
            <w:pPr>
              <w:spacing w:line="240" w:lineRule="auto"/>
              <w:jc w:val="right"/>
              <w:rPr>
                <w:rFonts w:cs="Arial"/>
                <w:b/>
                <w:bCs/>
                <w:sz w:val="16"/>
                <w:szCs w:val="16"/>
              </w:rPr>
            </w:pPr>
            <w:r w:rsidRPr="00CE523A">
              <w:rPr>
                <w:rFonts w:cs="Arial"/>
                <w:b/>
                <w:bCs/>
                <w:sz w:val="16"/>
                <w:szCs w:val="16"/>
              </w:rPr>
              <w:t>-0,4</w:t>
            </w:r>
            <w:r>
              <w:rPr>
                <w:rFonts w:cs="Arial"/>
                <w:b/>
                <w:bCs/>
                <w:sz w:val="16"/>
                <w:szCs w:val="16"/>
              </w:rPr>
              <w:t>%</w:t>
            </w:r>
          </w:p>
        </w:tc>
      </w:tr>
      <w:tr w:rsidRPr="00CE523A" w:rsidR="00BB685A" w:rsidTr="00C5122C">
        <w:trPr>
          <w:trHeight w:val="227"/>
        </w:trPr>
        <w:tc>
          <w:tcPr>
            <w:tcW w:w="397" w:type="dxa"/>
            <w:tcBorders>
              <w:top w:val="nil"/>
              <w:left w:val="nil"/>
              <w:bottom w:val="nil"/>
              <w:right w:val="nil"/>
            </w:tcBorders>
            <w:shd w:val="clear" w:color="auto" w:fill="auto"/>
            <w:noWrap/>
            <w:vAlign w:val="bottom"/>
            <w:hideMark/>
          </w:tcPr>
          <w:p w:rsidRPr="00CE523A" w:rsidR="00BB685A" w:rsidP="00C5122C" w:rsidRDefault="00BB685A">
            <w:pPr>
              <w:spacing w:line="240" w:lineRule="auto"/>
              <w:rPr>
                <w:rFonts w:cs="Arial"/>
                <w:sz w:val="16"/>
                <w:szCs w:val="16"/>
              </w:rPr>
            </w:pPr>
          </w:p>
        </w:tc>
        <w:tc>
          <w:tcPr>
            <w:tcW w:w="5272" w:type="dxa"/>
            <w:tcBorders>
              <w:top w:val="nil"/>
              <w:left w:val="nil"/>
              <w:bottom w:val="nil"/>
              <w:right w:val="nil"/>
            </w:tcBorders>
            <w:shd w:val="clear" w:color="auto" w:fill="auto"/>
            <w:noWrap/>
            <w:vAlign w:val="bottom"/>
            <w:hideMark/>
          </w:tcPr>
          <w:p w:rsidRPr="00CE523A" w:rsidR="00BB685A" w:rsidP="00C5122C" w:rsidRDefault="00BB685A">
            <w:pPr>
              <w:spacing w:line="240" w:lineRule="auto"/>
              <w:rPr>
                <w:rFonts w:cs="Arial"/>
                <w:sz w:val="16"/>
                <w:szCs w:val="16"/>
              </w:rPr>
            </w:pPr>
          </w:p>
        </w:tc>
        <w:tc>
          <w:tcPr>
            <w:tcW w:w="850" w:type="dxa"/>
            <w:tcBorders>
              <w:top w:val="nil"/>
              <w:left w:val="nil"/>
              <w:bottom w:val="nil"/>
              <w:right w:val="nil"/>
            </w:tcBorders>
            <w:shd w:val="clear" w:color="auto" w:fill="auto"/>
            <w:noWrap/>
            <w:vAlign w:val="bottom"/>
            <w:hideMark/>
          </w:tcPr>
          <w:p w:rsidRPr="00CE523A" w:rsidR="00BB685A" w:rsidP="00C5122C" w:rsidRDefault="00BB685A">
            <w:pPr>
              <w:spacing w:line="240" w:lineRule="auto"/>
              <w:jc w:val="right"/>
              <w:rPr>
                <w:rFonts w:cs="Arial"/>
                <w:sz w:val="16"/>
                <w:szCs w:val="16"/>
              </w:rPr>
            </w:pPr>
          </w:p>
        </w:tc>
      </w:tr>
      <w:tr w:rsidRPr="00CE523A" w:rsidR="00BB685A" w:rsidTr="00C5122C">
        <w:trPr>
          <w:trHeight w:val="227"/>
        </w:trPr>
        <w:tc>
          <w:tcPr>
            <w:tcW w:w="397" w:type="dxa"/>
            <w:tcBorders>
              <w:top w:val="nil"/>
              <w:left w:val="nil"/>
              <w:bottom w:val="single" w:color="auto" w:sz="4" w:space="0"/>
              <w:right w:val="nil"/>
            </w:tcBorders>
            <w:shd w:val="clear" w:color="auto" w:fill="auto"/>
            <w:noWrap/>
            <w:vAlign w:val="bottom"/>
            <w:hideMark/>
          </w:tcPr>
          <w:p w:rsidRPr="00CE523A" w:rsidR="00BB685A" w:rsidP="00C5122C" w:rsidRDefault="00BB685A">
            <w:pPr>
              <w:spacing w:line="240" w:lineRule="auto"/>
              <w:jc w:val="right"/>
              <w:rPr>
                <w:rFonts w:cs="Arial"/>
                <w:sz w:val="16"/>
                <w:szCs w:val="16"/>
              </w:rPr>
            </w:pPr>
            <w:r w:rsidRPr="00CE523A">
              <w:rPr>
                <w:rFonts w:cs="Arial"/>
                <w:sz w:val="16"/>
                <w:szCs w:val="16"/>
              </w:rPr>
              <w:t>1</w:t>
            </w:r>
            <w:r>
              <w:rPr>
                <w:rFonts w:cs="Arial"/>
                <w:sz w:val="16"/>
                <w:szCs w:val="16"/>
              </w:rPr>
              <w:t>6</w:t>
            </w:r>
          </w:p>
        </w:tc>
        <w:tc>
          <w:tcPr>
            <w:tcW w:w="5272" w:type="dxa"/>
            <w:tcBorders>
              <w:top w:val="nil"/>
              <w:left w:val="nil"/>
              <w:bottom w:val="single" w:color="auto" w:sz="4" w:space="0"/>
              <w:right w:val="nil"/>
            </w:tcBorders>
            <w:shd w:val="clear" w:color="auto" w:fill="auto"/>
            <w:noWrap/>
            <w:vAlign w:val="bottom"/>
            <w:hideMark/>
          </w:tcPr>
          <w:p w:rsidRPr="00CE523A" w:rsidR="00BB685A" w:rsidP="00C5122C" w:rsidRDefault="00BB685A">
            <w:pPr>
              <w:spacing w:line="240" w:lineRule="auto"/>
              <w:rPr>
                <w:rFonts w:cs="Arial"/>
                <w:bCs/>
                <w:sz w:val="16"/>
                <w:szCs w:val="16"/>
              </w:rPr>
            </w:pPr>
            <w:r w:rsidRPr="00CE523A">
              <w:rPr>
                <w:rFonts w:cs="Arial"/>
                <w:bCs/>
                <w:sz w:val="16"/>
                <w:szCs w:val="16"/>
              </w:rPr>
              <w:t>Bruto binnenlands product (bbp)</w:t>
            </w:r>
          </w:p>
        </w:tc>
        <w:tc>
          <w:tcPr>
            <w:tcW w:w="850" w:type="dxa"/>
            <w:tcBorders>
              <w:top w:val="nil"/>
              <w:left w:val="nil"/>
              <w:bottom w:val="single" w:color="auto" w:sz="4" w:space="0"/>
              <w:right w:val="nil"/>
            </w:tcBorders>
            <w:shd w:val="clear" w:color="auto" w:fill="auto"/>
            <w:noWrap/>
            <w:vAlign w:val="bottom"/>
            <w:hideMark/>
          </w:tcPr>
          <w:p w:rsidRPr="00CE523A" w:rsidR="00BB685A" w:rsidP="00C5122C" w:rsidRDefault="00BB685A">
            <w:pPr>
              <w:spacing w:line="240" w:lineRule="auto"/>
              <w:jc w:val="right"/>
              <w:rPr>
                <w:rFonts w:cs="Arial"/>
                <w:bCs/>
                <w:sz w:val="16"/>
                <w:szCs w:val="16"/>
              </w:rPr>
            </w:pPr>
            <w:r w:rsidRPr="00CE523A">
              <w:rPr>
                <w:rFonts w:cs="Arial"/>
                <w:bCs/>
                <w:sz w:val="16"/>
                <w:szCs w:val="16"/>
              </w:rPr>
              <w:t>692</w:t>
            </w:r>
          </w:p>
        </w:tc>
      </w:tr>
    </w:tbl>
    <w:p w:rsidR="00BB685A" w:rsidP="00BB685A" w:rsidRDefault="00BB685A">
      <w:pPr>
        <w:pStyle w:val="bijschrift"/>
      </w:pPr>
      <w:r w:rsidRPr="00970561">
        <w:t>Tabel 2 Opbouw EMU-schuld (in miljarden euro; + is schuldverhogend)</w:t>
      </w:r>
    </w:p>
    <w:tbl>
      <w:tblPr>
        <w:tblW w:w="6519" w:type="dxa"/>
        <w:tblInd w:w="70" w:type="dxa"/>
        <w:tblCellMar>
          <w:left w:w="70" w:type="dxa"/>
          <w:right w:w="70" w:type="dxa"/>
        </w:tblCellMar>
        <w:tblLook w:val="04A0"/>
      </w:tblPr>
      <w:tblGrid>
        <w:gridCol w:w="397"/>
        <w:gridCol w:w="5272"/>
        <w:gridCol w:w="850"/>
      </w:tblGrid>
      <w:tr w:rsidRPr="004260B9" w:rsidR="00BB685A" w:rsidTr="00C5122C">
        <w:trPr>
          <w:trHeight w:val="210"/>
        </w:trPr>
        <w:tc>
          <w:tcPr>
            <w:tcW w:w="397" w:type="dxa"/>
            <w:tcBorders>
              <w:top w:val="nil"/>
              <w:left w:val="nil"/>
              <w:bottom w:val="nil"/>
              <w:right w:val="nil"/>
            </w:tcBorders>
            <w:shd w:val="clear" w:color="000000" w:fill="000000"/>
            <w:noWrap/>
            <w:vAlign w:val="bottom"/>
            <w:hideMark/>
          </w:tcPr>
          <w:p w:rsidRPr="004260B9" w:rsidR="00BB685A" w:rsidP="00C5122C" w:rsidRDefault="00BB685A">
            <w:pPr>
              <w:spacing w:line="240" w:lineRule="auto"/>
              <w:rPr>
                <w:rFonts w:cs="Arial"/>
                <w:b/>
                <w:bCs/>
                <w:color w:val="FFFFFF"/>
                <w:sz w:val="16"/>
                <w:szCs w:val="16"/>
              </w:rPr>
            </w:pPr>
            <w:r w:rsidRPr="004260B9">
              <w:rPr>
                <w:rFonts w:cs="Arial"/>
                <w:b/>
                <w:bCs/>
                <w:color w:val="FFFFFF"/>
                <w:sz w:val="16"/>
                <w:szCs w:val="16"/>
              </w:rPr>
              <w:t> </w:t>
            </w:r>
          </w:p>
        </w:tc>
        <w:tc>
          <w:tcPr>
            <w:tcW w:w="5272" w:type="dxa"/>
            <w:tcBorders>
              <w:top w:val="nil"/>
              <w:left w:val="nil"/>
              <w:bottom w:val="nil"/>
              <w:right w:val="nil"/>
            </w:tcBorders>
            <w:shd w:val="clear" w:color="000000" w:fill="000000"/>
            <w:noWrap/>
            <w:vAlign w:val="bottom"/>
            <w:hideMark/>
          </w:tcPr>
          <w:p w:rsidRPr="004260B9" w:rsidR="00BB685A" w:rsidP="00C5122C" w:rsidRDefault="00BB685A">
            <w:pPr>
              <w:spacing w:line="240" w:lineRule="auto"/>
              <w:rPr>
                <w:rFonts w:cs="Arial"/>
                <w:b/>
                <w:bCs/>
                <w:color w:val="FFFFFF"/>
                <w:sz w:val="16"/>
                <w:szCs w:val="16"/>
              </w:rPr>
            </w:pPr>
            <w:r w:rsidRPr="004260B9">
              <w:rPr>
                <w:rFonts w:cs="Arial"/>
                <w:b/>
                <w:bCs/>
                <w:color w:val="FFFFFF"/>
                <w:sz w:val="16"/>
                <w:szCs w:val="16"/>
              </w:rPr>
              <w:t> </w:t>
            </w:r>
          </w:p>
        </w:tc>
        <w:tc>
          <w:tcPr>
            <w:tcW w:w="850" w:type="dxa"/>
            <w:tcBorders>
              <w:top w:val="nil"/>
              <w:left w:val="nil"/>
              <w:bottom w:val="nil"/>
              <w:right w:val="nil"/>
            </w:tcBorders>
            <w:shd w:val="clear" w:color="000000" w:fill="000000"/>
            <w:noWrap/>
            <w:vAlign w:val="bottom"/>
            <w:hideMark/>
          </w:tcPr>
          <w:p w:rsidRPr="004260B9" w:rsidR="00BB685A" w:rsidP="00C5122C" w:rsidRDefault="00BB685A">
            <w:pPr>
              <w:spacing w:line="240" w:lineRule="auto"/>
              <w:jc w:val="right"/>
              <w:rPr>
                <w:rFonts w:cs="Arial"/>
                <w:b/>
                <w:bCs/>
                <w:color w:val="FFFFFF"/>
                <w:sz w:val="16"/>
                <w:szCs w:val="16"/>
              </w:rPr>
            </w:pPr>
            <w:r w:rsidRPr="004260B9">
              <w:rPr>
                <w:rFonts w:cs="Arial"/>
                <w:b/>
                <w:bCs/>
                <w:color w:val="FFFFFF"/>
                <w:sz w:val="16"/>
                <w:szCs w:val="16"/>
              </w:rPr>
              <w:t>2016</w:t>
            </w:r>
          </w:p>
        </w:tc>
      </w:tr>
      <w:tr w:rsidRPr="004260B9" w:rsidR="00BB685A" w:rsidTr="00C5122C">
        <w:trPr>
          <w:trHeight w:val="210"/>
        </w:trPr>
        <w:tc>
          <w:tcPr>
            <w:tcW w:w="397" w:type="dxa"/>
            <w:tcBorders>
              <w:top w:val="nil"/>
              <w:left w:val="nil"/>
              <w:bottom w:val="nil"/>
              <w:right w:val="nil"/>
            </w:tcBorders>
            <w:shd w:val="clear" w:color="auto" w:fill="auto"/>
            <w:noWrap/>
            <w:vAlign w:val="bottom"/>
            <w:hideMark/>
          </w:tcPr>
          <w:p w:rsidRPr="004260B9" w:rsidR="00BB685A" w:rsidP="00C5122C" w:rsidRDefault="00BB685A">
            <w:pPr>
              <w:spacing w:line="240" w:lineRule="auto"/>
              <w:jc w:val="right"/>
              <w:rPr>
                <w:rFonts w:cs="Arial"/>
                <w:sz w:val="16"/>
                <w:szCs w:val="16"/>
              </w:rPr>
            </w:pPr>
            <w:r w:rsidRPr="004260B9">
              <w:rPr>
                <w:rFonts w:cs="Arial"/>
                <w:sz w:val="16"/>
                <w:szCs w:val="16"/>
              </w:rPr>
              <w:t>1</w:t>
            </w:r>
          </w:p>
        </w:tc>
        <w:tc>
          <w:tcPr>
            <w:tcW w:w="5272" w:type="dxa"/>
            <w:tcBorders>
              <w:top w:val="nil"/>
              <w:left w:val="nil"/>
              <w:bottom w:val="nil"/>
              <w:right w:val="nil"/>
            </w:tcBorders>
            <w:shd w:val="clear" w:color="auto" w:fill="auto"/>
            <w:noWrap/>
            <w:vAlign w:val="bottom"/>
            <w:hideMark/>
          </w:tcPr>
          <w:p w:rsidRPr="004260B9" w:rsidR="00BB685A" w:rsidP="00C5122C" w:rsidRDefault="00BB685A">
            <w:pPr>
              <w:spacing w:line="240" w:lineRule="auto"/>
              <w:rPr>
                <w:rFonts w:cs="Arial"/>
                <w:b/>
                <w:bCs/>
                <w:sz w:val="16"/>
                <w:szCs w:val="16"/>
              </w:rPr>
            </w:pPr>
            <w:r w:rsidRPr="004260B9">
              <w:rPr>
                <w:rFonts w:cs="Arial"/>
                <w:b/>
                <w:bCs/>
                <w:sz w:val="16"/>
                <w:szCs w:val="16"/>
              </w:rPr>
              <w:t>EMU-schuld begin jaar</w:t>
            </w:r>
          </w:p>
        </w:tc>
        <w:tc>
          <w:tcPr>
            <w:tcW w:w="850" w:type="dxa"/>
            <w:tcBorders>
              <w:top w:val="nil"/>
              <w:left w:val="nil"/>
              <w:bottom w:val="nil"/>
              <w:right w:val="nil"/>
            </w:tcBorders>
            <w:shd w:val="clear" w:color="auto" w:fill="auto"/>
            <w:noWrap/>
            <w:vAlign w:val="bottom"/>
            <w:hideMark/>
          </w:tcPr>
          <w:p w:rsidRPr="004260B9" w:rsidR="00BB685A" w:rsidP="00C5122C" w:rsidRDefault="00BB685A">
            <w:pPr>
              <w:spacing w:line="240" w:lineRule="auto"/>
              <w:jc w:val="right"/>
              <w:rPr>
                <w:rFonts w:cs="Arial"/>
                <w:b/>
                <w:bCs/>
                <w:sz w:val="16"/>
                <w:szCs w:val="16"/>
              </w:rPr>
            </w:pPr>
            <w:r w:rsidRPr="004260B9">
              <w:rPr>
                <w:rFonts w:cs="Arial"/>
                <w:b/>
                <w:bCs/>
                <w:sz w:val="16"/>
                <w:szCs w:val="16"/>
              </w:rPr>
              <w:t>440,6</w:t>
            </w:r>
          </w:p>
        </w:tc>
      </w:tr>
      <w:tr w:rsidRPr="004260B9" w:rsidR="00BB685A" w:rsidTr="00C5122C">
        <w:trPr>
          <w:trHeight w:val="210"/>
        </w:trPr>
        <w:tc>
          <w:tcPr>
            <w:tcW w:w="397" w:type="dxa"/>
            <w:tcBorders>
              <w:top w:val="nil"/>
              <w:left w:val="nil"/>
              <w:bottom w:val="nil"/>
              <w:right w:val="nil"/>
            </w:tcBorders>
            <w:shd w:val="clear" w:color="auto" w:fill="auto"/>
            <w:noWrap/>
            <w:vAlign w:val="bottom"/>
            <w:hideMark/>
          </w:tcPr>
          <w:p w:rsidRPr="004260B9" w:rsidR="00BB685A" w:rsidP="00C5122C" w:rsidRDefault="00BB685A">
            <w:pPr>
              <w:spacing w:line="240" w:lineRule="auto"/>
              <w:jc w:val="right"/>
              <w:rPr>
                <w:rFonts w:cs="Arial"/>
                <w:sz w:val="16"/>
                <w:szCs w:val="16"/>
              </w:rPr>
            </w:pPr>
            <w:r w:rsidRPr="004260B9">
              <w:rPr>
                <w:rFonts w:cs="Arial"/>
                <w:sz w:val="16"/>
                <w:szCs w:val="16"/>
              </w:rPr>
              <w:t>2</w:t>
            </w:r>
          </w:p>
        </w:tc>
        <w:tc>
          <w:tcPr>
            <w:tcW w:w="5272" w:type="dxa"/>
            <w:tcBorders>
              <w:top w:val="nil"/>
              <w:left w:val="nil"/>
              <w:bottom w:val="nil"/>
              <w:right w:val="nil"/>
            </w:tcBorders>
            <w:shd w:val="clear" w:color="auto" w:fill="auto"/>
            <w:noWrap/>
            <w:vAlign w:val="bottom"/>
            <w:hideMark/>
          </w:tcPr>
          <w:p w:rsidRPr="004260B9" w:rsidR="00BB685A" w:rsidP="00C5122C" w:rsidRDefault="00BB685A">
            <w:pPr>
              <w:spacing w:line="240" w:lineRule="auto"/>
              <w:ind w:firstLine="160" w:firstLineChars="100"/>
              <w:rPr>
                <w:rFonts w:cs="Arial"/>
                <w:sz w:val="16"/>
                <w:szCs w:val="16"/>
              </w:rPr>
            </w:pPr>
            <w:r w:rsidRPr="004260B9">
              <w:rPr>
                <w:rFonts w:cs="Arial"/>
                <w:sz w:val="16"/>
                <w:szCs w:val="16"/>
              </w:rPr>
              <w:t>EMU-saldo centrale overheid</w:t>
            </w:r>
          </w:p>
        </w:tc>
        <w:tc>
          <w:tcPr>
            <w:tcW w:w="850" w:type="dxa"/>
            <w:tcBorders>
              <w:top w:val="nil"/>
              <w:left w:val="nil"/>
              <w:bottom w:val="nil"/>
              <w:right w:val="nil"/>
            </w:tcBorders>
            <w:shd w:val="clear" w:color="auto" w:fill="auto"/>
            <w:noWrap/>
            <w:vAlign w:val="bottom"/>
            <w:hideMark/>
          </w:tcPr>
          <w:p w:rsidRPr="004260B9" w:rsidR="00BB685A" w:rsidP="00C5122C" w:rsidRDefault="00BB685A">
            <w:pPr>
              <w:spacing w:line="240" w:lineRule="auto"/>
              <w:jc w:val="right"/>
              <w:rPr>
                <w:rFonts w:cs="Arial"/>
                <w:sz w:val="16"/>
                <w:szCs w:val="16"/>
              </w:rPr>
            </w:pPr>
            <w:r w:rsidRPr="004260B9">
              <w:rPr>
                <w:rFonts w:cs="Arial"/>
                <w:sz w:val="16"/>
                <w:szCs w:val="16"/>
              </w:rPr>
              <w:t>0,9</w:t>
            </w:r>
          </w:p>
        </w:tc>
      </w:tr>
      <w:tr w:rsidRPr="004260B9" w:rsidR="00BB685A" w:rsidTr="00C5122C">
        <w:trPr>
          <w:trHeight w:val="210"/>
        </w:trPr>
        <w:tc>
          <w:tcPr>
            <w:tcW w:w="397" w:type="dxa"/>
            <w:tcBorders>
              <w:top w:val="nil"/>
              <w:left w:val="nil"/>
              <w:bottom w:val="nil"/>
              <w:right w:val="nil"/>
            </w:tcBorders>
            <w:shd w:val="clear" w:color="auto" w:fill="auto"/>
            <w:noWrap/>
            <w:vAlign w:val="bottom"/>
            <w:hideMark/>
          </w:tcPr>
          <w:p w:rsidRPr="004260B9" w:rsidR="00BB685A" w:rsidP="00C5122C" w:rsidRDefault="00BB685A">
            <w:pPr>
              <w:spacing w:line="240" w:lineRule="auto"/>
              <w:jc w:val="right"/>
              <w:rPr>
                <w:rFonts w:cs="Arial"/>
                <w:sz w:val="16"/>
                <w:szCs w:val="16"/>
              </w:rPr>
            </w:pPr>
            <w:r w:rsidRPr="004260B9">
              <w:rPr>
                <w:rFonts w:cs="Arial"/>
                <w:sz w:val="16"/>
                <w:szCs w:val="16"/>
              </w:rPr>
              <w:t>3</w:t>
            </w:r>
          </w:p>
        </w:tc>
        <w:tc>
          <w:tcPr>
            <w:tcW w:w="5272" w:type="dxa"/>
            <w:tcBorders>
              <w:top w:val="nil"/>
              <w:left w:val="nil"/>
              <w:bottom w:val="nil"/>
              <w:right w:val="nil"/>
            </w:tcBorders>
            <w:shd w:val="clear" w:color="auto" w:fill="auto"/>
            <w:noWrap/>
            <w:vAlign w:val="bottom"/>
            <w:hideMark/>
          </w:tcPr>
          <w:p w:rsidRPr="004260B9" w:rsidR="00BB685A" w:rsidP="00C5122C" w:rsidRDefault="00BB685A">
            <w:pPr>
              <w:spacing w:line="240" w:lineRule="auto"/>
              <w:ind w:firstLine="160" w:firstLineChars="100"/>
              <w:rPr>
                <w:rFonts w:cs="Arial"/>
                <w:sz w:val="16"/>
                <w:szCs w:val="16"/>
              </w:rPr>
            </w:pPr>
            <w:r w:rsidRPr="004260B9">
              <w:rPr>
                <w:rFonts w:cs="Arial"/>
                <w:sz w:val="16"/>
                <w:szCs w:val="16"/>
              </w:rPr>
              <w:t>EMU-saldo sociale fondsen</w:t>
            </w:r>
          </w:p>
        </w:tc>
        <w:tc>
          <w:tcPr>
            <w:tcW w:w="850" w:type="dxa"/>
            <w:tcBorders>
              <w:top w:val="nil"/>
              <w:left w:val="nil"/>
              <w:bottom w:val="nil"/>
              <w:right w:val="nil"/>
            </w:tcBorders>
            <w:shd w:val="clear" w:color="auto" w:fill="auto"/>
            <w:noWrap/>
            <w:vAlign w:val="bottom"/>
            <w:hideMark/>
          </w:tcPr>
          <w:p w:rsidRPr="004260B9" w:rsidR="00BB685A" w:rsidP="00C5122C" w:rsidRDefault="00BB685A">
            <w:pPr>
              <w:spacing w:line="240" w:lineRule="auto"/>
              <w:jc w:val="right"/>
              <w:rPr>
                <w:rFonts w:cs="Arial"/>
                <w:sz w:val="16"/>
                <w:szCs w:val="16"/>
              </w:rPr>
            </w:pPr>
            <w:r w:rsidRPr="004260B9">
              <w:rPr>
                <w:rFonts w:cs="Arial"/>
                <w:sz w:val="16"/>
                <w:szCs w:val="16"/>
              </w:rPr>
              <w:t>-6,5</w:t>
            </w:r>
          </w:p>
        </w:tc>
      </w:tr>
      <w:tr w:rsidRPr="004260B9" w:rsidR="00BB685A" w:rsidTr="00C5122C">
        <w:trPr>
          <w:trHeight w:val="210"/>
        </w:trPr>
        <w:tc>
          <w:tcPr>
            <w:tcW w:w="397" w:type="dxa"/>
            <w:tcBorders>
              <w:top w:val="nil"/>
              <w:left w:val="nil"/>
              <w:bottom w:val="nil"/>
              <w:right w:val="nil"/>
            </w:tcBorders>
            <w:shd w:val="clear" w:color="auto" w:fill="auto"/>
            <w:noWrap/>
            <w:vAlign w:val="bottom"/>
            <w:hideMark/>
          </w:tcPr>
          <w:p w:rsidRPr="004260B9" w:rsidR="00BB685A" w:rsidP="00C5122C" w:rsidRDefault="00BB685A">
            <w:pPr>
              <w:spacing w:line="240" w:lineRule="auto"/>
              <w:jc w:val="right"/>
              <w:rPr>
                <w:rFonts w:cs="Arial"/>
                <w:sz w:val="16"/>
                <w:szCs w:val="16"/>
              </w:rPr>
            </w:pPr>
            <w:r w:rsidRPr="004260B9">
              <w:rPr>
                <w:rFonts w:cs="Arial"/>
                <w:sz w:val="16"/>
                <w:szCs w:val="16"/>
              </w:rPr>
              <w:t>4</w:t>
            </w:r>
          </w:p>
        </w:tc>
        <w:tc>
          <w:tcPr>
            <w:tcW w:w="5272" w:type="dxa"/>
            <w:tcBorders>
              <w:top w:val="nil"/>
              <w:left w:val="nil"/>
              <w:bottom w:val="nil"/>
              <w:right w:val="nil"/>
            </w:tcBorders>
            <w:shd w:val="clear" w:color="auto" w:fill="auto"/>
            <w:noWrap/>
            <w:vAlign w:val="bottom"/>
            <w:hideMark/>
          </w:tcPr>
          <w:p w:rsidRPr="004260B9" w:rsidR="00BB685A" w:rsidP="00C5122C" w:rsidRDefault="00BB685A">
            <w:pPr>
              <w:spacing w:line="240" w:lineRule="auto"/>
              <w:ind w:firstLine="160" w:firstLineChars="100"/>
              <w:rPr>
                <w:rFonts w:cs="Arial"/>
                <w:sz w:val="16"/>
                <w:szCs w:val="16"/>
              </w:rPr>
            </w:pPr>
            <w:r w:rsidRPr="004260B9">
              <w:rPr>
                <w:rFonts w:cs="Arial"/>
                <w:sz w:val="16"/>
                <w:szCs w:val="16"/>
              </w:rPr>
              <w:t>EMU-saldo Rijk (2-3)</w:t>
            </w:r>
          </w:p>
        </w:tc>
        <w:tc>
          <w:tcPr>
            <w:tcW w:w="850" w:type="dxa"/>
            <w:tcBorders>
              <w:top w:val="nil"/>
              <w:left w:val="nil"/>
              <w:bottom w:val="nil"/>
              <w:right w:val="nil"/>
            </w:tcBorders>
            <w:shd w:val="clear" w:color="auto" w:fill="auto"/>
            <w:noWrap/>
            <w:vAlign w:val="bottom"/>
            <w:hideMark/>
          </w:tcPr>
          <w:p w:rsidRPr="004260B9" w:rsidR="00BB685A" w:rsidP="00C5122C" w:rsidRDefault="00BB685A">
            <w:pPr>
              <w:spacing w:line="240" w:lineRule="auto"/>
              <w:jc w:val="right"/>
              <w:rPr>
                <w:rFonts w:cs="Arial"/>
                <w:sz w:val="16"/>
                <w:szCs w:val="16"/>
              </w:rPr>
            </w:pPr>
            <w:r w:rsidRPr="004260B9">
              <w:rPr>
                <w:rFonts w:cs="Arial"/>
                <w:sz w:val="16"/>
                <w:szCs w:val="16"/>
              </w:rPr>
              <w:t>7,5</w:t>
            </w:r>
          </w:p>
        </w:tc>
      </w:tr>
      <w:tr w:rsidRPr="004260B9" w:rsidR="00BB685A" w:rsidTr="00C5122C">
        <w:trPr>
          <w:trHeight w:val="210"/>
        </w:trPr>
        <w:tc>
          <w:tcPr>
            <w:tcW w:w="397" w:type="dxa"/>
            <w:tcBorders>
              <w:top w:val="nil"/>
              <w:left w:val="nil"/>
              <w:bottom w:val="nil"/>
              <w:right w:val="nil"/>
            </w:tcBorders>
            <w:shd w:val="clear" w:color="auto" w:fill="auto"/>
            <w:noWrap/>
            <w:vAlign w:val="bottom"/>
            <w:hideMark/>
          </w:tcPr>
          <w:p w:rsidRPr="004260B9" w:rsidR="00BB685A" w:rsidP="00C5122C" w:rsidRDefault="00BB685A">
            <w:pPr>
              <w:spacing w:line="240" w:lineRule="auto"/>
              <w:jc w:val="right"/>
              <w:rPr>
                <w:rFonts w:cs="Arial"/>
                <w:sz w:val="16"/>
                <w:szCs w:val="16"/>
              </w:rPr>
            </w:pPr>
            <w:r w:rsidRPr="004260B9">
              <w:rPr>
                <w:rFonts w:cs="Arial"/>
                <w:sz w:val="16"/>
                <w:szCs w:val="16"/>
              </w:rPr>
              <w:t>5</w:t>
            </w:r>
          </w:p>
        </w:tc>
        <w:tc>
          <w:tcPr>
            <w:tcW w:w="5272" w:type="dxa"/>
            <w:tcBorders>
              <w:top w:val="nil"/>
              <w:left w:val="nil"/>
              <w:bottom w:val="nil"/>
              <w:right w:val="nil"/>
            </w:tcBorders>
            <w:shd w:val="clear" w:color="auto" w:fill="auto"/>
            <w:noWrap/>
            <w:vAlign w:val="bottom"/>
            <w:hideMark/>
          </w:tcPr>
          <w:p w:rsidR="00BB685A" w:rsidP="00C5122C" w:rsidRDefault="00BB685A">
            <w:pPr>
              <w:spacing w:line="240" w:lineRule="auto"/>
              <w:ind w:firstLine="320" w:firstLineChars="200"/>
              <w:rPr>
                <w:rFonts w:cs="Arial"/>
                <w:sz w:val="16"/>
                <w:szCs w:val="16"/>
              </w:rPr>
            </w:pPr>
            <w:r w:rsidRPr="004260B9">
              <w:rPr>
                <w:rFonts w:cs="Arial"/>
                <w:sz w:val="16"/>
                <w:szCs w:val="16"/>
              </w:rPr>
              <w:t>K</w:t>
            </w:r>
            <w:r>
              <w:rPr>
                <w:rFonts w:cs="Arial"/>
                <w:sz w:val="16"/>
                <w:szCs w:val="16"/>
              </w:rPr>
              <w:t xml:space="preserve">as-transverschillen en </w:t>
            </w:r>
            <w:r w:rsidRPr="004260B9">
              <w:rPr>
                <w:rFonts w:cs="Arial"/>
                <w:sz w:val="16"/>
                <w:szCs w:val="16"/>
              </w:rPr>
              <w:t>financiële transacties</w:t>
            </w:r>
          </w:p>
        </w:tc>
        <w:tc>
          <w:tcPr>
            <w:tcW w:w="850" w:type="dxa"/>
            <w:tcBorders>
              <w:top w:val="nil"/>
              <w:left w:val="nil"/>
              <w:bottom w:val="nil"/>
              <w:right w:val="nil"/>
            </w:tcBorders>
            <w:shd w:val="clear" w:color="auto" w:fill="auto"/>
            <w:noWrap/>
            <w:vAlign w:val="bottom"/>
            <w:hideMark/>
          </w:tcPr>
          <w:p w:rsidRPr="004260B9" w:rsidR="00BB685A" w:rsidP="00C5122C" w:rsidRDefault="00BB685A">
            <w:pPr>
              <w:spacing w:line="240" w:lineRule="auto"/>
              <w:jc w:val="right"/>
              <w:rPr>
                <w:rFonts w:cs="Arial"/>
                <w:sz w:val="16"/>
                <w:szCs w:val="16"/>
              </w:rPr>
            </w:pPr>
            <w:r w:rsidRPr="004260B9">
              <w:rPr>
                <w:rFonts w:cs="Arial"/>
                <w:sz w:val="16"/>
                <w:szCs w:val="16"/>
              </w:rPr>
              <w:t>-11,3</w:t>
            </w:r>
          </w:p>
        </w:tc>
      </w:tr>
      <w:tr w:rsidRPr="004260B9" w:rsidR="00BB685A" w:rsidTr="00C5122C">
        <w:trPr>
          <w:trHeight w:val="210"/>
        </w:trPr>
        <w:tc>
          <w:tcPr>
            <w:tcW w:w="397" w:type="dxa"/>
            <w:tcBorders>
              <w:top w:val="nil"/>
              <w:left w:val="nil"/>
              <w:bottom w:val="nil"/>
              <w:right w:val="nil"/>
            </w:tcBorders>
            <w:shd w:val="clear" w:color="auto" w:fill="auto"/>
            <w:noWrap/>
            <w:vAlign w:val="bottom"/>
            <w:hideMark/>
          </w:tcPr>
          <w:p w:rsidRPr="004260B9" w:rsidR="00BB685A" w:rsidP="00C5122C" w:rsidRDefault="00BB685A">
            <w:pPr>
              <w:spacing w:line="240" w:lineRule="auto"/>
              <w:jc w:val="right"/>
              <w:rPr>
                <w:rFonts w:cs="Arial"/>
                <w:sz w:val="16"/>
                <w:szCs w:val="16"/>
              </w:rPr>
            </w:pPr>
            <w:r w:rsidRPr="004260B9">
              <w:rPr>
                <w:rFonts w:cs="Arial"/>
                <w:sz w:val="16"/>
                <w:szCs w:val="16"/>
              </w:rPr>
              <w:t>6</w:t>
            </w:r>
          </w:p>
        </w:tc>
        <w:tc>
          <w:tcPr>
            <w:tcW w:w="5272" w:type="dxa"/>
            <w:tcBorders>
              <w:top w:val="nil"/>
              <w:left w:val="nil"/>
              <w:bottom w:val="nil"/>
              <w:right w:val="nil"/>
            </w:tcBorders>
            <w:shd w:val="clear" w:color="auto" w:fill="auto"/>
            <w:noWrap/>
            <w:vAlign w:val="bottom"/>
            <w:hideMark/>
          </w:tcPr>
          <w:p w:rsidRPr="004260B9" w:rsidR="00BB685A" w:rsidP="00C5122C" w:rsidRDefault="00BB685A">
            <w:pPr>
              <w:spacing w:line="240" w:lineRule="auto"/>
              <w:ind w:firstLine="320" w:firstLineChars="200"/>
              <w:rPr>
                <w:rFonts w:cs="Arial"/>
                <w:sz w:val="16"/>
                <w:szCs w:val="16"/>
              </w:rPr>
            </w:pPr>
            <w:r w:rsidRPr="004260B9">
              <w:rPr>
                <w:rFonts w:cs="Arial"/>
                <w:sz w:val="16"/>
                <w:szCs w:val="16"/>
              </w:rPr>
              <w:t>Mutatie begrotingsreserves</w:t>
            </w:r>
          </w:p>
        </w:tc>
        <w:tc>
          <w:tcPr>
            <w:tcW w:w="850" w:type="dxa"/>
            <w:tcBorders>
              <w:top w:val="nil"/>
              <w:left w:val="nil"/>
              <w:bottom w:val="nil"/>
              <w:right w:val="nil"/>
            </w:tcBorders>
            <w:shd w:val="clear" w:color="auto" w:fill="auto"/>
            <w:noWrap/>
            <w:vAlign w:val="bottom"/>
            <w:hideMark/>
          </w:tcPr>
          <w:p w:rsidRPr="004260B9" w:rsidR="00BB685A" w:rsidP="00C5122C" w:rsidRDefault="00BB685A">
            <w:pPr>
              <w:spacing w:line="240" w:lineRule="auto"/>
              <w:jc w:val="right"/>
              <w:rPr>
                <w:rFonts w:cs="Arial"/>
                <w:sz w:val="16"/>
                <w:szCs w:val="16"/>
              </w:rPr>
            </w:pPr>
            <w:r w:rsidRPr="004260B9">
              <w:rPr>
                <w:rFonts w:cs="Arial"/>
                <w:sz w:val="16"/>
                <w:szCs w:val="16"/>
              </w:rPr>
              <w:t>0,5</w:t>
            </w:r>
          </w:p>
        </w:tc>
      </w:tr>
      <w:tr w:rsidRPr="004260B9" w:rsidR="00BB685A" w:rsidTr="00C5122C">
        <w:trPr>
          <w:trHeight w:val="210"/>
        </w:trPr>
        <w:tc>
          <w:tcPr>
            <w:tcW w:w="397" w:type="dxa"/>
            <w:tcBorders>
              <w:top w:val="nil"/>
              <w:left w:val="nil"/>
              <w:bottom w:val="nil"/>
              <w:right w:val="nil"/>
            </w:tcBorders>
            <w:shd w:val="clear" w:color="auto" w:fill="auto"/>
            <w:noWrap/>
            <w:vAlign w:val="bottom"/>
            <w:hideMark/>
          </w:tcPr>
          <w:p w:rsidRPr="004260B9" w:rsidR="00BB685A" w:rsidP="00C5122C" w:rsidRDefault="00BB685A">
            <w:pPr>
              <w:spacing w:line="240" w:lineRule="auto"/>
              <w:jc w:val="right"/>
              <w:rPr>
                <w:rFonts w:cs="Arial"/>
                <w:sz w:val="16"/>
                <w:szCs w:val="16"/>
              </w:rPr>
            </w:pPr>
            <w:r w:rsidRPr="004260B9">
              <w:rPr>
                <w:rFonts w:cs="Arial"/>
                <w:sz w:val="16"/>
                <w:szCs w:val="16"/>
              </w:rPr>
              <w:t>7</w:t>
            </w:r>
          </w:p>
        </w:tc>
        <w:tc>
          <w:tcPr>
            <w:tcW w:w="5272" w:type="dxa"/>
            <w:tcBorders>
              <w:top w:val="nil"/>
              <w:left w:val="nil"/>
              <w:bottom w:val="nil"/>
              <w:right w:val="nil"/>
            </w:tcBorders>
            <w:shd w:val="clear" w:color="auto" w:fill="auto"/>
            <w:noWrap/>
            <w:vAlign w:val="bottom"/>
            <w:hideMark/>
          </w:tcPr>
          <w:p w:rsidRPr="004260B9" w:rsidR="00BB685A" w:rsidP="00C5122C" w:rsidRDefault="00BB685A">
            <w:pPr>
              <w:spacing w:line="240" w:lineRule="auto"/>
              <w:ind w:firstLine="320" w:firstLineChars="200"/>
              <w:rPr>
                <w:rFonts w:cs="Arial"/>
                <w:sz w:val="16"/>
                <w:szCs w:val="16"/>
              </w:rPr>
            </w:pPr>
            <w:r w:rsidRPr="004260B9">
              <w:rPr>
                <w:rFonts w:cs="Arial"/>
                <w:sz w:val="16"/>
                <w:szCs w:val="16"/>
              </w:rPr>
              <w:t>Overbruggingskrediet FBN/ABN Amro</w:t>
            </w:r>
          </w:p>
        </w:tc>
        <w:tc>
          <w:tcPr>
            <w:tcW w:w="850" w:type="dxa"/>
            <w:tcBorders>
              <w:top w:val="nil"/>
              <w:left w:val="nil"/>
              <w:bottom w:val="nil"/>
              <w:right w:val="nil"/>
            </w:tcBorders>
            <w:shd w:val="clear" w:color="auto" w:fill="auto"/>
            <w:noWrap/>
            <w:vAlign w:val="bottom"/>
            <w:hideMark/>
          </w:tcPr>
          <w:p w:rsidRPr="004260B9" w:rsidR="00BB685A" w:rsidP="00C5122C" w:rsidRDefault="00BB685A">
            <w:pPr>
              <w:spacing w:line="240" w:lineRule="auto"/>
              <w:jc w:val="right"/>
              <w:rPr>
                <w:rFonts w:cs="Arial"/>
                <w:sz w:val="16"/>
                <w:szCs w:val="16"/>
              </w:rPr>
            </w:pPr>
            <w:r w:rsidRPr="004260B9">
              <w:rPr>
                <w:rFonts w:cs="Arial"/>
                <w:sz w:val="16"/>
                <w:szCs w:val="16"/>
              </w:rPr>
              <w:t>-1,0</w:t>
            </w:r>
          </w:p>
        </w:tc>
      </w:tr>
      <w:tr w:rsidRPr="004260B9" w:rsidR="00BB685A" w:rsidTr="00C5122C">
        <w:trPr>
          <w:trHeight w:val="210"/>
        </w:trPr>
        <w:tc>
          <w:tcPr>
            <w:tcW w:w="397" w:type="dxa"/>
            <w:tcBorders>
              <w:top w:val="nil"/>
              <w:left w:val="nil"/>
              <w:bottom w:val="nil"/>
              <w:right w:val="nil"/>
            </w:tcBorders>
            <w:shd w:val="clear" w:color="auto" w:fill="auto"/>
            <w:noWrap/>
            <w:vAlign w:val="bottom"/>
            <w:hideMark/>
          </w:tcPr>
          <w:p w:rsidRPr="004260B9" w:rsidR="00BB685A" w:rsidP="00C5122C" w:rsidRDefault="00BB685A">
            <w:pPr>
              <w:spacing w:line="240" w:lineRule="auto"/>
              <w:jc w:val="right"/>
              <w:rPr>
                <w:rFonts w:cs="Arial"/>
                <w:sz w:val="16"/>
                <w:szCs w:val="16"/>
              </w:rPr>
            </w:pPr>
            <w:r w:rsidRPr="004260B9">
              <w:rPr>
                <w:rFonts w:cs="Arial"/>
                <w:sz w:val="16"/>
                <w:szCs w:val="16"/>
              </w:rPr>
              <w:t>8</w:t>
            </w:r>
          </w:p>
        </w:tc>
        <w:tc>
          <w:tcPr>
            <w:tcW w:w="5272" w:type="dxa"/>
            <w:tcBorders>
              <w:top w:val="nil"/>
              <w:left w:val="nil"/>
              <w:bottom w:val="nil"/>
              <w:right w:val="nil"/>
            </w:tcBorders>
            <w:shd w:val="clear" w:color="auto" w:fill="auto"/>
            <w:noWrap/>
            <w:vAlign w:val="bottom"/>
            <w:hideMark/>
          </w:tcPr>
          <w:p w:rsidRPr="004260B9" w:rsidR="00BB685A" w:rsidP="00C5122C" w:rsidRDefault="00BB685A">
            <w:pPr>
              <w:spacing w:line="240" w:lineRule="auto"/>
              <w:ind w:firstLine="320" w:firstLineChars="200"/>
              <w:rPr>
                <w:rFonts w:cs="Arial"/>
                <w:sz w:val="16"/>
                <w:szCs w:val="16"/>
              </w:rPr>
            </w:pPr>
            <w:r w:rsidRPr="004260B9">
              <w:rPr>
                <w:rFonts w:cs="Arial"/>
                <w:sz w:val="16"/>
                <w:szCs w:val="16"/>
              </w:rPr>
              <w:t>Mutatie derdenrekeningen</w:t>
            </w:r>
          </w:p>
        </w:tc>
        <w:tc>
          <w:tcPr>
            <w:tcW w:w="850" w:type="dxa"/>
            <w:tcBorders>
              <w:top w:val="nil"/>
              <w:left w:val="nil"/>
              <w:bottom w:val="nil"/>
              <w:right w:val="nil"/>
            </w:tcBorders>
            <w:shd w:val="clear" w:color="auto" w:fill="auto"/>
            <w:noWrap/>
            <w:vAlign w:val="bottom"/>
            <w:hideMark/>
          </w:tcPr>
          <w:p w:rsidRPr="004260B9" w:rsidR="00BB685A" w:rsidP="00C5122C" w:rsidRDefault="00BB685A">
            <w:pPr>
              <w:spacing w:line="240" w:lineRule="auto"/>
              <w:jc w:val="right"/>
              <w:rPr>
                <w:rFonts w:cs="Arial"/>
                <w:sz w:val="16"/>
                <w:szCs w:val="16"/>
              </w:rPr>
            </w:pPr>
            <w:r w:rsidRPr="004260B9">
              <w:rPr>
                <w:rFonts w:cs="Arial"/>
                <w:sz w:val="16"/>
                <w:szCs w:val="16"/>
              </w:rPr>
              <w:t>0,9</w:t>
            </w:r>
          </w:p>
        </w:tc>
      </w:tr>
      <w:tr w:rsidRPr="004260B9" w:rsidR="00BB685A" w:rsidTr="00C5122C">
        <w:trPr>
          <w:trHeight w:val="210"/>
        </w:trPr>
        <w:tc>
          <w:tcPr>
            <w:tcW w:w="397" w:type="dxa"/>
            <w:tcBorders>
              <w:top w:val="nil"/>
              <w:left w:val="nil"/>
              <w:bottom w:val="nil"/>
              <w:right w:val="nil"/>
            </w:tcBorders>
            <w:shd w:val="clear" w:color="auto" w:fill="auto"/>
            <w:noWrap/>
            <w:vAlign w:val="bottom"/>
            <w:hideMark/>
          </w:tcPr>
          <w:p w:rsidRPr="004260B9" w:rsidR="00BB685A" w:rsidP="00C5122C" w:rsidRDefault="00BB685A">
            <w:pPr>
              <w:spacing w:line="240" w:lineRule="auto"/>
              <w:jc w:val="right"/>
              <w:rPr>
                <w:rFonts w:cs="Arial"/>
                <w:sz w:val="16"/>
                <w:szCs w:val="16"/>
              </w:rPr>
            </w:pPr>
            <w:r w:rsidRPr="004260B9">
              <w:rPr>
                <w:rFonts w:cs="Arial"/>
                <w:sz w:val="16"/>
                <w:szCs w:val="16"/>
              </w:rPr>
              <w:t>9</w:t>
            </w:r>
          </w:p>
        </w:tc>
        <w:tc>
          <w:tcPr>
            <w:tcW w:w="5272" w:type="dxa"/>
            <w:tcBorders>
              <w:top w:val="nil"/>
              <w:left w:val="nil"/>
              <w:bottom w:val="nil"/>
              <w:right w:val="nil"/>
            </w:tcBorders>
            <w:shd w:val="clear" w:color="auto" w:fill="auto"/>
            <w:noWrap/>
            <w:vAlign w:val="bottom"/>
            <w:hideMark/>
          </w:tcPr>
          <w:p w:rsidRPr="004260B9" w:rsidR="00BB685A" w:rsidP="00C5122C" w:rsidRDefault="00BB685A">
            <w:pPr>
              <w:spacing w:line="240" w:lineRule="auto"/>
              <w:rPr>
                <w:rFonts w:cs="Arial"/>
                <w:b/>
                <w:bCs/>
                <w:sz w:val="16"/>
                <w:szCs w:val="16"/>
              </w:rPr>
            </w:pPr>
            <w:r w:rsidRPr="004260B9">
              <w:rPr>
                <w:rFonts w:cs="Arial"/>
                <w:b/>
                <w:bCs/>
                <w:sz w:val="16"/>
                <w:szCs w:val="16"/>
              </w:rPr>
              <w:t xml:space="preserve">Financieringstekort Rijk </w:t>
            </w:r>
            <w:r w:rsidRPr="004260B9">
              <w:rPr>
                <w:rFonts w:cs="Arial"/>
                <w:sz w:val="16"/>
                <w:szCs w:val="16"/>
              </w:rPr>
              <w:t>(4+5+6+7+8)</w:t>
            </w:r>
          </w:p>
        </w:tc>
        <w:tc>
          <w:tcPr>
            <w:tcW w:w="850" w:type="dxa"/>
            <w:tcBorders>
              <w:top w:val="nil"/>
              <w:left w:val="nil"/>
              <w:bottom w:val="nil"/>
              <w:right w:val="nil"/>
            </w:tcBorders>
            <w:shd w:val="clear" w:color="auto" w:fill="auto"/>
            <w:noWrap/>
            <w:vAlign w:val="bottom"/>
            <w:hideMark/>
          </w:tcPr>
          <w:p w:rsidRPr="004260B9" w:rsidR="00BB685A" w:rsidP="00C5122C" w:rsidRDefault="00BB685A">
            <w:pPr>
              <w:spacing w:line="240" w:lineRule="auto"/>
              <w:jc w:val="right"/>
              <w:rPr>
                <w:rFonts w:cs="Arial"/>
                <w:b/>
                <w:bCs/>
                <w:sz w:val="16"/>
                <w:szCs w:val="16"/>
              </w:rPr>
            </w:pPr>
            <w:r w:rsidRPr="004260B9">
              <w:rPr>
                <w:rFonts w:cs="Arial"/>
                <w:b/>
                <w:bCs/>
                <w:sz w:val="16"/>
                <w:szCs w:val="16"/>
              </w:rPr>
              <w:t>-3,4</w:t>
            </w:r>
          </w:p>
        </w:tc>
      </w:tr>
      <w:tr w:rsidRPr="004260B9" w:rsidR="00BB685A" w:rsidTr="00C5122C">
        <w:trPr>
          <w:trHeight w:val="210"/>
        </w:trPr>
        <w:tc>
          <w:tcPr>
            <w:tcW w:w="397" w:type="dxa"/>
            <w:tcBorders>
              <w:top w:val="nil"/>
              <w:left w:val="nil"/>
              <w:bottom w:val="nil"/>
              <w:right w:val="nil"/>
            </w:tcBorders>
            <w:shd w:val="clear" w:color="auto" w:fill="auto"/>
            <w:noWrap/>
            <w:vAlign w:val="bottom"/>
            <w:hideMark/>
          </w:tcPr>
          <w:p w:rsidRPr="004260B9" w:rsidR="00BB685A" w:rsidP="00C5122C" w:rsidRDefault="00BB685A">
            <w:pPr>
              <w:spacing w:line="240" w:lineRule="auto"/>
              <w:jc w:val="right"/>
              <w:rPr>
                <w:rFonts w:cs="Arial"/>
                <w:sz w:val="16"/>
                <w:szCs w:val="16"/>
              </w:rPr>
            </w:pPr>
            <w:r w:rsidRPr="004260B9">
              <w:rPr>
                <w:rFonts w:cs="Arial"/>
                <w:sz w:val="16"/>
                <w:szCs w:val="16"/>
              </w:rPr>
              <w:t>10</w:t>
            </w:r>
          </w:p>
        </w:tc>
        <w:tc>
          <w:tcPr>
            <w:tcW w:w="5272" w:type="dxa"/>
            <w:tcBorders>
              <w:top w:val="nil"/>
              <w:left w:val="nil"/>
              <w:bottom w:val="nil"/>
              <w:right w:val="nil"/>
            </w:tcBorders>
            <w:shd w:val="clear" w:color="auto" w:fill="auto"/>
            <w:noWrap/>
            <w:vAlign w:val="bottom"/>
            <w:hideMark/>
          </w:tcPr>
          <w:p w:rsidRPr="004260B9" w:rsidR="00BB685A" w:rsidP="00C5122C" w:rsidRDefault="00BB685A">
            <w:pPr>
              <w:spacing w:line="240" w:lineRule="auto"/>
              <w:rPr>
                <w:rFonts w:cs="Arial"/>
                <w:sz w:val="16"/>
                <w:szCs w:val="16"/>
              </w:rPr>
            </w:pPr>
            <w:r w:rsidRPr="004260B9">
              <w:rPr>
                <w:rFonts w:cs="Arial"/>
                <w:sz w:val="16"/>
                <w:szCs w:val="16"/>
              </w:rPr>
              <w:t>Overige exogene mutaties schuld</w:t>
            </w:r>
          </w:p>
        </w:tc>
        <w:tc>
          <w:tcPr>
            <w:tcW w:w="850" w:type="dxa"/>
            <w:tcBorders>
              <w:top w:val="nil"/>
              <w:left w:val="nil"/>
              <w:bottom w:val="nil"/>
              <w:right w:val="nil"/>
            </w:tcBorders>
            <w:shd w:val="clear" w:color="auto" w:fill="auto"/>
            <w:noWrap/>
            <w:vAlign w:val="bottom"/>
            <w:hideMark/>
          </w:tcPr>
          <w:p w:rsidRPr="004260B9" w:rsidR="00BB685A" w:rsidP="00C5122C" w:rsidRDefault="00BB685A">
            <w:pPr>
              <w:spacing w:line="240" w:lineRule="auto"/>
              <w:jc w:val="right"/>
              <w:rPr>
                <w:rFonts w:cs="Arial"/>
                <w:sz w:val="16"/>
                <w:szCs w:val="16"/>
              </w:rPr>
            </w:pPr>
            <w:r w:rsidRPr="004260B9">
              <w:rPr>
                <w:rFonts w:cs="Arial"/>
                <w:sz w:val="16"/>
                <w:szCs w:val="16"/>
              </w:rPr>
              <w:t>-3,3</w:t>
            </w:r>
          </w:p>
        </w:tc>
      </w:tr>
      <w:tr w:rsidRPr="004260B9" w:rsidR="00BB685A" w:rsidTr="00C5122C">
        <w:trPr>
          <w:trHeight w:val="210"/>
        </w:trPr>
        <w:tc>
          <w:tcPr>
            <w:tcW w:w="397" w:type="dxa"/>
            <w:tcBorders>
              <w:top w:val="nil"/>
              <w:left w:val="nil"/>
              <w:bottom w:val="nil"/>
              <w:right w:val="nil"/>
            </w:tcBorders>
            <w:shd w:val="clear" w:color="auto" w:fill="auto"/>
            <w:noWrap/>
            <w:vAlign w:val="bottom"/>
            <w:hideMark/>
          </w:tcPr>
          <w:p w:rsidRPr="004260B9" w:rsidR="00BB685A" w:rsidP="00C5122C" w:rsidRDefault="00BB685A">
            <w:pPr>
              <w:spacing w:line="240" w:lineRule="auto"/>
              <w:jc w:val="right"/>
              <w:rPr>
                <w:rFonts w:cs="Arial"/>
                <w:sz w:val="16"/>
                <w:szCs w:val="16"/>
              </w:rPr>
            </w:pPr>
            <w:r w:rsidRPr="004260B9">
              <w:rPr>
                <w:rFonts w:cs="Arial"/>
                <w:sz w:val="16"/>
                <w:szCs w:val="16"/>
              </w:rPr>
              <w:t>11</w:t>
            </w:r>
          </w:p>
        </w:tc>
        <w:tc>
          <w:tcPr>
            <w:tcW w:w="5272" w:type="dxa"/>
            <w:tcBorders>
              <w:top w:val="nil"/>
              <w:left w:val="nil"/>
              <w:bottom w:val="nil"/>
              <w:right w:val="nil"/>
            </w:tcBorders>
            <w:shd w:val="clear" w:color="auto" w:fill="auto"/>
            <w:noWrap/>
            <w:vAlign w:val="bottom"/>
            <w:hideMark/>
          </w:tcPr>
          <w:p w:rsidRPr="004260B9" w:rsidR="00BB685A" w:rsidP="00C5122C" w:rsidRDefault="00BB685A">
            <w:pPr>
              <w:spacing w:line="240" w:lineRule="auto"/>
              <w:rPr>
                <w:rFonts w:cs="Arial"/>
                <w:sz w:val="16"/>
                <w:szCs w:val="16"/>
              </w:rPr>
            </w:pPr>
            <w:r w:rsidRPr="004260B9">
              <w:rPr>
                <w:rFonts w:cs="Arial"/>
                <w:sz w:val="16"/>
                <w:szCs w:val="16"/>
              </w:rPr>
              <w:t>EMU-saldo decentrale overheden</w:t>
            </w:r>
          </w:p>
        </w:tc>
        <w:tc>
          <w:tcPr>
            <w:tcW w:w="850" w:type="dxa"/>
            <w:tcBorders>
              <w:top w:val="nil"/>
              <w:left w:val="nil"/>
              <w:bottom w:val="nil"/>
              <w:right w:val="nil"/>
            </w:tcBorders>
            <w:shd w:val="clear" w:color="auto" w:fill="auto"/>
            <w:noWrap/>
            <w:vAlign w:val="bottom"/>
            <w:hideMark/>
          </w:tcPr>
          <w:p w:rsidRPr="004260B9" w:rsidR="00BB685A" w:rsidP="00C5122C" w:rsidRDefault="00BB685A">
            <w:pPr>
              <w:spacing w:line="240" w:lineRule="auto"/>
              <w:jc w:val="right"/>
              <w:rPr>
                <w:rFonts w:cs="Arial"/>
                <w:sz w:val="16"/>
                <w:szCs w:val="16"/>
              </w:rPr>
            </w:pPr>
            <w:r w:rsidRPr="004260B9">
              <w:rPr>
                <w:rFonts w:cs="Arial"/>
                <w:sz w:val="16"/>
                <w:szCs w:val="16"/>
              </w:rPr>
              <w:t>2,1</w:t>
            </w:r>
          </w:p>
        </w:tc>
      </w:tr>
      <w:tr w:rsidRPr="004260B9" w:rsidR="00BB685A" w:rsidTr="00C5122C">
        <w:trPr>
          <w:trHeight w:val="210"/>
        </w:trPr>
        <w:tc>
          <w:tcPr>
            <w:tcW w:w="397" w:type="dxa"/>
            <w:tcBorders>
              <w:top w:val="nil"/>
              <w:left w:val="nil"/>
              <w:bottom w:val="nil"/>
              <w:right w:val="nil"/>
            </w:tcBorders>
            <w:shd w:val="clear" w:color="auto" w:fill="auto"/>
            <w:noWrap/>
            <w:vAlign w:val="bottom"/>
            <w:hideMark/>
          </w:tcPr>
          <w:p w:rsidRPr="004260B9" w:rsidR="00BB685A" w:rsidP="00C5122C" w:rsidRDefault="00BB685A">
            <w:pPr>
              <w:spacing w:line="240" w:lineRule="auto"/>
              <w:jc w:val="right"/>
              <w:rPr>
                <w:rFonts w:cs="Arial"/>
                <w:sz w:val="16"/>
                <w:szCs w:val="16"/>
              </w:rPr>
            </w:pPr>
            <w:r w:rsidRPr="004260B9">
              <w:rPr>
                <w:rFonts w:cs="Arial"/>
                <w:sz w:val="16"/>
                <w:szCs w:val="16"/>
              </w:rPr>
              <w:t>12</w:t>
            </w:r>
          </w:p>
        </w:tc>
        <w:tc>
          <w:tcPr>
            <w:tcW w:w="5272" w:type="dxa"/>
            <w:tcBorders>
              <w:top w:val="nil"/>
              <w:left w:val="nil"/>
              <w:bottom w:val="nil"/>
              <w:right w:val="nil"/>
            </w:tcBorders>
            <w:shd w:val="clear" w:color="auto" w:fill="auto"/>
            <w:noWrap/>
            <w:vAlign w:val="bottom"/>
            <w:hideMark/>
          </w:tcPr>
          <w:p w:rsidRPr="004260B9" w:rsidR="00BB685A" w:rsidP="00C5122C" w:rsidRDefault="00BB685A">
            <w:pPr>
              <w:spacing w:line="240" w:lineRule="auto"/>
              <w:rPr>
                <w:rFonts w:cs="Arial"/>
                <w:b/>
                <w:bCs/>
                <w:sz w:val="16"/>
                <w:szCs w:val="16"/>
              </w:rPr>
            </w:pPr>
            <w:r w:rsidRPr="004260B9">
              <w:rPr>
                <w:rFonts w:cs="Arial"/>
                <w:b/>
                <w:bCs/>
                <w:sz w:val="16"/>
                <w:szCs w:val="16"/>
              </w:rPr>
              <w:t xml:space="preserve">EMU-schuld einde jaar </w:t>
            </w:r>
            <w:r w:rsidRPr="004260B9">
              <w:rPr>
                <w:rFonts w:cs="Arial"/>
                <w:sz w:val="16"/>
                <w:szCs w:val="16"/>
              </w:rPr>
              <w:t>(1+9+10+11)</w:t>
            </w:r>
          </w:p>
        </w:tc>
        <w:tc>
          <w:tcPr>
            <w:tcW w:w="850" w:type="dxa"/>
            <w:tcBorders>
              <w:top w:val="nil"/>
              <w:left w:val="nil"/>
              <w:bottom w:val="nil"/>
              <w:right w:val="nil"/>
            </w:tcBorders>
            <w:shd w:val="clear" w:color="auto" w:fill="auto"/>
            <w:noWrap/>
            <w:vAlign w:val="bottom"/>
            <w:hideMark/>
          </w:tcPr>
          <w:p w:rsidRPr="004260B9" w:rsidR="00BB685A" w:rsidP="00C5122C" w:rsidRDefault="00BB685A">
            <w:pPr>
              <w:spacing w:line="240" w:lineRule="auto"/>
              <w:jc w:val="right"/>
              <w:rPr>
                <w:rFonts w:cs="Arial"/>
                <w:b/>
                <w:bCs/>
                <w:sz w:val="16"/>
                <w:szCs w:val="16"/>
              </w:rPr>
            </w:pPr>
            <w:r w:rsidRPr="004260B9">
              <w:rPr>
                <w:rFonts w:cs="Arial"/>
                <w:b/>
                <w:bCs/>
                <w:sz w:val="16"/>
                <w:szCs w:val="16"/>
              </w:rPr>
              <w:t>436,0</w:t>
            </w:r>
          </w:p>
        </w:tc>
      </w:tr>
      <w:tr w:rsidRPr="004260B9" w:rsidR="00BB685A" w:rsidTr="00C5122C">
        <w:trPr>
          <w:trHeight w:val="210"/>
        </w:trPr>
        <w:tc>
          <w:tcPr>
            <w:tcW w:w="397" w:type="dxa"/>
            <w:tcBorders>
              <w:top w:val="nil"/>
              <w:left w:val="nil"/>
              <w:bottom w:val="single" w:color="auto" w:sz="4" w:space="0"/>
              <w:right w:val="nil"/>
            </w:tcBorders>
            <w:shd w:val="clear" w:color="auto" w:fill="auto"/>
            <w:noWrap/>
            <w:vAlign w:val="bottom"/>
            <w:hideMark/>
          </w:tcPr>
          <w:p w:rsidRPr="004260B9" w:rsidR="00BB685A" w:rsidP="00C5122C" w:rsidRDefault="00BB685A">
            <w:pPr>
              <w:spacing w:line="240" w:lineRule="auto"/>
              <w:jc w:val="right"/>
              <w:rPr>
                <w:rFonts w:cs="Arial"/>
                <w:sz w:val="16"/>
                <w:szCs w:val="16"/>
              </w:rPr>
            </w:pPr>
            <w:r w:rsidRPr="004260B9">
              <w:rPr>
                <w:rFonts w:cs="Arial"/>
                <w:sz w:val="16"/>
                <w:szCs w:val="16"/>
              </w:rPr>
              <w:t>13</w:t>
            </w:r>
          </w:p>
        </w:tc>
        <w:tc>
          <w:tcPr>
            <w:tcW w:w="5272" w:type="dxa"/>
            <w:tcBorders>
              <w:top w:val="nil"/>
              <w:left w:val="nil"/>
              <w:bottom w:val="single" w:color="auto" w:sz="4" w:space="0"/>
              <w:right w:val="nil"/>
            </w:tcBorders>
            <w:shd w:val="clear" w:color="auto" w:fill="auto"/>
            <w:noWrap/>
            <w:vAlign w:val="bottom"/>
            <w:hideMark/>
          </w:tcPr>
          <w:p w:rsidRPr="004260B9" w:rsidR="00BB685A" w:rsidP="00C5122C" w:rsidRDefault="00BB685A">
            <w:pPr>
              <w:spacing w:line="240" w:lineRule="auto"/>
              <w:rPr>
                <w:rFonts w:cs="Arial"/>
                <w:b/>
                <w:bCs/>
                <w:sz w:val="16"/>
                <w:szCs w:val="16"/>
              </w:rPr>
            </w:pPr>
            <w:r w:rsidRPr="004260B9">
              <w:rPr>
                <w:rFonts w:cs="Arial"/>
                <w:b/>
                <w:bCs/>
                <w:sz w:val="16"/>
                <w:szCs w:val="16"/>
              </w:rPr>
              <w:t>EMU-schuldquote (in procenten bbp)</w:t>
            </w:r>
          </w:p>
        </w:tc>
        <w:tc>
          <w:tcPr>
            <w:tcW w:w="850" w:type="dxa"/>
            <w:tcBorders>
              <w:top w:val="nil"/>
              <w:left w:val="nil"/>
              <w:bottom w:val="single" w:color="auto" w:sz="4" w:space="0"/>
              <w:right w:val="nil"/>
            </w:tcBorders>
            <w:shd w:val="clear" w:color="auto" w:fill="auto"/>
            <w:noWrap/>
            <w:vAlign w:val="bottom"/>
            <w:hideMark/>
          </w:tcPr>
          <w:p w:rsidRPr="004260B9" w:rsidR="00BB685A" w:rsidP="00C5122C" w:rsidRDefault="00BB685A">
            <w:pPr>
              <w:spacing w:line="240" w:lineRule="auto"/>
              <w:jc w:val="right"/>
              <w:rPr>
                <w:rFonts w:cs="Arial"/>
                <w:b/>
                <w:bCs/>
                <w:sz w:val="16"/>
                <w:szCs w:val="16"/>
              </w:rPr>
            </w:pPr>
            <w:r w:rsidRPr="004260B9">
              <w:rPr>
                <w:rFonts w:cs="Arial"/>
                <w:b/>
                <w:bCs/>
                <w:sz w:val="16"/>
                <w:szCs w:val="16"/>
              </w:rPr>
              <w:t>63,0%</w:t>
            </w:r>
          </w:p>
        </w:tc>
      </w:tr>
    </w:tbl>
    <w:p w:rsidRPr="00C02FD1" w:rsidR="00BB685A" w:rsidP="00BB685A" w:rsidRDefault="00BB685A"/>
    <w:p w:rsidRPr="00C02FD1" w:rsidR="00BB685A" w:rsidP="00BB685A" w:rsidRDefault="00BB685A"/>
    <w:p w:rsidR="00F23318" w:rsidRDefault="00F23318"/>
    <w:sectPr w:rsidR="00F23318" w:rsidSect="00911C9F">
      <w:headerReference w:type="default" r:id="rId8"/>
      <w:footerReference w:type="default" r:id="rId9"/>
      <w:headerReference w:type="first" r:id="rId10"/>
      <w:footerReference w:type="first" r:id="rId11"/>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22C" w:rsidRDefault="00C5122C">
      <w:pPr>
        <w:spacing w:line="240" w:lineRule="auto"/>
      </w:pPr>
      <w:r>
        <w:separator/>
      </w:r>
    </w:p>
  </w:endnote>
  <w:endnote w:type="continuationSeparator" w:id="0">
    <w:p w:rsidR="00C5122C" w:rsidRDefault="00C5122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C5122C">
      <w:trPr>
        <w:trHeight w:hRule="exact" w:val="240"/>
      </w:trPr>
      <w:tc>
        <w:tcPr>
          <w:tcW w:w="7752" w:type="dxa"/>
          <w:shd w:val="clear" w:color="auto" w:fill="auto"/>
        </w:tcPr>
        <w:p w:rsidR="00C5122C" w:rsidRDefault="00C5122C"/>
      </w:tc>
      <w:tc>
        <w:tcPr>
          <w:tcW w:w="2148" w:type="dxa"/>
        </w:tcPr>
        <w:p w:rsidR="00C5122C" w:rsidRDefault="00C5122C">
          <w:pPr>
            <w:pStyle w:val="Huisstijl-Paginanummer"/>
          </w:pPr>
          <w:r>
            <w:t>Pagina </w:t>
          </w:r>
          <w:fldSimple w:instr=" PAGE    \* MERGEFORMAT ">
            <w:r w:rsidR="00675EA5">
              <w:rPr>
                <w:noProof/>
              </w:rPr>
              <w:t>2</w:t>
            </w:r>
          </w:fldSimple>
          <w:r>
            <w:t> van </w:t>
          </w:r>
          <w:fldSimple w:instr=" NUMPAGES  \* Arabic  \* MERGEFORMAT ">
            <w:r w:rsidR="00675EA5">
              <w:rPr>
                <w:noProof/>
              </w:rPr>
              <w:t>3</w:t>
            </w:r>
          </w:fldSimple>
        </w:p>
      </w:tc>
    </w:tr>
  </w:tbl>
  <w:p w:rsidR="00C5122C" w:rsidRDefault="00AA02D9">
    <w:pPr>
      <w:pStyle w:val="Huisstijl-Rubricering"/>
    </w:pPr>
    <w:r>
      <w:fldChar w:fldCharType="begin"/>
    </w:r>
    <w:r w:rsidR="00C5122C">
      <w:instrText xml:space="preserve"> DOCPROPERTY  Rubricering  \* MERGEFORMAT </w:instrTex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C5122C">
      <w:trPr>
        <w:trHeight w:hRule="exact" w:val="240"/>
      </w:trPr>
      <w:tc>
        <w:tcPr>
          <w:tcW w:w="7752" w:type="dxa"/>
          <w:shd w:val="clear" w:color="auto" w:fill="auto"/>
        </w:tcPr>
        <w:p w:rsidR="00C5122C" w:rsidRDefault="00AA02D9">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C5122C">
            <w:instrText xml:space="preserve"> DOCPROPERTY  Rubricering  \* MERGEFORMAT </w:instrText>
          </w:r>
          <w:r>
            <w:fldChar w:fldCharType="end"/>
          </w:r>
        </w:p>
      </w:tc>
      <w:tc>
        <w:tcPr>
          <w:tcW w:w="2148" w:type="dxa"/>
        </w:tcPr>
        <w:p w:rsidR="00C5122C" w:rsidRDefault="00C5122C">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Pagina </w:t>
          </w:r>
          <w:fldSimple w:instr=" PAGE    \* MERGEFORMAT ">
            <w:r w:rsidR="00675EA5">
              <w:rPr>
                <w:noProof/>
              </w:rPr>
              <w:t>1</w:t>
            </w:r>
          </w:fldSimple>
          <w:r>
            <w:t> van </w:t>
          </w:r>
          <w:fldSimple w:instr=" NUMPAGES  \* Arabic  \* MERGEFORMAT ">
            <w:r w:rsidR="00675EA5">
              <w:rPr>
                <w:noProof/>
              </w:rPr>
              <w:t>10</w:t>
            </w:r>
          </w:fldSimple>
        </w:p>
      </w:tc>
    </w:tr>
  </w:tbl>
  <w:p w:rsidR="00C5122C" w:rsidRDefault="00C5122C">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22C" w:rsidRDefault="00C5122C">
      <w:pPr>
        <w:spacing w:line="240" w:lineRule="auto"/>
      </w:pPr>
      <w:r>
        <w:separator/>
      </w:r>
    </w:p>
  </w:footnote>
  <w:footnote w:type="continuationSeparator" w:id="0">
    <w:p w:rsidR="00C5122C" w:rsidRDefault="00C5122C">
      <w:pPr>
        <w:spacing w:line="240" w:lineRule="auto"/>
      </w:pPr>
      <w:r>
        <w:continuationSeparator/>
      </w:r>
    </w:p>
  </w:footnote>
  <w:footnote w:id="1">
    <w:p w:rsidR="00C5122C" w:rsidRPr="00792D5C" w:rsidRDefault="00C5122C" w:rsidP="00BB685A">
      <w:pPr>
        <w:pStyle w:val="Voetnoottekst"/>
        <w:rPr>
          <w:sz w:val="16"/>
          <w:szCs w:val="16"/>
        </w:rPr>
      </w:pPr>
      <w:r>
        <w:rPr>
          <w:rStyle w:val="Voetnootmarkering"/>
        </w:rPr>
        <w:footnoteRef/>
      </w:r>
      <w:r>
        <w:t xml:space="preserve"> </w:t>
      </w:r>
      <w:r w:rsidRPr="00792D5C">
        <w:rPr>
          <w:sz w:val="16"/>
          <w:szCs w:val="16"/>
        </w:rPr>
        <w:t xml:space="preserve">Met ingang van 1 juli 2016 </w:t>
      </w:r>
      <w:r>
        <w:rPr>
          <w:sz w:val="16"/>
          <w:szCs w:val="16"/>
        </w:rPr>
        <w:t xml:space="preserve">heeft de Belastingdienst </w:t>
      </w:r>
      <w:r w:rsidRPr="00792D5C">
        <w:rPr>
          <w:sz w:val="16"/>
          <w:szCs w:val="16"/>
        </w:rPr>
        <w:t xml:space="preserve">het proces voor het opleggen van </w:t>
      </w:r>
      <w:r>
        <w:rPr>
          <w:sz w:val="16"/>
          <w:szCs w:val="16"/>
        </w:rPr>
        <w:t xml:space="preserve">automatische voorlopige </w:t>
      </w:r>
      <w:r w:rsidRPr="00792D5C">
        <w:rPr>
          <w:sz w:val="16"/>
          <w:szCs w:val="16"/>
        </w:rPr>
        <w:t xml:space="preserve">aanslagen </w:t>
      </w:r>
      <w:r>
        <w:rPr>
          <w:sz w:val="16"/>
          <w:szCs w:val="16"/>
        </w:rPr>
        <w:t xml:space="preserve">over het lopende boekjaar fors </w:t>
      </w:r>
      <w:r w:rsidRPr="00792D5C">
        <w:rPr>
          <w:sz w:val="16"/>
          <w:szCs w:val="16"/>
        </w:rPr>
        <w:t xml:space="preserve">gewijzigd. Voorheen werd er alleen aan het begin van het boekjaar van de belastingplichtige bekeken of er voldoende gegevens beschikbaar waren voor het opleggen van een </w:t>
      </w:r>
      <w:r>
        <w:rPr>
          <w:sz w:val="16"/>
          <w:szCs w:val="16"/>
        </w:rPr>
        <w:t xml:space="preserve">automatische voorlopige </w:t>
      </w:r>
      <w:r w:rsidRPr="00792D5C">
        <w:rPr>
          <w:sz w:val="16"/>
          <w:szCs w:val="16"/>
        </w:rPr>
        <w:t>aanslag</w:t>
      </w:r>
      <w:r>
        <w:rPr>
          <w:sz w:val="16"/>
          <w:szCs w:val="16"/>
        </w:rPr>
        <w:t>.</w:t>
      </w:r>
    </w:p>
  </w:footnote>
  <w:footnote w:id="2">
    <w:p w:rsidR="00C5122C" w:rsidRDefault="00C5122C" w:rsidP="00BB685A">
      <w:pPr>
        <w:pStyle w:val="Voetnoottekst"/>
      </w:pPr>
      <w:r>
        <w:rPr>
          <w:rStyle w:val="Voetnootmarkering"/>
        </w:rPr>
        <w:footnoteRef/>
      </w:r>
      <w:r>
        <w:t xml:space="preserve"> </w:t>
      </w:r>
      <w:r w:rsidRPr="004A2AF7">
        <w:t>http://ec.europa.eu/economy_finance/eu/forecasts/2016_autumn_forecast_en.htm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22C" w:rsidRDefault="00C5122C" w:rsidP="00C5122C">
    <w:pPr>
      <w:pStyle w:val="Huisstijl-Afzendgegevenskop"/>
      <w:framePr w:w="2103" w:h="12013" w:hRule="exact" w:hSpace="180" w:wrap="around" w:vAnchor="page" w:hAnchor="page" w:x="9316" w:y="3022"/>
    </w:pPr>
    <w:r w:rsidRPr="00B96746">
      <w:t>Directie Begrotingszaken</w:t>
    </w:r>
  </w:p>
  <w:p w:rsidR="00C5122C" w:rsidRDefault="00C5122C" w:rsidP="00C5122C">
    <w:pPr>
      <w:pStyle w:val="Huisstijl-ReferentiegegevenskopW2"/>
      <w:framePr w:w="2103" w:h="12013" w:hRule="exact" w:hSpace="180" w:wrap="around" w:vAnchor="page" w:hAnchor="page" w:x="9316" w:y="3022"/>
    </w:pPr>
    <w:r w:rsidRPr="00B96746">
      <w:t>Ons kenmerk</w:t>
    </w:r>
  </w:p>
  <w:p w:rsidR="00C5122C" w:rsidRPr="00FD21B8" w:rsidRDefault="00AA02D9" w:rsidP="00C5122C">
    <w:pPr>
      <w:pStyle w:val="Huisstijl-Referentiegegevens"/>
      <w:framePr w:w="2103" w:h="12013" w:hRule="exact" w:hSpace="180" w:wrap="around" w:vAnchor="page" w:hAnchor="page" w:x="9316" w:y="3022"/>
    </w:pPr>
    <w:fldSimple w:instr=" DOCPROPERTY  Kenmerk  \* MERGEFORMAT ">
      <w:r w:rsidR="00675EA5">
        <w:t>2016-0000211312</w:t>
      </w:r>
    </w:fldSimple>
    <w:r w:rsidR="00C5122C" w:rsidRPr="00C8655C">
      <w:t xml:space="preserve"> </w:t>
    </w:r>
  </w:p>
  <w:p w:rsidR="00C5122C" w:rsidRDefault="00C5122C">
    <w:pPr>
      <w:pStyle w:val="Koptekst"/>
      <w:spacing w:after="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22C" w:rsidRDefault="00C5122C"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Begrotingszaken</w:t>
    </w:r>
  </w:p>
  <w:p w:rsidR="00C5122C" w:rsidRDefault="00C5122C"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Korte Voorhout 7</w:t>
    </w:r>
  </w:p>
  <w:p w:rsidR="00C5122C" w:rsidRDefault="00C5122C"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2511 CW  Den Haag</w:t>
    </w:r>
    <w:r>
      <w:t>  </w:t>
    </w:r>
  </w:p>
  <w:p w:rsidR="00C5122C" w:rsidRDefault="00C5122C"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C5122C" w:rsidRDefault="00C5122C"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2500 EE  Den Haag</w:t>
    </w:r>
    <w:r>
      <w:t>  </w:t>
    </w:r>
  </w:p>
  <w:p w:rsidR="00C5122C" w:rsidRDefault="00C5122C"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www.rijksoverheid.nl</w:t>
    </w:r>
  </w:p>
  <w:p w:rsidR="00C5122C" w:rsidRDefault="00C5122C"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C5122C" w:rsidRDefault="00AA02D9"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675EA5">
        <w:t>2016-0000211312</w:t>
      </w:r>
    </w:fldSimple>
    <w:r w:rsidR="00C5122C" w:rsidRPr="00C8655C">
      <w:t xml:space="preserve"> </w:t>
    </w:r>
  </w:p>
  <w:p w:rsidR="00C5122C" w:rsidRDefault="00C5122C"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Uw brief (kenmerk)</w:t>
    </w:r>
  </w:p>
  <w:p w:rsidR="00C5122C" w:rsidRDefault="00AA02D9"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C5122C">
      <w:instrText xml:space="preserve"> DOCPROPERTY  UwKenmerk  \* MERGEFORMAT </w:instrText>
    </w:r>
    <w:r>
      <w:fldChar w:fldCharType="end"/>
    </w:r>
  </w:p>
  <w:p w:rsidR="00C5122C" w:rsidRDefault="00C5122C"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Bijlagen</w:t>
    </w:r>
  </w:p>
  <w:p w:rsidR="00C5122C" w:rsidRDefault="00C5122C"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w:t>
    </w:r>
  </w:p>
  <w:p w:rsidR="00C5122C" w:rsidRDefault="00AA02D9">
    <w:pPr>
      <w:pStyle w:val="Voetnoottekst"/>
    </w:pPr>
    <w:r>
      <w:pict>
        <v:shapetype id="_x0000_t202" coordsize="21600,21600" o:spt="202" path="m,l,21600r21600,l21600,xe">
          <v:stroke joinstyle="miter"/>
          <v:path gradientshapeok="t" o:connecttype="rect"/>
        </v:shapetype>
        <v:shape id="Text Box 1" o:spid="_x0000_s13313" type="#_x0000_t202" style="position:absolute;margin-left:193.5pt;margin-top:-7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C5122C">
                  <w:trPr>
                    <w:trHeight w:val="2636"/>
                  </w:trPr>
                  <w:tc>
                    <w:tcPr>
                      <w:tcW w:w="737" w:type="dxa"/>
                      <w:shd w:val="clear" w:color="auto" w:fill="auto"/>
                    </w:tcPr>
                    <w:p w:rsidR="00C5122C" w:rsidRDefault="00C5122C">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C5122C" w:rsidRDefault="00C5122C">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C5122C" w:rsidRDefault="00C5122C"/>
            </w:txbxContent>
          </v:textbox>
          <w10:wrap anchory="page"/>
        </v:shape>
      </w:pict>
    </w:r>
  </w:p>
  <w:tbl>
    <w:tblPr>
      <w:tblW w:w="7520" w:type="dxa"/>
      <w:tblLayout w:type="fixed"/>
      <w:tblCellMar>
        <w:left w:w="0" w:type="dxa"/>
        <w:right w:w="0" w:type="dxa"/>
      </w:tblCellMar>
      <w:tblLook w:val="0000"/>
    </w:tblPr>
    <w:tblGrid>
      <w:gridCol w:w="742"/>
      <w:gridCol w:w="6778"/>
    </w:tblGrid>
    <w:tr w:rsidR="00C5122C" w:rsidRPr="00C8655C">
      <w:trPr>
        <w:trHeight w:val="400"/>
      </w:trPr>
      <w:tc>
        <w:tcPr>
          <w:tcW w:w="7520" w:type="dxa"/>
          <w:gridSpan w:val="2"/>
          <w:shd w:val="clear" w:color="auto" w:fill="auto"/>
        </w:tcPr>
        <w:p w:rsidR="00C5122C" w:rsidRDefault="00C5122C">
          <w:pPr>
            <w:pStyle w:val="Huisstijl-Retouradres"/>
          </w:pPr>
          <w:r w:rsidRPr="00B96746">
            <w:t>&gt; Retouradres</w:t>
          </w:r>
          <w:r>
            <w:t> </w:t>
          </w:r>
          <w:r w:rsidRPr="00B96746">
            <w:t>Postbus 20201</w:t>
          </w:r>
          <w:r>
            <w:t>  </w:t>
          </w:r>
          <w:r w:rsidRPr="00B96746">
            <w:t>2500 EE  Den Haag</w:t>
          </w:r>
          <w:r>
            <w:t>  </w:t>
          </w:r>
        </w:p>
      </w:tc>
    </w:tr>
    <w:tr w:rsidR="00C5122C">
      <w:trPr>
        <w:cantSplit/>
        <w:trHeight w:hRule="exact" w:val="2440"/>
      </w:trPr>
      <w:tc>
        <w:tcPr>
          <w:tcW w:w="7520" w:type="dxa"/>
          <w:gridSpan w:val="2"/>
          <w:shd w:val="clear" w:color="auto" w:fill="auto"/>
        </w:tcPr>
        <w:p w:rsidR="00C5122C" w:rsidRDefault="00AA02D9">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C5122C">
            <w:instrText xml:space="preserve"> DOCPROPERTY  Rubricering  \* MERGEFORMAT </w:instrText>
          </w:r>
          <w:r>
            <w:fldChar w:fldCharType="end"/>
          </w:r>
        </w:p>
        <w:p w:rsidR="00675EA5" w:rsidRDefault="00AA02D9">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C5122C">
            <w:instrText xml:space="preserve"> DOCPROPERTY  Aan  \* MERGEFORMAT </w:instrText>
          </w:r>
          <w:r>
            <w:fldChar w:fldCharType="separate"/>
          </w:r>
          <w:r w:rsidR="00675EA5">
            <w:t>De Voorzitter van de Tweede Kamer der Staten-Generaal</w:t>
          </w:r>
        </w:p>
        <w:p w:rsidR="00675EA5" w:rsidRDefault="00675EA5">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C5122C" w:rsidRDefault="00675EA5">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r w:rsidR="00AA02D9">
            <w:fldChar w:fldCharType="end"/>
          </w:r>
        </w:p>
      </w:tc>
    </w:tr>
    <w:tr w:rsidR="00C5122C">
      <w:trPr>
        <w:trHeight w:hRule="exact" w:val="400"/>
      </w:trPr>
      <w:tc>
        <w:tcPr>
          <w:tcW w:w="7520" w:type="dxa"/>
          <w:gridSpan w:val="2"/>
          <w:shd w:val="clear" w:color="auto" w:fill="auto"/>
        </w:tcPr>
        <w:p w:rsidR="00C5122C" w:rsidRDefault="00C5122C">
          <w:pPr>
            <w:tabs>
              <w:tab w:val="left" w:pos="740"/>
            </w:tabs>
            <w:autoSpaceDE w:val="0"/>
            <w:autoSpaceDN w:val="0"/>
            <w:adjustRightInd w:val="0"/>
            <w:ind w:left="743" w:hanging="743"/>
            <w:rPr>
              <w:rFonts w:cs="Verdana"/>
              <w:szCs w:val="18"/>
            </w:rPr>
          </w:pPr>
        </w:p>
      </w:tc>
    </w:tr>
    <w:tr w:rsidR="00C5122C">
      <w:trPr>
        <w:trHeight w:val="240"/>
      </w:trPr>
      <w:tc>
        <w:tcPr>
          <w:tcW w:w="742" w:type="dxa"/>
          <w:shd w:val="clear" w:color="auto" w:fill="auto"/>
        </w:tcPr>
        <w:p w:rsidR="00C5122C" w:rsidRDefault="00C5122C">
          <w:pPr>
            <w:pStyle w:val="Huisstijl-Datumenbetreft"/>
            <w:rPr>
              <w:rFonts w:cs="Verdana"/>
              <w:szCs w:val="18"/>
            </w:rPr>
          </w:pPr>
          <w:r>
            <w:t>Datum</w:t>
          </w:r>
        </w:p>
      </w:tc>
      <w:tc>
        <w:tcPr>
          <w:tcW w:w="6778" w:type="dxa"/>
          <w:shd w:val="clear" w:color="auto" w:fill="auto"/>
        </w:tcPr>
        <w:p w:rsidR="00C5122C" w:rsidRDefault="00675EA5">
          <w:pPr>
            <w:pStyle w:val="Huisstijl-Gegevens"/>
            <w:rPr>
              <w:rFonts w:cs="Verdana"/>
              <w:szCs w:val="18"/>
            </w:rPr>
          </w:pPr>
          <w:r>
            <w:rPr>
              <w:rFonts w:cs="Verdana"/>
              <w:szCs w:val="18"/>
            </w:rPr>
            <w:t>25 november 2016</w:t>
          </w:r>
        </w:p>
      </w:tc>
    </w:tr>
    <w:tr w:rsidR="00C5122C">
      <w:trPr>
        <w:trHeight w:val="240"/>
      </w:trPr>
      <w:tc>
        <w:tcPr>
          <w:tcW w:w="742" w:type="dxa"/>
          <w:shd w:val="clear" w:color="auto" w:fill="auto"/>
        </w:tcPr>
        <w:p w:rsidR="00C5122C" w:rsidRDefault="00C5122C">
          <w:pPr>
            <w:pStyle w:val="Huisstijl-Datumenbetreft"/>
            <w:rPr>
              <w:rFonts w:cs="Verdana"/>
              <w:szCs w:val="18"/>
            </w:rPr>
          </w:pPr>
          <w:r>
            <w:t>Betreft</w:t>
          </w:r>
        </w:p>
      </w:tc>
      <w:tc>
        <w:tcPr>
          <w:tcW w:w="6778" w:type="dxa"/>
          <w:shd w:val="clear" w:color="auto" w:fill="auto"/>
        </w:tcPr>
        <w:p w:rsidR="00C5122C" w:rsidRDefault="00AA02D9">
          <w:pPr>
            <w:pStyle w:val="Huisstijl-Gegevens"/>
            <w:rPr>
              <w:rFonts w:cs="Verdana"/>
              <w:szCs w:val="18"/>
            </w:rPr>
          </w:pPr>
          <w:fldSimple w:instr=" DOCPROPERTY  Onderwerp  \* MERGEFORMAT ">
            <w:r w:rsidR="00675EA5">
              <w:t>Najaarsnota 2016</w:t>
            </w:r>
          </w:fldSimple>
        </w:p>
      </w:tc>
    </w:tr>
  </w:tbl>
  <w:p w:rsidR="00C5122C" w:rsidRDefault="00C5122C">
    <w:pPr>
      <w:pStyle w:val="Koptekst"/>
    </w:pPr>
  </w:p>
  <w:p w:rsidR="00C5122C" w:rsidRDefault="00C5122C">
    <w:pPr>
      <w:pStyle w:val="Koptekst"/>
    </w:pPr>
  </w:p>
  <w:p w:rsidR="00C5122C" w:rsidRDefault="00C5122C">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6CCA504D"/>
    <w:multiLevelType w:val="hybridMultilevel"/>
    <w:tmpl w:val="B59CC5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stylePaneFormatFilter w:val="3F01"/>
  <w:defaultTabStop w:val="708"/>
  <w:hyphenationZone w:val="425"/>
  <w:drawingGridHorizontalSpacing w:val="90"/>
  <w:displayHorizontalDrawingGridEvery w:val="2"/>
  <w:noPunctuationKerning/>
  <w:characterSpacingControl w:val="doNotCompress"/>
  <w:hdrShapeDefaults>
    <o:shapedefaults v:ext="edit" spidmax="13315"/>
    <o:shapelayout v:ext="edit">
      <o:idmap v:ext="edit" data="13"/>
    </o:shapelayout>
  </w:hdrShapeDefaults>
  <w:footnotePr>
    <w:footnote w:id="-1"/>
    <w:footnote w:id="0"/>
  </w:footnotePr>
  <w:endnotePr>
    <w:endnote w:id="-1"/>
    <w:endnote w:id="0"/>
  </w:endnotePr>
  <w:compat/>
  <w:rsids>
    <w:rsidRoot w:val="00911C9F"/>
    <w:rsid w:val="000B7976"/>
    <w:rsid w:val="00113AE1"/>
    <w:rsid w:val="00141AE1"/>
    <w:rsid w:val="00190FF0"/>
    <w:rsid w:val="00191478"/>
    <w:rsid w:val="00202099"/>
    <w:rsid w:val="00210B97"/>
    <w:rsid w:val="002150C6"/>
    <w:rsid w:val="002D593C"/>
    <w:rsid w:val="00301F15"/>
    <w:rsid w:val="00345346"/>
    <w:rsid w:val="00386A86"/>
    <w:rsid w:val="003D4847"/>
    <w:rsid w:val="0040714C"/>
    <w:rsid w:val="00444A0D"/>
    <w:rsid w:val="004B3AB8"/>
    <w:rsid w:val="004E63D1"/>
    <w:rsid w:val="004F77E1"/>
    <w:rsid w:val="00561F2D"/>
    <w:rsid w:val="00574EEC"/>
    <w:rsid w:val="005B4F20"/>
    <w:rsid w:val="005D7103"/>
    <w:rsid w:val="005F30D7"/>
    <w:rsid w:val="00623000"/>
    <w:rsid w:val="00634BC2"/>
    <w:rsid w:val="00675EA5"/>
    <w:rsid w:val="006C6495"/>
    <w:rsid w:val="00717380"/>
    <w:rsid w:val="007A2A28"/>
    <w:rsid w:val="007F2421"/>
    <w:rsid w:val="00903BAF"/>
    <w:rsid w:val="00911C9F"/>
    <w:rsid w:val="0094716C"/>
    <w:rsid w:val="00982C65"/>
    <w:rsid w:val="009C0447"/>
    <w:rsid w:val="009D244D"/>
    <w:rsid w:val="009D7BC1"/>
    <w:rsid w:val="00A56CEF"/>
    <w:rsid w:val="00AA02D9"/>
    <w:rsid w:val="00AB3EF9"/>
    <w:rsid w:val="00AC44B5"/>
    <w:rsid w:val="00AE70BA"/>
    <w:rsid w:val="00B96746"/>
    <w:rsid w:val="00BB685A"/>
    <w:rsid w:val="00BD118D"/>
    <w:rsid w:val="00BE3F1B"/>
    <w:rsid w:val="00C460C9"/>
    <w:rsid w:val="00C5122C"/>
    <w:rsid w:val="00C8655C"/>
    <w:rsid w:val="00C90F2C"/>
    <w:rsid w:val="00CE728B"/>
    <w:rsid w:val="00D67849"/>
    <w:rsid w:val="00E05A5B"/>
    <w:rsid w:val="00E51072"/>
    <w:rsid w:val="00E81A4D"/>
    <w:rsid w:val="00F23318"/>
    <w:rsid w:val="00F65F70"/>
    <w:rsid w:val="00F7032C"/>
    <w:rsid w:val="00F875B1"/>
    <w:rsid w:val="00F93787"/>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link w:val="VoetnoottekstChar"/>
    <w:uiPriority w:val="99"/>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 w:type="character" w:styleId="Voetnootmarkering">
    <w:name w:val="footnote reference"/>
    <w:basedOn w:val="Standaardalinea-lettertype"/>
    <w:uiPriority w:val="99"/>
    <w:semiHidden/>
    <w:unhideWhenUsed/>
    <w:rsid w:val="00BB685A"/>
    <w:rPr>
      <w:vertAlign w:val="superscript"/>
    </w:rPr>
  </w:style>
  <w:style w:type="character" w:customStyle="1" w:styleId="VoetnoottekstChar">
    <w:name w:val="Voetnoottekst Char"/>
    <w:basedOn w:val="Standaardalinea-lettertype"/>
    <w:link w:val="Voetnoottekst"/>
    <w:uiPriority w:val="99"/>
    <w:rsid w:val="00BB685A"/>
    <w:rPr>
      <w:rFonts w:ascii="Verdana" w:hAnsi="Verdana"/>
      <w:sz w:val="13"/>
    </w:rPr>
  </w:style>
  <w:style w:type="paragraph" w:customStyle="1" w:styleId="bijschrift">
    <w:name w:val="bijschrift"/>
    <w:basedOn w:val="Standaard"/>
    <w:link w:val="bijschriftChar"/>
    <w:qFormat/>
    <w:rsid w:val="00BB685A"/>
    <w:pPr>
      <w:tabs>
        <w:tab w:val="left" w:pos="1418"/>
        <w:tab w:val="left" w:pos="2835"/>
        <w:tab w:val="left" w:pos="4253"/>
        <w:tab w:val="left" w:pos="5670"/>
      </w:tabs>
      <w:suppressAutoHyphens/>
      <w:spacing w:before="240" w:line="276" w:lineRule="auto"/>
    </w:pPr>
    <w:rPr>
      <w:b/>
      <w:sz w:val="16"/>
      <w:szCs w:val="18"/>
    </w:rPr>
  </w:style>
  <w:style w:type="character" w:customStyle="1" w:styleId="bijschriftChar">
    <w:name w:val="bijschrift Char"/>
    <w:basedOn w:val="Standaardalinea-lettertype"/>
    <w:link w:val="bijschrift"/>
    <w:rsid w:val="00BB685A"/>
    <w:rPr>
      <w:rFonts w:ascii="Verdana" w:hAnsi="Verdana"/>
      <w:b/>
      <w:sz w:val="16"/>
      <w:szCs w:val="18"/>
    </w:rPr>
  </w:style>
  <w:style w:type="paragraph" w:customStyle="1" w:styleId="tekst">
    <w:name w:val="tekst"/>
    <w:basedOn w:val="Standaard"/>
    <w:qFormat/>
    <w:rsid w:val="00BB685A"/>
    <w:pPr>
      <w:tabs>
        <w:tab w:val="left" w:pos="1418"/>
        <w:tab w:val="left" w:pos="2835"/>
        <w:tab w:val="left" w:pos="4253"/>
        <w:tab w:val="left" w:pos="5670"/>
      </w:tabs>
      <w:suppressAutoHyphens/>
      <w:spacing w:before="240" w:line="276" w:lineRule="auto"/>
    </w:pPr>
    <w:rPr>
      <w:szCs w:val="18"/>
    </w:rPr>
  </w:style>
  <w:style w:type="character" w:styleId="Verwijzingopmerking">
    <w:name w:val="annotation reference"/>
    <w:basedOn w:val="Standaardalinea-lettertype"/>
    <w:uiPriority w:val="99"/>
    <w:semiHidden/>
    <w:unhideWhenUsed/>
    <w:rsid w:val="00BB685A"/>
    <w:rPr>
      <w:sz w:val="16"/>
      <w:szCs w:val="16"/>
    </w:rPr>
  </w:style>
  <w:style w:type="paragraph" w:styleId="Lijstalinea">
    <w:name w:val="List Paragraph"/>
    <w:basedOn w:val="Standaard"/>
    <w:uiPriority w:val="34"/>
    <w:qFormat/>
    <w:rsid w:val="00BB68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Rubricering">
    <w:name w:val="Huisstijl - Rubricering"/>
    <w:basedOn w:val="Normal"/>
    <w:next w:val="Normal"/>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DefaultParagraphFont"/>
    <w:rPr>
      <w:color w:val="0000FF"/>
      <w:u w:val="single"/>
    </w:rPr>
  </w:style>
  <w:style w:type="paragraph" w:styleId="Header">
    <w:name w:val="header"/>
    <w:basedOn w:val="Normal"/>
    <w:pPr>
      <w:tabs>
        <w:tab w:val="center" w:pos="4536"/>
        <w:tab w:val="right" w:pos="9072"/>
      </w:tabs>
    </w:pPr>
  </w:style>
  <w:style w:type="paragraph" w:styleId="ListBullet">
    <w:name w:val="List Bullet"/>
    <w:basedOn w:val="Normal"/>
    <w:pPr>
      <w:numPr>
        <w:numId w:val="2"/>
      </w:numPr>
    </w:pPr>
    <w:rPr>
      <w:noProof/>
    </w:rPr>
  </w:style>
  <w:style w:type="paragraph" w:styleId="ListBullet2">
    <w:name w:val="List Bullet 2"/>
    <w:basedOn w:val="Normal"/>
    <w:pPr>
      <w:numPr>
        <w:numId w:val="4"/>
      </w:numPr>
      <w:tabs>
        <w:tab w:val="left" w:pos="454"/>
      </w:tabs>
    </w:pPr>
    <w:rPr>
      <w:noProof/>
    </w:rPr>
  </w:style>
  <w:style w:type="table" w:styleId="TableGrid">
    <w:name w:val="Table Grid"/>
    <w:basedOn w:val="TableNormal"/>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536"/>
        <w:tab w:val="right" w:pos="9072"/>
      </w:tabs>
    </w:pPr>
  </w:style>
  <w:style w:type="paragraph" w:styleId="FootnoteText">
    <w:name w:val="footnote text"/>
    <w:basedOn w:val="Normal"/>
    <w:pPr>
      <w:spacing w:line="180" w:lineRule="atLeast"/>
    </w:pPr>
    <w:rPr>
      <w:sz w:val="13"/>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Huisstijl-Retouradres">
    <w:name w:val="Huisstijl - Retouradres"/>
    <w:basedOn w:val="Normal"/>
    <w:next w:val="Normal"/>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Normal"/>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Normal"/>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Normal"/>
    <w:next w:val="Huisstijl-Referentiegegevens"/>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Normal"/>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Normal"/>
    <w:next w:val="Huisstijl-Referentiegegevens"/>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pPr>
      <w:spacing w:before="90"/>
    </w:pPr>
  </w:style>
  <w:style w:type="paragraph" w:customStyle="1" w:styleId="Huisstijl-Paginanummer">
    <w:name w:val="Huisstijl - Paginanummer"/>
    <w:basedOn w:val="Normal"/>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Normal"/>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Normal"/>
    <w:qFormat/>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Pr>
      <w:sz w:val="18"/>
    </w:rPr>
  </w:style>
  <w:style w:type="paragraph" w:customStyle="1" w:styleId="Huisstijl-Ondertekening">
    <w:name w:val="Huisstijl - Ondertekening"/>
    <w:basedOn w:val="Normal"/>
    <w:next w:val="Normal"/>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pPr>
      <w:spacing w:before="0"/>
    </w:pPr>
  </w:style>
  <w:style w:type="paragraph" w:customStyle="1" w:styleId="Huisstijl-Ondertekeningvervolgtitel">
    <w:name w:val="Huisstijl - Ondertekening vervolg titel"/>
    <w:basedOn w:val="Huisstijl-Ondertekeningvervolg"/>
    <w:qFormat/>
    <w:rPr>
      <w:i/>
      <w:noProof/>
    </w:rPr>
  </w:style>
  <w:style w:type="paragraph" w:customStyle="1" w:styleId="Huisstijl-Slotzin">
    <w:name w:val="Huisstijl - Slotzin"/>
    <w:basedOn w:val="Normal"/>
    <w:next w:val="Huisstijl-Ondertekening"/>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Normal"/>
    <w:next w:val="Normal"/>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chart" Target="charts/chart1.xml" Id="rId7" /><Relationship Type="http://schemas.openxmlformats.org/officeDocument/2006/relationships/fontTable" Target="fontTable.xml" Id="rId12" /><Relationship Type="http://schemas.openxmlformats.org/officeDocument/2006/relationships/styles" Target="styles.xml" Id="rId2" /><Relationship Type="http://schemas.microsoft.com/office/2007/relationships/stylesWithEffects" Target="stylesWithEffects.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footer" Target="footer1.xml" Id="rId9" /></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ataDFS.frd.shsdir.nl\orgdata\FIN\DGRB\Bz\BBL\Nieuwe%20boom\Begrotingsproces\NJN\2016%20-%20Najaarsnota\2016%2011%2014%20BZ%20BBL%20Grafieken%20NJN%20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nl-NL"/>
  <c:chart>
    <c:plotArea>
      <c:layout>
        <c:manualLayout>
          <c:layoutTarget val="inner"/>
          <c:xMode val="edge"/>
          <c:yMode val="edge"/>
          <c:x val="8.3156156606940701E-2"/>
          <c:y val="5.1400554097404488E-2"/>
          <c:w val="0.8797933014006003"/>
          <c:h val="0.81410104986876641"/>
        </c:manualLayout>
      </c:layout>
      <c:scatterChart>
        <c:scatterStyle val="lineMarker"/>
        <c:ser>
          <c:idx val="0"/>
          <c:order val="0"/>
          <c:tx>
            <c:strRef>
              <c:f>'saldo schuld eurozone'!$B$70</c:f>
              <c:strCache>
                <c:ptCount val="1"/>
                <c:pt idx="0">
                  <c:v>België</c:v>
                </c:pt>
              </c:strCache>
            </c:strRef>
          </c:tx>
          <c:spPr>
            <a:ln w="28575">
              <a:noFill/>
            </a:ln>
          </c:spPr>
          <c:marker>
            <c:symbol val="circle"/>
            <c:size val="6"/>
            <c:spPr>
              <a:solidFill>
                <a:schemeClr val="bg1">
                  <a:lumMod val="50000"/>
                </a:schemeClr>
              </a:solidFill>
              <a:ln>
                <a:noFill/>
              </a:ln>
            </c:spPr>
          </c:marker>
          <c:dLbls>
            <c:dLbl>
              <c:idx val="0"/>
              <c:layout>
                <c:manualLayout>
                  <c:x val="-7.9040969569226897E-3"/>
                  <c:y val="0"/>
                </c:manualLayout>
              </c:layout>
              <c:dLblPos val="r"/>
              <c:showSerName val="1"/>
            </c:dLbl>
            <c:txPr>
              <a:bodyPr/>
              <a:lstStyle/>
              <a:p>
                <a:pPr>
                  <a:defRPr>
                    <a:solidFill>
                      <a:schemeClr val="bg1">
                        <a:lumMod val="50000"/>
                      </a:schemeClr>
                    </a:solidFill>
                  </a:defRPr>
                </a:pPr>
                <a:endParaRPr lang="nl-NL"/>
              </a:p>
            </c:txPr>
            <c:dLblPos val="r"/>
            <c:showSerName val="1"/>
          </c:dLbls>
          <c:xVal>
            <c:numRef>
              <c:f>'saldo schuld eurozone'!$D$70</c:f>
              <c:numCache>
                <c:formatCode>0.0</c:formatCode>
                <c:ptCount val="1"/>
                <c:pt idx="0">
                  <c:v>-3</c:v>
                </c:pt>
              </c:numCache>
            </c:numRef>
          </c:xVal>
          <c:yVal>
            <c:numRef>
              <c:f>'saldo schuld eurozone'!$C$70</c:f>
              <c:numCache>
                <c:formatCode>0</c:formatCode>
                <c:ptCount val="1"/>
                <c:pt idx="0">
                  <c:v>107</c:v>
                </c:pt>
              </c:numCache>
            </c:numRef>
          </c:yVal>
        </c:ser>
        <c:ser>
          <c:idx val="1"/>
          <c:order val="1"/>
          <c:tx>
            <c:strRef>
              <c:f>'saldo schuld eurozone'!$B$71</c:f>
              <c:strCache>
                <c:ptCount val="1"/>
                <c:pt idx="0">
                  <c:v>Cyprus</c:v>
                </c:pt>
              </c:strCache>
            </c:strRef>
          </c:tx>
          <c:spPr>
            <a:ln w="28575">
              <a:noFill/>
            </a:ln>
          </c:spPr>
          <c:marker>
            <c:symbol val="circle"/>
            <c:size val="6"/>
            <c:spPr>
              <a:solidFill>
                <a:schemeClr val="bg1">
                  <a:lumMod val="50000"/>
                </a:schemeClr>
              </a:solidFill>
              <a:ln>
                <a:noFill/>
              </a:ln>
            </c:spPr>
          </c:marker>
          <c:dLbls>
            <c:dLbl>
              <c:idx val="0"/>
              <c:layout>
                <c:manualLayout>
                  <c:x val="-1.0079279544674226E-2"/>
                  <c:y val="-2.8016492590714156E-3"/>
                </c:manualLayout>
              </c:layout>
              <c:dLblPos val="r"/>
              <c:showSerName val="1"/>
            </c:dLbl>
            <c:txPr>
              <a:bodyPr/>
              <a:lstStyle/>
              <a:p>
                <a:pPr>
                  <a:defRPr>
                    <a:solidFill>
                      <a:schemeClr val="bg1">
                        <a:lumMod val="50000"/>
                      </a:schemeClr>
                    </a:solidFill>
                  </a:defRPr>
                </a:pPr>
                <a:endParaRPr lang="nl-NL"/>
              </a:p>
            </c:txPr>
            <c:dLblPos val="r"/>
            <c:showSerName val="1"/>
          </c:dLbls>
          <c:xVal>
            <c:numRef>
              <c:f>'saldo schuld eurozone'!$D$71</c:f>
              <c:numCache>
                <c:formatCode>0.0</c:formatCode>
                <c:ptCount val="1"/>
                <c:pt idx="0">
                  <c:v>-0.30000000000000032</c:v>
                </c:pt>
              </c:numCache>
            </c:numRef>
          </c:xVal>
          <c:yVal>
            <c:numRef>
              <c:f>'saldo schuld eurozone'!$C$71</c:f>
              <c:numCache>
                <c:formatCode>0</c:formatCode>
                <c:ptCount val="1"/>
                <c:pt idx="0">
                  <c:v>107.1</c:v>
                </c:pt>
              </c:numCache>
            </c:numRef>
          </c:yVal>
        </c:ser>
        <c:ser>
          <c:idx val="2"/>
          <c:order val="2"/>
          <c:tx>
            <c:strRef>
              <c:f>'saldo schuld eurozone'!$B$72</c:f>
              <c:strCache>
                <c:ptCount val="1"/>
                <c:pt idx="0">
                  <c:v>Duitsland</c:v>
                </c:pt>
              </c:strCache>
            </c:strRef>
          </c:tx>
          <c:spPr>
            <a:ln w="28575">
              <a:noFill/>
            </a:ln>
          </c:spPr>
          <c:marker>
            <c:symbol val="circle"/>
            <c:size val="6"/>
            <c:spPr>
              <a:solidFill>
                <a:schemeClr val="bg1">
                  <a:lumMod val="50000"/>
                </a:schemeClr>
              </a:solidFill>
              <a:ln>
                <a:noFill/>
              </a:ln>
            </c:spPr>
          </c:marker>
          <c:dLbls>
            <c:dLbl>
              <c:idx val="0"/>
              <c:layout>
                <c:manualLayout>
                  <c:x val="-1.2963963749031443E-2"/>
                  <c:y val="-6.4074520893289506E-3"/>
                </c:manualLayout>
              </c:layout>
              <c:dLblPos val="r"/>
              <c:showSerName val="1"/>
            </c:dLbl>
            <c:txPr>
              <a:bodyPr/>
              <a:lstStyle/>
              <a:p>
                <a:pPr>
                  <a:defRPr>
                    <a:solidFill>
                      <a:schemeClr val="bg1">
                        <a:lumMod val="50000"/>
                      </a:schemeClr>
                    </a:solidFill>
                  </a:defRPr>
                </a:pPr>
                <a:endParaRPr lang="nl-NL"/>
              </a:p>
            </c:txPr>
            <c:dLblPos val="l"/>
            <c:showVal val="1"/>
          </c:dLbls>
          <c:xVal>
            <c:numRef>
              <c:f>'saldo schuld eurozone'!$D$72</c:f>
              <c:numCache>
                <c:formatCode>0.0</c:formatCode>
                <c:ptCount val="1"/>
                <c:pt idx="0">
                  <c:v>0.60000000000000064</c:v>
                </c:pt>
              </c:numCache>
            </c:numRef>
          </c:xVal>
          <c:yVal>
            <c:numRef>
              <c:f>'saldo schuld eurozone'!$C$72</c:f>
              <c:numCache>
                <c:formatCode>0</c:formatCode>
                <c:ptCount val="1"/>
                <c:pt idx="0">
                  <c:v>68.099999999999994</c:v>
                </c:pt>
              </c:numCache>
            </c:numRef>
          </c:yVal>
        </c:ser>
        <c:ser>
          <c:idx val="3"/>
          <c:order val="3"/>
          <c:tx>
            <c:strRef>
              <c:f>'saldo schuld eurozone'!$B$73</c:f>
              <c:strCache>
                <c:ptCount val="1"/>
                <c:pt idx="0">
                  <c:v>Estland</c:v>
                </c:pt>
              </c:strCache>
            </c:strRef>
          </c:tx>
          <c:spPr>
            <a:ln w="28575">
              <a:noFill/>
            </a:ln>
          </c:spPr>
          <c:marker>
            <c:symbol val="circle"/>
            <c:size val="6"/>
            <c:spPr>
              <a:solidFill>
                <a:schemeClr val="bg1">
                  <a:lumMod val="50000"/>
                </a:schemeClr>
              </a:solidFill>
              <a:ln>
                <a:noFill/>
              </a:ln>
            </c:spPr>
          </c:marker>
          <c:dLbls>
            <c:dLbl>
              <c:idx val="0"/>
              <c:layout>
                <c:manualLayout>
                  <c:x val="-1.0538795942563565E-2"/>
                  <c:y val="0"/>
                </c:manualLayout>
              </c:layout>
              <c:dLblPos val="r"/>
              <c:showSerName val="1"/>
            </c:dLbl>
            <c:txPr>
              <a:bodyPr/>
              <a:lstStyle/>
              <a:p>
                <a:pPr>
                  <a:defRPr>
                    <a:solidFill>
                      <a:schemeClr val="bg1">
                        <a:lumMod val="50000"/>
                      </a:schemeClr>
                    </a:solidFill>
                  </a:defRPr>
                </a:pPr>
                <a:endParaRPr lang="nl-NL"/>
              </a:p>
            </c:txPr>
            <c:dLblPos val="r"/>
            <c:showVal val="1"/>
          </c:dLbls>
          <c:xVal>
            <c:numRef>
              <c:f>'saldo schuld eurozone'!$D$73</c:f>
              <c:numCache>
                <c:formatCode>0.0</c:formatCode>
                <c:ptCount val="1"/>
                <c:pt idx="0">
                  <c:v>0.5</c:v>
                </c:pt>
              </c:numCache>
            </c:numRef>
          </c:xVal>
          <c:yVal>
            <c:numRef>
              <c:f>'saldo schuld eurozone'!$C$73</c:f>
              <c:numCache>
                <c:formatCode>0</c:formatCode>
                <c:ptCount val="1"/>
                <c:pt idx="0">
                  <c:v>9.4</c:v>
                </c:pt>
              </c:numCache>
            </c:numRef>
          </c:yVal>
        </c:ser>
        <c:ser>
          <c:idx val="4"/>
          <c:order val="4"/>
          <c:tx>
            <c:strRef>
              <c:f>'saldo schuld eurozone'!$B$74</c:f>
              <c:strCache>
                <c:ptCount val="1"/>
                <c:pt idx="0">
                  <c:v>Eurozone</c:v>
                </c:pt>
              </c:strCache>
            </c:strRef>
          </c:tx>
          <c:spPr>
            <a:ln w="28575">
              <a:noFill/>
            </a:ln>
          </c:spPr>
          <c:marker>
            <c:symbol val="diamond"/>
            <c:size val="9"/>
            <c:spPr>
              <a:solidFill>
                <a:srgbClr val="007BC7"/>
              </a:solidFill>
              <a:ln>
                <a:noFill/>
              </a:ln>
            </c:spPr>
          </c:marker>
          <c:dLbls>
            <c:dLbl>
              <c:idx val="0"/>
              <c:layout>
                <c:manualLayout>
                  <c:x val="-2.7718253968253996E-2"/>
                  <c:y val="-5.2916666666666834E-2"/>
                </c:manualLayout>
              </c:layout>
              <c:dLblPos val="r"/>
              <c:showSerName val="1"/>
            </c:dLbl>
            <c:txPr>
              <a:bodyPr/>
              <a:lstStyle/>
              <a:p>
                <a:pPr>
                  <a:defRPr b="1">
                    <a:solidFill>
                      <a:srgbClr val="007BC7"/>
                    </a:solidFill>
                  </a:defRPr>
                </a:pPr>
                <a:endParaRPr lang="nl-NL"/>
              </a:p>
            </c:txPr>
            <c:dLblPos val="r"/>
            <c:showSerName val="1"/>
          </c:dLbls>
          <c:xVal>
            <c:numRef>
              <c:f>'saldo schuld eurozone'!$D$74</c:f>
              <c:numCache>
                <c:formatCode>0.0</c:formatCode>
                <c:ptCount val="1"/>
                <c:pt idx="0">
                  <c:v>-1.8</c:v>
                </c:pt>
              </c:numCache>
            </c:numRef>
          </c:xVal>
          <c:yVal>
            <c:numRef>
              <c:f>'saldo schuld eurozone'!$C$74</c:f>
              <c:numCache>
                <c:formatCode>0</c:formatCode>
                <c:ptCount val="1"/>
                <c:pt idx="0">
                  <c:v>91.6</c:v>
                </c:pt>
              </c:numCache>
            </c:numRef>
          </c:yVal>
        </c:ser>
        <c:ser>
          <c:idx val="5"/>
          <c:order val="5"/>
          <c:tx>
            <c:strRef>
              <c:f>'saldo schuld eurozone'!$B$75</c:f>
              <c:strCache>
                <c:ptCount val="1"/>
                <c:pt idx="0">
                  <c:v>Finland</c:v>
                </c:pt>
              </c:strCache>
            </c:strRef>
          </c:tx>
          <c:spPr>
            <a:ln w="28575">
              <a:noFill/>
            </a:ln>
          </c:spPr>
          <c:marker>
            <c:symbol val="circle"/>
            <c:size val="6"/>
            <c:spPr>
              <a:solidFill>
                <a:schemeClr val="bg1">
                  <a:lumMod val="50000"/>
                </a:schemeClr>
              </a:solidFill>
              <a:ln>
                <a:noFill/>
              </a:ln>
            </c:spPr>
          </c:marker>
          <c:dLbls>
            <c:dLbl>
              <c:idx val="0"/>
              <c:layout>
                <c:manualLayout>
                  <c:x val="-9.9087709544145211E-2"/>
                  <c:y val="4.16667725559631E-2"/>
                </c:manualLayout>
              </c:layout>
              <c:dLblPos val="r"/>
              <c:showSerName val="1"/>
            </c:dLbl>
            <c:txPr>
              <a:bodyPr/>
              <a:lstStyle/>
              <a:p>
                <a:pPr>
                  <a:defRPr>
                    <a:solidFill>
                      <a:schemeClr val="bg1">
                        <a:lumMod val="50000"/>
                      </a:schemeClr>
                    </a:solidFill>
                  </a:defRPr>
                </a:pPr>
                <a:endParaRPr lang="nl-NL"/>
              </a:p>
            </c:txPr>
            <c:dLblPos val="l"/>
            <c:showSerName val="1"/>
          </c:dLbls>
          <c:xVal>
            <c:numRef>
              <c:f>'saldo schuld eurozone'!$D$75</c:f>
              <c:numCache>
                <c:formatCode>0.0</c:formatCode>
                <c:ptCount val="1"/>
                <c:pt idx="0">
                  <c:v>-2.4</c:v>
                </c:pt>
              </c:numCache>
            </c:numRef>
          </c:xVal>
          <c:yVal>
            <c:numRef>
              <c:f>'saldo schuld eurozone'!$C$75</c:f>
              <c:numCache>
                <c:formatCode>0</c:formatCode>
                <c:ptCount val="1"/>
                <c:pt idx="0">
                  <c:v>65.400000000000006</c:v>
                </c:pt>
              </c:numCache>
            </c:numRef>
          </c:yVal>
        </c:ser>
        <c:ser>
          <c:idx val="6"/>
          <c:order val="6"/>
          <c:tx>
            <c:strRef>
              <c:f>'saldo schuld eurozone'!$B$76</c:f>
              <c:strCache>
                <c:ptCount val="1"/>
                <c:pt idx="0">
                  <c:v>Frankrijk</c:v>
                </c:pt>
              </c:strCache>
            </c:strRef>
          </c:tx>
          <c:spPr>
            <a:ln w="28575">
              <a:noFill/>
            </a:ln>
          </c:spPr>
          <c:marker>
            <c:symbol val="circle"/>
            <c:size val="6"/>
            <c:spPr>
              <a:solidFill>
                <a:schemeClr val="bg1">
                  <a:lumMod val="50000"/>
                </a:schemeClr>
              </a:solidFill>
              <a:ln>
                <a:noFill/>
              </a:ln>
            </c:spPr>
          </c:marker>
          <c:dLbls>
            <c:dLbl>
              <c:idx val="0"/>
              <c:layout>
                <c:manualLayout>
                  <c:x val="-0.12384703394093922"/>
                  <c:y val="2.0471970982218351E-2"/>
                </c:manualLayout>
              </c:layout>
              <c:dLblPos val="r"/>
              <c:showSerName val="1"/>
            </c:dLbl>
            <c:txPr>
              <a:bodyPr/>
              <a:lstStyle/>
              <a:p>
                <a:pPr>
                  <a:defRPr>
                    <a:solidFill>
                      <a:schemeClr val="bg1">
                        <a:lumMod val="50000"/>
                      </a:schemeClr>
                    </a:solidFill>
                  </a:defRPr>
                </a:pPr>
                <a:endParaRPr lang="nl-NL"/>
              </a:p>
            </c:txPr>
            <c:dLblPos val="t"/>
            <c:showSerName val="1"/>
          </c:dLbls>
          <c:xVal>
            <c:numRef>
              <c:f>'saldo schuld eurozone'!$D$76</c:f>
              <c:numCache>
                <c:formatCode>0.0</c:formatCode>
                <c:ptCount val="1"/>
                <c:pt idx="0">
                  <c:v>-3.3</c:v>
                </c:pt>
              </c:numCache>
            </c:numRef>
          </c:xVal>
          <c:yVal>
            <c:numRef>
              <c:f>'saldo schuld eurozone'!$C$76</c:f>
              <c:numCache>
                <c:formatCode>0</c:formatCode>
                <c:ptCount val="1"/>
                <c:pt idx="0">
                  <c:v>96.4</c:v>
                </c:pt>
              </c:numCache>
            </c:numRef>
          </c:yVal>
        </c:ser>
        <c:ser>
          <c:idx val="7"/>
          <c:order val="7"/>
          <c:tx>
            <c:strRef>
              <c:f>'saldo schuld eurozone'!$B$77</c:f>
              <c:strCache>
                <c:ptCount val="1"/>
                <c:pt idx="0">
                  <c:v>Griekenland</c:v>
                </c:pt>
              </c:strCache>
            </c:strRef>
          </c:tx>
          <c:spPr>
            <a:ln w="28575">
              <a:noFill/>
            </a:ln>
          </c:spPr>
          <c:marker>
            <c:symbol val="circle"/>
            <c:size val="6"/>
            <c:spPr>
              <a:solidFill>
                <a:schemeClr val="bg1">
                  <a:lumMod val="50000"/>
                </a:schemeClr>
              </a:solidFill>
              <a:ln>
                <a:noFill/>
              </a:ln>
            </c:spPr>
          </c:marker>
          <c:dLbls>
            <c:dLbl>
              <c:idx val="0"/>
              <c:layout>
                <c:manualLayout>
                  <c:x val="-6.6292760697759575E-3"/>
                  <c:y val="-2.0853535498388249E-3"/>
                </c:manualLayout>
              </c:layout>
              <c:dLblPos val="r"/>
              <c:showSerName val="1"/>
            </c:dLbl>
            <c:txPr>
              <a:bodyPr/>
              <a:lstStyle/>
              <a:p>
                <a:pPr>
                  <a:defRPr>
                    <a:solidFill>
                      <a:schemeClr val="bg1">
                        <a:lumMod val="50000"/>
                      </a:schemeClr>
                    </a:solidFill>
                  </a:defRPr>
                </a:pPr>
                <a:endParaRPr lang="nl-NL"/>
              </a:p>
            </c:txPr>
            <c:dLblPos val="r"/>
            <c:showSerName val="1"/>
          </c:dLbls>
          <c:xVal>
            <c:numRef>
              <c:f>'saldo schuld eurozone'!$D$77</c:f>
              <c:numCache>
                <c:formatCode>0.0</c:formatCode>
                <c:ptCount val="1"/>
                <c:pt idx="0">
                  <c:v>-2.5</c:v>
                </c:pt>
              </c:numCache>
            </c:numRef>
          </c:xVal>
          <c:yVal>
            <c:numRef>
              <c:f>'saldo schuld eurozone'!$C$77</c:f>
              <c:numCache>
                <c:formatCode>0</c:formatCode>
                <c:ptCount val="1"/>
                <c:pt idx="0">
                  <c:v>181.6</c:v>
                </c:pt>
              </c:numCache>
            </c:numRef>
          </c:yVal>
        </c:ser>
        <c:ser>
          <c:idx val="8"/>
          <c:order val="8"/>
          <c:tx>
            <c:strRef>
              <c:f>'saldo schuld eurozone'!$B$78</c:f>
              <c:strCache>
                <c:ptCount val="1"/>
                <c:pt idx="0">
                  <c:v>Ierland</c:v>
                </c:pt>
              </c:strCache>
            </c:strRef>
          </c:tx>
          <c:spPr>
            <a:ln w="28575">
              <a:noFill/>
            </a:ln>
          </c:spPr>
          <c:marker>
            <c:symbol val="circle"/>
            <c:size val="6"/>
            <c:spPr>
              <a:solidFill>
                <a:schemeClr val="bg1">
                  <a:lumMod val="50000"/>
                </a:schemeClr>
              </a:solidFill>
              <a:ln>
                <a:noFill/>
              </a:ln>
            </c:spPr>
          </c:marker>
          <c:dLbls>
            <c:dLbl>
              <c:idx val="0"/>
              <c:layout>
                <c:manualLayout>
                  <c:x val="-1.5193452380952302E-2"/>
                  <c:y val="-4.5636458333333497E-2"/>
                </c:manualLayout>
              </c:layout>
              <c:dLblPos val="r"/>
              <c:showSerName val="1"/>
            </c:dLbl>
            <c:txPr>
              <a:bodyPr/>
              <a:lstStyle/>
              <a:p>
                <a:pPr>
                  <a:defRPr>
                    <a:solidFill>
                      <a:schemeClr val="bg1">
                        <a:lumMod val="50000"/>
                      </a:schemeClr>
                    </a:solidFill>
                  </a:defRPr>
                </a:pPr>
                <a:endParaRPr lang="nl-NL"/>
              </a:p>
            </c:txPr>
            <c:dLblPos val="l"/>
            <c:showSerName val="1"/>
          </c:dLbls>
          <c:xVal>
            <c:numRef>
              <c:f>'saldo schuld eurozone'!$D$78</c:f>
              <c:numCache>
                <c:formatCode>0.0</c:formatCode>
                <c:ptCount val="1"/>
                <c:pt idx="0">
                  <c:v>-0.9</c:v>
                </c:pt>
              </c:numCache>
            </c:numRef>
          </c:xVal>
          <c:yVal>
            <c:numRef>
              <c:f>'saldo schuld eurozone'!$C$78</c:f>
              <c:numCache>
                <c:formatCode>0</c:formatCode>
                <c:ptCount val="1"/>
                <c:pt idx="0">
                  <c:v>75.400000000000006</c:v>
                </c:pt>
              </c:numCache>
            </c:numRef>
          </c:yVal>
        </c:ser>
        <c:ser>
          <c:idx val="9"/>
          <c:order val="9"/>
          <c:tx>
            <c:strRef>
              <c:f>'saldo schuld eurozone'!$B$79</c:f>
              <c:strCache>
                <c:ptCount val="1"/>
                <c:pt idx="0">
                  <c:v>Italië</c:v>
                </c:pt>
              </c:strCache>
            </c:strRef>
          </c:tx>
          <c:spPr>
            <a:ln w="28575">
              <a:noFill/>
            </a:ln>
          </c:spPr>
          <c:marker>
            <c:symbol val="circle"/>
            <c:size val="6"/>
            <c:spPr>
              <a:solidFill>
                <a:schemeClr val="bg1">
                  <a:lumMod val="50000"/>
                </a:schemeClr>
              </a:solidFill>
              <a:ln>
                <a:noFill/>
              </a:ln>
            </c:spPr>
          </c:marker>
          <c:dLbls>
            <c:dLbl>
              <c:idx val="0"/>
              <c:layout>
                <c:manualLayout>
                  <c:x val="-1.0768450413201723E-2"/>
                  <c:y val="-3.6058028302575272E-3"/>
                </c:manualLayout>
              </c:layout>
              <c:dLblPos val="r"/>
              <c:showSerName val="1"/>
            </c:dLbl>
            <c:txPr>
              <a:bodyPr/>
              <a:lstStyle/>
              <a:p>
                <a:pPr>
                  <a:defRPr>
                    <a:solidFill>
                      <a:schemeClr val="bg1">
                        <a:lumMod val="50000"/>
                      </a:schemeClr>
                    </a:solidFill>
                  </a:defRPr>
                </a:pPr>
                <a:endParaRPr lang="nl-NL"/>
              </a:p>
            </c:txPr>
            <c:dLblPos val="r"/>
            <c:showSerName val="1"/>
          </c:dLbls>
          <c:xVal>
            <c:numRef>
              <c:f>'saldo schuld eurozone'!$D$79</c:f>
              <c:numCache>
                <c:formatCode>0.0</c:formatCode>
                <c:ptCount val="1"/>
                <c:pt idx="0">
                  <c:v>-2.4</c:v>
                </c:pt>
              </c:numCache>
            </c:numRef>
          </c:xVal>
          <c:yVal>
            <c:numRef>
              <c:f>'saldo schuld eurozone'!$C$79</c:f>
              <c:numCache>
                <c:formatCode>0</c:formatCode>
                <c:ptCount val="1"/>
                <c:pt idx="0">
                  <c:v>133</c:v>
                </c:pt>
              </c:numCache>
            </c:numRef>
          </c:yVal>
        </c:ser>
        <c:ser>
          <c:idx val="10"/>
          <c:order val="10"/>
          <c:tx>
            <c:strRef>
              <c:f>'saldo schuld eurozone'!$B$80</c:f>
              <c:strCache>
                <c:ptCount val="1"/>
                <c:pt idx="0">
                  <c:v>Letland</c:v>
                </c:pt>
              </c:strCache>
            </c:strRef>
          </c:tx>
          <c:spPr>
            <a:ln w="28575">
              <a:noFill/>
            </a:ln>
          </c:spPr>
          <c:marker>
            <c:symbol val="circle"/>
            <c:size val="6"/>
            <c:spPr>
              <a:solidFill>
                <a:schemeClr val="bg1">
                  <a:lumMod val="50000"/>
                </a:schemeClr>
              </a:solidFill>
              <a:ln>
                <a:noFill/>
              </a:ln>
            </c:spPr>
          </c:marker>
          <c:dLbls>
            <c:dLbl>
              <c:idx val="0"/>
              <c:layout>
                <c:manualLayout>
                  <c:x val="-0.11717605909194169"/>
                  <c:y val="1.1419706808875473E-2"/>
                </c:manualLayout>
              </c:layout>
              <c:dLblPos val="r"/>
              <c:showSerName val="1"/>
            </c:dLbl>
            <c:txPr>
              <a:bodyPr/>
              <a:lstStyle/>
              <a:p>
                <a:pPr>
                  <a:defRPr>
                    <a:solidFill>
                      <a:schemeClr val="bg1">
                        <a:lumMod val="50000"/>
                      </a:schemeClr>
                    </a:solidFill>
                  </a:defRPr>
                </a:pPr>
                <a:endParaRPr lang="nl-NL"/>
              </a:p>
            </c:txPr>
            <c:dLblPos val="r"/>
            <c:showVal val="1"/>
          </c:dLbls>
          <c:xVal>
            <c:numRef>
              <c:f>'saldo schuld eurozone'!$D$80</c:f>
              <c:numCache>
                <c:formatCode>0.0</c:formatCode>
                <c:ptCount val="1"/>
                <c:pt idx="0">
                  <c:v>-0.8</c:v>
                </c:pt>
              </c:numCache>
            </c:numRef>
          </c:xVal>
          <c:yVal>
            <c:numRef>
              <c:f>'saldo schuld eurozone'!$C$80</c:f>
              <c:numCache>
                <c:formatCode>0</c:formatCode>
                <c:ptCount val="1"/>
                <c:pt idx="0">
                  <c:v>40</c:v>
                </c:pt>
              </c:numCache>
            </c:numRef>
          </c:yVal>
        </c:ser>
        <c:ser>
          <c:idx val="11"/>
          <c:order val="11"/>
          <c:tx>
            <c:strRef>
              <c:f>'saldo schuld eurozone'!$B$81</c:f>
              <c:strCache>
                <c:ptCount val="1"/>
                <c:pt idx="0">
                  <c:v>Litouwen</c:v>
                </c:pt>
              </c:strCache>
            </c:strRef>
          </c:tx>
          <c:spPr>
            <a:ln w="28575">
              <a:noFill/>
            </a:ln>
          </c:spPr>
          <c:marker>
            <c:symbol val="circle"/>
            <c:size val="6"/>
            <c:spPr>
              <a:solidFill>
                <a:schemeClr val="bg1">
                  <a:lumMod val="50000"/>
                </a:schemeClr>
              </a:solidFill>
              <a:ln>
                <a:noFill/>
              </a:ln>
            </c:spPr>
          </c:marker>
          <c:dLbls>
            <c:dLbl>
              <c:idx val="0"/>
              <c:layout>
                <c:manualLayout>
                  <c:x val="-1.2591164215393909E-2"/>
                  <c:y val="8.2993005134602649E-4"/>
                </c:manualLayout>
              </c:layout>
              <c:dLblPos val="r"/>
              <c:showSerName val="1"/>
            </c:dLbl>
            <c:txPr>
              <a:bodyPr/>
              <a:lstStyle/>
              <a:p>
                <a:pPr>
                  <a:defRPr>
                    <a:solidFill>
                      <a:schemeClr val="bg1">
                        <a:lumMod val="50000"/>
                      </a:schemeClr>
                    </a:solidFill>
                  </a:defRPr>
                </a:pPr>
                <a:endParaRPr lang="nl-NL"/>
              </a:p>
            </c:txPr>
            <c:dLblPos val="l"/>
            <c:showSerName val="1"/>
          </c:dLbls>
          <c:xVal>
            <c:numRef>
              <c:f>'saldo schuld eurozone'!$D$81</c:f>
              <c:numCache>
                <c:formatCode>0.0</c:formatCode>
                <c:ptCount val="1"/>
                <c:pt idx="0">
                  <c:v>-0.60000000000000064</c:v>
                </c:pt>
              </c:numCache>
            </c:numRef>
          </c:xVal>
          <c:yVal>
            <c:numRef>
              <c:f>'saldo schuld eurozone'!$C$81</c:f>
              <c:numCache>
                <c:formatCode>0</c:formatCode>
                <c:ptCount val="1"/>
                <c:pt idx="0">
                  <c:v>40.800000000000004</c:v>
                </c:pt>
              </c:numCache>
            </c:numRef>
          </c:yVal>
        </c:ser>
        <c:ser>
          <c:idx val="12"/>
          <c:order val="12"/>
          <c:tx>
            <c:strRef>
              <c:f>'saldo schuld eurozone'!$B$82</c:f>
              <c:strCache>
                <c:ptCount val="1"/>
                <c:pt idx="0">
                  <c:v>Luxemburg</c:v>
                </c:pt>
              </c:strCache>
            </c:strRef>
          </c:tx>
          <c:spPr>
            <a:ln w="28575">
              <a:noFill/>
            </a:ln>
          </c:spPr>
          <c:marker>
            <c:symbol val="circle"/>
            <c:size val="6"/>
            <c:spPr>
              <a:solidFill>
                <a:schemeClr val="bg1">
                  <a:lumMod val="50000"/>
                </a:schemeClr>
              </a:solidFill>
              <a:ln>
                <a:noFill/>
              </a:ln>
            </c:spPr>
          </c:marker>
          <c:dLbls>
            <c:dLbl>
              <c:idx val="0"/>
              <c:layout>
                <c:manualLayout>
                  <c:x val="-4.0317460317460516E-2"/>
                  <c:y val="-3.9687500000000042E-2"/>
                </c:manualLayout>
              </c:layout>
              <c:dLblPos val="r"/>
              <c:showSerName val="1"/>
            </c:dLbl>
            <c:txPr>
              <a:bodyPr/>
              <a:lstStyle/>
              <a:p>
                <a:pPr>
                  <a:defRPr>
                    <a:solidFill>
                      <a:schemeClr val="bg1">
                        <a:lumMod val="50000"/>
                      </a:schemeClr>
                    </a:solidFill>
                  </a:defRPr>
                </a:pPr>
                <a:endParaRPr lang="nl-NL"/>
              </a:p>
            </c:txPr>
            <c:dLblPos val="r"/>
            <c:showVal val="1"/>
          </c:dLbls>
          <c:xVal>
            <c:numRef>
              <c:f>'saldo schuld eurozone'!$D$82</c:f>
              <c:numCache>
                <c:formatCode>0.0</c:formatCode>
                <c:ptCount val="1"/>
                <c:pt idx="0">
                  <c:v>1.3</c:v>
                </c:pt>
              </c:numCache>
            </c:numRef>
          </c:xVal>
          <c:yVal>
            <c:numRef>
              <c:f>'saldo schuld eurozone'!$C$82</c:f>
              <c:numCache>
                <c:formatCode>0</c:formatCode>
                <c:ptCount val="1"/>
                <c:pt idx="0">
                  <c:v>23.2</c:v>
                </c:pt>
              </c:numCache>
            </c:numRef>
          </c:yVal>
        </c:ser>
        <c:ser>
          <c:idx val="13"/>
          <c:order val="13"/>
          <c:tx>
            <c:strRef>
              <c:f>'saldo schuld eurozone'!$B$83</c:f>
              <c:strCache>
                <c:ptCount val="1"/>
                <c:pt idx="0">
                  <c:v>Malta</c:v>
                </c:pt>
              </c:strCache>
            </c:strRef>
          </c:tx>
          <c:spPr>
            <a:ln w="28575">
              <a:noFill/>
            </a:ln>
          </c:spPr>
          <c:marker>
            <c:symbol val="circle"/>
            <c:size val="6"/>
            <c:spPr>
              <a:solidFill>
                <a:schemeClr val="bg1">
                  <a:lumMod val="50000"/>
                </a:schemeClr>
              </a:solidFill>
              <a:ln>
                <a:noFill/>
              </a:ln>
            </c:spPr>
          </c:marker>
          <c:dLbls>
            <c:dLbl>
              <c:idx val="0"/>
              <c:layout>
                <c:manualLayout>
                  <c:x val="-9.2014087301587305E-2"/>
                  <c:y val="2.5797916666666806E-2"/>
                </c:manualLayout>
              </c:layout>
              <c:spPr/>
              <c:txPr>
                <a:bodyPr/>
                <a:lstStyle/>
                <a:p>
                  <a:pPr>
                    <a:defRPr>
                      <a:solidFill>
                        <a:schemeClr val="bg1">
                          <a:lumMod val="50000"/>
                        </a:schemeClr>
                      </a:solidFill>
                    </a:defRPr>
                  </a:pPr>
                  <a:endParaRPr lang="nl-NL"/>
                </a:p>
              </c:txPr>
              <c:showSerName val="1"/>
            </c:dLbl>
            <c:delete val="1"/>
          </c:dLbls>
          <c:xVal>
            <c:numRef>
              <c:f>'saldo schuld eurozone'!$D$83</c:f>
              <c:numCache>
                <c:formatCode>0.0</c:formatCode>
                <c:ptCount val="1"/>
                <c:pt idx="0">
                  <c:v>-0.70000000000000062</c:v>
                </c:pt>
              </c:numCache>
            </c:numRef>
          </c:xVal>
          <c:yVal>
            <c:numRef>
              <c:f>'saldo schuld eurozone'!$C$83</c:f>
              <c:numCache>
                <c:formatCode>0</c:formatCode>
                <c:ptCount val="1"/>
                <c:pt idx="0">
                  <c:v>62.1</c:v>
                </c:pt>
              </c:numCache>
            </c:numRef>
          </c:yVal>
        </c:ser>
        <c:ser>
          <c:idx val="14"/>
          <c:order val="14"/>
          <c:tx>
            <c:strRef>
              <c:f>'saldo schuld eurozone'!$B$84</c:f>
              <c:strCache>
                <c:ptCount val="1"/>
                <c:pt idx="0">
                  <c:v>Nederland</c:v>
                </c:pt>
              </c:strCache>
            </c:strRef>
          </c:tx>
          <c:spPr>
            <a:ln w="28575">
              <a:noFill/>
            </a:ln>
          </c:spPr>
          <c:marker>
            <c:symbol val="diamond"/>
            <c:size val="9"/>
            <c:spPr>
              <a:solidFill>
                <a:srgbClr val="CA005D"/>
              </a:solidFill>
              <a:ln>
                <a:noFill/>
              </a:ln>
            </c:spPr>
          </c:marker>
          <c:dLbls>
            <c:dLbl>
              <c:idx val="0"/>
              <c:layout>
                <c:manualLayout>
                  <c:x val="-3.7797619047619281E-2"/>
                  <c:y val="-4.8506944444444512E-2"/>
                </c:manualLayout>
              </c:layout>
              <c:dLblPos val="r"/>
              <c:showSerName val="1"/>
            </c:dLbl>
            <c:txPr>
              <a:bodyPr/>
              <a:lstStyle/>
              <a:p>
                <a:pPr>
                  <a:defRPr b="1">
                    <a:solidFill>
                      <a:srgbClr val="CA005D"/>
                    </a:solidFill>
                  </a:defRPr>
                </a:pPr>
                <a:endParaRPr lang="nl-NL"/>
              </a:p>
            </c:txPr>
            <c:dLblPos val="r"/>
            <c:showSerName val="1"/>
          </c:dLbls>
          <c:xVal>
            <c:numRef>
              <c:f>'saldo schuld eurozone'!$D$84</c:f>
              <c:numCache>
                <c:formatCode>0.0</c:formatCode>
                <c:ptCount val="1"/>
                <c:pt idx="0">
                  <c:v>-0.4</c:v>
                </c:pt>
              </c:numCache>
            </c:numRef>
          </c:xVal>
          <c:yVal>
            <c:numRef>
              <c:f>'saldo schuld eurozone'!$C$84</c:f>
              <c:numCache>
                <c:formatCode>0.0</c:formatCode>
                <c:ptCount val="1"/>
                <c:pt idx="0">
                  <c:v>63</c:v>
                </c:pt>
              </c:numCache>
            </c:numRef>
          </c:yVal>
        </c:ser>
        <c:ser>
          <c:idx val="15"/>
          <c:order val="15"/>
          <c:tx>
            <c:strRef>
              <c:f>'saldo schuld eurozone'!$B$85</c:f>
              <c:strCache>
                <c:ptCount val="1"/>
                <c:pt idx="0">
                  <c:v>Oostenrijk</c:v>
                </c:pt>
              </c:strCache>
            </c:strRef>
          </c:tx>
          <c:spPr>
            <a:ln w="28575">
              <a:noFill/>
            </a:ln>
          </c:spPr>
          <c:marker>
            <c:symbol val="circle"/>
            <c:size val="6"/>
            <c:spPr>
              <a:solidFill>
                <a:schemeClr val="bg1">
                  <a:lumMod val="50000"/>
                </a:schemeClr>
              </a:solidFill>
              <a:ln>
                <a:noFill/>
              </a:ln>
            </c:spPr>
          </c:marker>
          <c:dLbls>
            <c:dLbl>
              <c:idx val="0"/>
              <c:layout>
                <c:manualLayout>
                  <c:x val="-0.10927996031746032"/>
                  <c:y val="4.2997569444444522E-2"/>
                </c:manualLayout>
              </c:layout>
              <c:dLblPos val="r"/>
              <c:showSerName val="1"/>
            </c:dLbl>
            <c:txPr>
              <a:bodyPr/>
              <a:lstStyle/>
              <a:p>
                <a:pPr>
                  <a:defRPr>
                    <a:solidFill>
                      <a:schemeClr val="bg1">
                        <a:lumMod val="50000"/>
                      </a:schemeClr>
                    </a:solidFill>
                  </a:defRPr>
                </a:pPr>
                <a:endParaRPr lang="nl-NL"/>
              </a:p>
            </c:txPr>
            <c:dLblPos val="l"/>
            <c:showSerName val="1"/>
          </c:dLbls>
          <c:xVal>
            <c:numRef>
              <c:f>'saldo schuld eurozone'!$D$85</c:f>
              <c:numCache>
                <c:formatCode>0.0</c:formatCode>
                <c:ptCount val="1"/>
                <c:pt idx="0">
                  <c:v>-1.5</c:v>
                </c:pt>
              </c:numCache>
            </c:numRef>
          </c:xVal>
          <c:yVal>
            <c:numRef>
              <c:f>'saldo schuld eurozone'!$C$85</c:f>
              <c:numCache>
                <c:formatCode>0</c:formatCode>
                <c:ptCount val="1"/>
                <c:pt idx="0">
                  <c:v>83.5</c:v>
                </c:pt>
              </c:numCache>
            </c:numRef>
          </c:yVal>
        </c:ser>
        <c:ser>
          <c:idx val="16"/>
          <c:order val="16"/>
          <c:tx>
            <c:strRef>
              <c:f>'saldo schuld eurozone'!$B$86</c:f>
              <c:strCache>
                <c:ptCount val="1"/>
                <c:pt idx="0">
                  <c:v>Portugal</c:v>
                </c:pt>
              </c:strCache>
            </c:strRef>
          </c:tx>
          <c:spPr>
            <a:ln w="28575">
              <a:noFill/>
            </a:ln>
          </c:spPr>
          <c:marker>
            <c:symbol val="circle"/>
            <c:size val="6"/>
            <c:spPr>
              <a:solidFill>
                <a:schemeClr val="bg1">
                  <a:lumMod val="50000"/>
                </a:schemeClr>
              </a:solidFill>
              <a:ln>
                <a:noFill/>
              </a:ln>
            </c:spPr>
          </c:marker>
          <c:dLbls>
            <c:dLbl>
              <c:idx val="0"/>
              <c:layout>
                <c:manualLayout>
                  <c:x val="-5.6120955503668295E-2"/>
                  <c:y val="3.0277198815443742E-2"/>
                </c:manualLayout>
              </c:layout>
              <c:dLblPos val="r"/>
              <c:showSerName val="1"/>
            </c:dLbl>
            <c:txPr>
              <a:bodyPr/>
              <a:lstStyle/>
              <a:p>
                <a:pPr>
                  <a:defRPr>
                    <a:solidFill>
                      <a:schemeClr val="bg1">
                        <a:lumMod val="50000"/>
                      </a:schemeClr>
                    </a:solidFill>
                  </a:defRPr>
                </a:pPr>
                <a:endParaRPr lang="nl-NL"/>
              </a:p>
            </c:txPr>
            <c:dLblPos val="l"/>
            <c:showSerName val="1"/>
          </c:dLbls>
          <c:xVal>
            <c:numRef>
              <c:f>'saldo schuld eurozone'!$D$86</c:f>
              <c:numCache>
                <c:formatCode>0.0</c:formatCode>
                <c:ptCount val="1"/>
                <c:pt idx="0">
                  <c:v>-2.7</c:v>
                </c:pt>
              </c:numCache>
            </c:numRef>
          </c:xVal>
          <c:yVal>
            <c:numRef>
              <c:f>'saldo schuld eurozone'!$C$86</c:f>
              <c:numCache>
                <c:formatCode>0</c:formatCode>
                <c:ptCount val="1"/>
                <c:pt idx="0">
                  <c:v>130.30000000000001</c:v>
                </c:pt>
              </c:numCache>
            </c:numRef>
          </c:yVal>
        </c:ser>
        <c:ser>
          <c:idx val="17"/>
          <c:order val="17"/>
          <c:tx>
            <c:strRef>
              <c:f>'saldo schuld eurozone'!$B$87</c:f>
              <c:strCache>
                <c:ptCount val="1"/>
                <c:pt idx="0">
                  <c:v>Slovenië</c:v>
                </c:pt>
              </c:strCache>
            </c:strRef>
          </c:tx>
          <c:spPr>
            <a:ln w="28575">
              <a:noFill/>
            </a:ln>
          </c:spPr>
          <c:marker>
            <c:symbol val="circle"/>
            <c:size val="6"/>
            <c:spPr>
              <a:solidFill>
                <a:schemeClr val="bg1">
                  <a:lumMod val="50000"/>
                </a:schemeClr>
              </a:solidFill>
              <a:ln>
                <a:noFill/>
              </a:ln>
            </c:spPr>
          </c:marker>
          <c:dLbls>
            <c:dLbl>
              <c:idx val="0"/>
              <c:layout>
                <c:manualLayout>
                  <c:x val="-8.0995210864088008E-2"/>
                  <c:y val="-3.9134142617997296E-2"/>
                </c:manualLayout>
              </c:layout>
              <c:spPr/>
              <c:txPr>
                <a:bodyPr/>
                <a:lstStyle/>
                <a:p>
                  <a:pPr>
                    <a:defRPr>
                      <a:solidFill>
                        <a:schemeClr val="bg1">
                          <a:lumMod val="50000"/>
                        </a:schemeClr>
                      </a:solidFill>
                    </a:defRPr>
                  </a:pPr>
                  <a:endParaRPr lang="nl-NL"/>
                </a:p>
              </c:txPr>
              <c:showSerName val="1"/>
            </c:dLbl>
            <c:showVal val="1"/>
          </c:dLbls>
          <c:xVal>
            <c:numRef>
              <c:f>'saldo schuld eurozone'!$D$87</c:f>
              <c:numCache>
                <c:formatCode>0.0</c:formatCode>
                <c:ptCount val="1"/>
                <c:pt idx="0">
                  <c:v>-2.4</c:v>
                </c:pt>
              </c:numCache>
            </c:numRef>
          </c:xVal>
          <c:yVal>
            <c:numRef>
              <c:f>'saldo schuld eurozone'!$C$87</c:f>
              <c:numCache>
                <c:formatCode>0</c:formatCode>
                <c:ptCount val="1"/>
                <c:pt idx="0">
                  <c:v>80.2</c:v>
                </c:pt>
              </c:numCache>
            </c:numRef>
          </c:yVal>
        </c:ser>
        <c:ser>
          <c:idx val="18"/>
          <c:order val="18"/>
          <c:tx>
            <c:strRef>
              <c:f>'saldo schuld eurozone'!$B$88</c:f>
              <c:strCache>
                <c:ptCount val="1"/>
                <c:pt idx="0">
                  <c:v>Slowakije</c:v>
                </c:pt>
              </c:strCache>
            </c:strRef>
          </c:tx>
          <c:spPr>
            <a:ln w="28575">
              <a:noFill/>
            </a:ln>
          </c:spPr>
          <c:marker>
            <c:symbol val="circle"/>
            <c:size val="6"/>
            <c:spPr>
              <a:solidFill>
                <a:schemeClr val="bg1">
                  <a:lumMod val="50000"/>
                </a:schemeClr>
              </a:solidFill>
              <a:ln>
                <a:noFill/>
              </a:ln>
            </c:spPr>
          </c:marker>
          <c:dLbls>
            <c:dLbl>
              <c:idx val="0"/>
              <c:layout>
                <c:manualLayout>
                  <c:x val="-4.5012483701689907E-2"/>
                  <c:y val="3.3870657979145805E-2"/>
                </c:manualLayout>
              </c:layout>
              <c:dLblPos val="r"/>
              <c:showSerName val="1"/>
            </c:dLbl>
            <c:txPr>
              <a:bodyPr/>
              <a:lstStyle/>
              <a:p>
                <a:pPr>
                  <a:defRPr>
                    <a:solidFill>
                      <a:schemeClr val="bg1">
                        <a:lumMod val="50000"/>
                      </a:schemeClr>
                    </a:solidFill>
                  </a:defRPr>
                </a:pPr>
                <a:endParaRPr lang="nl-NL"/>
              </a:p>
            </c:txPr>
            <c:dLblPos val="r"/>
            <c:showSerName val="1"/>
          </c:dLbls>
          <c:xVal>
            <c:numRef>
              <c:f>'saldo schuld eurozone'!$D$88</c:f>
              <c:numCache>
                <c:formatCode>0.0</c:formatCode>
                <c:ptCount val="1"/>
                <c:pt idx="0">
                  <c:v>-2.2000000000000002</c:v>
                </c:pt>
              </c:numCache>
            </c:numRef>
          </c:xVal>
          <c:yVal>
            <c:numRef>
              <c:f>'saldo schuld eurozone'!$C$88</c:f>
              <c:numCache>
                <c:formatCode>0</c:formatCode>
                <c:ptCount val="1"/>
                <c:pt idx="0">
                  <c:v>53.3</c:v>
                </c:pt>
              </c:numCache>
            </c:numRef>
          </c:yVal>
        </c:ser>
        <c:ser>
          <c:idx val="19"/>
          <c:order val="19"/>
          <c:tx>
            <c:strRef>
              <c:f>'saldo schuld eurozone'!$B$89</c:f>
              <c:strCache>
                <c:ptCount val="1"/>
                <c:pt idx="0">
                  <c:v>Spanje</c:v>
                </c:pt>
              </c:strCache>
            </c:strRef>
          </c:tx>
          <c:spPr>
            <a:ln w="28575">
              <a:noFill/>
            </a:ln>
          </c:spPr>
          <c:marker>
            <c:symbol val="circle"/>
            <c:size val="6"/>
            <c:spPr>
              <a:solidFill>
                <a:schemeClr val="bg1">
                  <a:lumMod val="50000"/>
                </a:schemeClr>
              </a:solidFill>
              <a:ln>
                <a:noFill/>
              </a:ln>
            </c:spPr>
          </c:marker>
          <c:dLbls>
            <c:dLbl>
              <c:idx val="0"/>
              <c:layout>
                <c:manualLayout>
                  <c:x val="-5.8135774129538111E-2"/>
                  <c:y val="-4.89034285986054E-2"/>
                </c:manualLayout>
              </c:layout>
              <c:dLblPos val="r"/>
              <c:showSerName val="1"/>
            </c:dLbl>
            <c:txPr>
              <a:bodyPr/>
              <a:lstStyle/>
              <a:p>
                <a:pPr>
                  <a:defRPr>
                    <a:solidFill>
                      <a:schemeClr val="bg1">
                        <a:lumMod val="50000"/>
                      </a:schemeClr>
                    </a:solidFill>
                  </a:defRPr>
                </a:pPr>
                <a:endParaRPr lang="nl-NL"/>
              </a:p>
            </c:txPr>
            <c:dLblPos val="t"/>
            <c:showSerName val="1"/>
          </c:dLbls>
          <c:xVal>
            <c:numRef>
              <c:f>'saldo schuld eurozone'!$D$89</c:f>
              <c:numCache>
                <c:formatCode>0.0</c:formatCode>
                <c:ptCount val="1"/>
                <c:pt idx="0">
                  <c:v>-4.5999999999999996</c:v>
                </c:pt>
              </c:numCache>
            </c:numRef>
          </c:xVal>
          <c:yVal>
            <c:numRef>
              <c:f>'saldo schuld eurozone'!$C$89</c:f>
              <c:numCache>
                <c:formatCode>0</c:formatCode>
                <c:ptCount val="1"/>
                <c:pt idx="0">
                  <c:v>99.5</c:v>
                </c:pt>
              </c:numCache>
            </c:numRef>
          </c:yVal>
        </c:ser>
        <c:axId val="123876480"/>
        <c:axId val="123878400"/>
      </c:scatterChart>
      <c:valAx>
        <c:axId val="123876480"/>
        <c:scaling>
          <c:orientation val="minMax"/>
          <c:max val="1.5"/>
          <c:min val="-5"/>
        </c:scaling>
        <c:axPos val="b"/>
        <c:title>
          <c:tx>
            <c:rich>
              <a:bodyPr/>
              <a:lstStyle/>
              <a:p>
                <a:pPr>
                  <a:defRPr sz="700">
                    <a:latin typeface="Verdana" pitchFamily="34" charset="0"/>
                    <a:ea typeface="Verdana" pitchFamily="34" charset="0"/>
                    <a:cs typeface="Verdana" pitchFamily="34" charset="0"/>
                  </a:defRPr>
                </a:pPr>
                <a:r>
                  <a:rPr lang="nl-NL"/>
                  <a:t>EMU-saldo</a:t>
                </a:r>
              </a:p>
            </c:rich>
          </c:tx>
        </c:title>
        <c:numFmt formatCode="0" sourceLinked="0"/>
        <c:majorTickMark val="none"/>
        <c:tickLblPos val="low"/>
        <c:spPr>
          <a:noFill/>
          <a:ln w="12700">
            <a:solidFill>
              <a:srgbClr val="CA005D"/>
            </a:solidFill>
            <a:prstDash val="dash"/>
          </a:ln>
        </c:spPr>
        <c:txPr>
          <a:bodyPr/>
          <a:lstStyle/>
          <a:p>
            <a:pPr>
              <a:defRPr sz="700">
                <a:latin typeface="Verdana" pitchFamily="34" charset="0"/>
                <a:ea typeface="Verdana" pitchFamily="34" charset="0"/>
                <a:cs typeface="Verdana" pitchFamily="34" charset="0"/>
              </a:defRPr>
            </a:pPr>
            <a:endParaRPr lang="nl-NL"/>
          </a:p>
        </c:txPr>
        <c:crossAx val="123878400"/>
        <c:crossesAt val="60"/>
        <c:crossBetween val="midCat"/>
        <c:majorUnit val="1"/>
      </c:valAx>
      <c:valAx>
        <c:axId val="123878400"/>
        <c:scaling>
          <c:orientation val="minMax"/>
          <c:max val="200"/>
          <c:min val="0"/>
        </c:scaling>
        <c:axPos val="l"/>
        <c:title>
          <c:tx>
            <c:rich>
              <a:bodyPr rot="-5400000" vert="horz"/>
              <a:lstStyle/>
              <a:p>
                <a:pPr>
                  <a:defRPr sz="700">
                    <a:latin typeface="Verdana" pitchFamily="34" charset="0"/>
                    <a:ea typeface="Verdana" pitchFamily="34" charset="0"/>
                    <a:cs typeface="Verdana" pitchFamily="34" charset="0"/>
                  </a:defRPr>
                </a:pPr>
                <a:r>
                  <a:rPr lang="en-US"/>
                  <a:t>EMU-schuld</a:t>
                </a:r>
              </a:p>
            </c:rich>
          </c:tx>
        </c:title>
        <c:numFmt formatCode="0" sourceLinked="1"/>
        <c:majorTickMark val="none"/>
        <c:tickLblPos val="low"/>
        <c:spPr>
          <a:ln w="12700">
            <a:solidFill>
              <a:srgbClr val="CA005D"/>
            </a:solidFill>
            <a:prstDash val="dash"/>
          </a:ln>
        </c:spPr>
        <c:txPr>
          <a:bodyPr/>
          <a:lstStyle/>
          <a:p>
            <a:pPr>
              <a:defRPr sz="700">
                <a:latin typeface="Verdana" pitchFamily="34" charset="0"/>
                <a:ea typeface="Verdana" pitchFamily="34" charset="0"/>
                <a:cs typeface="Verdana" pitchFamily="34" charset="0"/>
              </a:defRPr>
            </a:pPr>
            <a:endParaRPr lang="nl-NL"/>
          </a:p>
        </c:txPr>
        <c:crossAx val="123876480"/>
        <c:crossesAt val="-3"/>
        <c:crossBetween val="midCat"/>
        <c:majorUnit val="60"/>
      </c:valAx>
      <c:spPr>
        <a:solidFill>
          <a:schemeClr val="bg1"/>
        </a:solidFill>
      </c:spPr>
    </c:plotArea>
    <c:plotVisOnly val="1"/>
  </c:chart>
  <c:spPr>
    <a:solidFill>
      <a:schemeClr val="bg1"/>
    </a:solidFill>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2741</ap:Words>
  <ap:Characters>16327</ap:Characters>
  <ap:DocSecurity>0</ap:DocSecurity>
  <ap:Lines>136</ap:Lines>
  <ap:Paragraphs>38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19030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2016-11-25T14:24:00.0000000Z</lastPrinted>
  <dcterms:created xsi:type="dcterms:W3CDTF">2016-11-25T15:36:00.0000000Z</dcterms:created>
  <dcterms:modified xsi:type="dcterms:W3CDTF">2016-11-25T15:36:00.0000000Z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Najaarsnota 2016</vt:lpwstr>
  </property>
  <property fmtid="{D5CDD505-2E9C-101B-9397-08002B2CF9AE}" pid="4" name="Datum">
    <vt:lpwstr>24 november 2016</vt:lpwstr>
  </property>
  <property fmtid="{D5CDD505-2E9C-101B-9397-08002B2CF9AE}" pid="5" name="Kenmerk">
    <vt:lpwstr>2016-0000211312</vt:lpwstr>
  </property>
  <property fmtid="{D5CDD505-2E9C-101B-9397-08002B2CF9AE}" pid="6" name="UwKenmerk">
    <vt:lpwstr/>
  </property>
  <property fmtid="{D5CDD505-2E9C-101B-9397-08002B2CF9AE}" pid="7" name="Aan">
    <vt:lpwstr>De Voorzitter van de Tweede Kamer der Staten-Generaal_x000d_
Postbus 20018_x000d_
2500 EA  Den Haag</vt:lpwstr>
  </property>
  <property fmtid="{D5CDD505-2E9C-101B-9397-08002B2CF9AE}" pid="8" name="Rubricering">
    <vt:lpwstr/>
  </property>
  <property fmtid="{D5CDD505-2E9C-101B-9397-08002B2CF9AE}" pid="9" name="ContentTypeId">
    <vt:lpwstr>0x0101002C8077F09FB3A74EB6FF32CC8A228546</vt:lpwstr>
  </property>
</Properties>
</file>