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01D23" w:rsidR="00571FCA" w:rsidP="00E422F1" w:rsidRDefault="00571FCA" w14:paraId="3B0860AF" w14:textId="5FAF4EDA">
      <w:pPr>
        <w:spacing w:after="0"/>
        <w:rPr>
          <w:b/>
          <w:lang w:val="nl-NL" w:eastAsia="ja-JP"/>
        </w:rPr>
      </w:pPr>
      <w:bookmarkStart w:name="_GoBack" w:id="0"/>
      <w:bookmarkEnd w:id="0"/>
      <w:r w:rsidRPr="00301D23">
        <w:rPr>
          <w:b/>
          <w:lang w:val="nl-NL"/>
        </w:rPr>
        <w:t>VERSLAG RAAD ALGEMENE ZAKEN</w:t>
      </w:r>
      <w:r w:rsidR="00E422F1">
        <w:rPr>
          <w:b/>
          <w:lang w:val="nl-NL"/>
        </w:rPr>
        <w:t xml:space="preserve"> (RAZ)</w:t>
      </w:r>
      <w:r w:rsidRPr="00301D23">
        <w:rPr>
          <w:b/>
          <w:lang w:val="nl-NL"/>
        </w:rPr>
        <w:t xml:space="preserve"> VAN </w:t>
      </w:r>
      <w:r w:rsidR="00DF2AAE">
        <w:rPr>
          <w:b/>
          <w:lang w:val="nl-NL"/>
        </w:rPr>
        <w:t xml:space="preserve">15 </w:t>
      </w:r>
      <w:r w:rsidR="00CE4B8E">
        <w:rPr>
          <w:b/>
          <w:lang w:val="nl-NL"/>
        </w:rPr>
        <w:t>NOVEMBER</w:t>
      </w:r>
      <w:r w:rsidR="00DF2AAE">
        <w:rPr>
          <w:b/>
          <w:lang w:val="nl-NL"/>
        </w:rPr>
        <w:t xml:space="preserve"> 2016</w:t>
      </w:r>
    </w:p>
    <w:p w:rsidR="00B5380A" w:rsidP="00E422F1" w:rsidRDefault="00B5380A" w14:paraId="138CFC5B" w14:textId="77777777">
      <w:pPr>
        <w:spacing w:after="0"/>
        <w:rPr>
          <w:b/>
          <w:lang w:val="nl-NL"/>
        </w:rPr>
      </w:pPr>
    </w:p>
    <w:p w:rsidRPr="0011218F" w:rsidR="003C426F" w:rsidP="00E422F1" w:rsidRDefault="003C426F" w14:paraId="2481869C" w14:textId="77777777">
      <w:pPr>
        <w:tabs>
          <w:tab w:val="left" w:pos="0"/>
          <w:tab w:val="left" w:pos="426"/>
        </w:tabs>
        <w:spacing w:after="0"/>
        <w:contextualSpacing/>
        <w:rPr>
          <w:rFonts w:eastAsia="Times New Roman"/>
          <w:b/>
          <w:szCs w:val="18"/>
          <w:lang w:val="nl-NL" w:eastAsia="zh-CN"/>
        </w:rPr>
      </w:pPr>
      <w:r w:rsidRPr="0011218F">
        <w:rPr>
          <w:b/>
          <w:szCs w:val="18"/>
          <w:lang w:val="nl-NL" w:eastAsia="ja-JP"/>
        </w:rPr>
        <w:t>Review MFK</w:t>
      </w:r>
    </w:p>
    <w:p w:rsidRPr="00A25CCD" w:rsidR="00A25CCD" w:rsidP="00E422F1" w:rsidRDefault="00A25CCD" w14:paraId="213149B4" w14:textId="7378FB94">
      <w:pPr>
        <w:spacing w:after="0"/>
        <w:rPr>
          <w:color w:val="000000"/>
          <w:szCs w:val="18"/>
          <w:lang w:val="nl-NL"/>
        </w:rPr>
      </w:pPr>
      <w:r w:rsidRPr="00A25CCD">
        <w:rPr>
          <w:color w:val="000000"/>
          <w:szCs w:val="18"/>
          <w:lang w:val="nl-NL"/>
        </w:rPr>
        <w:t xml:space="preserve">In de RAZ van 15 november jl. werd een beginselakkoord gesloten </w:t>
      </w:r>
      <w:r w:rsidR="00452F46">
        <w:rPr>
          <w:color w:val="000000"/>
          <w:szCs w:val="18"/>
          <w:lang w:val="nl-NL"/>
        </w:rPr>
        <w:t xml:space="preserve">over de tussentijdse evaluatie - </w:t>
      </w:r>
      <w:r w:rsidRPr="00A25CCD">
        <w:rPr>
          <w:color w:val="000000"/>
          <w:szCs w:val="18"/>
          <w:lang w:val="nl-NL"/>
        </w:rPr>
        <w:t>ook wel mid-term review</w:t>
      </w:r>
      <w:r w:rsidR="00E422F1">
        <w:rPr>
          <w:color w:val="000000"/>
          <w:szCs w:val="18"/>
          <w:lang w:val="nl-NL"/>
        </w:rPr>
        <w:t xml:space="preserve"> genoemd</w:t>
      </w:r>
      <w:r w:rsidR="00452F46">
        <w:rPr>
          <w:color w:val="000000"/>
          <w:szCs w:val="18"/>
          <w:lang w:val="nl-NL"/>
        </w:rPr>
        <w:t xml:space="preserve"> -</w:t>
      </w:r>
      <w:r w:rsidRPr="00A25CCD">
        <w:rPr>
          <w:color w:val="000000"/>
          <w:szCs w:val="18"/>
          <w:lang w:val="nl-NL"/>
        </w:rPr>
        <w:t xml:space="preserve"> van het meerjarig financieel kader (MFK). Het was de derde keer sinds september dat de RAZ sprak over de tussentijdse evaluatie. Zoals </w:t>
      </w:r>
      <w:r w:rsidR="00E422F1">
        <w:rPr>
          <w:color w:val="000000"/>
          <w:szCs w:val="18"/>
          <w:lang w:val="nl-NL"/>
        </w:rPr>
        <w:t>besproken</w:t>
      </w:r>
      <w:r w:rsidRPr="00A25CCD">
        <w:rPr>
          <w:color w:val="000000"/>
          <w:szCs w:val="18"/>
          <w:lang w:val="nl-NL"/>
        </w:rPr>
        <w:t xml:space="preserve"> tijdens het AO RAZ van 10 november j</w:t>
      </w:r>
      <w:r w:rsidR="00452F46">
        <w:rPr>
          <w:color w:val="000000"/>
          <w:szCs w:val="18"/>
          <w:lang w:val="nl-NL"/>
        </w:rPr>
        <w:t>l. en zoals opgenomen in de RAZ-</w:t>
      </w:r>
      <w:r w:rsidRPr="00A25CCD">
        <w:rPr>
          <w:color w:val="000000"/>
          <w:szCs w:val="18"/>
          <w:lang w:val="nl-NL"/>
        </w:rPr>
        <w:t xml:space="preserve">verslagen, lagen de posities van de lidstaten ten aanzien van het originele voorstel van de Commissie sterk uiteen. De afgelopen maanden is dan ook hard gewerkt aan een compromis. Een dag voor de RAZ stuurde het voorzitterschap uiteindelijk een voorstel voor een Raadspositie. Hierover werd in de Raad een politiek akkoord bereikt. Gegeven de stevige onderhandelingen ziet een meerderheid van de lidstaten geen ruimte voor verdere aanpassingen van dit politieke akkoord. De RAZ concludeerde dat op basis van dit voorstel de besprekingen met het Europees Parlement </w:t>
      </w:r>
      <w:r>
        <w:rPr>
          <w:color w:val="000000"/>
          <w:szCs w:val="18"/>
          <w:lang w:val="nl-NL"/>
        </w:rPr>
        <w:t xml:space="preserve">(EP) </w:t>
      </w:r>
      <w:r w:rsidRPr="00A25CCD">
        <w:rPr>
          <w:color w:val="000000"/>
          <w:szCs w:val="18"/>
          <w:lang w:val="nl-NL"/>
        </w:rPr>
        <w:t xml:space="preserve">konden worden gestart. </w:t>
      </w:r>
    </w:p>
    <w:p w:rsidRPr="00A25CCD" w:rsidR="00A25CCD" w:rsidP="00E422F1" w:rsidRDefault="00A25CCD" w14:paraId="7AE53C21" w14:textId="77777777">
      <w:pPr>
        <w:spacing w:after="0"/>
        <w:rPr>
          <w:color w:val="000000"/>
          <w:szCs w:val="18"/>
          <w:lang w:val="nl-NL"/>
        </w:rPr>
      </w:pPr>
      <w:r w:rsidRPr="00A25CCD">
        <w:rPr>
          <w:color w:val="000000"/>
          <w:szCs w:val="18"/>
          <w:lang w:val="nl-NL"/>
        </w:rPr>
        <w:t>Het politieke akkoord bevat op hoofdlijnen de volgende onderdelen:</w:t>
      </w:r>
    </w:p>
    <w:p w:rsidRPr="00A25CCD" w:rsidR="00A25CCD" w:rsidP="00E422F1" w:rsidRDefault="00A25CCD" w14:paraId="1B7C3E7E" w14:textId="425E5D81">
      <w:pPr>
        <w:numPr>
          <w:ilvl w:val="0"/>
          <w:numId w:val="11"/>
        </w:numPr>
        <w:spacing w:after="0"/>
        <w:rPr>
          <w:color w:val="000000"/>
          <w:szCs w:val="18"/>
          <w:lang w:val="nl-NL"/>
        </w:rPr>
      </w:pPr>
      <w:r w:rsidRPr="00A25CCD">
        <w:rPr>
          <w:color w:val="000000"/>
          <w:szCs w:val="18"/>
          <w:lang w:val="nl-NL"/>
        </w:rPr>
        <w:t xml:space="preserve">De </w:t>
      </w:r>
      <w:r w:rsidR="00452F46">
        <w:rPr>
          <w:color w:val="000000"/>
          <w:szCs w:val="18"/>
          <w:lang w:val="nl-NL"/>
        </w:rPr>
        <w:t xml:space="preserve">door de </w:t>
      </w:r>
      <w:r w:rsidRPr="00A25CCD">
        <w:rPr>
          <w:color w:val="000000"/>
          <w:szCs w:val="18"/>
          <w:lang w:val="nl-NL"/>
        </w:rPr>
        <w:t>Commissie</w:t>
      </w:r>
      <w:r w:rsidR="00452F46">
        <w:rPr>
          <w:color w:val="000000"/>
          <w:szCs w:val="18"/>
          <w:lang w:val="nl-NL"/>
        </w:rPr>
        <w:t xml:space="preserve"> voorgestelde intensiveringen</w:t>
      </w:r>
      <w:r w:rsidRPr="00A25CCD">
        <w:rPr>
          <w:color w:val="000000"/>
          <w:szCs w:val="18"/>
          <w:lang w:val="nl-NL"/>
        </w:rPr>
        <w:t xml:space="preserve"> voo</w:t>
      </w:r>
      <w:r w:rsidR="00452F46">
        <w:rPr>
          <w:color w:val="000000"/>
          <w:szCs w:val="18"/>
          <w:lang w:val="nl-NL"/>
        </w:rPr>
        <w:t>r groei en werkgelegenheid zijn -</w:t>
      </w:r>
      <w:r w:rsidRPr="00A25CCD">
        <w:rPr>
          <w:color w:val="000000"/>
          <w:szCs w:val="18"/>
          <w:lang w:val="nl-NL"/>
        </w:rPr>
        <w:t xml:space="preserve"> onder druk van Nederl</w:t>
      </w:r>
      <w:r w:rsidR="00452F46">
        <w:rPr>
          <w:color w:val="000000"/>
          <w:szCs w:val="18"/>
          <w:lang w:val="nl-NL"/>
        </w:rPr>
        <w:t>and en gelijkgestemde lidstaten -</w:t>
      </w:r>
      <w:r w:rsidRPr="00A25CCD">
        <w:rPr>
          <w:color w:val="000000"/>
          <w:szCs w:val="18"/>
          <w:lang w:val="nl-NL"/>
        </w:rPr>
        <w:t xml:space="preserve"> naar beneden bijgesteld en een deel hiervan wordt door herschikking gefinancierd. </w:t>
      </w:r>
      <w:r w:rsidRPr="00452F46">
        <w:rPr>
          <w:color w:val="000000"/>
          <w:szCs w:val="18"/>
          <w:lang w:val="nl-NL"/>
        </w:rPr>
        <w:t>De intensiveringen voor migratie en veiligheid zijn gelijk gebleven.</w:t>
      </w:r>
    </w:p>
    <w:p w:rsidRPr="00A25CCD" w:rsidR="00A25CCD" w:rsidP="00E422F1" w:rsidRDefault="00A25CCD" w14:paraId="171F565D" w14:textId="6111C720">
      <w:pPr>
        <w:numPr>
          <w:ilvl w:val="0"/>
          <w:numId w:val="11"/>
        </w:numPr>
        <w:spacing w:after="0"/>
        <w:rPr>
          <w:color w:val="000000"/>
          <w:szCs w:val="18"/>
          <w:lang w:val="nl-NL"/>
        </w:rPr>
      </w:pPr>
      <w:r w:rsidRPr="00A25CCD">
        <w:rPr>
          <w:color w:val="000000"/>
          <w:szCs w:val="18"/>
          <w:lang w:val="nl-NL"/>
        </w:rPr>
        <w:t>Naast herschikking worden de intensiveringen gefina</w:t>
      </w:r>
      <w:r w:rsidR="00452F46">
        <w:rPr>
          <w:color w:val="000000"/>
          <w:szCs w:val="18"/>
          <w:lang w:val="nl-NL"/>
        </w:rPr>
        <w:t>ncierd uit de resterende marges. H</w:t>
      </w:r>
      <w:r w:rsidRPr="00A25CCD">
        <w:rPr>
          <w:color w:val="000000"/>
          <w:szCs w:val="18"/>
          <w:lang w:val="nl-NL"/>
        </w:rPr>
        <w:t xml:space="preserve">iervoor wordt onder andere gebruik gemaakt van enkele begrotingsinstrumenten, </w:t>
      </w:r>
      <w:r w:rsidR="00452F46">
        <w:rPr>
          <w:color w:val="000000"/>
          <w:szCs w:val="18"/>
          <w:lang w:val="nl-NL"/>
        </w:rPr>
        <w:t>zo</w:t>
      </w:r>
      <w:r w:rsidRPr="00A25CCD">
        <w:rPr>
          <w:color w:val="000000"/>
          <w:szCs w:val="18"/>
          <w:lang w:val="nl-NL"/>
        </w:rPr>
        <w:t>als de zogen</w:t>
      </w:r>
      <w:r w:rsidR="00452F46">
        <w:rPr>
          <w:color w:val="000000"/>
          <w:szCs w:val="18"/>
          <w:lang w:val="nl-NL"/>
        </w:rPr>
        <w:t>aamde</w:t>
      </w:r>
      <w:r w:rsidRPr="00A25CCD">
        <w:rPr>
          <w:color w:val="000000"/>
          <w:szCs w:val="18"/>
          <w:lang w:val="nl-NL"/>
        </w:rPr>
        <w:t xml:space="preserve"> </w:t>
      </w:r>
      <w:r w:rsidRPr="00A25CCD">
        <w:rPr>
          <w:i/>
          <w:iCs/>
          <w:color w:val="000000"/>
          <w:szCs w:val="18"/>
          <w:lang w:val="nl-NL"/>
        </w:rPr>
        <w:t>contingency margin</w:t>
      </w:r>
      <w:r w:rsidRPr="00A25CCD">
        <w:rPr>
          <w:color w:val="000000"/>
          <w:szCs w:val="18"/>
          <w:lang w:val="nl-NL"/>
        </w:rPr>
        <w:t>.</w:t>
      </w:r>
    </w:p>
    <w:p w:rsidRPr="00A25CCD" w:rsidR="00A25CCD" w:rsidP="00E422F1" w:rsidRDefault="00A25CCD" w14:paraId="11707097" w14:textId="0C913425">
      <w:pPr>
        <w:numPr>
          <w:ilvl w:val="0"/>
          <w:numId w:val="11"/>
        </w:numPr>
        <w:spacing w:after="0"/>
        <w:rPr>
          <w:color w:val="000000"/>
          <w:szCs w:val="18"/>
          <w:lang w:val="nl-NL"/>
        </w:rPr>
      </w:pPr>
      <w:r w:rsidRPr="00A25CCD">
        <w:rPr>
          <w:color w:val="000000"/>
          <w:szCs w:val="18"/>
          <w:lang w:val="nl-NL"/>
        </w:rPr>
        <w:t>De MFK-plafonds zijn niet overschreden. De discussie over het financieren van de speciale instrumenten, die sinds het begin van dit MFK loopt,</w:t>
      </w:r>
      <w:r w:rsidR="00452F46">
        <w:rPr>
          <w:color w:val="000000"/>
          <w:szCs w:val="18"/>
          <w:lang w:val="nl-NL"/>
        </w:rPr>
        <w:t xml:space="preserve"> is geparkeerd. Samen met gelijkgezinde lidstaten heeft Nederland </w:t>
      </w:r>
      <w:r w:rsidRPr="00A25CCD">
        <w:rPr>
          <w:color w:val="000000"/>
          <w:szCs w:val="18"/>
          <w:lang w:val="nl-NL"/>
        </w:rPr>
        <w:t xml:space="preserve">onderstreept dat deze onder het geldende betalingsplafond moeten worden gefinancierd, inclusief het aandeel voor speciale instrumenten dat onderdeel is van de inzet van de </w:t>
      </w:r>
      <w:r w:rsidRPr="00A25CCD">
        <w:rPr>
          <w:i/>
          <w:iCs/>
          <w:color w:val="000000"/>
          <w:szCs w:val="18"/>
          <w:lang w:val="nl-NL"/>
        </w:rPr>
        <w:t>contingency margin</w:t>
      </w:r>
      <w:r w:rsidRPr="00A25CCD">
        <w:rPr>
          <w:color w:val="000000"/>
          <w:szCs w:val="18"/>
          <w:lang w:val="nl-NL"/>
        </w:rPr>
        <w:t xml:space="preserve">. </w:t>
      </w:r>
    </w:p>
    <w:p w:rsidRPr="00A25CCD" w:rsidR="00A25CCD" w:rsidP="00E422F1" w:rsidRDefault="00A25CCD" w14:paraId="219C0263" w14:textId="08AF9523">
      <w:pPr>
        <w:numPr>
          <w:ilvl w:val="0"/>
          <w:numId w:val="11"/>
        </w:numPr>
        <w:spacing w:after="0"/>
        <w:rPr>
          <w:color w:val="000000"/>
          <w:szCs w:val="18"/>
        </w:rPr>
      </w:pPr>
      <w:r w:rsidRPr="00A25CCD">
        <w:rPr>
          <w:color w:val="000000"/>
          <w:szCs w:val="18"/>
          <w:lang w:val="nl-NL"/>
        </w:rPr>
        <w:t xml:space="preserve">Het flexibiliteitsinstrument en de Noodhulpreserve worden opgehoogd. Deze ophoging is naar beneden bijgesteld ten opzichte van het Commissievoorstel, op verzoek van Nederland en gelijkgestemde lidstaten. Ook is het mogelijk gemaakt om budget tussen verschillende speciale instrumenten te schuiven. </w:t>
      </w:r>
      <w:r w:rsidRPr="00A25CCD">
        <w:rPr>
          <w:color w:val="000000"/>
          <w:szCs w:val="18"/>
        </w:rPr>
        <w:t xml:space="preserve">Dit bevordert de flexibiliteit. </w:t>
      </w:r>
    </w:p>
    <w:p w:rsidRPr="00A25CCD" w:rsidR="00A25CCD" w:rsidP="00E422F1" w:rsidRDefault="00A25CCD" w14:paraId="791445E9" w14:textId="1F4BAB69">
      <w:pPr>
        <w:numPr>
          <w:ilvl w:val="0"/>
          <w:numId w:val="11"/>
        </w:numPr>
        <w:spacing w:after="0"/>
        <w:rPr>
          <w:color w:val="000000"/>
          <w:szCs w:val="18"/>
          <w:lang w:val="nl-NL"/>
        </w:rPr>
      </w:pPr>
      <w:r w:rsidRPr="00A25CCD">
        <w:rPr>
          <w:color w:val="000000"/>
          <w:szCs w:val="18"/>
          <w:lang w:val="nl-NL"/>
        </w:rPr>
        <w:t xml:space="preserve">De regels voor inzet van de </w:t>
      </w:r>
      <w:r w:rsidRPr="00A25CCD">
        <w:rPr>
          <w:i/>
          <w:iCs/>
          <w:color w:val="000000"/>
          <w:szCs w:val="18"/>
          <w:lang w:val="nl-NL"/>
        </w:rPr>
        <w:t xml:space="preserve">global margin for committments </w:t>
      </w:r>
      <w:r w:rsidRPr="00A25CCD">
        <w:rPr>
          <w:color w:val="000000"/>
          <w:szCs w:val="18"/>
          <w:lang w:val="nl-NL"/>
        </w:rPr>
        <w:t xml:space="preserve">en de </w:t>
      </w:r>
      <w:r w:rsidRPr="00A25CCD">
        <w:rPr>
          <w:i/>
          <w:iCs/>
          <w:color w:val="000000"/>
          <w:szCs w:val="18"/>
          <w:lang w:val="nl-NL"/>
        </w:rPr>
        <w:t>global margin for payments</w:t>
      </w:r>
      <w:r w:rsidRPr="00A25CCD">
        <w:rPr>
          <w:color w:val="000000"/>
          <w:szCs w:val="18"/>
          <w:lang w:val="nl-NL"/>
        </w:rPr>
        <w:t xml:space="preserve"> zijn versoepeld. Op deze manier wordt het makkelijker om tussen begrotingsjaren met budget te schuiven, wat </w:t>
      </w:r>
      <w:r>
        <w:rPr>
          <w:color w:val="000000"/>
          <w:szCs w:val="18"/>
          <w:lang w:val="nl-NL"/>
        </w:rPr>
        <w:t xml:space="preserve">gunstig is voor </w:t>
      </w:r>
      <w:r w:rsidRPr="00A25CCD">
        <w:rPr>
          <w:color w:val="000000"/>
          <w:szCs w:val="18"/>
          <w:lang w:val="nl-NL"/>
        </w:rPr>
        <w:t xml:space="preserve">de flexibiliteit. </w:t>
      </w:r>
    </w:p>
    <w:p w:rsidRPr="00A25CCD" w:rsidR="00A25CCD" w:rsidP="00E422F1" w:rsidRDefault="00A25CCD" w14:paraId="19CAF375" w14:textId="33059D26">
      <w:pPr>
        <w:spacing w:after="0"/>
        <w:rPr>
          <w:rFonts w:cs="Times New Roman"/>
          <w:color w:val="000000"/>
          <w:szCs w:val="18"/>
          <w:lang w:val="nl-NL"/>
        </w:rPr>
      </w:pPr>
      <w:r w:rsidRPr="00A25CCD">
        <w:rPr>
          <w:color w:val="000000"/>
          <w:szCs w:val="18"/>
          <w:lang w:val="nl-NL"/>
        </w:rPr>
        <w:t>Wanneer ook het E</w:t>
      </w:r>
      <w:r>
        <w:rPr>
          <w:color w:val="000000"/>
          <w:szCs w:val="18"/>
          <w:lang w:val="nl-NL"/>
        </w:rPr>
        <w:t>P</w:t>
      </w:r>
      <w:r w:rsidRPr="00A25CCD">
        <w:rPr>
          <w:color w:val="000000"/>
          <w:szCs w:val="18"/>
          <w:lang w:val="nl-NL"/>
        </w:rPr>
        <w:t xml:space="preserve"> heeft ingestemd met de tussentijdse evaluatie en er een finaal akkoord is, wordt u per Kamerbrief uitgebreider geïnformeerd over de uitkomsten. </w:t>
      </w:r>
    </w:p>
    <w:p w:rsidRPr="003C426F" w:rsidR="003C426F" w:rsidP="00E422F1" w:rsidRDefault="003C426F" w14:paraId="35AD874C" w14:textId="77777777">
      <w:pPr>
        <w:tabs>
          <w:tab w:val="left" w:pos="0"/>
          <w:tab w:val="left" w:pos="426"/>
        </w:tabs>
        <w:spacing w:after="0"/>
        <w:contextualSpacing/>
        <w:rPr>
          <w:rFonts w:cs="Times New Roman"/>
          <w:szCs w:val="18"/>
          <w:lang w:val="nl-NL" w:eastAsia="ja-JP"/>
        </w:rPr>
      </w:pPr>
    </w:p>
    <w:p w:rsidRPr="003C426F" w:rsidR="003C426F" w:rsidP="00E422F1" w:rsidRDefault="00EE0101" w14:paraId="1815C6F2" w14:textId="15FF5E60">
      <w:pPr>
        <w:tabs>
          <w:tab w:val="left" w:pos="0"/>
          <w:tab w:val="left" w:pos="426"/>
        </w:tabs>
        <w:spacing w:after="0"/>
        <w:contextualSpacing/>
        <w:rPr>
          <w:rFonts w:eastAsia="Times New Roman" w:cs="Times New Roman"/>
          <w:b/>
          <w:szCs w:val="18"/>
          <w:lang w:val="nl-NL" w:eastAsia="zh-CN"/>
        </w:rPr>
      </w:pPr>
      <w:r>
        <w:rPr>
          <w:rFonts w:cs="Times New Roman"/>
          <w:b/>
          <w:szCs w:val="18"/>
          <w:lang w:val="nl-NL" w:eastAsia="ja-JP"/>
        </w:rPr>
        <w:t xml:space="preserve">Follow up </w:t>
      </w:r>
      <w:r w:rsidR="00E422F1">
        <w:rPr>
          <w:rFonts w:cs="Times New Roman"/>
          <w:b/>
          <w:szCs w:val="18"/>
          <w:lang w:val="nl-NL" w:eastAsia="ja-JP"/>
        </w:rPr>
        <w:t>Europese Raad (ER)</w:t>
      </w:r>
    </w:p>
    <w:p w:rsidRPr="00EE0101" w:rsidR="00EE0101" w:rsidP="00EE0101" w:rsidRDefault="00EE0101" w14:paraId="0F011712" w14:textId="114A2CE6">
      <w:pPr>
        <w:tabs>
          <w:tab w:val="left" w:pos="0"/>
          <w:tab w:val="left" w:pos="426"/>
        </w:tabs>
        <w:spacing w:after="0"/>
        <w:contextualSpacing/>
        <w:rPr>
          <w:rFonts w:eastAsia="Times New Roman" w:cs="Times New Roman"/>
          <w:szCs w:val="18"/>
          <w:lang w:val="nl-NL" w:eastAsia="zh-CN"/>
        </w:rPr>
      </w:pPr>
      <w:r>
        <w:rPr>
          <w:rFonts w:eastAsia="Times New Roman" w:cs="Times New Roman"/>
          <w:szCs w:val="18"/>
          <w:lang w:val="nl-NL" w:eastAsia="zh-CN"/>
        </w:rPr>
        <w:t>Tijdens de RAZ is het voorzitterschap ingegaan op de opvolging van de conclusies van de Europese Raad van oktober 2016, waarbij bijzondere aandacht uitging naar migratie. De follow-up staat voor de Europese Raad in december we</w:t>
      </w:r>
      <w:r w:rsidR="0008398B">
        <w:rPr>
          <w:rFonts w:eastAsia="Times New Roman" w:cs="Times New Roman"/>
          <w:szCs w:val="18"/>
          <w:lang w:val="nl-NL" w:eastAsia="zh-CN"/>
        </w:rPr>
        <w:t>derom</w:t>
      </w:r>
      <w:r>
        <w:rPr>
          <w:rFonts w:eastAsia="Times New Roman" w:cs="Times New Roman"/>
          <w:szCs w:val="18"/>
          <w:lang w:val="nl-NL" w:eastAsia="zh-CN"/>
        </w:rPr>
        <w:t xml:space="preserve"> geagendeerd en dan zal opnieuw de voortgang op dat dossier worden besproken. </w:t>
      </w:r>
      <w:r w:rsidRPr="00EE0101">
        <w:rPr>
          <w:rFonts w:eastAsia="Times New Roman" w:cs="Times New Roman"/>
          <w:szCs w:val="18"/>
          <w:lang w:val="nl-NL" w:eastAsia="zh-CN"/>
        </w:rPr>
        <w:t xml:space="preserve">Nederland onderstreepte wederom het belang van Europese verantwoordelijkheid en solidariteit in de effectieve implementatie van de bestaande afspraken. Verschillende lidstaten onderstreepten hun prioriteiten binnen het Commissie werkprogramma </w:t>
      </w:r>
      <w:r w:rsidR="0008398B">
        <w:rPr>
          <w:rFonts w:eastAsia="Times New Roman" w:cs="Times New Roman"/>
          <w:szCs w:val="18"/>
          <w:lang w:val="nl-NL" w:eastAsia="zh-CN"/>
        </w:rPr>
        <w:t xml:space="preserve">2017 op het gebied van migratie, zoals </w:t>
      </w:r>
      <w:r w:rsidRPr="00EE0101">
        <w:rPr>
          <w:rFonts w:eastAsia="Times New Roman" w:cs="Times New Roman"/>
          <w:szCs w:val="18"/>
          <w:lang w:val="nl-NL" w:eastAsia="zh-CN"/>
        </w:rPr>
        <w:t xml:space="preserve">herziening van het gemeenschappelijk asielbeleid (GEAS) en </w:t>
      </w:r>
      <w:r w:rsidR="0008398B">
        <w:rPr>
          <w:rFonts w:eastAsia="Times New Roman" w:cs="Times New Roman"/>
          <w:szCs w:val="18"/>
          <w:lang w:val="nl-NL" w:eastAsia="zh-CN"/>
        </w:rPr>
        <w:t xml:space="preserve">versterking </w:t>
      </w:r>
      <w:r w:rsidRPr="00EE0101">
        <w:rPr>
          <w:rFonts w:eastAsia="Times New Roman" w:cs="Times New Roman"/>
          <w:szCs w:val="18"/>
          <w:lang w:val="nl-NL" w:eastAsia="zh-CN"/>
        </w:rPr>
        <w:t xml:space="preserve">van de buitengrenzen. Het Slowaaks voorzitterschap gaf aan zich verder in te spannen om vooruitgang te boeken op het onderwerp migratie in aanloop naar de ER. De Commissie concludeerde dat migratie in bredere zin en GEAS prioriteiten zijn voor </w:t>
      </w:r>
      <w:r>
        <w:rPr>
          <w:rFonts w:eastAsia="Times New Roman" w:cs="Times New Roman"/>
          <w:szCs w:val="18"/>
          <w:lang w:val="nl-NL" w:eastAsia="zh-CN"/>
        </w:rPr>
        <w:t>de</w:t>
      </w:r>
      <w:r w:rsidRPr="00EE0101">
        <w:rPr>
          <w:rFonts w:eastAsia="Times New Roman" w:cs="Times New Roman"/>
          <w:szCs w:val="18"/>
          <w:lang w:val="nl-NL" w:eastAsia="zh-CN"/>
        </w:rPr>
        <w:t xml:space="preserve"> ER van 15 en 16 december. </w:t>
      </w:r>
    </w:p>
    <w:p w:rsidR="00EE0101" w:rsidP="00E422F1" w:rsidRDefault="00EE0101" w14:paraId="7967BC5C" w14:textId="77777777">
      <w:pPr>
        <w:tabs>
          <w:tab w:val="left" w:pos="0"/>
          <w:tab w:val="left" w:pos="426"/>
        </w:tabs>
        <w:spacing w:after="0"/>
        <w:contextualSpacing/>
        <w:rPr>
          <w:rFonts w:cs="Times New Roman"/>
          <w:szCs w:val="18"/>
          <w:lang w:val="nl-NL" w:eastAsia="ja-JP"/>
        </w:rPr>
      </w:pPr>
    </w:p>
    <w:p w:rsidRPr="00EE0101" w:rsidR="00EE0101" w:rsidP="00E422F1" w:rsidRDefault="00EE0101" w14:paraId="1B617C60" w14:textId="00D4542F">
      <w:pPr>
        <w:tabs>
          <w:tab w:val="left" w:pos="0"/>
          <w:tab w:val="left" w:pos="426"/>
        </w:tabs>
        <w:spacing w:after="0"/>
        <w:contextualSpacing/>
        <w:rPr>
          <w:rFonts w:cs="Times New Roman"/>
          <w:b/>
          <w:szCs w:val="18"/>
          <w:lang w:val="nl-NL" w:eastAsia="ja-JP"/>
        </w:rPr>
      </w:pPr>
      <w:r w:rsidRPr="00EE0101">
        <w:rPr>
          <w:rFonts w:cs="Times New Roman"/>
          <w:b/>
          <w:szCs w:val="18"/>
          <w:lang w:val="nl-NL" w:eastAsia="ja-JP"/>
        </w:rPr>
        <w:t>Voorbereiding ER</w:t>
      </w:r>
    </w:p>
    <w:p w:rsidR="003C426F" w:rsidP="00E422F1" w:rsidRDefault="00EE0101" w14:paraId="069F388F" w14:textId="1BB21F25">
      <w:pPr>
        <w:tabs>
          <w:tab w:val="left" w:pos="0"/>
          <w:tab w:val="left" w:pos="426"/>
        </w:tabs>
        <w:spacing w:after="0"/>
        <w:contextualSpacing/>
        <w:rPr>
          <w:rFonts w:cs="Times New Roman"/>
          <w:szCs w:val="18"/>
          <w:lang w:val="nl-NL" w:eastAsia="ja-JP"/>
        </w:rPr>
      </w:pPr>
      <w:r>
        <w:rPr>
          <w:rFonts w:cs="Times New Roman"/>
          <w:szCs w:val="18"/>
          <w:lang w:val="nl-NL" w:eastAsia="ja-JP"/>
        </w:rPr>
        <w:t xml:space="preserve">De </w:t>
      </w:r>
      <w:r w:rsidRPr="00EE0101">
        <w:rPr>
          <w:rFonts w:cs="Times New Roman"/>
          <w:szCs w:val="18"/>
          <w:lang w:val="nl-NL" w:eastAsia="ja-JP"/>
        </w:rPr>
        <w:t xml:space="preserve">RAZ </w:t>
      </w:r>
      <w:r>
        <w:rPr>
          <w:rFonts w:cs="Times New Roman"/>
          <w:szCs w:val="18"/>
          <w:lang w:val="nl-NL" w:eastAsia="ja-JP"/>
        </w:rPr>
        <w:t xml:space="preserve">heeft kennis genomen </w:t>
      </w:r>
      <w:r w:rsidRPr="00EE0101">
        <w:rPr>
          <w:rFonts w:cs="Times New Roman"/>
          <w:szCs w:val="18"/>
          <w:lang w:val="nl-NL" w:eastAsia="ja-JP"/>
        </w:rPr>
        <w:t xml:space="preserve">van </w:t>
      </w:r>
      <w:r>
        <w:rPr>
          <w:rFonts w:cs="Times New Roman"/>
          <w:szCs w:val="18"/>
          <w:lang w:val="nl-NL" w:eastAsia="ja-JP"/>
        </w:rPr>
        <w:t>de geannoteerde concept agenda</w:t>
      </w:r>
      <w:r w:rsidRPr="00EE0101">
        <w:rPr>
          <w:rFonts w:cs="Times New Roman"/>
          <w:szCs w:val="18"/>
          <w:lang w:val="nl-NL" w:eastAsia="ja-JP"/>
        </w:rPr>
        <w:t xml:space="preserve"> van de ER. </w:t>
      </w:r>
      <w:r>
        <w:rPr>
          <w:rFonts w:cs="Times New Roman"/>
          <w:szCs w:val="18"/>
          <w:lang w:val="nl-NL" w:eastAsia="ja-JP"/>
        </w:rPr>
        <w:t>Het v</w:t>
      </w:r>
      <w:r w:rsidRPr="00E422F1" w:rsidR="00E422F1">
        <w:rPr>
          <w:rFonts w:cs="Times New Roman"/>
          <w:szCs w:val="18"/>
          <w:lang w:val="nl-NL" w:eastAsia="ja-JP"/>
        </w:rPr>
        <w:t xml:space="preserve">oorzitterschap gaf aan </w:t>
      </w:r>
      <w:r w:rsidR="00E422F1">
        <w:rPr>
          <w:rFonts w:cs="Times New Roman"/>
          <w:szCs w:val="18"/>
          <w:lang w:val="nl-NL" w:eastAsia="ja-JP"/>
        </w:rPr>
        <w:t xml:space="preserve">dat een </w:t>
      </w:r>
      <w:r w:rsidRPr="00E422F1" w:rsidR="00E422F1">
        <w:rPr>
          <w:rFonts w:cs="Times New Roman"/>
          <w:szCs w:val="18"/>
          <w:lang w:val="nl-NL" w:eastAsia="ja-JP"/>
        </w:rPr>
        <w:t xml:space="preserve">uitgebreide inhoudelijke discussie </w:t>
      </w:r>
      <w:r w:rsidR="00E422F1">
        <w:rPr>
          <w:rFonts w:cs="Times New Roman"/>
          <w:szCs w:val="18"/>
          <w:lang w:val="nl-NL" w:eastAsia="ja-JP"/>
        </w:rPr>
        <w:t xml:space="preserve">is </w:t>
      </w:r>
      <w:r w:rsidRPr="00E422F1" w:rsidR="00E422F1">
        <w:rPr>
          <w:rFonts w:cs="Times New Roman"/>
          <w:szCs w:val="18"/>
          <w:lang w:val="nl-NL" w:eastAsia="ja-JP"/>
        </w:rPr>
        <w:t>voorzien tijdens de RAZ van december.</w:t>
      </w:r>
      <w:r>
        <w:rPr>
          <w:rFonts w:cs="Times New Roman"/>
          <w:szCs w:val="18"/>
          <w:lang w:val="nl-NL" w:eastAsia="ja-JP"/>
        </w:rPr>
        <w:t xml:space="preserve"> </w:t>
      </w:r>
    </w:p>
    <w:p w:rsidRPr="00EE0101" w:rsidR="003C426F" w:rsidP="00E422F1" w:rsidRDefault="003C426F" w14:paraId="1605A935" w14:textId="428808C1">
      <w:pPr>
        <w:tabs>
          <w:tab w:val="left" w:pos="0"/>
          <w:tab w:val="left" w:pos="426"/>
        </w:tabs>
        <w:spacing w:after="0"/>
        <w:contextualSpacing/>
        <w:rPr>
          <w:b/>
          <w:lang w:val="nl-NL" w:eastAsia="ja-JP"/>
        </w:rPr>
      </w:pPr>
    </w:p>
    <w:p w:rsidRPr="00B3111B" w:rsidR="003C426F" w:rsidP="00E422F1" w:rsidRDefault="003C426F" w14:paraId="793483B6" w14:textId="77777777">
      <w:pPr>
        <w:tabs>
          <w:tab w:val="left" w:pos="0"/>
          <w:tab w:val="left" w:pos="426"/>
        </w:tabs>
        <w:spacing w:after="0"/>
        <w:contextualSpacing/>
        <w:rPr>
          <w:rFonts w:eastAsia="Times New Roman"/>
          <w:b/>
          <w:lang w:val="nl-NL" w:eastAsia="zh-CN"/>
        </w:rPr>
      </w:pPr>
      <w:r w:rsidRPr="00B3111B">
        <w:rPr>
          <w:rFonts w:eastAsia="Times New Roman"/>
          <w:b/>
          <w:lang w:val="nl-NL" w:eastAsia="zh-CN"/>
        </w:rPr>
        <w:t>Legislative Programming</w:t>
      </w:r>
    </w:p>
    <w:p w:rsidR="003C426F" w:rsidP="00E422F1" w:rsidRDefault="005C503F" w14:paraId="736D88BA" w14:textId="7A298E13">
      <w:pPr>
        <w:tabs>
          <w:tab w:val="left" w:pos="0"/>
          <w:tab w:val="left" w:pos="426"/>
        </w:tabs>
        <w:spacing w:after="0"/>
        <w:contextualSpacing/>
        <w:rPr>
          <w:rFonts w:eastAsia="Times New Roman"/>
          <w:lang w:val="nl-NL" w:eastAsia="zh-CN"/>
        </w:rPr>
      </w:pPr>
      <w:r w:rsidRPr="005C503F">
        <w:rPr>
          <w:rFonts w:eastAsia="Times New Roman" w:cs="Times New Roman"/>
          <w:szCs w:val="18"/>
          <w:lang w:val="nl-NL" w:eastAsia="zh-CN"/>
        </w:rPr>
        <w:t xml:space="preserve">De Commissie heeft tijdens de RAZ het Commissie Werkprogramma 2017 gepresenteerd. </w:t>
      </w:r>
      <w:r>
        <w:rPr>
          <w:rFonts w:eastAsia="Times New Roman" w:cs="Times New Roman"/>
          <w:szCs w:val="18"/>
          <w:lang w:val="nl-NL" w:eastAsia="zh-CN"/>
        </w:rPr>
        <w:t>De Commissie krijgt vanuit de lidstaten brede steun voor haar voorstellen voor komend jaar. Een grote meerderheid van de lidstaten, inclusief Nederland</w:t>
      </w:r>
      <w:r w:rsidR="0008398B">
        <w:rPr>
          <w:rFonts w:eastAsia="Times New Roman" w:cs="Times New Roman"/>
          <w:szCs w:val="18"/>
          <w:lang w:val="nl-NL" w:eastAsia="zh-CN"/>
        </w:rPr>
        <w:t>,</w:t>
      </w:r>
      <w:r>
        <w:rPr>
          <w:rFonts w:eastAsia="Times New Roman" w:cs="Times New Roman"/>
          <w:szCs w:val="18"/>
          <w:lang w:val="nl-NL" w:eastAsia="zh-CN"/>
        </w:rPr>
        <w:t xml:space="preserve"> deelt de nadruk op veiligheid</w:t>
      </w:r>
      <w:r w:rsidR="009D6640">
        <w:rPr>
          <w:rFonts w:eastAsia="Times New Roman" w:cs="Times New Roman"/>
          <w:szCs w:val="18"/>
          <w:lang w:val="nl-NL" w:eastAsia="zh-CN"/>
        </w:rPr>
        <w:t>,</w:t>
      </w:r>
      <w:r>
        <w:rPr>
          <w:rFonts w:eastAsia="Times New Roman" w:cs="Times New Roman"/>
          <w:szCs w:val="18"/>
          <w:lang w:val="nl-NL" w:eastAsia="zh-CN"/>
        </w:rPr>
        <w:t xml:space="preserve"> </w:t>
      </w:r>
      <w:r w:rsidR="009D6640">
        <w:rPr>
          <w:rFonts w:eastAsia="Times New Roman" w:cs="Times New Roman"/>
          <w:szCs w:val="18"/>
          <w:lang w:val="nl-NL" w:eastAsia="zh-CN"/>
        </w:rPr>
        <w:t xml:space="preserve">interne markt </w:t>
      </w:r>
      <w:r>
        <w:rPr>
          <w:rFonts w:eastAsia="Times New Roman" w:cs="Times New Roman"/>
          <w:szCs w:val="18"/>
          <w:lang w:val="nl-NL" w:eastAsia="zh-CN"/>
        </w:rPr>
        <w:t xml:space="preserve">en migratie. </w:t>
      </w:r>
      <w:r w:rsidR="009D6640">
        <w:rPr>
          <w:rFonts w:eastAsia="Times New Roman" w:cs="Times New Roman"/>
          <w:szCs w:val="18"/>
          <w:lang w:val="nl-NL" w:eastAsia="zh-CN"/>
        </w:rPr>
        <w:t>Een aa</w:t>
      </w:r>
      <w:r w:rsidR="0076398B">
        <w:rPr>
          <w:rFonts w:eastAsia="Times New Roman" w:cs="Times New Roman"/>
          <w:szCs w:val="18"/>
          <w:lang w:val="nl-NL" w:eastAsia="zh-CN"/>
        </w:rPr>
        <w:t>ntal grote lidstaten benadrukte</w:t>
      </w:r>
      <w:r w:rsidR="009D6640">
        <w:rPr>
          <w:rFonts w:eastAsia="Times New Roman" w:cs="Times New Roman"/>
          <w:szCs w:val="18"/>
          <w:lang w:val="nl-NL" w:eastAsia="zh-CN"/>
        </w:rPr>
        <w:t>, net als Nederland,</w:t>
      </w:r>
      <w:r>
        <w:rPr>
          <w:rFonts w:eastAsia="Times New Roman" w:cs="Times New Roman"/>
          <w:szCs w:val="18"/>
          <w:lang w:val="nl-NL" w:eastAsia="zh-CN"/>
        </w:rPr>
        <w:t xml:space="preserve"> het belang van </w:t>
      </w:r>
      <w:r w:rsidR="009D6640">
        <w:rPr>
          <w:rFonts w:eastAsia="Times New Roman" w:cs="Times New Roman"/>
          <w:szCs w:val="18"/>
          <w:lang w:val="nl-NL" w:eastAsia="zh-CN"/>
        </w:rPr>
        <w:t xml:space="preserve">sociale </w:t>
      </w:r>
      <w:r w:rsidR="009D6640">
        <w:rPr>
          <w:rFonts w:eastAsia="Times New Roman" w:cs="Times New Roman"/>
          <w:szCs w:val="18"/>
          <w:lang w:val="nl-NL" w:eastAsia="zh-CN"/>
        </w:rPr>
        <w:lastRenderedPageBreak/>
        <w:t>bescherming</w:t>
      </w:r>
      <w:r>
        <w:rPr>
          <w:rFonts w:eastAsia="Times New Roman" w:cs="Times New Roman"/>
          <w:szCs w:val="18"/>
          <w:lang w:val="nl-NL" w:eastAsia="zh-CN"/>
        </w:rPr>
        <w:t xml:space="preserve"> en we</w:t>
      </w:r>
      <w:r w:rsidR="0076398B">
        <w:rPr>
          <w:rFonts w:eastAsia="Times New Roman" w:cs="Times New Roman"/>
          <w:szCs w:val="18"/>
          <w:lang w:val="nl-NL" w:eastAsia="zh-CN"/>
        </w:rPr>
        <w:t>es</w:t>
      </w:r>
      <w:r>
        <w:rPr>
          <w:rFonts w:eastAsia="Times New Roman" w:cs="Times New Roman"/>
          <w:szCs w:val="18"/>
          <w:lang w:val="nl-NL" w:eastAsia="zh-CN"/>
        </w:rPr>
        <w:t xml:space="preserve"> op de aangekondigde sociale pilaar en op het belang van de herziening van de detacheringsrichtlijn. </w:t>
      </w:r>
    </w:p>
    <w:p w:rsidR="009D6640" w:rsidP="00E422F1" w:rsidRDefault="009D6640" w14:paraId="68D6BDDC" w14:textId="77777777">
      <w:pPr>
        <w:tabs>
          <w:tab w:val="left" w:pos="0"/>
          <w:tab w:val="left" w:pos="426"/>
        </w:tabs>
        <w:spacing w:after="0"/>
        <w:contextualSpacing/>
        <w:rPr>
          <w:rFonts w:eastAsia="Times New Roman" w:cs="Times New Roman"/>
          <w:szCs w:val="18"/>
          <w:lang w:val="nl-NL" w:eastAsia="zh-CN"/>
        </w:rPr>
      </w:pPr>
    </w:p>
    <w:p w:rsidR="005C503F" w:rsidP="00E422F1" w:rsidRDefault="005C503F" w14:paraId="24AF3339" w14:textId="003E3144">
      <w:pPr>
        <w:tabs>
          <w:tab w:val="left" w:pos="0"/>
          <w:tab w:val="left" w:pos="426"/>
        </w:tabs>
        <w:spacing w:after="0"/>
        <w:contextualSpacing/>
        <w:rPr>
          <w:rFonts w:eastAsia="Times New Roman" w:cs="Times New Roman"/>
          <w:szCs w:val="18"/>
          <w:lang w:val="nl-NL" w:eastAsia="zh-CN"/>
        </w:rPr>
      </w:pPr>
      <w:r>
        <w:rPr>
          <w:rFonts w:eastAsia="Times New Roman" w:cs="Times New Roman"/>
          <w:szCs w:val="18"/>
          <w:lang w:val="nl-NL" w:eastAsia="zh-CN"/>
        </w:rPr>
        <w:t>Ook het belang van implementatie van Europese besluitvorming wordt door een</w:t>
      </w:r>
      <w:r w:rsidR="009D6640">
        <w:rPr>
          <w:rFonts w:eastAsia="Times New Roman" w:cs="Times New Roman"/>
          <w:szCs w:val="18"/>
          <w:lang w:val="nl-NL" w:eastAsia="zh-CN"/>
        </w:rPr>
        <w:t xml:space="preserve"> brede groep lidstaten uitdrukkelijk</w:t>
      </w:r>
      <w:r>
        <w:rPr>
          <w:rFonts w:eastAsia="Times New Roman" w:cs="Times New Roman"/>
          <w:szCs w:val="18"/>
          <w:lang w:val="nl-NL" w:eastAsia="zh-CN"/>
        </w:rPr>
        <w:t xml:space="preserve"> ondersteund. Nederland heeft in dit verband </w:t>
      </w:r>
      <w:r w:rsidR="0076398B">
        <w:rPr>
          <w:rFonts w:eastAsia="Times New Roman" w:cs="Times New Roman"/>
          <w:szCs w:val="18"/>
          <w:lang w:val="nl-NL" w:eastAsia="zh-CN"/>
        </w:rPr>
        <w:t>daarnaast</w:t>
      </w:r>
      <w:r>
        <w:rPr>
          <w:rFonts w:eastAsia="Times New Roman" w:cs="Times New Roman"/>
          <w:szCs w:val="18"/>
          <w:lang w:val="nl-NL" w:eastAsia="zh-CN"/>
        </w:rPr>
        <w:t xml:space="preserve"> gewezen op het belang van communicatie over resultaten. Ook heeft Nederland de Commissie aangemoedig</w:t>
      </w:r>
      <w:r w:rsidR="009D6640">
        <w:rPr>
          <w:rFonts w:eastAsia="Times New Roman" w:cs="Times New Roman"/>
          <w:szCs w:val="18"/>
          <w:lang w:val="nl-NL" w:eastAsia="zh-CN"/>
        </w:rPr>
        <w:t>d door te gaan met de herziening</w:t>
      </w:r>
      <w:r>
        <w:rPr>
          <w:rFonts w:eastAsia="Times New Roman" w:cs="Times New Roman"/>
          <w:szCs w:val="18"/>
          <w:lang w:val="nl-NL" w:eastAsia="zh-CN"/>
        </w:rPr>
        <w:t xml:space="preserve"> van de Europese wet- en regelgeving in het kader van de agenda voor betere regelgeving. </w:t>
      </w:r>
    </w:p>
    <w:p w:rsidR="009D6640" w:rsidP="00E422F1" w:rsidRDefault="009D6640" w14:paraId="113E8DF2" w14:textId="77777777">
      <w:pPr>
        <w:tabs>
          <w:tab w:val="left" w:pos="0"/>
          <w:tab w:val="left" w:pos="426"/>
        </w:tabs>
        <w:spacing w:after="0"/>
        <w:contextualSpacing/>
        <w:rPr>
          <w:rFonts w:eastAsia="Times New Roman" w:cs="Times New Roman"/>
          <w:szCs w:val="18"/>
          <w:lang w:val="nl-NL" w:eastAsia="zh-CN"/>
        </w:rPr>
      </w:pPr>
    </w:p>
    <w:p w:rsidRPr="005C503F" w:rsidR="009D6640" w:rsidP="00E422F1" w:rsidRDefault="009D6640" w14:paraId="381F58B8" w14:textId="6A496107">
      <w:pPr>
        <w:tabs>
          <w:tab w:val="left" w:pos="0"/>
          <w:tab w:val="left" w:pos="426"/>
        </w:tabs>
        <w:spacing w:after="0"/>
        <w:contextualSpacing/>
        <w:rPr>
          <w:rFonts w:eastAsia="Times New Roman" w:cs="Times New Roman"/>
          <w:szCs w:val="18"/>
          <w:lang w:val="nl-NL" w:eastAsia="zh-CN"/>
        </w:rPr>
      </w:pPr>
      <w:r>
        <w:rPr>
          <w:rFonts w:eastAsia="Times New Roman" w:cs="Times New Roman"/>
          <w:szCs w:val="18"/>
          <w:lang w:val="nl-NL" w:eastAsia="zh-CN"/>
        </w:rPr>
        <w:t xml:space="preserve">Het Slowaaks voorzitterschap zal nu met de Commissie en het Europees Parlement een gemeenschappelijke verklaring opstellen over de onderwerpen uit het Commissie Werkprogramma 2017 die de instellingen op korte termijn zullen oppakken. </w:t>
      </w:r>
    </w:p>
    <w:p w:rsidRPr="005C503F" w:rsidR="003C426F" w:rsidP="00E422F1" w:rsidRDefault="003C426F" w14:paraId="4C2335B7" w14:textId="77777777">
      <w:pPr>
        <w:tabs>
          <w:tab w:val="left" w:pos="0"/>
          <w:tab w:val="left" w:pos="426"/>
        </w:tabs>
        <w:spacing w:after="0"/>
        <w:contextualSpacing/>
        <w:rPr>
          <w:rFonts w:eastAsia="Times New Roman"/>
          <w:lang w:val="nl-NL" w:eastAsia="zh-CN"/>
        </w:rPr>
      </w:pPr>
    </w:p>
    <w:p w:rsidRPr="00780913" w:rsidR="00732754" w:rsidP="00E422F1" w:rsidRDefault="00780913" w14:paraId="2FB2A6D7" w14:textId="4ECD9034">
      <w:pPr>
        <w:tabs>
          <w:tab w:val="left" w:pos="0"/>
          <w:tab w:val="left" w:pos="426"/>
        </w:tabs>
        <w:spacing w:after="0"/>
        <w:contextualSpacing/>
        <w:rPr>
          <w:rFonts w:eastAsia="Times New Roman" w:cs="Times New Roman"/>
          <w:b/>
          <w:szCs w:val="18"/>
          <w:lang w:val="nl-NL" w:eastAsia="zh-CN"/>
        </w:rPr>
      </w:pPr>
      <w:r>
        <w:rPr>
          <w:rFonts w:eastAsia="Times New Roman" w:cs="Times New Roman"/>
          <w:b/>
          <w:szCs w:val="18"/>
          <w:lang w:val="nl-NL" w:eastAsia="zh-CN"/>
        </w:rPr>
        <w:t>Rule of Law</w:t>
      </w:r>
    </w:p>
    <w:p w:rsidR="003C426F" w:rsidP="00E422F1" w:rsidRDefault="00032C6A" w14:paraId="7DD087C4" w14:textId="038B7463">
      <w:pPr>
        <w:tabs>
          <w:tab w:val="left" w:pos="0"/>
          <w:tab w:val="left" w:pos="426"/>
        </w:tabs>
        <w:spacing w:after="0"/>
        <w:contextualSpacing/>
        <w:rPr>
          <w:rFonts w:eastAsia="Times New Roman" w:cs="Times New Roman"/>
          <w:szCs w:val="18"/>
          <w:lang w:val="nl-NL" w:eastAsia="zh-CN"/>
        </w:rPr>
      </w:pPr>
      <w:r>
        <w:rPr>
          <w:rFonts w:eastAsia="Times New Roman" w:cs="Times New Roman"/>
          <w:szCs w:val="18"/>
          <w:lang w:val="nl-NL" w:eastAsia="zh-CN"/>
        </w:rPr>
        <w:t>In de</w:t>
      </w:r>
      <w:r w:rsidRPr="00032C6A">
        <w:rPr>
          <w:rFonts w:eastAsia="Times New Roman" w:cs="Times New Roman"/>
          <w:szCs w:val="18"/>
          <w:lang w:val="nl-NL" w:eastAsia="zh-CN"/>
        </w:rPr>
        <w:t xml:space="preserve"> </w:t>
      </w:r>
      <w:r w:rsidR="0008398B">
        <w:rPr>
          <w:rFonts w:eastAsia="Times New Roman" w:cs="Times New Roman"/>
          <w:szCs w:val="18"/>
          <w:lang w:val="nl-NL" w:eastAsia="zh-CN"/>
        </w:rPr>
        <w:t>RAZ</w:t>
      </w:r>
      <w:r>
        <w:rPr>
          <w:rFonts w:eastAsia="Times New Roman" w:cs="Times New Roman"/>
          <w:szCs w:val="18"/>
          <w:lang w:val="nl-NL" w:eastAsia="zh-CN"/>
        </w:rPr>
        <w:t xml:space="preserve"> werd</w:t>
      </w:r>
      <w:r w:rsidRPr="00032C6A">
        <w:rPr>
          <w:rFonts w:eastAsia="Times New Roman" w:cs="Times New Roman"/>
          <w:szCs w:val="18"/>
          <w:lang w:val="nl-NL" w:eastAsia="zh-CN"/>
        </w:rPr>
        <w:t xml:space="preserve"> brede steun uit</w:t>
      </w:r>
      <w:r>
        <w:rPr>
          <w:rFonts w:eastAsia="Times New Roman" w:cs="Times New Roman"/>
          <w:szCs w:val="18"/>
          <w:lang w:val="nl-NL" w:eastAsia="zh-CN"/>
        </w:rPr>
        <w:t>gesproken</w:t>
      </w:r>
      <w:r w:rsidRPr="00032C6A">
        <w:rPr>
          <w:rFonts w:eastAsia="Times New Roman" w:cs="Times New Roman"/>
          <w:szCs w:val="18"/>
          <w:lang w:val="nl-NL" w:eastAsia="zh-CN"/>
        </w:rPr>
        <w:t xml:space="preserve"> voor </w:t>
      </w:r>
      <w:r>
        <w:rPr>
          <w:rFonts w:eastAsia="Times New Roman" w:cs="Times New Roman"/>
          <w:szCs w:val="18"/>
          <w:lang w:val="nl-NL" w:eastAsia="zh-CN"/>
        </w:rPr>
        <w:t xml:space="preserve">continuering van </w:t>
      </w:r>
      <w:r w:rsidRPr="00032C6A">
        <w:rPr>
          <w:rFonts w:eastAsia="Times New Roman" w:cs="Times New Roman"/>
          <w:szCs w:val="18"/>
          <w:lang w:val="nl-NL" w:eastAsia="zh-CN"/>
        </w:rPr>
        <w:t>de rechtsstatelijkheidsdialoog</w:t>
      </w:r>
      <w:r>
        <w:rPr>
          <w:rFonts w:eastAsia="Times New Roman" w:cs="Times New Roman"/>
          <w:szCs w:val="18"/>
          <w:lang w:val="nl-NL" w:eastAsia="zh-CN"/>
        </w:rPr>
        <w:t xml:space="preserve">. </w:t>
      </w:r>
      <w:r w:rsidR="00495F67">
        <w:rPr>
          <w:rFonts w:eastAsia="Times New Roman" w:cs="Times New Roman"/>
          <w:szCs w:val="18"/>
          <w:lang w:val="nl-NL" w:eastAsia="zh-CN"/>
        </w:rPr>
        <w:t>Een groot</w:t>
      </w:r>
      <w:r w:rsidR="00732754">
        <w:rPr>
          <w:rFonts w:eastAsia="Times New Roman" w:cs="Times New Roman"/>
          <w:szCs w:val="18"/>
          <w:lang w:val="nl-NL" w:eastAsia="zh-CN"/>
        </w:rPr>
        <w:t xml:space="preserve"> </w:t>
      </w:r>
      <w:r w:rsidR="00495F67">
        <w:rPr>
          <w:rFonts w:eastAsia="Times New Roman" w:cs="Times New Roman"/>
          <w:szCs w:val="18"/>
          <w:lang w:val="nl-NL" w:eastAsia="zh-CN"/>
        </w:rPr>
        <w:t xml:space="preserve">aantal </w:t>
      </w:r>
      <w:r w:rsidR="00732754">
        <w:rPr>
          <w:rFonts w:eastAsia="Times New Roman" w:cs="Times New Roman"/>
          <w:szCs w:val="18"/>
          <w:lang w:val="nl-NL" w:eastAsia="zh-CN"/>
        </w:rPr>
        <w:t>lidstaten</w:t>
      </w:r>
      <w:r w:rsidR="00495F67">
        <w:rPr>
          <w:rFonts w:eastAsia="Times New Roman" w:cs="Times New Roman"/>
          <w:szCs w:val="18"/>
          <w:lang w:val="nl-NL" w:eastAsia="zh-CN"/>
        </w:rPr>
        <w:t>, waaronder Nederland,</w:t>
      </w:r>
      <w:r w:rsidR="00732754">
        <w:rPr>
          <w:rFonts w:eastAsia="Times New Roman" w:cs="Times New Roman"/>
          <w:szCs w:val="18"/>
          <w:lang w:val="nl-NL" w:eastAsia="zh-CN"/>
        </w:rPr>
        <w:t xml:space="preserve"> </w:t>
      </w:r>
      <w:r w:rsidR="0076398B">
        <w:rPr>
          <w:rFonts w:eastAsia="Times New Roman" w:cs="Times New Roman"/>
          <w:szCs w:val="18"/>
          <w:lang w:val="nl-NL" w:eastAsia="zh-CN"/>
        </w:rPr>
        <w:t>benadrukte</w:t>
      </w:r>
      <w:r w:rsidR="00732754">
        <w:rPr>
          <w:rFonts w:eastAsia="Times New Roman" w:cs="Times New Roman"/>
          <w:szCs w:val="18"/>
          <w:lang w:val="nl-NL" w:eastAsia="zh-CN"/>
        </w:rPr>
        <w:t xml:space="preserve"> </w:t>
      </w:r>
      <w:r w:rsidR="00495F67">
        <w:rPr>
          <w:rFonts w:eastAsia="Times New Roman" w:cs="Times New Roman"/>
          <w:szCs w:val="18"/>
          <w:lang w:val="nl-NL" w:eastAsia="zh-CN"/>
        </w:rPr>
        <w:t xml:space="preserve">de noodzaak </w:t>
      </w:r>
      <w:r w:rsidR="00732754">
        <w:rPr>
          <w:rFonts w:eastAsia="Times New Roman" w:cs="Times New Roman"/>
          <w:szCs w:val="18"/>
          <w:lang w:val="nl-NL" w:eastAsia="zh-CN"/>
        </w:rPr>
        <w:t>voor versterking van de dialoog</w:t>
      </w:r>
      <w:r w:rsidR="00495F67">
        <w:rPr>
          <w:rFonts w:eastAsia="Times New Roman" w:cs="Times New Roman"/>
          <w:szCs w:val="18"/>
          <w:lang w:val="nl-NL" w:eastAsia="zh-CN"/>
        </w:rPr>
        <w:t>.</w:t>
      </w:r>
      <w:r w:rsidR="00732754">
        <w:rPr>
          <w:rFonts w:eastAsia="Times New Roman" w:cs="Times New Roman"/>
          <w:szCs w:val="18"/>
          <w:lang w:val="nl-NL" w:eastAsia="zh-CN"/>
        </w:rPr>
        <w:t xml:space="preserve"> </w:t>
      </w:r>
      <w:r w:rsidR="00495F67">
        <w:rPr>
          <w:rFonts w:eastAsia="Times New Roman" w:cs="Times New Roman"/>
          <w:szCs w:val="18"/>
          <w:lang w:val="nl-NL" w:eastAsia="zh-CN"/>
        </w:rPr>
        <w:t>Nederland onderstreepte hierbij het belang van een inclusieve en structurele voorbereiding, synergie met relevante organisaties als de Raad van Europa en het EU-Grondrechtenagentschap en meer</w:t>
      </w:r>
      <w:r w:rsidR="001B27BB">
        <w:rPr>
          <w:rFonts w:eastAsia="Times New Roman" w:cs="Times New Roman"/>
          <w:szCs w:val="18"/>
          <w:lang w:val="nl-NL" w:eastAsia="zh-CN"/>
        </w:rPr>
        <w:t xml:space="preserve"> resultaatgerichte follow-up. Een</w:t>
      </w:r>
      <w:r w:rsidR="00495F67">
        <w:rPr>
          <w:rFonts w:eastAsia="Times New Roman" w:cs="Times New Roman"/>
          <w:szCs w:val="18"/>
          <w:lang w:val="nl-NL" w:eastAsia="zh-CN"/>
        </w:rPr>
        <w:t xml:space="preserve"> volgende evaluatie </w:t>
      </w:r>
      <w:r w:rsidR="00BB3AB3">
        <w:rPr>
          <w:rFonts w:eastAsia="Times New Roman" w:cs="Times New Roman"/>
          <w:szCs w:val="18"/>
          <w:lang w:val="nl-NL" w:eastAsia="zh-CN"/>
        </w:rPr>
        <w:t>is voorzien voor</w:t>
      </w:r>
      <w:r w:rsidR="00495F67">
        <w:rPr>
          <w:rFonts w:eastAsia="Times New Roman" w:cs="Times New Roman"/>
          <w:szCs w:val="18"/>
          <w:lang w:val="nl-NL" w:eastAsia="zh-CN"/>
        </w:rPr>
        <w:t xml:space="preserve"> 2019</w:t>
      </w:r>
      <w:r w:rsidR="00BA18B0">
        <w:rPr>
          <w:rFonts w:eastAsia="Times New Roman" w:cs="Times New Roman"/>
          <w:szCs w:val="18"/>
          <w:lang w:val="nl-NL" w:eastAsia="zh-CN"/>
        </w:rPr>
        <w:t xml:space="preserve">. Het Slowaaks voorzitterschap </w:t>
      </w:r>
      <w:r w:rsidR="00854540">
        <w:rPr>
          <w:rFonts w:eastAsia="Times New Roman" w:cs="Times New Roman"/>
          <w:szCs w:val="18"/>
          <w:lang w:val="nl-NL" w:eastAsia="zh-CN"/>
        </w:rPr>
        <w:t>zal de discussie samenvatten in</w:t>
      </w:r>
      <w:r w:rsidR="00BA18B0">
        <w:rPr>
          <w:rFonts w:eastAsia="Times New Roman" w:cs="Times New Roman"/>
          <w:szCs w:val="18"/>
          <w:lang w:val="nl-NL" w:eastAsia="zh-CN"/>
        </w:rPr>
        <w:t xml:space="preserve"> </w:t>
      </w:r>
      <w:r w:rsidR="0054589E">
        <w:rPr>
          <w:rFonts w:eastAsia="Times New Roman" w:cs="Times New Roman"/>
          <w:szCs w:val="18"/>
          <w:lang w:val="nl-NL" w:eastAsia="zh-CN"/>
        </w:rPr>
        <w:t xml:space="preserve">een </w:t>
      </w:r>
      <w:r w:rsidR="00854540">
        <w:rPr>
          <w:rFonts w:eastAsia="Times New Roman" w:cs="Times New Roman"/>
          <w:szCs w:val="18"/>
          <w:lang w:val="nl-NL" w:eastAsia="zh-CN"/>
        </w:rPr>
        <w:t xml:space="preserve">follow-up </w:t>
      </w:r>
      <w:r w:rsidR="0054589E">
        <w:rPr>
          <w:rFonts w:eastAsia="Times New Roman" w:cs="Times New Roman"/>
          <w:szCs w:val="18"/>
          <w:lang w:val="nl-NL" w:eastAsia="zh-CN"/>
        </w:rPr>
        <w:t>notitie.</w:t>
      </w:r>
    </w:p>
    <w:p w:rsidR="00032C6A" w:rsidP="00E422F1" w:rsidRDefault="00032C6A" w14:paraId="06791A50" w14:textId="77777777">
      <w:pPr>
        <w:tabs>
          <w:tab w:val="left" w:pos="0"/>
          <w:tab w:val="left" w:pos="426"/>
        </w:tabs>
        <w:spacing w:after="0"/>
        <w:contextualSpacing/>
        <w:rPr>
          <w:rFonts w:eastAsia="Times New Roman" w:cs="Times New Roman"/>
          <w:szCs w:val="18"/>
          <w:lang w:val="nl-NL" w:eastAsia="zh-CN"/>
        </w:rPr>
      </w:pPr>
    </w:p>
    <w:p w:rsidRPr="00495F67" w:rsidR="003C426F" w:rsidP="00E422F1" w:rsidRDefault="003C426F" w14:paraId="1B2AF157" w14:textId="77777777">
      <w:pPr>
        <w:tabs>
          <w:tab w:val="left" w:pos="0"/>
          <w:tab w:val="left" w:pos="426"/>
        </w:tabs>
        <w:spacing w:after="0"/>
        <w:contextualSpacing/>
        <w:rPr>
          <w:rFonts w:eastAsia="Times New Roman" w:cs="Times New Roman"/>
          <w:b/>
          <w:szCs w:val="18"/>
          <w:lang w:val="nl-NL" w:eastAsia="zh-CN"/>
        </w:rPr>
      </w:pPr>
      <w:r w:rsidRPr="00495F67">
        <w:rPr>
          <w:rFonts w:eastAsia="Times New Roman" w:cs="Times New Roman"/>
          <w:b/>
          <w:szCs w:val="18"/>
          <w:lang w:val="nl-NL" w:eastAsia="zh-CN"/>
        </w:rPr>
        <w:t>Europees Semester</w:t>
      </w:r>
    </w:p>
    <w:p w:rsidRPr="00084DBA" w:rsidR="00084DBA" w:rsidP="00E422F1" w:rsidRDefault="00084DBA" w14:paraId="076CD47F" w14:textId="435A00C1">
      <w:pPr>
        <w:pStyle w:val="PlainText"/>
        <w:rPr>
          <w:rFonts w:ascii="Verdana" w:hAnsi="Verdana"/>
          <w:sz w:val="18"/>
          <w:szCs w:val="18"/>
          <w:lang w:val="nl-NL"/>
        </w:rPr>
      </w:pPr>
      <w:r w:rsidRPr="00084DBA">
        <w:rPr>
          <w:rFonts w:ascii="Verdana" w:hAnsi="Verdana"/>
          <w:sz w:val="18"/>
          <w:szCs w:val="18"/>
          <w:lang w:val="nl-NL"/>
        </w:rPr>
        <w:t>Het Slowaaks voorzitte</w:t>
      </w:r>
      <w:r w:rsidR="0008398B">
        <w:rPr>
          <w:rFonts w:ascii="Verdana" w:hAnsi="Verdana"/>
          <w:sz w:val="18"/>
          <w:szCs w:val="18"/>
          <w:lang w:val="nl-NL"/>
        </w:rPr>
        <w:t xml:space="preserve">rschap en het inkomend Maltees </w:t>
      </w:r>
      <w:r w:rsidRPr="00084DBA">
        <w:rPr>
          <w:rFonts w:ascii="Verdana" w:hAnsi="Verdana"/>
          <w:sz w:val="18"/>
          <w:szCs w:val="18"/>
          <w:lang w:val="nl-NL"/>
        </w:rPr>
        <w:t>voorzitterschap hebben de ‘roadmap’ voor het Europees Semester 2017 gepresenteerd. De ‘roadmap’ zet de bespreking van het Europees Semester in de relevante vakraden uiteen. Zoals gebruikelijk worden ook in dit semester de EU groeiprioriteiten tussen dec</w:t>
      </w:r>
      <w:r w:rsidR="002C1F5B">
        <w:rPr>
          <w:rFonts w:ascii="Verdana" w:hAnsi="Verdana"/>
          <w:sz w:val="18"/>
          <w:szCs w:val="18"/>
          <w:lang w:val="nl-NL"/>
        </w:rPr>
        <w:t>ember en maart in de relevante r</w:t>
      </w:r>
      <w:r w:rsidRPr="00084DBA">
        <w:rPr>
          <w:rFonts w:ascii="Verdana" w:hAnsi="Verdana"/>
          <w:sz w:val="18"/>
          <w:szCs w:val="18"/>
          <w:lang w:val="nl-NL"/>
        </w:rPr>
        <w:t>aden besproken en de landenspecifieke aanbevelingen in juni</w:t>
      </w:r>
      <w:r w:rsidR="002C1F5B">
        <w:rPr>
          <w:rFonts w:ascii="Verdana" w:hAnsi="Verdana"/>
          <w:sz w:val="18"/>
          <w:szCs w:val="18"/>
          <w:lang w:val="nl-NL"/>
        </w:rPr>
        <w:t xml:space="preserve"> 2017</w:t>
      </w:r>
      <w:r w:rsidRPr="00084DBA">
        <w:rPr>
          <w:rFonts w:ascii="Verdana" w:hAnsi="Verdana"/>
          <w:sz w:val="18"/>
          <w:szCs w:val="18"/>
          <w:lang w:val="nl-NL"/>
        </w:rPr>
        <w:t>. De Europese Commissie wees erop dat zij op 16 november haar jaarlijkse analyse van prioriteiten voor economische groei (</w:t>
      </w:r>
      <w:r w:rsidRPr="00EF11BB">
        <w:rPr>
          <w:rFonts w:ascii="Verdana" w:hAnsi="Verdana"/>
          <w:i/>
          <w:sz w:val="18"/>
          <w:szCs w:val="18"/>
          <w:lang w:val="nl-NL"/>
        </w:rPr>
        <w:t>Annual Growth Survey</w:t>
      </w:r>
      <w:r w:rsidRPr="00084DBA">
        <w:rPr>
          <w:rFonts w:ascii="Verdana" w:hAnsi="Verdana"/>
          <w:sz w:val="18"/>
          <w:szCs w:val="18"/>
          <w:lang w:val="nl-NL"/>
        </w:rPr>
        <w:t>) zal presenteren. Hierover zullen de minister van Financiën en de minister van Economische Zaken de Tweede Kamer per brief informeren.</w:t>
      </w:r>
    </w:p>
    <w:p w:rsidR="002B3947" w:rsidP="00E422F1" w:rsidRDefault="002B3947" w14:paraId="752CE9AA" w14:textId="77777777">
      <w:pPr>
        <w:tabs>
          <w:tab w:val="left" w:pos="0"/>
          <w:tab w:val="left" w:pos="426"/>
        </w:tabs>
        <w:spacing w:after="0"/>
        <w:contextualSpacing/>
        <w:rPr>
          <w:rFonts w:eastAsia="Times New Roman" w:cs="Times New Roman"/>
          <w:b/>
          <w:szCs w:val="18"/>
          <w:lang w:val="nl-NL" w:eastAsia="zh-CN"/>
        </w:rPr>
      </w:pPr>
    </w:p>
    <w:p w:rsidRPr="00084DBA" w:rsidR="00237740" w:rsidP="00E422F1" w:rsidRDefault="00237740" w14:paraId="510FE93E" w14:textId="77777777">
      <w:pPr>
        <w:tabs>
          <w:tab w:val="left" w:pos="0"/>
          <w:tab w:val="left" w:pos="426"/>
        </w:tabs>
        <w:spacing w:after="0"/>
        <w:contextualSpacing/>
        <w:rPr>
          <w:rFonts w:eastAsia="Times New Roman" w:cs="Times New Roman"/>
          <w:b/>
          <w:szCs w:val="18"/>
          <w:lang w:val="nl-NL" w:eastAsia="zh-CN"/>
        </w:rPr>
      </w:pPr>
    </w:p>
    <w:sectPr w:rsidRPr="00084DBA" w:rsidR="0023774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EF13A" w14:textId="77777777" w:rsidR="004C7D72" w:rsidRDefault="004C7D72" w:rsidP="00A734CD">
      <w:pPr>
        <w:spacing w:after="0"/>
      </w:pPr>
      <w:r>
        <w:separator/>
      </w:r>
    </w:p>
  </w:endnote>
  <w:endnote w:type="continuationSeparator" w:id="0">
    <w:p w14:paraId="112F135E" w14:textId="77777777" w:rsidR="004C7D72" w:rsidRDefault="004C7D72" w:rsidP="00A734CD">
      <w:pPr>
        <w:spacing w:after="0"/>
      </w:pPr>
      <w:r>
        <w:continuationSeparator/>
      </w:r>
    </w:p>
  </w:endnote>
  <w:endnote w:type="continuationNotice" w:id="1">
    <w:p w14:paraId="5D89CF91" w14:textId="77777777" w:rsidR="004C7D72" w:rsidRDefault="004C7D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AD33B" w14:textId="77777777" w:rsidR="004C7D72" w:rsidRDefault="004C7D72" w:rsidP="00A734CD">
      <w:pPr>
        <w:spacing w:after="0"/>
      </w:pPr>
      <w:r>
        <w:separator/>
      </w:r>
    </w:p>
  </w:footnote>
  <w:footnote w:type="continuationSeparator" w:id="0">
    <w:p w14:paraId="50C2EE16" w14:textId="77777777" w:rsidR="004C7D72" w:rsidRDefault="004C7D72" w:rsidP="00A734CD">
      <w:pPr>
        <w:spacing w:after="0"/>
      </w:pPr>
      <w:r>
        <w:continuationSeparator/>
      </w:r>
    </w:p>
  </w:footnote>
  <w:footnote w:type="continuationNotice" w:id="1">
    <w:p w14:paraId="3C33B611" w14:textId="77777777" w:rsidR="004C7D72" w:rsidRDefault="004C7D7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00D7"/>
    <w:multiLevelType w:val="multilevel"/>
    <w:tmpl w:val="E19CE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81A8E"/>
    <w:multiLevelType w:val="multilevel"/>
    <w:tmpl w:val="F4E24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83F98"/>
    <w:multiLevelType w:val="multilevel"/>
    <w:tmpl w:val="BF768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676D1"/>
    <w:multiLevelType w:val="hybridMultilevel"/>
    <w:tmpl w:val="F342EB38"/>
    <w:lvl w:ilvl="0" w:tplc="15C46158">
      <w:start w:val="1"/>
      <w:numFmt w:val="bullet"/>
      <w:lvlText w:val="-"/>
      <w:lvlJc w:val="left"/>
      <w:pPr>
        <w:ind w:left="360" w:hanging="360"/>
      </w:pPr>
      <w:rPr>
        <w:rFonts w:ascii="Calibri" w:eastAsia="Calibri" w:hAnsi="Calibri"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32C8694F"/>
    <w:multiLevelType w:val="multilevel"/>
    <w:tmpl w:val="7E4E0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86DBB"/>
    <w:multiLevelType w:val="multilevel"/>
    <w:tmpl w:val="E410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70430"/>
    <w:multiLevelType w:val="hybridMultilevel"/>
    <w:tmpl w:val="F864A5D2"/>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235D9F"/>
    <w:multiLevelType w:val="multilevel"/>
    <w:tmpl w:val="B9FA49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F2735F"/>
    <w:multiLevelType w:val="hybridMultilevel"/>
    <w:tmpl w:val="A0FEA0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BF23549"/>
    <w:multiLevelType w:val="multilevel"/>
    <w:tmpl w:val="BD24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1A1DDF"/>
    <w:multiLevelType w:val="hybridMultilevel"/>
    <w:tmpl w:val="4E929D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9"/>
  </w:num>
  <w:num w:numId="4">
    <w:abstractNumId w:val="0"/>
  </w:num>
  <w:num w:numId="5">
    <w:abstractNumId w:val="5"/>
  </w:num>
  <w:num w:numId="6">
    <w:abstractNumId w:val="10"/>
  </w:num>
  <w:num w:numId="7">
    <w:abstractNumId w:val="8"/>
  </w:num>
  <w:num w:numId="8">
    <w:abstractNumId w:val="3"/>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07"/>
    <w:rsid w:val="00001419"/>
    <w:rsid w:val="00001773"/>
    <w:rsid w:val="000028EE"/>
    <w:rsid w:val="0001000D"/>
    <w:rsid w:val="00010AC9"/>
    <w:rsid w:val="000239A2"/>
    <w:rsid w:val="00025B95"/>
    <w:rsid w:val="00025FCF"/>
    <w:rsid w:val="000272D7"/>
    <w:rsid w:val="000309F7"/>
    <w:rsid w:val="000325D1"/>
    <w:rsid w:val="00032C6A"/>
    <w:rsid w:val="000341D5"/>
    <w:rsid w:val="0003644A"/>
    <w:rsid w:val="00036CBE"/>
    <w:rsid w:val="0004355C"/>
    <w:rsid w:val="0004655D"/>
    <w:rsid w:val="00046A29"/>
    <w:rsid w:val="000506CD"/>
    <w:rsid w:val="00051749"/>
    <w:rsid w:val="0005280B"/>
    <w:rsid w:val="0005678B"/>
    <w:rsid w:val="0005688E"/>
    <w:rsid w:val="00061A45"/>
    <w:rsid w:val="00064FCB"/>
    <w:rsid w:val="000659D0"/>
    <w:rsid w:val="00075173"/>
    <w:rsid w:val="000776E7"/>
    <w:rsid w:val="00080202"/>
    <w:rsid w:val="0008398B"/>
    <w:rsid w:val="00084DBA"/>
    <w:rsid w:val="00087090"/>
    <w:rsid w:val="00090AEF"/>
    <w:rsid w:val="000915E8"/>
    <w:rsid w:val="00093A5A"/>
    <w:rsid w:val="00095C82"/>
    <w:rsid w:val="000A00AF"/>
    <w:rsid w:val="000A27E8"/>
    <w:rsid w:val="000A6157"/>
    <w:rsid w:val="000A6D71"/>
    <w:rsid w:val="000B0F05"/>
    <w:rsid w:val="000B1215"/>
    <w:rsid w:val="000B21CF"/>
    <w:rsid w:val="000B5A70"/>
    <w:rsid w:val="000C0716"/>
    <w:rsid w:val="000C6AAA"/>
    <w:rsid w:val="000C6BAA"/>
    <w:rsid w:val="000C796C"/>
    <w:rsid w:val="000D268E"/>
    <w:rsid w:val="000D35DE"/>
    <w:rsid w:val="000E2A2B"/>
    <w:rsid w:val="000E2F23"/>
    <w:rsid w:val="000E2F4E"/>
    <w:rsid w:val="000E7698"/>
    <w:rsid w:val="000E7F81"/>
    <w:rsid w:val="000F2069"/>
    <w:rsid w:val="000F355E"/>
    <w:rsid w:val="000F3BCD"/>
    <w:rsid w:val="000F7A9D"/>
    <w:rsid w:val="00101B26"/>
    <w:rsid w:val="00103F77"/>
    <w:rsid w:val="00104308"/>
    <w:rsid w:val="00105216"/>
    <w:rsid w:val="001071BB"/>
    <w:rsid w:val="00107A6F"/>
    <w:rsid w:val="0011101D"/>
    <w:rsid w:val="0011218F"/>
    <w:rsid w:val="00112CF5"/>
    <w:rsid w:val="001142C8"/>
    <w:rsid w:val="0011695A"/>
    <w:rsid w:val="00122A25"/>
    <w:rsid w:val="001233EE"/>
    <w:rsid w:val="00125DFB"/>
    <w:rsid w:val="00126602"/>
    <w:rsid w:val="00127BD0"/>
    <w:rsid w:val="00130DAC"/>
    <w:rsid w:val="00130EB6"/>
    <w:rsid w:val="00132AAA"/>
    <w:rsid w:val="00133C35"/>
    <w:rsid w:val="00135DC1"/>
    <w:rsid w:val="001367D7"/>
    <w:rsid w:val="001375B2"/>
    <w:rsid w:val="00137B96"/>
    <w:rsid w:val="001404A9"/>
    <w:rsid w:val="00140944"/>
    <w:rsid w:val="00144025"/>
    <w:rsid w:val="00150401"/>
    <w:rsid w:val="0015223B"/>
    <w:rsid w:val="001557BF"/>
    <w:rsid w:val="0016136C"/>
    <w:rsid w:val="00162158"/>
    <w:rsid w:val="001643C7"/>
    <w:rsid w:val="00164EF9"/>
    <w:rsid w:val="0016688D"/>
    <w:rsid w:val="00170224"/>
    <w:rsid w:val="00174FF5"/>
    <w:rsid w:val="00176314"/>
    <w:rsid w:val="001829C4"/>
    <w:rsid w:val="00183160"/>
    <w:rsid w:val="001845F2"/>
    <w:rsid w:val="00185398"/>
    <w:rsid w:val="00185B20"/>
    <w:rsid w:val="00186902"/>
    <w:rsid w:val="00186F53"/>
    <w:rsid w:val="00187577"/>
    <w:rsid w:val="0019096D"/>
    <w:rsid w:val="0019248F"/>
    <w:rsid w:val="00194F69"/>
    <w:rsid w:val="001952FB"/>
    <w:rsid w:val="00195528"/>
    <w:rsid w:val="001A6915"/>
    <w:rsid w:val="001B0B80"/>
    <w:rsid w:val="001B27BB"/>
    <w:rsid w:val="001B344A"/>
    <w:rsid w:val="001B6EC9"/>
    <w:rsid w:val="001C03EE"/>
    <w:rsid w:val="001C3A14"/>
    <w:rsid w:val="001C49BE"/>
    <w:rsid w:val="001C5959"/>
    <w:rsid w:val="001C6CAD"/>
    <w:rsid w:val="001D1511"/>
    <w:rsid w:val="001D5711"/>
    <w:rsid w:val="001E0DDD"/>
    <w:rsid w:val="001E2E05"/>
    <w:rsid w:val="001E3EC8"/>
    <w:rsid w:val="001E4ADC"/>
    <w:rsid w:val="001E4BBA"/>
    <w:rsid w:val="001E52C7"/>
    <w:rsid w:val="001E7D32"/>
    <w:rsid w:val="001F06D4"/>
    <w:rsid w:val="001F4B9C"/>
    <w:rsid w:val="00200585"/>
    <w:rsid w:val="00200665"/>
    <w:rsid w:val="00203379"/>
    <w:rsid w:val="00204DBD"/>
    <w:rsid w:val="00207690"/>
    <w:rsid w:val="0021013D"/>
    <w:rsid w:val="00213379"/>
    <w:rsid w:val="002161B2"/>
    <w:rsid w:val="00222851"/>
    <w:rsid w:val="0022308F"/>
    <w:rsid w:val="002235E3"/>
    <w:rsid w:val="00223A79"/>
    <w:rsid w:val="00224AFB"/>
    <w:rsid w:val="00225815"/>
    <w:rsid w:val="0022650F"/>
    <w:rsid w:val="00226CE8"/>
    <w:rsid w:val="002304D4"/>
    <w:rsid w:val="002373DB"/>
    <w:rsid w:val="00237740"/>
    <w:rsid w:val="00237F0E"/>
    <w:rsid w:val="00241BAC"/>
    <w:rsid w:val="002469C5"/>
    <w:rsid w:val="00246AC3"/>
    <w:rsid w:val="00247447"/>
    <w:rsid w:val="00254359"/>
    <w:rsid w:val="002575CB"/>
    <w:rsid w:val="00260AE4"/>
    <w:rsid w:val="002617DF"/>
    <w:rsid w:val="00263FD4"/>
    <w:rsid w:val="0026445B"/>
    <w:rsid w:val="002649D2"/>
    <w:rsid w:val="002675FC"/>
    <w:rsid w:val="002736CE"/>
    <w:rsid w:val="00273C54"/>
    <w:rsid w:val="002763A2"/>
    <w:rsid w:val="00276F21"/>
    <w:rsid w:val="002775C6"/>
    <w:rsid w:val="00277D57"/>
    <w:rsid w:val="00280C17"/>
    <w:rsid w:val="00280D70"/>
    <w:rsid w:val="00281AF4"/>
    <w:rsid w:val="00282BB6"/>
    <w:rsid w:val="00283B17"/>
    <w:rsid w:val="00286874"/>
    <w:rsid w:val="00287120"/>
    <w:rsid w:val="002905AE"/>
    <w:rsid w:val="002907E1"/>
    <w:rsid w:val="00294C57"/>
    <w:rsid w:val="002955D6"/>
    <w:rsid w:val="00297883"/>
    <w:rsid w:val="00297ED5"/>
    <w:rsid w:val="002A1A62"/>
    <w:rsid w:val="002A1CFF"/>
    <w:rsid w:val="002A61F1"/>
    <w:rsid w:val="002B0F71"/>
    <w:rsid w:val="002B233B"/>
    <w:rsid w:val="002B2599"/>
    <w:rsid w:val="002B3947"/>
    <w:rsid w:val="002B4A08"/>
    <w:rsid w:val="002B5193"/>
    <w:rsid w:val="002C05A8"/>
    <w:rsid w:val="002C0739"/>
    <w:rsid w:val="002C1F5B"/>
    <w:rsid w:val="002C69BE"/>
    <w:rsid w:val="002D08D9"/>
    <w:rsid w:val="002D200A"/>
    <w:rsid w:val="002D41F2"/>
    <w:rsid w:val="002D7E00"/>
    <w:rsid w:val="002E02E4"/>
    <w:rsid w:val="002E39A2"/>
    <w:rsid w:val="002E66A0"/>
    <w:rsid w:val="002E7F96"/>
    <w:rsid w:val="002F1485"/>
    <w:rsid w:val="002F282C"/>
    <w:rsid w:val="002F3E9C"/>
    <w:rsid w:val="002F58A7"/>
    <w:rsid w:val="00300935"/>
    <w:rsid w:val="00301D23"/>
    <w:rsid w:val="00305BA7"/>
    <w:rsid w:val="00306F85"/>
    <w:rsid w:val="003114B4"/>
    <w:rsid w:val="00311547"/>
    <w:rsid w:val="00312042"/>
    <w:rsid w:val="003215F2"/>
    <w:rsid w:val="00331F65"/>
    <w:rsid w:val="00332A4E"/>
    <w:rsid w:val="00337ED7"/>
    <w:rsid w:val="0034050D"/>
    <w:rsid w:val="00340C0F"/>
    <w:rsid w:val="00340F23"/>
    <w:rsid w:val="00344666"/>
    <w:rsid w:val="0034522C"/>
    <w:rsid w:val="00345448"/>
    <w:rsid w:val="0035385A"/>
    <w:rsid w:val="00353919"/>
    <w:rsid w:val="00355A9A"/>
    <w:rsid w:val="00356706"/>
    <w:rsid w:val="00360BF6"/>
    <w:rsid w:val="00362E73"/>
    <w:rsid w:val="003631EF"/>
    <w:rsid w:val="0036433D"/>
    <w:rsid w:val="00366F0F"/>
    <w:rsid w:val="00371870"/>
    <w:rsid w:val="00371B6B"/>
    <w:rsid w:val="00371C5D"/>
    <w:rsid w:val="00372A04"/>
    <w:rsid w:val="00375EEA"/>
    <w:rsid w:val="00381F7D"/>
    <w:rsid w:val="00381FC5"/>
    <w:rsid w:val="00387F54"/>
    <w:rsid w:val="00390347"/>
    <w:rsid w:val="00390B86"/>
    <w:rsid w:val="00391981"/>
    <w:rsid w:val="00391B46"/>
    <w:rsid w:val="00392920"/>
    <w:rsid w:val="0039315F"/>
    <w:rsid w:val="003948B8"/>
    <w:rsid w:val="0039654F"/>
    <w:rsid w:val="00397470"/>
    <w:rsid w:val="003A19C8"/>
    <w:rsid w:val="003A5E9A"/>
    <w:rsid w:val="003B1E15"/>
    <w:rsid w:val="003B50F6"/>
    <w:rsid w:val="003B56FC"/>
    <w:rsid w:val="003B697A"/>
    <w:rsid w:val="003C0116"/>
    <w:rsid w:val="003C3355"/>
    <w:rsid w:val="003C3C70"/>
    <w:rsid w:val="003C426F"/>
    <w:rsid w:val="003C4590"/>
    <w:rsid w:val="003C4A76"/>
    <w:rsid w:val="003C6395"/>
    <w:rsid w:val="003D302A"/>
    <w:rsid w:val="003D6FE3"/>
    <w:rsid w:val="003E1F06"/>
    <w:rsid w:val="003E25FC"/>
    <w:rsid w:val="003E26D6"/>
    <w:rsid w:val="003E479F"/>
    <w:rsid w:val="003E5EFF"/>
    <w:rsid w:val="003E62C6"/>
    <w:rsid w:val="003E7767"/>
    <w:rsid w:val="003F0264"/>
    <w:rsid w:val="003F192D"/>
    <w:rsid w:val="003F5B89"/>
    <w:rsid w:val="003F63F2"/>
    <w:rsid w:val="003F6DF7"/>
    <w:rsid w:val="003F75FE"/>
    <w:rsid w:val="00400EF2"/>
    <w:rsid w:val="00404474"/>
    <w:rsid w:val="004065EE"/>
    <w:rsid w:val="004070EE"/>
    <w:rsid w:val="00407D3C"/>
    <w:rsid w:val="00417DF1"/>
    <w:rsid w:val="0042180B"/>
    <w:rsid w:val="004237E8"/>
    <w:rsid w:val="00424D53"/>
    <w:rsid w:val="0043038B"/>
    <w:rsid w:val="00433B8A"/>
    <w:rsid w:val="0043456A"/>
    <w:rsid w:val="00445143"/>
    <w:rsid w:val="00446916"/>
    <w:rsid w:val="00450362"/>
    <w:rsid w:val="00451443"/>
    <w:rsid w:val="00452F46"/>
    <w:rsid w:val="004539FF"/>
    <w:rsid w:val="004575C6"/>
    <w:rsid w:val="00457965"/>
    <w:rsid w:val="00465153"/>
    <w:rsid w:val="00471206"/>
    <w:rsid w:val="00472224"/>
    <w:rsid w:val="00475400"/>
    <w:rsid w:val="00476DFE"/>
    <w:rsid w:val="00476F62"/>
    <w:rsid w:val="00481B4A"/>
    <w:rsid w:val="00482BF2"/>
    <w:rsid w:val="004834C7"/>
    <w:rsid w:val="00483982"/>
    <w:rsid w:val="00485759"/>
    <w:rsid w:val="00490889"/>
    <w:rsid w:val="00492420"/>
    <w:rsid w:val="00493550"/>
    <w:rsid w:val="004956FA"/>
    <w:rsid w:val="00495A9F"/>
    <w:rsid w:val="00495F67"/>
    <w:rsid w:val="004966BB"/>
    <w:rsid w:val="004975BA"/>
    <w:rsid w:val="004A13E1"/>
    <w:rsid w:val="004A21B1"/>
    <w:rsid w:val="004A29AF"/>
    <w:rsid w:val="004A3CD3"/>
    <w:rsid w:val="004A486D"/>
    <w:rsid w:val="004A48D4"/>
    <w:rsid w:val="004A64AA"/>
    <w:rsid w:val="004B283C"/>
    <w:rsid w:val="004B2B3E"/>
    <w:rsid w:val="004B4CC8"/>
    <w:rsid w:val="004C26EE"/>
    <w:rsid w:val="004C60C7"/>
    <w:rsid w:val="004C6193"/>
    <w:rsid w:val="004C7D72"/>
    <w:rsid w:val="004E160A"/>
    <w:rsid w:val="004E2315"/>
    <w:rsid w:val="004E2A3A"/>
    <w:rsid w:val="004E437C"/>
    <w:rsid w:val="004E4854"/>
    <w:rsid w:val="004F04A3"/>
    <w:rsid w:val="004F1C07"/>
    <w:rsid w:val="004F1F04"/>
    <w:rsid w:val="004F1F07"/>
    <w:rsid w:val="004F4625"/>
    <w:rsid w:val="004F6B13"/>
    <w:rsid w:val="004F6B99"/>
    <w:rsid w:val="004F70D4"/>
    <w:rsid w:val="004F78D8"/>
    <w:rsid w:val="004F797C"/>
    <w:rsid w:val="00503FAD"/>
    <w:rsid w:val="0050538F"/>
    <w:rsid w:val="00512614"/>
    <w:rsid w:val="00514283"/>
    <w:rsid w:val="005173B8"/>
    <w:rsid w:val="00520CCB"/>
    <w:rsid w:val="00522002"/>
    <w:rsid w:val="005243F3"/>
    <w:rsid w:val="00525D1C"/>
    <w:rsid w:val="00526DE1"/>
    <w:rsid w:val="00527464"/>
    <w:rsid w:val="005303F1"/>
    <w:rsid w:val="005340BF"/>
    <w:rsid w:val="00536C81"/>
    <w:rsid w:val="00541656"/>
    <w:rsid w:val="00542F0C"/>
    <w:rsid w:val="0054513C"/>
    <w:rsid w:val="0054589E"/>
    <w:rsid w:val="0054595A"/>
    <w:rsid w:val="005507DE"/>
    <w:rsid w:val="00551E02"/>
    <w:rsid w:val="00553F44"/>
    <w:rsid w:val="00554691"/>
    <w:rsid w:val="005549BC"/>
    <w:rsid w:val="00557755"/>
    <w:rsid w:val="00565A3F"/>
    <w:rsid w:val="005703F3"/>
    <w:rsid w:val="00570D03"/>
    <w:rsid w:val="00571FCA"/>
    <w:rsid w:val="00574A29"/>
    <w:rsid w:val="00581C5E"/>
    <w:rsid w:val="00582CD9"/>
    <w:rsid w:val="00584049"/>
    <w:rsid w:val="005845FB"/>
    <w:rsid w:val="005869AC"/>
    <w:rsid w:val="00586F8C"/>
    <w:rsid w:val="0059067A"/>
    <w:rsid w:val="0059069A"/>
    <w:rsid w:val="00594F26"/>
    <w:rsid w:val="005967A4"/>
    <w:rsid w:val="005A2AF2"/>
    <w:rsid w:val="005B078B"/>
    <w:rsid w:val="005B4323"/>
    <w:rsid w:val="005B5E52"/>
    <w:rsid w:val="005C0A42"/>
    <w:rsid w:val="005C3296"/>
    <w:rsid w:val="005C43C5"/>
    <w:rsid w:val="005C503F"/>
    <w:rsid w:val="005C5824"/>
    <w:rsid w:val="005D1925"/>
    <w:rsid w:val="005D32BE"/>
    <w:rsid w:val="005D48CA"/>
    <w:rsid w:val="005E060D"/>
    <w:rsid w:val="005E4558"/>
    <w:rsid w:val="005E4DAF"/>
    <w:rsid w:val="005F60C4"/>
    <w:rsid w:val="005F64C8"/>
    <w:rsid w:val="005F6C2E"/>
    <w:rsid w:val="005F6FC2"/>
    <w:rsid w:val="005F7840"/>
    <w:rsid w:val="005F7DA1"/>
    <w:rsid w:val="006006AC"/>
    <w:rsid w:val="00602760"/>
    <w:rsid w:val="0060752F"/>
    <w:rsid w:val="0061091B"/>
    <w:rsid w:val="00616788"/>
    <w:rsid w:val="00625216"/>
    <w:rsid w:val="00627784"/>
    <w:rsid w:val="00630D8B"/>
    <w:rsid w:val="00634DBC"/>
    <w:rsid w:val="00635158"/>
    <w:rsid w:val="00645A54"/>
    <w:rsid w:val="00653743"/>
    <w:rsid w:val="006572B0"/>
    <w:rsid w:val="00660923"/>
    <w:rsid w:val="00666D3E"/>
    <w:rsid w:val="00670708"/>
    <w:rsid w:val="006716FC"/>
    <w:rsid w:val="0067180A"/>
    <w:rsid w:val="00674B70"/>
    <w:rsid w:val="00676238"/>
    <w:rsid w:val="00677746"/>
    <w:rsid w:val="00677F79"/>
    <w:rsid w:val="00683605"/>
    <w:rsid w:val="0068478C"/>
    <w:rsid w:val="00685952"/>
    <w:rsid w:val="00685FB4"/>
    <w:rsid w:val="0068702A"/>
    <w:rsid w:val="00690154"/>
    <w:rsid w:val="00691B67"/>
    <w:rsid w:val="0069347A"/>
    <w:rsid w:val="00693A70"/>
    <w:rsid w:val="006958D2"/>
    <w:rsid w:val="006A481E"/>
    <w:rsid w:val="006A51F8"/>
    <w:rsid w:val="006A6FF9"/>
    <w:rsid w:val="006B149E"/>
    <w:rsid w:val="006B3FB4"/>
    <w:rsid w:val="006B57EE"/>
    <w:rsid w:val="006C03DD"/>
    <w:rsid w:val="006C0E10"/>
    <w:rsid w:val="006D364B"/>
    <w:rsid w:val="006D6B5A"/>
    <w:rsid w:val="006E105D"/>
    <w:rsid w:val="006E13B8"/>
    <w:rsid w:val="006E1C45"/>
    <w:rsid w:val="006E1EE8"/>
    <w:rsid w:val="006E4C13"/>
    <w:rsid w:val="006E4ED5"/>
    <w:rsid w:val="006E690B"/>
    <w:rsid w:val="00700F46"/>
    <w:rsid w:val="007011D9"/>
    <w:rsid w:val="007019EB"/>
    <w:rsid w:val="00706CE0"/>
    <w:rsid w:val="0071695C"/>
    <w:rsid w:val="00717036"/>
    <w:rsid w:val="0072500F"/>
    <w:rsid w:val="00725120"/>
    <w:rsid w:val="007264E1"/>
    <w:rsid w:val="00732754"/>
    <w:rsid w:val="00733C63"/>
    <w:rsid w:val="00740DCE"/>
    <w:rsid w:val="0074265A"/>
    <w:rsid w:val="00744596"/>
    <w:rsid w:val="00745B75"/>
    <w:rsid w:val="007462A7"/>
    <w:rsid w:val="00746B54"/>
    <w:rsid w:val="00750272"/>
    <w:rsid w:val="0075033C"/>
    <w:rsid w:val="0075179C"/>
    <w:rsid w:val="007619FA"/>
    <w:rsid w:val="007623D4"/>
    <w:rsid w:val="00762EF2"/>
    <w:rsid w:val="0076398B"/>
    <w:rsid w:val="00766381"/>
    <w:rsid w:val="0076666D"/>
    <w:rsid w:val="00766986"/>
    <w:rsid w:val="0076768B"/>
    <w:rsid w:val="007716FE"/>
    <w:rsid w:val="00774B7B"/>
    <w:rsid w:val="00774DC8"/>
    <w:rsid w:val="007778B9"/>
    <w:rsid w:val="00777A3C"/>
    <w:rsid w:val="00780040"/>
    <w:rsid w:val="00780913"/>
    <w:rsid w:val="00781572"/>
    <w:rsid w:val="00782590"/>
    <w:rsid w:val="00782E86"/>
    <w:rsid w:val="00783F40"/>
    <w:rsid w:val="007841C9"/>
    <w:rsid w:val="007867F5"/>
    <w:rsid w:val="007916B1"/>
    <w:rsid w:val="00792B31"/>
    <w:rsid w:val="00793B31"/>
    <w:rsid w:val="00793E83"/>
    <w:rsid w:val="00795790"/>
    <w:rsid w:val="007958D4"/>
    <w:rsid w:val="007A68F7"/>
    <w:rsid w:val="007A712D"/>
    <w:rsid w:val="007A7D11"/>
    <w:rsid w:val="007B0CC4"/>
    <w:rsid w:val="007B364D"/>
    <w:rsid w:val="007B4164"/>
    <w:rsid w:val="007B4EE3"/>
    <w:rsid w:val="007B793F"/>
    <w:rsid w:val="007C0D7C"/>
    <w:rsid w:val="007C79F3"/>
    <w:rsid w:val="007D16A4"/>
    <w:rsid w:val="007D3119"/>
    <w:rsid w:val="007D37DB"/>
    <w:rsid w:val="007D389B"/>
    <w:rsid w:val="007D4F24"/>
    <w:rsid w:val="007D5882"/>
    <w:rsid w:val="007D67B1"/>
    <w:rsid w:val="007E16DD"/>
    <w:rsid w:val="007E2EED"/>
    <w:rsid w:val="007E3292"/>
    <w:rsid w:val="007E4773"/>
    <w:rsid w:val="007E4A33"/>
    <w:rsid w:val="007E6B8A"/>
    <w:rsid w:val="007E6C7B"/>
    <w:rsid w:val="007F2831"/>
    <w:rsid w:val="007F56D0"/>
    <w:rsid w:val="007F64B8"/>
    <w:rsid w:val="00800464"/>
    <w:rsid w:val="00801495"/>
    <w:rsid w:val="0080307A"/>
    <w:rsid w:val="0080336E"/>
    <w:rsid w:val="0080371F"/>
    <w:rsid w:val="00803B66"/>
    <w:rsid w:val="0080520E"/>
    <w:rsid w:val="0080576B"/>
    <w:rsid w:val="00810CA2"/>
    <w:rsid w:val="008125BE"/>
    <w:rsid w:val="008132A6"/>
    <w:rsid w:val="008159C8"/>
    <w:rsid w:val="00815E21"/>
    <w:rsid w:val="008161EE"/>
    <w:rsid w:val="00820093"/>
    <w:rsid w:val="00821197"/>
    <w:rsid w:val="00821A72"/>
    <w:rsid w:val="00821DF8"/>
    <w:rsid w:val="00823088"/>
    <w:rsid w:val="00825C0B"/>
    <w:rsid w:val="00830FA2"/>
    <w:rsid w:val="008328FA"/>
    <w:rsid w:val="00836306"/>
    <w:rsid w:val="00841433"/>
    <w:rsid w:val="008449F4"/>
    <w:rsid w:val="00845B62"/>
    <w:rsid w:val="0084709F"/>
    <w:rsid w:val="008476A4"/>
    <w:rsid w:val="00852EC7"/>
    <w:rsid w:val="00854540"/>
    <w:rsid w:val="00861529"/>
    <w:rsid w:val="00862AA8"/>
    <w:rsid w:val="0086314F"/>
    <w:rsid w:val="00863849"/>
    <w:rsid w:val="00863E93"/>
    <w:rsid w:val="00864187"/>
    <w:rsid w:val="0086484E"/>
    <w:rsid w:val="00874345"/>
    <w:rsid w:val="008743DE"/>
    <w:rsid w:val="0087634B"/>
    <w:rsid w:val="008818A4"/>
    <w:rsid w:val="00882059"/>
    <w:rsid w:val="00882CB2"/>
    <w:rsid w:val="008839F0"/>
    <w:rsid w:val="00884097"/>
    <w:rsid w:val="00885EA0"/>
    <w:rsid w:val="008875D3"/>
    <w:rsid w:val="008909AA"/>
    <w:rsid w:val="0089107F"/>
    <w:rsid w:val="008927E9"/>
    <w:rsid w:val="00893A12"/>
    <w:rsid w:val="00897C65"/>
    <w:rsid w:val="00897FEC"/>
    <w:rsid w:val="008A0B9C"/>
    <w:rsid w:val="008A11C5"/>
    <w:rsid w:val="008A26EC"/>
    <w:rsid w:val="008A2BB9"/>
    <w:rsid w:val="008A35C2"/>
    <w:rsid w:val="008A5076"/>
    <w:rsid w:val="008A7E07"/>
    <w:rsid w:val="008B1CFD"/>
    <w:rsid w:val="008B3338"/>
    <w:rsid w:val="008B7EAB"/>
    <w:rsid w:val="008C041D"/>
    <w:rsid w:val="008C0A3D"/>
    <w:rsid w:val="008C28BB"/>
    <w:rsid w:val="008C365B"/>
    <w:rsid w:val="008C47F1"/>
    <w:rsid w:val="008C5810"/>
    <w:rsid w:val="008C5BA4"/>
    <w:rsid w:val="008C7678"/>
    <w:rsid w:val="008D0C96"/>
    <w:rsid w:val="008D2C36"/>
    <w:rsid w:val="008D59D1"/>
    <w:rsid w:val="008D5B50"/>
    <w:rsid w:val="008D7B4B"/>
    <w:rsid w:val="008E0E33"/>
    <w:rsid w:val="008E1A0B"/>
    <w:rsid w:val="008E235B"/>
    <w:rsid w:val="008E2B35"/>
    <w:rsid w:val="008E2DC1"/>
    <w:rsid w:val="008E31E7"/>
    <w:rsid w:val="008E43F1"/>
    <w:rsid w:val="008E766B"/>
    <w:rsid w:val="008F1FD9"/>
    <w:rsid w:val="00901FA9"/>
    <w:rsid w:val="00902A05"/>
    <w:rsid w:val="00911F8B"/>
    <w:rsid w:val="0091297B"/>
    <w:rsid w:val="009130E7"/>
    <w:rsid w:val="0091663B"/>
    <w:rsid w:val="009247CE"/>
    <w:rsid w:val="009252B4"/>
    <w:rsid w:val="009269EF"/>
    <w:rsid w:val="00935F0F"/>
    <w:rsid w:val="009360C3"/>
    <w:rsid w:val="0094098B"/>
    <w:rsid w:val="0094165C"/>
    <w:rsid w:val="00941765"/>
    <w:rsid w:val="009427FD"/>
    <w:rsid w:val="00946604"/>
    <w:rsid w:val="00950381"/>
    <w:rsid w:val="00956538"/>
    <w:rsid w:val="00956BEA"/>
    <w:rsid w:val="0096066B"/>
    <w:rsid w:val="009619C5"/>
    <w:rsid w:val="00962690"/>
    <w:rsid w:val="00962E35"/>
    <w:rsid w:val="0096328D"/>
    <w:rsid w:val="0096427B"/>
    <w:rsid w:val="00967520"/>
    <w:rsid w:val="009701C7"/>
    <w:rsid w:val="00970C92"/>
    <w:rsid w:val="00971901"/>
    <w:rsid w:val="0097211F"/>
    <w:rsid w:val="00974E99"/>
    <w:rsid w:val="0097538F"/>
    <w:rsid w:val="00975C3B"/>
    <w:rsid w:val="0098002F"/>
    <w:rsid w:val="00980C87"/>
    <w:rsid w:val="0098293D"/>
    <w:rsid w:val="00985B9D"/>
    <w:rsid w:val="009861A6"/>
    <w:rsid w:val="00986AE0"/>
    <w:rsid w:val="00987567"/>
    <w:rsid w:val="009917A7"/>
    <w:rsid w:val="00994F83"/>
    <w:rsid w:val="00996E03"/>
    <w:rsid w:val="009A0681"/>
    <w:rsid w:val="009A5503"/>
    <w:rsid w:val="009B0750"/>
    <w:rsid w:val="009B09FF"/>
    <w:rsid w:val="009B14E4"/>
    <w:rsid w:val="009B18FD"/>
    <w:rsid w:val="009B1A8C"/>
    <w:rsid w:val="009B5C96"/>
    <w:rsid w:val="009B6C09"/>
    <w:rsid w:val="009C18FA"/>
    <w:rsid w:val="009C287A"/>
    <w:rsid w:val="009C48DC"/>
    <w:rsid w:val="009C5710"/>
    <w:rsid w:val="009C5A37"/>
    <w:rsid w:val="009C5D68"/>
    <w:rsid w:val="009C5D90"/>
    <w:rsid w:val="009C61C3"/>
    <w:rsid w:val="009D009C"/>
    <w:rsid w:val="009D2C74"/>
    <w:rsid w:val="009D6582"/>
    <w:rsid w:val="009D6640"/>
    <w:rsid w:val="009D71B3"/>
    <w:rsid w:val="009D7A71"/>
    <w:rsid w:val="009E0C0F"/>
    <w:rsid w:val="009E4D02"/>
    <w:rsid w:val="009E5214"/>
    <w:rsid w:val="009E6510"/>
    <w:rsid w:val="009E7C43"/>
    <w:rsid w:val="009F13B2"/>
    <w:rsid w:val="009F413E"/>
    <w:rsid w:val="009F5B2E"/>
    <w:rsid w:val="009F66C6"/>
    <w:rsid w:val="009F762C"/>
    <w:rsid w:val="00A01ECF"/>
    <w:rsid w:val="00A04AC9"/>
    <w:rsid w:val="00A054ED"/>
    <w:rsid w:val="00A075A6"/>
    <w:rsid w:val="00A106EC"/>
    <w:rsid w:val="00A10AA5"/>
    <w:rsid w:val="00A11D4A"/>
    <w:rsid w:val="00A15FE6"/>
    <w:rsid w:val="00A16E6E"/>
    <w:rsid w:val="00A16F12"/>
    <w:rsid w:val="00A25497"/>
    <w:rsid w:val="00A25CCD"/>
    <w:rsid w:val="00A26A63"/>
    <w:rsid w:val="00A33265"/>
    <w:rsid w:val="00A35E64"/>
    <w:rsid w:val="00A40952"/>
    <w:rsid w:val="00A40D8C"/>
    <w:rsid w:val="00A464EB"/>
    <w:rsid w:val="00A470C3"/>
    <w:rsid w:val="00A506F4"/>
    <w:rsid w:val="00A51F50"/>
    <w:rsid w:val="00A52FC0"/>
    <w:rsid w:val="00A61831"/>
    <w:rsid w:val="00A62BEC"/>
    <w:rsid w:val="00A67A91"/>
    <w:rsid w:val="00A70100"/>
    <w:rsid w:val="00A734CD"/>
    <w:rsid w:val="00A77B7A"/>
    <w:rsid w:val="00A820DE"/>
    <w:rsid w:val="00A8504C"/>
    <w:rsid w:val="00A87690"/>
    <w:rsid w:val="00A9017E"/>
    <w:rsid w:val="00A91421"/>
    <w:rsid w:val="00A921C6"/>
    <w:rsid w:val="00A94A50"/>
    <w:rsid w:val="00A96BE4"/>
    <w:rsid w:val="00A96FC3"/>
    <w:rsid w:val="00AA3FE7"/>
    <w:rsid w:val="00AA43D2"/>
    <w:rsid w:val="00AA50C5"/>
    <w:rsid w:val="00AB0B7A"/>
    <w:rsid w:val="00AB16B6"/>
    <w:rsid w:val="00AB1E43"/>
    <w:rsid w:val="00AB42E5"/>
    <w:rsid w:val="00AB6229"/>
    <w:rsid w:val="00AB7701"/>
    <w:rsid w:val="00AC0E45"/>
    <w:rsid w:val="00AC1170"/>
    <w:rsid w:val="00AC5E2D"/>
    <w:rsid w:val="00AC7D27"/>
    <w:rsid w:val="00AD0E16"/>
    <w:rsid w:val="00AD1775"/>
    <w:rsid w:val="00AD260F"/>
    <w:rsid w:val="00AD493C"/>
    <w:rsid w:val="00AE04C0"/>
    <w:rsid w:val="00AE1C55"/>
    <w:rsid w:val="00AE59C2"/>
    <w:rsid w:val="00AE7D6C"/>
    <w:rsid w:val="00AF07AB"/>
    <w:rsid w:val="00AF1A2E"/>
    <w:rsid w:val="00AF1ABF"/>
    <w:rsid w:val="00AF2D29"/>
    <w:rsid w:val="00AF3B0C"/>
    <w:rsid w:val="00AF706F"/>
    <w:rsid w:val="00B04D88"/>
    <w:rsid w:val="00B0536F"/>
    <w:rsid w:val="00B06425"/>
    <w:rsid w:val="00B10311"/>
    <w:rsid w:val="00B139B2"/>
    <w:rsid w:val="00B15165"/>
    <w:rsid w:val="00B15DE8"/>
    <w:rsid w:val="00B16CD7"/>
    <w:rsid w:val="00B214E6"/>
    <w:rsid w:val="00B215AA"/>
    <w:rsid w:val="00B22407"/>
    <w:rsid w:val="00B22CA1"/>
    <w:rsid w:val="00B2361A"/>
    <w:rsid w:val="00B25B46"/>
    <w:rsid w:val="00B26401"/>
    <w:rsid w:val="00B2749B"/>
    <w:rsid w:val="00B3111B"/>
    <w:rsid w:val="00B3261B"/>
    <w:rsid w:val="00B33446"/>
    <w:rsid w:val="00B35E41"/>
    <w:rsid w:val="00B35EF6"/>
    <w:rsid w:val="00B45162"/>
    <w:rsid w:val="00B460DD"/>
    <w:rsid w:val="00B51A7D"/>
    <w:rsid w:val="00B527F8"/>
    <w:rsid w:val="00B5380A"/>
    <w:rsid w:val="00B55D2C"/>
    <w:rsid w:val="00B61E03"/>
    <w:rsid w:val="00B64987"/>
    <w:rsid w:val="00B75EB0"/>
    <w:rsid w:val="00B76EFA"/>
    <w:rsid w:val="00B779E1"/>
    <w:rsid w:val="00B80EEB"/>
    <w:rsid w:val="00B8295A"/>
    <w:rsid w:val="00B837CF"/>
    <w:rsid w:val="00B84CB9"/>
    <w:rsid w:val="00B86B2D"/>
    <w:rsid w:val="00B87514"/>
    <w:rsid w:val="00B92D07"/>
    <w:rsid w:val="00B93839"/>
    <w:rsid w:val="00B95DE3"/>
    <w:rsid w:val="00BA080A"/>
    <w:rsid w:val="00BA18B0"/>
    <w:rsid w:val="00BA1EDA"/>
    <w:rsid w:val="00BA535F"/>
    <w:rsid w:val="00BA6C29"/>
    <w:rsid w:val="00BA7757"/>
    <w:rsid w:val="00BB11CB"/>
    <w:rsid w:val="00BB1970"/>
    <w:rsid w:val="00BB359B"/>
    <w:rsid w:val="00BB3AB3"/>
    <w:rsid w:val="00BB4E89"/>
    <w:rsid w:val="00BC2FEE"/>
    <w:rsid w:val="00BC5157"/>
    <w:rsid w:val="00BC571D"/>
    <w:rsid w:val="00BC5A4F"/>
    <w:rsid w:val="00BC77DB"/>
    <w:rsid w:val="00BD368E"/>
    <w:rsid w:val="00BD40C1"/>
    <w:rsid w:val="00BD7CAB"/>
    <w:rsid w:val="00BE3783"/>
    <w:rsid w:val="00BE3BDA"/>
    <w:rsid w:val="00BE693B"/>
    <w:rsid w:val="00BE6DDE"/>
    <w:rsid w:val="00BF138E"/>
    <w:rsid w:val="00BF342A"/>
    <w:rsid w:val="00BF3443"/>
    <w:rsid w:val="00BF3D69"/>
    <w:rsid w:val="00BF67BB"/>
    <w:rsid w:val="00C000BC"/>
    <w:rsid w:val="00C14825"/>
    <w:rsid w:val="00C14D71"/>
    <w:rsid w:val="00C15565"/>
    <w:rsid w:val="00C24FDA"/>
    <w:rsid w:val="00C27840"/>
    <w:rsid w:val="00C32158"/>
    <w:rsid w:val="00C3221F"/>
    <w:rsid w:val="00C41257"/>
    <w:rsid w:val="00C42F98"/>
    <w:rsid w:val="00C47105"/>
    <w:rsid w:val="00C476A0"/>
    <w:rsid w:val="00C54E97"/>
    <w:rsid w:val="00C56943"/>
    <w:rsid w:val="00C578DC"/>
    <w:rsid w:val="00C62C7C"/>
    <w:rsid w:val="00C654AB"/>
    <w:rsid w:val="00C66187"/>
    <w:rsid w:val="00C66B94"/>
    <w:rsid w:val="00C66EBD"/>
    <w:rsid w:val="00C702B8"/>
    <w:rsid w:val="00C705FB"/>
    <w:rsid w:val="00C70CDE"/>
    <w:rsid w:val="00C71836"/>
    <w:rsid w:val="00C71DCF"/>
    <w:rsid w:val="00C73519"/>
    <w:rsid w:val="00C8254F"/>
    <w:rsid w:val="00C83CCC"/>
    <w:rsid w:val="00C84520"/>
    <w:rsid w:val="00C873A8"/>
    <w:rsid w:val="00C908B3"/>
    <w:rsid w:val="00C90A5A"/>
    <w:rsid w:val="00C924FC"/>
    <w:rsid w:val="00C93486"/>
    <w:rsid w:val="00C977D4"/>
    <w:rsid w:val="00CA0542"/>
    <w:rsid w:val="00CA11DA"/>
    <w:rsid w:val="00CA41B1"/>
    <w:rsid w:val="00CA66AD"/>
    <w:rsid w:val="00CA76F8"/>
    <w:rsid w:val="00CB0A8E"/>
    <w:rsid w:val="00CB33E3"/>
    <w:rsid w:val="00CB35A0"/>
    <w:rsid w:val="00CB4544"/>
    <w:rsid w:val="00CB50BB"/>
    <w:rsid w:val="00CB6C88"/>
    <w:rsid w:val="00CC0B54"/>
    <w:rsid w:val="00CC192D"/>
    <w:rsid w:val="00CC5401"/>
    <w:rsid w:val="00CC5739"/>
    <w:rsid w:val="00CC7CE6"/>
    <w:rsid w:val="00CD2015"/>
    <w:rsid w:val="00CD2C51"/>
    <w:rsid w:val="00CD4B6F"/>
    <w:rsid w:val="00CE26A4"/>
    <w:rsid w:val="00CE2FD9"/>
    <w:rsid w:val="00CE4B8E"/>
    <w:rsid w:val="00CE503E"/>
    <w:rsid w:val="00CE5DA0"/>
    <w:rsid w:val="00CE7361"/>
    <w:rsid w:val="00CE779F"/>
    <w:rsid w:val="00CF037E"/>
    <w:rsid w:val="00CF1503"/>
    <w:rsid w:val="00CF2CAB"/>
    <w:rsid w:val="00CF39A1"/>
    <w:rsid w:val="00CF45E7"/>
    <w:rsid w:val="00CF5613"/>
    <w:rsid w:val="00CF65D1"/>
    <w:rsid w:val="00D009AB"/>
    <w:rsid w:val="00D05095"/>
    <w:rsid w:val="00D06398"/>
    <w:rsid w:val="00D076F8"/>
    <w:rsid w:val="00D11249"/>
    <w:rsid w:val="00D229CC"/>
    <w:rsid w:val="00D2384A"/>
    <w:rsid w:val="00D23A45"/>
    <w:rsid w:val="00D26F1C"/>
    <w:rsid w:val="00D309B7"/>
    <w:rsid w:val="00D3242F"/>
    <w:rsid w:val="00D33C29"/>
    <w:rsid w:val="00D33CAA"/>
    <w:rsid w:val="00D3523F"/>
    <w:rsid w:val="00D35332"/>
    <w:rsid w:val="00D3723B"/>
    <w:rsid w:val="00D37299"/>
    <w:rsid w:val="00D41234"/>
    <w:rsid w:val="00D41272"/>
    <w:rsid w:val="00D41679"/>
    <w:rsid w:val="00D46EA5"/>
    <w:rsid w:val="00D508FE"/>
    <w:rsid w:val="00D53708"/>
    <w:rsid w:val="00D543B7"/>
    <w:rsid w:val="00D54B67"/>
    <w:rsid w:val="00D55E66"/>
    <w:rsid w:val="00D6035E"/>
    <w:rsid w:val="00D70127"/>
    <w:rsid w:val="00D70412"/>
    <w:rsid w:val="00D74A4B"/>
    <w:rsid w:val="00D74F0B"/>
    <w:rsid w:val="00D75979"/>
    <w:rsid w:val="00D75E68"/>
    <w:rsid w:val="00D772BD"/>
    <w:rsid w:val="00D86A9D"/>
    <w:rsid w:val="00D932FB"/>
    <w:rsid w:val="00D974CA"/>
    <w:rsid w:val="00DA3109"/>
    <w:rsid w:val="00DA3F3C"/>
    <w:rsid w:val="00DA43A8"/>
    <w:rsid w:val="00DA7F3D"/>
    <w:rsid w:val="00DB1EF5"/>
    <w:rsid w:val="00DB41E6"/>
    <w:rsid w:val="00DB5870"/>
    <w:rsid w:val="00DC12F8"/>
    <w:rsid w:val="00DC20C0"/>
    <w:rsid w:val="00DC7451"/>
    <w:rsid w:val="00DD488C"/>
    <w:rsid w:val="00DD6F0B"/>
    <w:rsid w:val="00DE0450"/>
    <w:rsid w:val="00DE1322"/>
    <w:rsid w:val="00DE2F4A"/>
    <w:rsid w:val="00DE48F8"/>
    <w:rsid w:val="00DE5CC6"/>
    <w:rsid w:val="00DE6076"/>
    <w:rsid w:val="00DF10F0"/>
    <w:rsid w:val="00DF2AAE"/>
    <w:rsid w:val="00DF3513"/>
    <w:rsid w:val="00DF40D2"/>
    <w:rsid w:val="00DF5ECA"/>
    <w:rsid w:val="00DF5F20"/>
    <w:rsid w:val="00DF6915"/>
    <w:rsid w:val="00E05E5D"/>
    <w:rsid w:val="00E060C8"/>
    <w:rsid w:val="00E1073D"/>
    <w:rsid w:val="00E12641"/>
    <w:rsid w:val="00E12F5A"/>
    <w:rsid w:val="00E20A41"/>
    <w:rsid w:val="00E20D8E"/>
    <w:rsid w:val="00E23214"/>
    <w:rsid w:val="00E25FC8"/>
    <w:rsid w:val="00E26C29"/>
    <w:rsid w:val="00E300E1"/>
    <w:rsid w:val="00E30413"/>
    <w:rsid w:val="00E314CA"/>
    <w:rsid w:val="00E32EFB"/>
    <w:rsid w:val="00E34202"/>
    <w:rsid w:val="00E36010"/>
    <w:rsid w:val="00E36674"/>
    <w:rsid w:val="00E36ABF"/>
    <w:rsid w:val="00E376D9"/>
    <w:rsid w:val="00E40996"/>
    <w:rsid w:val="00E422F1"/>
    <w:rsid w:val="00E431AF"/>
    <w:rsid w:val="00E45EEF"/>
    <w:rsid w:val="00E507CD"/>
    <w:rsid w:val="00E52295"/>
    <w:rsid w:val="00E531E2"/>
    <w:rsid w:val="00E536D1"/>
    <w:rsid w:val="00E54C58"/>
    <w:rsid w:val="00E5780B"/>
    <w:rsid w:val="00E614B2"/>
    <w:rsid w:val="00E61BC3"/>
    <w:rsid w:val="00E764C1"/>
    <w:rsid w:val="00E76BBA"/>
    <w:rsid w:val="00E76E1F"/>
    <w:rsid w:val="00E76EF9"/>
    <w:rsid w:val="00E7738B"/>
    <w:rsid w:val="00E81407"/>
    <w:rsid w:val="00E8317C"/>
    <w:rsid w:val="00E83E3B"/>
    <w:rsid w:val="00E84939"/>
    <w:rsid w:val="00E86307"/>
    <w:rsid w:val="00E869CF"/>
    <w:rsid w:val="00E901A8"/>
    <w:rsid w:val="00E90910"/>
    <w:rsid w:val="00EA2340"/>
    <w:rsid w:val="00EB3EF6"/>
    <w:rsid w:val="00EB5C06"/>
    <w:rsid w:val="00EC18AE"/>
    <w:rsid w:val="00EC486C"/>
    <w:rsid w:val="00EC4EBD"/>
    <w:rsid w:val="00EC562C"/>
    <w:rsid w:val="00EC5AA9"/>
    <w:rsid w:val="00EC713F"/>
    <w:rsid w:val="00ED3467"/>
    <w:rsid w:val="00ED3A73"/>
    <w:rsid w:val="00EE0101"/>
    <w:rsid w:val="00EE49E5"/>
    <w:rsid w:val="00EE5E6F"/>
    <w:rsid w:val="00EE6E4E"/>
    <w:rsid w:val="00EE7DFE"/>
    <w:rsid w:val="00EF11BB"/>
    <w:rsid w:val="00EF35E2"/>
    <w:rsid w:val="00EF5924"/>
    <w:rsid w:val="00F03BA6"/>
    <w:rsid w:val="00F04D7E"/>
    <w:rsid w:val="00F06383"/>
    <w:rsid w:val="00F07DC4"/>
    <w:rsid w:val="00F10094"/>
    <w:rsid w:val="00F11CE7"/>
    <w:rsid w:val="00F14E49"/>
    <w:rsid w:val="00F15136"/>
    <w:rsid w:val="00F155AE"/>
    <w:rsid w:val="00F16576"/>
    <w:rsid w:val="00F216D9"/>
    <w:rsid w:val="00F21F1C"/>
    <w:rsid w:val="00F33506"/>
    <w:rsid w:val="00F3446D"/>
    <w:rsid w:val="00F351AE"/>
    <w:rsid w:val="00F37E8E"/>
    <w:rsid w:val="00F4168B"/>
    <w:rsid w:val="00F45947"/>
    <w:rsid w:val="00F5185A"/>
    <w:rsid w:val="00F560B5"/>
    <w:rsid w:val="00F5688B"/>
    <w:rsid w:val="00F604AD"/>
    <w:rsid w:val="00F61A1E"/>
    <w:rsid w:val="00F64681"/>
    <w:rsid w:val="00F65398"/>
    <w:rsid w:val="00F67166"/>
    <w:rsid w:val="00F707A7"/>
    <w:rsid w:val="00F70CEC"/>
    <w:rsid w:val="00F70FE9"/>
    <w:rsid w:val="00F71865"/>
    <w:rsid w:val="00F7252D"/>
    <w:rsid w:val="00F7350D"/>
    <w:rsid w:val="00F7639B"/>
    <w:rsid w:val="00F764F8"/>
    <w:rsid w:val="00F816FC"/>
    <w:rsid w:val="00F8276B"/>
    <w:rsid w:val="00F84D74"/>
    <w:rsid w:val="00F85E8E"/>
    <w:rsid w:val="00F878AA"/>
    <w:rsid w:val="00F87BC8"/>
    <w:rsid w:val="00F90A8F"/>
    <w:rsid w:val="00F93956"/>
    <w:rsid w:val="00F95C28"/>
    <w:rsid w:val="00F95D43"/>
    <w:rsid w:val="00F97253"/>
    <w:rsid w:val="00FA0E35"/>
    <w:rsid w:val="00FA691D"/>
    <w:rsid w:val="00FB06E6"/>
    <w:rsid w:val="00FB0ED6"/>
    <w:rsid w:val="00FB1444"/>
    <w:rsid w:val="00FB2076"/>
    <w:rsid w:val="00FB2B32"/>
    <w:rsid w:val="00FB2D48"/>
    <w:rsid w:val="00FB38D2"/>
    <w:rsid w:val="00FB3D6A"/>
    <w:rsid w:val="00FB4C7E"/>
    <w:rsid w:val="00FB5295"/>
    <w:rsid w:val="00FB764A"/>
    <w:rsid w:val="00FB7F94"/>
    <w:rsid w:val="00FC178E"/>
    <w:rsid w:val="00FC1ADC"/>
    <w:rsid w:val="00FC2001"/>
    <w:rsid w:val="00FC3B5D"/>
    <w:rsid w:val="00FC3BEA"/>
    <w:rsid w:val="00FC742F"/>
    <w:rsid w:val="00FD0B94"/>
    <w:rsid w:val="00FD3013"/>
    <w:rsid w:val="00FD3C17"/>
    <w:rsid w:val="00FD6DB4"/>
    <w:rsid w:val="00FD7075"/>
    <w:rsid w:val="00FD7BB4"/>
    <w:rsid w:val="00FE441F"/>
    <w:rsid w:val="00FF02F1"/>
    <w:rsid w:val="00FF5213"/>
    <w:rsid w:val="00FF6E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15:docId w15:val="{636D6373-6523-44AC-9FB7-01123988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C14825"/>
    <w:pPr>
      <w:spacing w:before="225" w:after="225"/>
      <w:outlineLvl w:val="1"/>
    </w:pPr>
    <w:rPr>
      <w:rFonts w:ascii="Arial" w:eastAsiaTheme="minorHAnsi" w:hAnsi="Arial" w:cs="Arial"/>
      <w:b/>
      <w:bCs/>
      <w:sz w:val="27"/>
      <w:szCs w:val="27"/>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DA"/>
    <w:rPr>
      <w:rFonts w:ascii="Tahoma" w:hAnsi="Tahoma" w:cs="Tahoma"/>
      <w:sz w:val="16"/>
      <w:szCs w:val="16"/>
    </w:rPr>
  </w:style>
  <w:style w:type="character" w:styleId="CommentReference">
    <w:name w:val="annotation reference"/>
    <w:basedOn w:val="DefaultParagraphFont"/>
    <w:uiPriority w:val="99"/>
    <w:semiHidden/>
    <w:unhideWhenUsed/>
    <w:rsid w:val="00BB4E89"/>
    <w:rPr>
      <w:sz w:val="16"/>
      <w:szCs w:val="16"/>
    </w:rPr>
  </w:style>
  <w:style w:type="paragraph" w:styleId="CommentText">
    <w:name w:val="annotation text"/>
    <w:basedOn w:val="Normal"/>
    <w:link w:val="CommentTextChar"/>
    <w:uiPriority w:val="99"/>
    <w:semiHidden/>
    <w:unhideWhenUsed/>
    <w:rsid w:val="00BB4E89"/>
    <w:rPr>
      <w:sz w:val="20"/>
      <w:szCs w:val="20"/>
    </w:rPr>
  </w:style>
  <w:style w:type="character" w:customStyle="1" w:styleId="CommentTextChar">
    <w:name w:val="Comment Text Char"/>
    <w:basedOn w:val="DefaultParagraphFont"/>
    <w:link w:val="CommentText"/>
    <w:uiPriority w:val="99"/>
    <w:semiHidden/>
    <w:rsid w:val="00BB4E89"/>
    <w:rPr>
      <w:sz w:val="20"/>
      <w:szCs w:val="20"/>
    </w:rPr>
  </w:style>
  <w:style w:type="paragraph" w:styleId="CommentSubject">
    <w:name w:val="annotation subject"/>
    <w:basedOn w:val="CommentText"/>
    <w:next w:val="CommentText"/>
    <w:link w:val="CommentSubjectChar"/>
    <w:uiPriority w:val="99"/>
    <w:semiHidden/>
    <w:unhideWhenUsed/>
    <w:rsid w:val="00BB4E89"/>
    <w:rPr>
      <w:b/>
      <w:bCs/>
    </w:rPr>
  </w:style>
  <w:style w:type="character" w:customStyle="1" w:styleId="CommentSubjectChar">
    <w:name w:val="Comment Subject Char"/>
    <w:basedOn w:val="CommentTextChar"/>
    <w:link w:val="CommentSubject"/>
    <w:uiPriority w:val="99"/>
    <w:semiHidden/>
    <w:rsid w:val="00BB4E89"/>
    <w:rPr>
      <w:b/>
      <w:bCs/>
      <w:sz w:val="20"/>
      <w:szCs w:val="20"/>
    </w:rPr>
  </w:style>
  <w:style w:type="paragraph" w:styleId="NormalWeb">
    <w:name w:val="Normal (Web)"/>
    <w:basedOn w:val="Normal"/>
    <w:uiPriority w:val="99"/>
    <w:unhideWhenUsed/>
    <w:rsid w:val="00164EF9"/>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224AFB"/>
    <w:rPr>
      <w:b/>
      <w:bCs/>
    </w:rPr>
  </w:style>
  <w:style w:type="paragraph" w:styleId="FootnoteText">
    <w:name w:val="footnote text"/>
    <w:basedOn w:val="Normal"/>
    <w:link w:val="FootnoteTextChar"/>
    <w:uiPriority w:val="99"/>
    <w:semiHidden/>
    <w:unhideWhenUsed/>
    <w:rsid w:val="00A734CD"/>
    <w:pPr>
      <w:spacing w:after="0"/>
    </w:pPr>
    <w:rPr>
      <w:sz w:val="20"/>
      <w:szCs w:val="20"/>
    </w:rPr>
  </w:style>
  <w:style w:type="character" w:customStyle="1" w:styleId="FootnoteTextChar">
    <w:name w:val="Footnote Text Char"/>
    <w:basedOn w:val="DefaultParagraphFont"/>
    <w:link w:val="FootnoteText"/>
    <w:uiPriority w:val="99"/>
    <w:semiHidden/>
    <w:rsid w:val="00A734CD"/>
    <w:rPr>
      <w:sz w:val="20"/>
      <w:szCs w:val="20"/>
    </w:rPr>
  </w:style>
  <w:style w:type="character" w:styleId="FootnoteReference">
    <w:name w:val="footnote reference"/>
    <w:basedOn w:val="DefaultParagraphFont"/>
    <w:uiPriority w:val="99"/>
    <w:semiHidden/>
    <w:unhideWhenUsed/>
    <w:rsid w:val="00A734CD"/>
    <w:rPr>
      <w:vertAlign w:val="superscript"/>
    </w:rPr>
  </w:style>
  <w:style w:type="character" w:styleId="Hyperlink">
    <w:name w:val="Hyperlink"/>
    <w:basedOn w:val="DefaultParagraphFont"/>
    <w:uiPriority w:val="99"/>
    <w:unhideWhenUsed/>
    <w:rsid w:val="00A734CD"/>
    <w:rPr>
      <w:color w:val="0000FF" w:themeColor="hyperlink"/>
      <w:u w:val="single"/>
    </w:rPr>
  </w:style>
  <w:style w:type="character" w:styleId="FollowedHyperlink">
    <w:name w:val="FollowedHyperlink"/>
    <w:basedOn w:val="DefaultParagraphFont"/>
    <w:uiPriority w:val="99"/>
    <w:semiHidden/>
    <w:unhideWhenUsed/>
    <w:rsid w:val="00B51A7D"/>
    <w:rPr>
      <w:color w:val="800080" w:themeColor="followedHyperlink"/>
      <w:u w:val="single"/>
    </w:rPr>
  </w:style>
  <w:style w:type="paragraph" w:styleId="NoSpacing">
    <w:name w:val="No Spacing"/>
    <w:uiPriority w:val="1"/>
    <w:qFormat/>
    <w:rsid w:val="004975BA"/>
    <w:pPr>
      <w:spacing w:after="0"/>
    </w:pPr>
    <w:rPr>
      <w:rFonts w:eastAsiaTheme="minorHAnsi"/>
    </w:rPr>
  </w:style>
  <w:style w:type="character" w:customStyle="1" w:styleId="Heading2Char">
    <w:name w:val="Heading 2 Char"/>
    <w:basedOn w:val="DefaultParagraphFont"/>
    <w:link w:val="Heading2"/>
    <w:uiPriority w:val="9"/>
    <w:semiHidden/>
    <w:rsid w:val="00C14825"/>
    <w:rPr>
      <w:rFonts w:ascii="Arial" w:eastAsiaTheme="minorHAnsi" w:hAnsi="Arial" w:cs="Arial"/>
      <w:b/>
      <w:bCs/>
      <w:sz w:val="27"/>
      <w:szCs w:val="27"/>
      <w:lang w:val="nl-NL" w:eastAsia="nl-NL"/>
    </w:rPr>
  </w:style>
  <w:style w:type="character" w:styleId="Emphasis">
    <w:name w:val="Emphasis"/>
    <w:basedOn w:val="DefaultParagraphFont"/>
    <w:uiPriority w:val="20"/>
    <w:qFormat/>
    <w:rsid w:val="00C14825"/>
    <w:rPr>
      <w:i/>
      <w:iCs/>
    </w:rPr>
  </w:style>
  <w:style w:type="paragraph" w:styleId="Header">
    <w:name w:val="header"/>
    <w:basedOn w:val="Normal"/>
    <w:link w:val="HeaderChar"/>
    <w:uiPriority w:val="99"/>
    <w:semiHidden/>
    <w:unhideWhenUsed/>
    <w:rsid w:val="00B22407"/>
    <w:pPr>
      <w:tabs>
        <w:tab w:val="center" w:pos="4513"/>
        <w:tab w:val="right" w:pos="9026"/>
      </w:tabs>
      <w:spacing w:after="0"/>
    </w:pPr>
  </w:style>
  <w:style w:type="character" w:customStyle="1" w:styleId="HeaderChar">
    <w:name w:val="Header Char"/>
    <w:basedOn w:val="DefaultParagraphFont"/>
    <w:link w:val="Header"/>
    <w:uiPriority w:val="99"/>
    <w:semiHidden/>
    <w:rsid w:val="00B22407"/>
  </w:style>
  <w:style w:type="paragraph" w:styleId="Footer">
    <w:name w:val="footer"/>
    <w:basedOn w:val="Normal"/>
    <w:link w:val="FooterChar"/>
    <w:uiPriority w:val="99"/>
    <w:semiHidden/>
    <w:unhideWhenUsed/>
    <w:rsid w:val="00B22407"/>
    <w:pPr>
      <w:tabs>
        <w:tab w:val="center" w:pos="4513"/>
        <w:tab w:val="right" w:pos="9026"/>
      </w:tabs>
      <w:spacing w:after="0"/>
    </w:pPr>
  </w:style>
  <w:style w:type="character" w:customStyle="1" w:styleId="FooterChar">
    <w:name w:val="Footer Char"/>
    <w:basedOn w:val="DefaultParagraphFont"/>
    <w:link w:val="Footer"/>
    <w:uiPriority w:val="99"/>
    <w:semiHidden/>
    <w:rsid w:val="00B22407"/>
  </w:style>
  <w:style w:type="paragraph" w:styleId="Revision">
    <w:name w:val="Revision"/>
    <w:hidden/>
    <w:uiPriority w:val="99"/>
    <w:semiHidden/>
    <w:rsid w:val="001E2E05"/>
    <w:pPr>
      <w:spacing w:after="0"/>
    </w:pPr>
  </w:style>
  <w:style w:type="paragraph" w:customStyle="1" w:styleId="p1">
    <w:name w:val="p1"/>
    <w:basedOn w:val="Normal"/>
    <w:rsid w:val="00D26F1C"/>
    <w:pPr>
      <w:spacing w:after="0"/>
    </w:pPr>
    <w:rPr>
      <w:rFonts w:ascii=".SF UI Text" w:eastAsiaTheme="minorHAnsi" w:hAnsi=".SF UI Text" w:cs="Times New Roman"/>
      <w:color w:val="454545"/>
      <w:sz w:val="26"/>
      <w:szCs w:val="26"/>
      <w:lang w:val="nl-NL" w:eastAsia="nl-NL"/>
    </w:rPr>
  </w:style>
  <w:style w:type="character" w:customStyle="1" w:styleId="s1">
    <w:name w:val="s1"/>
    <w:basedOn w:val="DefaultParagraphFont"/>
    <w:rsid w:val="00D26F1C"/>
    <w:rPr>
      <w:rFonts w:ascii=".SFUIText-Regular" w:hAnsi=".SFUIText-Regular" w:hint="default"/>
      <w:b w:val="0"/>
      <w:bCs w:val="0"/>
      <w:i w:val="0"/>
      <w:iCs w:val="0"/>
      <w:sz w:val="34"/>
      <w:szCs w:val="34"/>
    </w:rPr>
  </w:style>
  <w:style w:type="character" w:customStyle="1" w:styleId="apple-style-span">
    <w:name w:val="apple-style-span"/>
    <w:basedOn w:val="DefaultParagraphFont"/>
    <w:rsid w:val="00D26F1C"/>
  </w:style>
  <w:style w:type="paragraph" w:styleId="ListParagraph">
    <w:name w:val="List Paragraph"/>
    <w:basedOn w:val="Normal"/>
    <w:uiPriority w:val="34"/>
    <w:qFormat/>
    <w:rsid w:val="00301D23"/>
    <w:pPr>
      <w:spacing w:after="0"/>
      <w:ind w:left="720"/>
    </w:pPr>
    <w:rPr>
      <w:rFonts w:ascii="Calibri" w:eastAsiaTheme="minorHAnsi" w:hAnsi="Calibri" w:cs="Times New Roman"/>
      <w:sz w:val="22"/>
      <w:lang w:val="nl-NL"/>
    </w:rPr>
  </w:style>
  <w:style w:type="paragraph" w:customStyle="1" w:styleId="Default">
    <w:name w:val="Default"/>
    <w:rsid w:val="00391B46"/>
    <w:pPr>
      <w:autoSpaceDE w:val="0"/>
      <w:autoSpaceDN w:val="0"/>
      <w:adjustRightInd w:val="0"/>
      <w:spacing w:after="0"/>
    </w:pPr>
    <w:rPr>
      <w:rFonts w:ascii="Times New Roman" w:hAnsi="Times New Roman" w:cs="Times New Roman"/>
      <w:color w:val="000000"/>
      <w:sz w:val="24"/>
      <w:szCs w:val="24"/>
      <w:lang w:val="nl-NL"/>
    </w:rPr>
  </w:style>
  <w:style w:type="paragraph" w:styleId="PlainText">
    <w:name w:val="Plain Text"/>
    <w:basedOn w:val="Normal"/>
    <w:link w:val="PlainTextChar"/>
    <w:uiPriority w:val="99"/>
    <w:semiHidden/>
    <w:unhideWhenUsed/>
    <w:rsid w:val="00084DBA"/>
    <w:pPr>
      <w:spacing w:after="0"/>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084DBA"/>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2896">
      <w:bodyDiv w:val="1"/>
      <w:marLeft w:val="0"/>
      <w:marRight w:val="0"/>
      <w:marTop w:val="0"/>
      <w:marBottom w:val="0"/>
      <w:divBdr>
        <w:top w:val="none" w:sz="0" w:space="0" w:color="auto"/>
        <w:left w:val="none" w:sz="0" w:space="0" w:color="auto"/>
        <w:bottom w:val="none" w:sz="0" w:space="0" w:color="auto"/>
        <w:right w:val="none" w:sz="0" w:space="0" w:color="auto"/>
      </w:divBdr>
    </w:div>
    <w:div w:id="329256739">
      <w:bodyDiv w:val="1"/>
      <w:marLeft w:val="0"/>
      <w:marRight w:val="0"/>
      <w:marTop w:val="0"/>
      <w:marBottom w:val="0"/>
      <w:divBdr>
        <w:top w:val="none" w:sz="0" w:space="0" w:color="auto"/>
        <w:left w:val="none" w:sz="0" w:space="0" w:color="auto"/>
        <w:bottom w:val="none" w:sz="0" w:space="0" w:color="auto"/>
        <w:right w:val="none" w:sz="0" w:space="0" w:color="auto"/>
      </w:divBdr>
    </w:div>
    <w:div w:id="388262645">
      <w:bodyDiv w:val="1"/>
      <w:marLeft w:val="0"/>
      <w:marRight w:val="0"/>
      <w:marTop w:val="0"/>
      <w:marBottom w:val="0"/>
      <w:divBdr>
        <w:top w:val="none" w:sz="0" w:space="0" w:color="auto"/>
        <w:left w:val="none" w:sz="0" w:space="0" w:color="auto"/>
        <w:bottom w:val="none" w:sz="0" w:space="0" w:color="auto"/>
        <w:right w:val="none" w:sz="0" w:space="0" w:color="auto"/>
      </w:divBdr>
    </w:div>
    <w:div w:id="460805313">
      <w:bodyDiv w:val="1"/>
      <w:marLeft w:val="0"/>
      <w:marRight w:val="0"/>
      <w:marTop w:val="0"/>
      <w:marBottom w:val="0"/>
      <w:divBdr>
        <w:top w:val="none" w:sz="0" w:space="0" w:color="auto"/>
        <w:left w:val="none" w:sz="0" w:space="0" w:color="auto"/>
        <w:bottom w:val="none" w:sz="0" w:space="0" w:color="auto"/>
        <w:right w:val="none" w:sz="0" w:space="0" w:color="auto"/>
      </w:divBdr>
    </w:div>
    <w:div w:id="463742439">
      <w:bodyDiv w:val="1"/>
      <w:marLeft w:val="0"/>
      <w:marRight w:val="0"/>
      <w:marTop w:val="0"/>
      <w:marBottom w:val="0"/>
      <w:divBdr>
        <w:top w:val="none" w:sz="0" w:space="0" w:color="auto"/>
        <w:left w:val="none" w:sz="0" w:space="0" w:color="auto"/>
        <w:bottom w:val="none" w:sz="0" w:space="0" w:color="auto"/>
        <w:right w:val="none" w:sz="0" w:space="0" w:color="auto"/>
      </w:divBdr>
    </w:div>
    <w:div w:id="505361278">
      <w:bodyDiv w:val="1"/>
      <w:marLeft w:val="0"/>
      <w:marRight w:val="0"/>
      <w:marTop w:val="0"/>
      <w:marBottom w:val="0"/>
      <w:divBdr>
        <w:top w:val="none" w:sz="0" w:space="0" w:color="auto"/>
        <w:left w:val="none" w:sz="0" w:space="0" w:color="auto"/>
        <w:bottom w:val="none" w:sz="0" w:space="0" w:color="auto"/>
        <w:right w:val="none" w:sz="0" w:space="0" w:color="auto"/>
      </w:divBdr>
    </w:div>
    <w:div w:id="521093668">
      <w:bodyDiv w:val="1"/>
      <w:marLeft w:val="0"/>
      <w:marRight w:val="0"/>
      <w:marTop w:val="0"/>
      <w:marBottom w:val="0"/>
      <w:divBdr>
        <w:top w:val="none" w:sz="0" w:space="0" w:color="auto"/>
        <w:left w:val="none" w:sz="0" w:space="0" w:color="auto"/>
        <w:bottom w:val="none" w:sz="0" w:space="0" w:color="auto"/>
        <w:right w:val="none" w:sz="0" w:space="0" w:color="auto"/>
      </w:divBdr>
    </w:div>
    <w:div w:id="541409425">
      <w:bodyDiv w:val="1"/>
      <w:marLeft w:val="0"/>
      <w:marRight w:val="0"/>
      <w:marTop w:val="0"/>
      <w:marBottom w:val="0"/>
      <w:divBdr>
        <w:top w:val="none" w:sz="0" w:space="0" w:color="auto"/>
        <w:left w:val="none" w:sz="0" w:space="0" w:color="auto"/>
        <w:bottom w:val="none" w:sz="0" w:space="0" w:color="auto"/>
        <w:right w:val="none" w:sz="0" w:space="0" w:color="auto"/>
      </w:divBdr>
    </w:div>
    <w:div w:id="611326448">
      <w:bodyDiv w:val="1"/>
      <w:marLeft w:val="0"/>
      <w:marRight w:val="0"/>
      <w:marTop w:val="0"/>
      <w:marBottom w:val="0"/>
      <w:divBdr>
        <w:top w:val="none" w:sz="0" w:space="0" w:color="auto"/>
        <w:left w:val="none" w:sz="0" w:space="0" w:color="auto"/>
        <w:bottom w:val="none" w:sz="0" w:space="0" w:color="auto"/>
        <w:right w:val="none" w:sz="0" w:space="0" w:color="auto"/>
      </w:divBdr>
    </w:div>
    <w:div w:id="645285692">
      <w:bodyDiv w:val="1"/>
      <w:marLeft w:val="0"/>
      <w:marRight w:val="0"/>
      <w:marTop w:val="0"/>
      <w:marBottom w:val="0"/>
      <w:divBdr>
        <w:top w:val="none" w:sz="0" w:space="0" w:color="auto"/>
        <w:left w:val="none" w:sz="0" w:space="0" w:color="auto"/>
        <w:bottom w:val="none" w:sz="0" w:space="0" w:color="auto"/>
        <w:right w:val="none" w:sz="0" w:space="0" w:color="auto"/>
      </w:divBdr>
    </w:div>
    <w:div w:id="671490887">
      <w:bodyDiv w:val="1"/>
      <w:marLeft w:val="0"/>
      <w:marRight w:val="0"/>
      <w:marTop w:val="0"/>
      <w:marBottom w:val="0"/>
      <w:divBdr>
        <w:top w:val="none" w:sz="0" w:space="0" w:color="auto"/>
        <w:left w:val="none" w:sz="0" w:space="0" w:color="auto"/>
        <w:bottom w:val="none" w:sz="0" w:space="0" w:color="auto"/>
        <w:right w:val="none" w:sz="0" w:space="0" w:color="auto"/>
      </w:divBdr>
    </w:div>
    <w:div w:id="695934279">
      <w:bodyDiv w:val="1"/>
      <w:marLeft w:val="0"/>
      <w:marRight w:val="0"/>
      <w:marTop w:val="0"/>
      <w:marBottom w:val="0"/>
      <w:divBdr>
        <w:top w:val="none" w:sz="0" w:space="0" w:color="auto"/>
        <w:left w:val="none" w:sz="0" w:space="0" w:color="auto"/>
        <w:bottom w:val="none" w:sz="0" w:space="0" w:color="auto"/>
        <w:right w:val="none" w:sz="0" w:space="0" w:color="auto"/>
      </w:divBdr>
    </w:div>
    <w:div w:id="764501484">
      <w:bodyDiv w:val="1"/>
      <w:marLeft w:val="0"/>
      <w:marRight w:val="0"/>
      <w:marTop w:val="0"/>
      <w:marBottom w:val="0"/>
      <w:divBdr>
        <w:top w:val="none" w:sz="0" w:space="0" w:color="auto"/>
        <w:left w:val="none" w:sz="0" w:space="0" w:color="auto"/>
        <w:bottom w:val="none" w:sz="0" w:space="0" w:color="auto"/>
        <w:right w:val="none" w:sz="0" w:space="0" w:color="auto"/>
      </w:divBdr>
      <w:divsChild>
        <w:div w:id="1314723295">
          <w:marLeft w:val="0"/>
          <w:marRight w:val="0"/>
          <w:marTop w:val="0"/>
          <w:marBottom w:val="0"/>
          <w:divBdr>
            <w:top w:val="none" w:sz="0" w:space="0" w:color="auto"/>
            <w:left w:val="none" w:sz="0" w:space="0" w:color="auto"/>
            <w:bottom w:val="none" w:sz="0" w:space="0" w:color="auto"/>
            <w:right w:val="none" w:sz="0" w:space="0" w:color="auto"/>
          </w:divBdr>
        </w:div>
        <w:div w:id="354235520">
          <w:marLeft w:val="0"/>
          <w:marRight w:val="0"/>
          <w:marTop w:val="0"/>
          <w:marBottom w:val="0"/>
          <w:divBdr>
            <w:top w:val="none" w:sz="0" w:space="0" w:color="auto"/>
            <w:left w:val="none" w:sz="0" w:space="0" w:color="auto"/>
            <w:bottom w:val="none" w:sz="0" w:space="0" w:color="auto"/>
            <w:right w:val="none" w:sz="0" w:space="0" w:color="auto"/>
          </w:divBdr>
        </w:div>
      </w:divsChild>
    </w:div>
    <w:div w:id="768624825">
      <w:bodyDiv w:val="1"/>
      <w:marLeft w:val="0"/>
      <w:marRight w:val="0"/>
      <w:marTop w:val="0"/>
      <w:marBottom w:val="0"/>
      <w:divBdr>
        <w:top w:val="none" w:sz="0" w:space="0" w:color="auto"/>
        <w:left w:val="none" w:sz="0" w:space="0" w:color="auto"/>
        <w:bottom w:val="none" w:sz="0" w:space="0" w:color="auto"/>
        <w:right w:val="none" w:sz="0" w:space="0" w:color="auto"/>
      </w:divBdr>
    </w:div>
    <w:div w:id="774446497">
      <w:bodyDiv w:val="1"/>
      <w:marLeft w:val="0"/>
      <w:marRight w:val="0"/>
      <w:marTop w:val="0"/>
      <w:marBottom w:val="0"/>
      <w:divBdr>
        <w:top w:val="none" w:sz="0" w:space="0" w:color="auto"/>
        <w:left w:val="none" w:sz="0" w:space="0" w:color="auto"/>
        <w:bottom w:val="none" w:sz="0" w:space="0" w:color="auto"/>
        <w:right w:val="none" w:sz="0" w:space="0" w:color="auto"/>
      </w:divBdr>
    </w:div>
    <w:div w:id="778915068">
      <w:bodyDiv w:val="1"/>
      <w:marLeft w:val="0"/>
      <w:marRight w:val="0"/>
      <w:marTop w:val="0"/>
      <w:marBottom w:val="0"/>
      <w:divBdr>
        <w:top w:val="none" w:sz="0" w:space="0" w:color="auto"/>
        <w:left w:val="none" w:sz="0" w:space="0" w:color="auto"/>
        <w:bottom w:val="none" w:sz="0" w:space="0" w:color="auto"/>
        <w:right w:val="none" w:sz="0" w:space="0" w:color="auto"/>
      </w:divBdr>
    </w:div>
    <w:div w:id="876310075">
      <w:bodyDiv w:val="1"/>
      <w:marLeft w:val="0"/>
      <w:marRight w:val="0"/>
      <w:marTop w:val="0"/>
      <w:marBottom w:val="0"/>
      <w:divBdr>
        <w:top w:val="none" w:sz="0" w:space="0" w:color="auto"/>
        <w:left w:val="none" w:sz="0" w:space="0" w:color="auto"/>
        <w:bottom w:val="none" w:sz="0" w:space="0" w:color="auto"/>
        <w:right w:val="none" w:sz="0" w:space="0" w:color="auto"/>
      </w:divBdr>
      <w:divsChild>
        <w:div w:id="1707825066">
          <w:marLeft w:val="0"/>
          <w:marRight w:val="0"/>
          <w:marTop w:val="0"/>
          <w:marBottom w:val="0"/>
          <w:divBdr>
            <w:top w:val="none" w:sz="0" w:space="0" w:color="auto"/>
            <w:left w:val="none" w:sz="0" w:space="0" w:color="auto"/>
            <w:bottom w:val="none" w:sz="0" w:space="0" w:color="auto"/>
            <w:right w:val="none" w:sz="0" w:space="0" w:color="auto"/>
          </w:divBdr>
          <w:divsChild>
            <w:div w:id="1098401956">
              <w:marLeft w:val="0"/>
              <w:marRight w:val="0"/>
              <w:marTop w:val="0"/>
              <w:marBottom w:val="0"/>
              <w:divBdr>
                <w:top w:val="none" w:sz="0" w:space="0" w:color="auto"/>
                <w:left w:val="none" w:sz="0" w:space="0" w:color="auto"/>
                <w:bottom w:val="none" w:sz="0" w:space="0" w:color="auto"/>
                <w:right w:val="none" w:sz="0" w:space="0" w:color="auto"/>
              </w:divBdr>
              <w:divsChild>
                <w:div w:id="1926449979">
                  <w:marLeft w:val="0"/>
                  <w:marRight w:val="0"/>
                  <w:marTop w:val="0"/>
                  <w:marBottom w:val="0"/>
                  <w:divBdr>
                    <w:top w:val="none" w:sz="0" w:space="0" w:color="auto"/>
                    <w:left w:val="none" w:sz="0" w:space="0" w:color="auto"/>
                    <w:bottom w:val="none" w:sz="0" w:space="0" w:color="auto"/>
                    <w:right w:val="none" w:sz="0" w:space="0" w:color="auto"/>
                  </w:divBdr>
                  <w:divsChild>
                    <w:div w:id="2113043104">
                      <w:marLeft w:val="0"/>
                      <w:marRight w:val="0"/>
                      <w:marTop w:val="0"/>
                      <w:marBottom w:val="0"/>
                      <w:divBdr>
                        <w:top w:val="none" w:sz="0" w:space="0" w:color="auto"/>
                        <w:left w:val="none" w:sz="0" w:space="0" w:color="auto"/>
                        <w:bottom w:val="none" w:sz="0" w:space="0" w:color="auto"/>
                        <w:right w:val="none" w:sz="0" w:space="0" w:color="auto"/>
                      </w:divBdr>
                      <w:divsChild>
                        <w:div w:id="150410812">
                          <w:marLeft w:val="0"/>
                          <w:marRight w:val="0"/>
                          <w:marTop w:val="0"/>
                          <w:marBottom w:val="0"/>
                          <w:divBdr>
                            <w:top w:val="none" w:sz="0" w:space="0" w:color="auto"/>
                            <w:left w:val="none" w:sz="0" w:space="0" w:color="auto"/>
                            <w:bottom w:val="none" w:sz="0" w:space="0" w:color="auto"/>
                            <w:right w:val="none" w:sz="0" w:space="0" w:color="auto"/>
                          </w:divBdr>
                          <w:divsChild>
                            <w:div w:id="1337999411">
                              <w:marLeft w:val="0"/>
                              <w:marRight w:val="0"/>
                              <w:marTop w:val="0"/>
                              <w:marBottom w:val="0"/>
                              <w:divBdr>
                                <w:top w:val="none" w:sz="0" w:space="0" w:color="auto"/>
                                <w:left w:val="none" w:sz="0" w:space="0" w:color="auto"/>
                                <w:bottom w:val="none" w:sz="0" w:space="0" w:color="auto"/>
                                <w:right w:val="none" w:sz="0" w:space="0" w:color="auto"/>
                              </w:divBdr>
                              <w:divsChild>
                                <w:div w:id="1573083454">
                                  <w:marLeft w:val="0"/>
                                  <w:marRight w:val="0"/>
                                  <w:marTop w:val="0"/>
                                  <w:marBottom w:val="0"/>
                                  <w:divBdr>
                                    <w:top w:val="none" w:sz="0" w:space="0" w:color="auto"/>
                                    <w:left w:val="none" w:sz="0" w:space="0" w:color="auto"/>
                                    <w:bottom w:val="none" w:sz="0" w:space="0" w:color="auto"/>
                                    <w:right w:val="none" w:sz="0" w:space="0" w:color="auto"/>
                                  </w:divBdr>
                                  <w:divsChild>
                                    <w:div w:id="40738517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12009">
      <w:bodyDiv w:val="1"/>
      <w:marLeft w:val="0"/>
      <w:marRight w:val="0"/>
      <w:marTop w:val="0"/>
      <w:marBottom w:val="0"/>
      <w:divBdr>
        <w:top w:val="none" w:sz="0" w:space="0" w:color="auto"/>
        <w:left w:val="none" w:sz="0" w:space="0" w:color="auto"/>
        <w:bottom w:val="none" w:sz="0" w:space="0" w:color="auto"/>
        <w:right w:val="none" w:sz="0" w:space="0" w:color="auto"/>
      </w:divBdr>
    </w:div>
    <w:div w:id="1133908009">
      <w:bodyDiv w:val="1"/>
      <w:marLeft w:val="0"/>
      <w:marRight w:val="0"/>
      <w:marTop w:val="0"/>
      <w:marBottom w:val="0"/>
      <w:divBdr>
        <w:top w:val="none" w:sz="0" w:space="0" w:color="auto"/>
        <w:left w:val="none" w:sz="0" w:space="0" w:color="auto"/>
        <w:bottom w:val="none" w:sz="0" w:space="0" w:color="auto"/>
        <w:right w:val="none" w:sz="0" w:space="0" w:color="auto"/>
      </w:divBdr>
      <w:divsChild>
        <w:div w:id="1794985104">
          <w:marLeft w:val="0"/>
          <w:marRight w:val="0"/>
          <w:marTop w:val="0"/>
          <w:marBottom w:val="0"/>
          <w:divBdr>
            <w:top w:val="none" w:sz="0" w:space="0" w:color="auto"/>
            <w:left w:val="none" w:sz="0" w:space="0" w:color="auto"/>
            <w:bottom w:val="none" w:sz="0" w:space="0" w:color="auto"/>
            <w:right w:val="none" w:sz="0" w:space="0" w:color="auto"/>
          </w:divBdr>
          <w:divsChild>
            <w:div w:id="1432046243">
              <w:marLeft w:val="0"/>
              <w:marRight w:val="0"/>
              <w:marTop w:val="0"/>
              <w:marBottom w:val="0"/>
              <w:divBdr>
                <w:top w:val="none" w:sz="0" w:space="0" w:color="auto"/>
                <w:left w:val="none" w:sz="0" w:space="0" w:color="auto"/>
                <w:bottom w:val="none" w:sz="0" w:space="0" w:color="auto"/>
                <w:right w:val="none" w:sz="0" w:space="0" w:color="auto"/>
              </w:divBdr>
              <w:divsChild>
                <w:div w:id="976569811">
                  <w:marLeft w:val="0"/>
                  <w:marRight w:val="0"/>
                  <w:marTop w:val="0"/>
                  <w:marBottom w:val="0"/>
                  <w:divBdr>
                    <w:top w:val="none" w:sz="0" w:space="0" w:color="auto"/>
                    <w:left w:val="none" w:sz="0" w:space="0" w:color="auto"/>
                    <w:bottom w:val="none" w:sz="0" w:space="0" w:color="auto"/>
                    <w:right w:val="none" w:sz="0" w:space="0" w:color="auto"/>
                  </w:divBdr>
                  <w:divsChild>
                    <w:div w:id="87597245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185291891">
      <w:bodyDiv w:val="1"/>
      <w:marLeft w:val="0"/>
      <w:marRight w:val="0"/>
      <w:marTop w:val="0"/>
      <w:marBottom w:val="0"/>
      <w:divBdr>
        <w:top w:val="none" w:sz="0" w:space="0" w:color="auto"/>
        <w:left w:val="none" w:sz="0" w:space="0" w:color="auto"/>
        <w:bottom w:val="none" w:sz="0" w:space="0" w:color="auto"/>
        <w:right w:val="none" w:sz="0" w:space="0" w:color="auto"/>
      </w:divBdr>
    </w:div>
    <w:div w:id="1285767675">
      <w:bodyDiv w:val="1"/>
      <w:marLeft w:val="0"/>
      <w:marRight w:val="0"/>
      <w:marTop w:val="0"/>
      <w:marBottom w:val="0"/>
      <w:divBdr>
        <w:top w:val="none" w:sz="0" w:space="0" w:color="auto"/>
        <w:left w:val="none" w:sz="0" w:space="0" w:color="auto"/>
        <w:bottom w:val="none" w:sz="0" w:space="0" w:color="auto"/>
        <w:right w:val="none" w:sz="0" w:space="0" w:color="auto"/>
      </w:divBdr>
    </w:div>
    <w:div w:id="1408727315">
      <w:bodyDiv w:val="1"/>
      <w:marLeft w:val="0"/>
      <w:marRight w:val="0"/>
      <w:marTop w:val="0"/>
      <w:marBottom w:val="0"/>
      <w:divBdr>
        <w:top w:val="none" w:sz="0" w:space="0" w:color="auto"/>
        <w:left w:val="none" w:sz="0" w:space="0" w:color="auto"/>
        <w:bottom w:val="none" w:sz="0" w:space="0" w:color="auto"/>
        <w:right w:val="none" w:sz="0" w:space="0" w:color="auto"/>
      </w:divBdr>
    </w:div>
    <w:div w:id="1501194790">
      <w:bodyDiv w:val="1"/>
      <w:marLeft w:val="0"/>
      <w:marRight w:val="0"/>
      <w:marTop w:val="0"/>
      <w:marBottom w:val="0"/>
      <w:divBdr>
        <w:top w:val="none" w:sz="0" w:space="0" w:color="auto"/>
        <w:left w:val="none" w:sz="0" w:space="0" w:color="auto"/>
        <w:bottom w:val="none" w:sz="0" w:space="0" w:color="auto"/>
        <w:right w:val="none" w:sz="0" w:space="0" w:color="auto"/>
      </w:divBdr>
    </w:div>
    <w:div w:id="1519463519">
      <w:bodyDiv w:val="1"/>
      <w:marLeft w:val="0"/>
      <w:marRight w:val="0"/>
      <w:marTop w:val="0"/>
      <w:marBottom w:val="0"/>
      <w:divBdr>
        <w:top w:val="none" w:sz="0" w:space="0" w:color="auto"/>
        <w:left w:val="none" w:sz="0" w:space="0" w:color="auto"/>
        <w:bottom w:val="none" w:sz="0" w:space="0" w:color="auto"/>
        <w:right w:val="none" w:sz="0" w:space="0" w:color="auto"/>
      </w:divBdr>
    </w:div>
    <w:div w:id="1521116703">
      <w:bodyDiv w:val="1"/>
      <w:marLeft w:val="0"/>
      <w:marRight w:val="0"/>
      <w:marTop w:val="0"/>
      <w:marBottom w:val="0"/>
      <w:divBdr>
        <w:top w:val="none" w:sz="0" w:space="0" w:color="auto"/>
        <w:left w:val="none" w:sz="0" w:space="0" w:color="auto"/>
        <w:bottom w:val="none" w:sz="0" w:space="0" w:color="auto"/>
        <w:right w:val="none" w:sz="0" w:space="0" w:color="auto"/>
      </w:divBdr>
    </w:div>
    <w:div w:id="1527327467">
      <w:bodyDiv w:val="1"/>
      <w:marLeft w:val="0"/>
      <w:marRight w:val="0"/>
      <w:marTop w:val="0"/>
      <w:marBottom w:val="0"/>
      <w:divBdr>
        <w:top w:val="none" w:sz="0" w:space="0" w:color="auto"/>
        <w:left w:val="none" w:sz="0" w:space="0" w:color="auto"/>
        <w:bottom w:val="none" w:sz="0" w:space="0" w:color="auto"/>
        <w:right w:val="none" w:sz="0" w:space="0" w:color="auto"/>
      </w:divBdr>
    </w:div>
    <w:div w:id="1640384214">
      <w:bodyDiv w:val="1"/>
      <w:marLeft w:val="0"/>
      <w:marRight w:val="0"/>
      <w:marTop w:val="0"/>
      <w:marBottom w:val="0"/>
      <w:divBdr>
        <w:top w:val="none" w:sz="0" w:space="0" w:color="auto"/>
        <w:left w:val="none" w:sz="0" w:space="0" w:color="auto"/>
        <w:bottom w:val="none" w:sz="0" w:space="0" w:color="auto"/>
        <w:right w:val="none" w:sz="0" w:space="0" w:color="auto"/>
      </w:divBdr>
    </w:div>
    <w:div w:id="1660570477">
      <w:bodyDiv w:val="1"/>
      <w:marLeft w:val="0"/>
      <w:marRight w:val="0"/>
      <w:marTop w:val="0"/>
      <w:marBottom w:val="0"/>
      <w:divBdr>
        <w:top w:val="none" w:sz="0" w:space="0" w:color="auto"/>
        <w:left w:val="none" w:sz="0" w:space="0" w:color="auto"/>
        <w:bottom w:val="none" w:sz="0" w:space="0" w:color="auto"/>
        <w:right w:val="none" w:sz="0" w:space="0" w:color="auto"/>
      </w:divBdr>
    </w:div>
    <w:div w:id="1661888818">
      <w:bodyDiv w:val="1"/>
      <w:marLeft w:val="0"/>
      <w:marRight w:val="0"/>
      <w:marTop w:val="0"/>
      <w:marBottom w:val="0"/>
      <w:divBdr>
        <w:top w:val="none" w:sz="0" w:space="0" w:color="auto"/>
        <w:left w:val="none" w:sz="0" w:space="0" w:color="auto"/>
        <w:bottom w:val="none" w:sz="0" w:space="0" w:color="auto"/>
        <w:right w:val="none" w:sz="0" w:space="0" w:color="auto"/>
      </w:divBdr>
    </w:div>
    <w:div w:id="1726558955">
      <w:bodyDiv w:val="1"/>
      <w:marLeft w:val="0"/>
      <w:marRight w:val="0"/>
      <w:marTop w:val="0"/>
      <w:marBottom w:val="0"/>
      <w:divBdr>
        <w:top w:val="none" w:sz="0" w:space="0" w:color="auto"/>
        <w:left w:val="none" w:sz="0" w:space="0" w:color="auto"/>
        <w:bottom w:val="none" w:sz="0" w:space="0" w:color="auto"/>
        <w:right w:val="none" w:sz="0" w:space="0" w:color="auto"/>
      </w:divBdr>
    </w:div>
    <w:div w:id="1732146685">
      <w:bodyDiv w:val="1"/>
      <w:marLeft w:val="0"/>
      <w:marRight w:val="0"/>
      <w:marTop w:val="0"/>
      <w:marBottom w:val="0"/>
      <w:divBdr>
        <w:top w:val="none" w:sz="0" w:space="0" w:color="auto"/>
        <w:left w:val="none" w:sz="0" w:space="0" w:color="auto"/>
        <w:bottom w:val="none" w:sz="0" w:space="0" w:color="auto"/>
        <w:right w:val="none" w:sz="0" w:space="0" w:color="auto"/>
      </w:divBdr>
    </w:div>
    <w:div w:id="1761831039">
      <w:bodyDiv w:val="1"/>
      <w:marLeft w:val="0"/>
      <w:marRight w:val="0"/>
      <w:marTop w:val="0"/>
      <w:marBottom w:val="0"/>
      <w:divBdr>
        <w:top w:val="none" w:sz="0" w:space="0" w:color="auto"/>
        <w:left w:val="none" w:sz="0" w:space="0" w:color="auto"/>
        <w:bottom w:val="none" w:sz="0" w:space="0" w:color="auto"/>
        <w:right w:val="none" w:sz="0" w:space="0" w:color="auto"/>
      </w:divBdr>
    </w:div>
    <w:div w:id="1879734082">
      <w:bodyDiv w:val="1"/>
      <w:marLeft w:val="0"/>
      <w:marRight w:val="0"/>
      <w:marTop w:val="0"/>
      <w:marBottom w:val="0"/>
      <w:divBdr>
        <w:top w:val="none" w:sz="0" w:space="0" w:color="auto"/>
        <w:left w:val="none" w:sz="0" w:space="0" w:color="auto"/>
        <w:bottom w:val="none" w:sz="0" w:space="0" w:color="auto"/>
        <w:right w:val="none" w:sz="0" w:space="0" w:color="auto"/>
      </w:divBdr>
      <w:divsChild>
        <w:div w:id="1377781197">
          <w:marLeft w:val="0"/>
          <w:marRight w:val="0"/>
          <w:marTop w:val="0"/>
          <w:marBottom w:val="0"/>
          <w:divBdr>
            <w:top w:val="none" w:sz="0" w:space="0" w:color="auto"/>
            <w:left w:val="none" w:sz="0" w:space="0" w:color="auto"/>
            <w:bottom w:val="none" w:sz="0" w:space="0" w:color="auto"/>
            <w:right w:val="none" w:sz="0" w:space="0" w:color="auto"/>
          </w:divBdr>
          <w:divsChild>
            <w:div w:id="1143278481">
              <w:marLeft w:val="0"/>
              <w:marRight w:val="0"/>
              <w:marTop w:val="0"/>
              <w:marBottom w:val="0"/>
              <w:divBdr>
                <w:top w:val="none" w:sz="0" w:space="0" w:color="auto"/>
                <w:left w:val="none" w:sz="0" w:space="0" w:color="auto"/>
                <w:bottom w:val="none" w:sz="0" w:space="0" w:color="auto"/>
                <w:right w:val="none" w:sz="0" w:space="0" w:color="auto"/>
              </w:divBdr>
              <w:divsChild>
                <w:div w:id="1874154073">
                  <w:marLeft w:val="0"/>
                  <w:marRight w:val="0"/>
                  <w:marTop w:val="0"/>
                  <w:marBottom w:val="0"/>
                  <w:divBdr>
                    <w:top w:val="none" w:sz="0" w:space="0" w:color="auto"/>
                    <w:left w:val="none" w:sz="0" w:space="0" w:color="auto"/>
                    <w:bottom w:val="none" w:sz="0" w:space="0" w:color="auto"/>
                    <w:right w:val="none" w:sz="0" w:space="0" w:color="auto"/>
                  </w:divBdr>
                  <w:divsChild>
                    <w:div w:id="20075118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96041556">
      <w:bodyDiv w:val="1"/>
      <w:marLeft w:val="0"/>
      <w:marRight w:val="0"/>
      <w:marTop w:val="0"/>
      <w:marBottom w:val="0"/>
      <w:divBdr>
        <w:top w:val="none" w:sz="0" w:space="0" w:color="auto"/>
        <w:left w:val="none" w:sz="0" w:space="0" w:color="auto"/>
        <w:bottom w:val="none" w:sz="0" w:space="0" w:color="auto"/>
        <w:right w:val="none" w:sz="0" w:space="0" w:color="auto"/>
      </w:divBdr>
    </w:div>
    <w:div w:id="1936985230">
      <w:bodyDiv w:val="1"/>
      <w:marLeft w:val="0"/>
      <w:marRight w:val="0"/>
      <w:marTop w:val="0"/>
      <w:marBottom w:val="0"/>
      <w:divBdr>
        <w:top w:val="none" w:sz="0" w:space="0" w:color="auto"/>
        <w:left w:val="none" w:sz="0" w:space="0" w:color="auto"/>
        <w:bottom w:val="none" w:sz="0" w:space="0" w:color="auto"/>
        <w:right w:val="none" w:sz="0" w:space="0" w:color="auto"/>
      </w:divBdr>
    </w:div>
    <w:div w:id="2120222411">
      <w:bodyDiv w:val="1"/>
      <w:marLeft w:val="0"/>
      <w:marRight w:val="0"/>
      <w:marTop w:val="0"/>
      <w:marBottom w:val="0"/>
      <w:divBdr>
        <w:top w:val="none" w:sz="0" w:space="0" w:color="auto"/>
        <w:left w:val="none" w:sz="0" w:space="0" w:color="auto"/>
        <w:bottom w:val="none" w:sz="0" w:space="0" w:color="auto"/>
        <w:right w:val="none" w:sz="0" w:space="0" w:color="auto"/>
      </w:divBdr>
    </w:div>
    <w:div w:id="2131780253">
      <w:bodyDiv w:val="1"/>
      <w:marLeft w:val="0"/>
      <w:marRight w:val="0"/>
      <w:marTop w:val="0"/>
      <w:marBottom w:val="0"/>
      <w:divBdr>
        <w:top w:val="none" w:sz="0" w:space="0" w:color="auto"/>
        <w:left w:val="none" w:sz="0" w:space="0" w:color="auto"/>
        <w:bottom w:val="none" w:sz="0" w:space="0" w:color="auto"/>
        <w:right w:val="none" w:sz="0" w:space="0" w:color="auto"/>
      </w:divBdr>
    </w:div>
    <w:div w:id="21356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2F4734A5-A26E-4E12-9F13-4EE7032B0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965</ap:Words>
  <ap:Characters>5313</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2016-10-24T09:23:00.0000000Z</lastPrinted>
  <dcterms:created xsi:type="dcterms:W3CDTF">2016-11-21T11:35:00.0000000Z</dcterms:created>
  <dcterms:modified xsi:type="dcterms:W3CDTF">2016-11-21T11:35:00.0000000Z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0x010100A5AC1445A62B714DAECBC0D53827AA63</vt:lpwstr>
  </property>
  <property fmtid="{D5CDD505-2E9C-101B-9397-08002B2CF9AE}" pid="3" name="Land0">
    <vt:lpwstr/>
  </property>
  <property fmtid="{D5CDD505-2E9C-101B-9397-08002B2CF9AE}" pid="4" name="Forum">
    <vt:lpwstr/>
  </property>
</Properties>
</file>