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19" w:rsidP="00BE4D19" w:rsidRDefault="00BC58AA">
      <w:r>
        <w:rPr>
          <w:rFonts w:ascii="Segoe UI" w:hAnsi="Segoe UI" w:cs="Segoe UI"/>
          <w:b/>
          <w:bCs/>
          <w:color w:val="333333"/>
        </w:rPr>
        <w:t>2016Z20537</w:t>
      </w:r>
    </w:p>
    <w:p w:rsidR="00BC58AA" w:rsidP="00BE4D19" w:rsidRDefault="00BC58AA"/>
    <w:p w:rsidR="00BC58AA" w:rsidP="00BE4D19" w:rsidRDefault="00BC58AA"/>
    <w:p w:rsidR="00BE4D19" w:rsidP="00BE4D19" w:rsidRDefault="00BE4D19">
      <w:r>
        <w:t>Er ligt een nota van wijziging op de Wet fosfaatrechten in de Kamer. Graag wil ik vragen om onderstaand verzoek via een spoed emailprocedure bij de collega’s voor te leggen.</w:t>
      </w:r>
    </w:p>
    <w:p w:rsidR="00BE4D19" w:rsidP="00BE4D19" w:rsidRDefault="00BE4D19">
      <w:r>
        <w:t> </w:t>
      </w:r>
    </w:p>
    <w:p w:rsidR="00BE4D19" w:rsidP="00BE4D19" w:rsidRDefault="00BE4D19">
      <w:r>
        <w:t>Graag verzoek ik de staatssecretaris van EZ de expertise van het Ministerie Veiligheid en Justitie in te roepen om op onderstaande vragen een nader advies te geven:</w:t>
      </w:r>
    </w:p>
    <w:p w:rsidR="00BE4D19" w:rsidP="00BE4D19" w:rsidRDefault="00BE4D19">
      <w:r>
        <w:t> </w:t>
      </w:r>
    </w:p>
    <w:p w:rsidR="00BE4D19" w:rsidP="00BE4D19" w:rsidRDefault="00BE4D19">
      <w:r>
        <w:t xml:space="preserve">1. Als gevolg van weerstand bij de Europese Commissie is besloten het wetsvoorstel niet op 1 januari 2017, maar op 1 januari 2018 in werking te laten treden. De vraag is of de peildatum van 2 juli 2015, de referentiedatum voor het toewijzen van fosfaatrechten, daarmee houdbaar blijft. </w:t>
      </w:r>
    </w:p>
    <w:p w:rsidR="00BE4D19" w:rsidP="00BE4D19" w:rsidRDefault="00BE4D19">
      <w:r>
        <w:t> </w:t>
      </w:r>
    </w:p>
    <w:p w:rsidR="00BE4D19" w:rsidP="00BE4D19" w:rsidRDefault="00BE4D19">
      <w:r>
        <w:t xml:space="preserve">2. Het wetsvoorstel bevat een knelgevallenvoorziening voor de toewijzing van fosfaatrechten. Deze knelgevallenvoorziening is beperkt vormgegeven.  Houdt de huidige vormgeving, waarbij volgens het wetsvoorstel slechts in heel specifieke gevallen bedrijven van de knelgevallenvoorziening gebruik kunnen maken, stand bij de rechter. De vraag is of er geen groepen knelgevallen zijn, die zoals in het verslag en nader verslag </w:t>
      </w:r>
      <w:proofErr w:type="gramStart"/>
      <w:r>
        <w:t>reeds</w:t>
      </w:r>
      <w:proofErr w:type="gramEnd"/>
      <w:r>
        <w:t xml:space="preserve"> nader zijn geduid,  bij voorbaat categorisch in het wetsvoorstel als knelgeval zouden moeten worden aangemerkt. </w:t>
      </w:r>
    </w:p>
    <w:p w:rsidR="00BE4D19" w:rsidP="00BE4D19" w:rsidRDefault="00BE4D19">
      <w:r>
        <w:t> </w:t>
      </w:r>
    </w:p>
    <w:p w:rsidR="00BE4D19" w:rsidP="00BE4D19" w:rsidRDefault="00BE4D19">
      <w:r>
        <w:t xml:space="preserve">3. Daarnaast heb ik de vraag of de invulling van de knelgevallenregeling, zoals deze in het wetsvoorstel is opgenomen onder artikel I, onder G, voldoet aan de eis van ‘fair </w:t>
      </w:r>
      <w:proofErr w:type="spellStart"/>
      <w:r>
        <w:t>balance</w:t>
      </w:r>
      <w:proofErr w:type="spellEnd"/>
      <w:r>
        <w:t xml:space="preserve">’ in het kader van de beoordeling in van artikel I van het eerste protocol bij het Europese Verdrag tot Bescherming van de rechten van de Mens en de Fundamentele Vrijheden (EVRM), de zogenoemde ‘1EP-toets’? Is de onderbouwing van de knelgevallenregeling voldoende opgenomen in het wetsvoorstel op de beoordeling van ‘fair </w:t>
      </w:r>
      <w:proofErr w:type="spellStart"/>
      <w:r>
        <w:t>balance</w:t>
      </w:r>
      <w:proofErr w:type="spellEnd"/>
      <w:r>
        <w:t>’ in het kader van de 1 EP-toets?</w:t>
      </w:r>
    </w:p>
    <w:p w:rsidR="00BE4D19" w:rsidP="00BE4D19" w:rsidRDefault="00BE4D19">
      <w:r>
        <w:t> </w:t>
      </w:r>
    </w:p>
    <w:p w:rsidR="00BE4D19" w:rsidP="00BE4D19" w:rsidRDefault="00BE4D19">
      <w:r>
        <w:t>De reden van vraag 2 en 3 is dat als de knelgevallenregeling niet houdbaar is, of voor de rechter geen stand houdt, dit tot een hogere generieke korting zal leiden.</w:t>
      </w:r>
    </w:p>
    <w:p w:rsidR="00BE4D19" w:rsidP="00BE4D19" w:rsidRDefault="00BE4D19">
      <w:r>
        <w:t> </w:t>
      </w:r>
    </w:p>
    <w:p w:rsidR="00BE4D19" w:rsidP="00BE4D19" w:rsidRDefault="00BE4D19">
      <w:r>
        <w:t xml:space="preserve">Ik ga er vanuit de volledige beschouwing van het Ministerie van Veiligheid en Justitie op bovenstaande vragen openbaar wordt. </w:t>
      </w:r>
    </w:p>
    <w:p w:rsidR="00BE4D19" w:rsidP="00BE4D19" w:rsidRDefault="00BE4D19">
      <w:r>
        <w:t> </w:t>
      </w:r>
    </w:p>
    <w:p w:rsidR="00BE4D19" w:rsidP="00BE4D19" w:rsidRDefault="00BE4D19">
      <w:bookmarkStart w:name="_GoBack" w:id="0"/>
      <w:bookmarkEnd w:id="0"/>
    </w:p>
    <w:p w:rsidR="00BE4D19" w:rsidP="00BE4D19" w:rsidRDefault="00BE4D19">
      <w:pPr>
        <w:spacing w:before="100" w:beforeAutospacing="1" w:after="100" w:afterAutospacing="1"/>
      </w:pPr>
      <w:r>
        <w:rPr>
          <w:rFonts w:ascii="Arial" w:hAnsi="Arial" w:cs="Arial"/>
          <w:b/>
          <w:bCs/>
          <w:color w:val="1F497D"/>
          <w:sz w:val="20"/>
          <w:szCs w:val="20"/>
          <w:lang w:eastAsia="nl-NL"/>
        </w:rPr>
        <w:t>Helma Lodders</w:t>
      </w:r>
      <w:r>
        <w:rPr>
          <w:rFonts w:ascii="Times New Roman" w:hAnsi="Times New Roman"/>
          <w:color w:val="1F497D"/>
          <w:sz w:val="24"/>
          <w:szCs w:val="24"/>
          <w:lang w:eastAsia="nl-NL"/>
        </w:rPr>
        <w:t xml:space="preserve"> </w:t>
      </w:r>
    </w:p>
    <w:p w:rsidR="00DF6B66" w:rsidP="00BE4D19" w:rsidRDefault="00BE4D19">
      <w:r>
        <w:rPr>
          <w:rFonts w:ascii="Arial" w:hAnsi="Arial" w:cs="Arial"/>
          <w:color w:val="1F497D"/>
          <w:sz w:val="20"/>
          <w:szCs w:val="20"/>
          <w:lang w:eastAsia="nl-NL"/>
        </w:rPr>
        <w:t>Lid van de Tweede Kamer der Staten Generaal</w:t>
      </w:r>
      <w:r>
        <w:rPr>
          <w:color w:val="1F497D"/>
          <w:lang w:eastAsia="nl-NL"/>
        </w:rPr>
        <w:t xml:space="preserve"> | </w:t>
      </w:r>
      <w:r>
        <w:rPr>
          <w:rFonts w:ascii="Arial" w:hAnsi="Arial" w:cs="Arial"/>
          <w:color w:val="1F497D"/>
          <w:sz w:val="20"/>
          <w:szCs w:val="20"/>
          <w:lang w:eastAsia="nl-NL"/>
        </w:rPr>
        <w:t>VVD fractie</w:t>
      </w:r>
      <w:r>
        <w:rPr>
          <w:color w:val="1F497D"/>
          <w:lang w:eastAsia="nl-NL"/>
        </w:rPr>
        <w:t xml:space="preserve"> </w:t>
      </w:r>
      <w:r>
        <w:rPr>
          <w:color w:val="1F497D"/>
          <w:lang w:eastAsia="nl-NL"/>
        </w:rPr>
        <w:br/>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19"/>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3E5C19"/>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C58AA"/>
    <w:rsid w:val="00BE4D19"/>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4D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E4D1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330</ap:Words>
  <ap:Characters>1775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2016-11-07T09:13:00.0000000Z</dcterms:created>
  <dcterms:modified xsi:type="dcterms:W3CDTF">2016-11-07T09:24:00.0000000Z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0x010100ABA4291325372344AB2D7ADC55AC987F</vt:lpwstr>
  </property>
</Properties>
</file>