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Calibri" w:cs="Arial"/>
          <w:b/>
          <w:bCs/>
          <w:u w:color="000000"/>
        </w:rPr>
      </w:pPr>
      <w:r w:rsidRPr="004F1889">
        <w:rPr>
          <w:rFonts w:ascii="Arial" w:hAnsi="Arial" w:eastAsia="Calibri" w:cs="Arial"/>
          <w:b/>
          <w:bCs/>
          <w:u w:color="000000"/>
        </w:rPr>
        <w:t>Fonds Podiumkunsten</w:t>
      </w:r>
      <w:r w:rsidRPr="004F1889" w:rsidR="004F1889">
        <w:rPr>
          <w:rFonts w:ascii="Arial" w:hAnsi="Arial" w:eastAsia="Calibri" w:cs="Arial"/>
          <w:b/>
          <w:bCs/>
          <w:u w:color="000000"/>
        </w:rPr>
        <w:t xml:space="preserve"> – inbreng rondetafelgesprek 9 november </w:t>
      </w:r>
    </w:p>
    <w:p w:rsidR="004F1889" w:rsidP="004F1889" w:rsidRDefault="004F18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Calibri" w:cs="Arial"/>
          <w:b/>
          <w:bCs/>
          <w:u w:color="000000"/>
        </w:rPr>
      </w:pPr>
    </w:p>
    <w:p w:rsidRPr="0099018B" w:rsidR="004F1889" w:rsidP="004F1889" w:rsidRDefault="004F18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b/>
          <w:bCs/>
          <w:sz w:val="24"/>
          <w:szCs w:val="24"/>
          <w:u w:color="000000"/>
        </w:rPr>
      </w:pPr>
      <w:r w:rsidRPr="0099018B">
        <w:rPr>
          <w:rFonts w:ascii="Arial" w:hAnsi="Arial" w:eastAsia="Calibri" w:cs="Arial"/>
          <w:b/>
          <w:bCs/>
          <w:sz w:val="24"/>
          <w:szCs w:val="24"/>
          <w:u w:color="000000"/>
        </w:rPr>
        <w:t>B</w:t>
      </w:r>
      <w:r w:rsidRPr="0099018B" w:rsidR="0099018B">
        <w:rPr>
          <w:rFonts w:ascii="Arial" w:hAnsi="Arial" w:eastAsia="Calibri" w:cs="Arial"/>
          <w:b/>
          <w:bCs/>
          <w:sz w:val="24"/>
          <w:szCs w:val="24"/>
          <w:u w:color="000000"/>
        </w:rPr>
        <w:t>esluiten meerjarige subsidies</w:t>
      </w:r>
      <w:r w:rsidRPr="0099018B">
        <w:rPr>
          <w:rFonts w:ascii="Arial" w:hAnsi="Arial" w:eastAsia="Calibri" w:cs="Arial"/>
          <w:b/>
          <w:bCs/>
          <w:sz w:val="24"/>
          <w:szCs w:val="24"/>
          <w:u w:color="000000"/>
        </w:rPr>
        <w:t xml:space="preserve"> 2017-2020</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b/>
          <w:bCs/>
          <w:u w:color="000000"/>
        </w:rPr>
      </w:pPr>
      <w:r w:rsidRPr="004F1889">
        <w:rPr>
          <w:rFonts w:ascii="Arial" w:hAnsi="Arial" w:eastAsia="Calibri" w:cs="Arial"/>
          <w:u w:color="000000"/>
        </w:rPr>
        <w:t xml:space="preserve">De veelzijdigheid van het Nederlandse podiumkunstenaanbod </w:t>
      </w:r>
      <w:r w:rsidRPr="004F1889">
        <w:rPr>
          <w:rFonts w:ascii="Arial" w:hAnsi="Arial" w:eastAsia="Calibri" w:cs="Arial"/>
          <w:u w:color="000000"/>
        </w:rPr>
        <w:t>is zwaar onder druk komen te staan sinds in 2012 het beschikbare budget van het Fonds Podiumkunsten met 30 procent is verlaagd. Die situatie noopte vier jaar geleden tot een aantal ingrijpende wijzigingen in de meerjarige subsidi</w:t>
      </w:r>
      <w:r w:rsidRPr="004F1889">
        <w:rPr>
          <w:rFonts w:ascii="Arial" w:hAnsi="Arial" w:eastAsia="Calibri" w:cs="Arial"/>
          <w:u w:color="000000"/>
        </w:rPr>
        <w:t>ë</w:t>
      </w:r>
      <w:r w:rsidRPr="004F1889">
        <w:rPr>
          <w:rFonts w:ascii="Arial" w:hAnsi="Arial" w:eastAsia="Calibri" w:cs="Arial"/>
          <w:u w:color="000000"/>
        </w:rPr>
        <w:t>ring, waaronder de introdu</w:t>
      </w:r>
      <w:r w:rsidRPr="004F1889">
        <w:rPr>
          <w:rFonts w:ascii="Arial" w:hAnsi="Arial" w:eastAsia="Calibri" w:cs="Arial"/>
          <w:u w:color="000000"/>
        </w:rPr>
        <w:t xml:space="preserve">ctie van normbedragen voor de subsidies. </w:t>
      </w:r>
      <w:r w:rsidRPr="004F1889">
        <w:rPr>
          <w:rFonts w:ascii="Arial" w:hAnsi="Arial" w:eastAsia="Calibri" w:cs="Arial"/>
          <w:u w:color="000000"/>
        </w:rPr>
        <w:t>Dat leidde in veel gevallen tot aanzienlijk lagere subsidies maar zorgde er o</w:t>
      </w:r>
      <w:r w:rsidRPr="004F1889">
        <w:rPr>
          <w:rFonts w:ascii="Arial" w:hAnsi="Arial" w:eastAsia="Calibri" w:cs="Arial"/>
          <w:u w:color="000000"/>
        </w:rPr>
        <w:t xml:space="preserve">ok voor dat een </w:t>
      </w:r>
      <w:r w:rsidRPr="004F1889">
        <w:rPr>
          <w:rFonts w:ascii="Arial" w:hAnsi="Arial" w:eastAsia="Calibri" w:cs="Arial"/>
          <w:b/>
          <w:bCs/>
          <w:u w:color="000000"/>
        </w:rPr>
        <w:t xml:space="preserve">minimum aan pluriformiteit in het aanbod </w:t>
      </w:r>
      <w:r w:rsidRPr="004F1889">
        <w:rPr>
          <w:rFonts w:ascii="Arial" w:hAnsi="Arial" w:eastAsia="Calibri" w:cs="Arial"/>
          <w:u w:color="000000"/>
        </w:rPr>
        <w:t>kon worden gewaarborgd.</w:t>
      </w:r>
    </w:p>
    <w:p w:rsidR="00405171"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Calibri" w:cs="Arial"/>
          <w:u w:color="000000"/>
        </w:rPr>
      </w:pPr>
      <w:r w:rsidRPr="004F1889">
        <w:rPr>
          <w:rFonts w:ascii="Arial" w:hAnsi="Arial" w:eastAsia="Calibri" w:cs="Arial"/>
          <w:u w:color="000000"/>
        </w:rPr>
        <w:t>Die situatie is ongewijzigd gebleven. Met vr</w:t>
      </w:r>
      <w:r>
        <w:rPr>
          <w:rFonts w:ascii="Arial" w:hAnsi="Arial" w:eastAsia="Calibri" w:cs="Arial"/>
          <w:u w:color="000000"/>
        </w:rPr>
        <w:t>ijwel hetzelfde aantal subsidie</w:t>
      </w:r>
      <w:r w:rsidRPr="004F1889">
        <w:rPr>
          <w:rFonts w:ascii="Arial" w:hAnsi="Arial" w:eastAsia="Calibri" w:cs="Arial"/>
          <w:u w:color="000000"/>
        </w:rPr>
        <w:t>aanvragen en hetzelfde, veel lagere, budget moe</w:t>
      </w:r>
      <w:r w:rsidR="00405171">
        <w:rPr>
          <w:rFonts w:ascii="Arial" w:hAnsi="Arial" w:eastAsia="Calibri" w:cs="Arial"/>
          <w:u w:color="000000"/>
        </w:rPr>
        <w:t>s</w:t>
      </w:r>
      <w:r w:rsidRPr="004F1889">
        <w:rPr>
          <w:rFonts w:ascii="Arial" w:hAnsi="Arial" w:eastAsia="Calibri" w:cs="Arial"/>
          <w:u w:color="000000"/>
        </w:rPr>
        <w:t>ten opnieuw buitengewoon scherpe en moeilijke keuzen</w:t>
      </w:r>
      <w:r w:rsidRPr="004F1889">
        <w:rPr>
          <w:rFonts w:ascii="Arial" w:hAnsi="Arial" w:eastAsia="Calibri" w:cs="Arial"/>
          <w:u w:color="000000"/>
        </w:rPr>
        <w:t xml:space="preserve"> worden gemaakt. </w:t>
      </w:r>
    </w:p>
    <w:p w:rsidR="00405171" w:rsidP="004F1889" w:rsidRDefault="004051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Calibri" w:cs="Arial"/>
          <w:u w:color="000000"/>
        </w:rPr>
      </w:pPr>
    </w:p>
    <w:p w:rsidRPr="00405171" w:rsidR="00405171" w:rsidP="004F1889" w:rsidRDefault="004051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Calibri" w:cs="Arial"/>
          <w:i/>
          <w:u w:color="000000"/>
        </w:rPr>
      </w:pPr>
      <w:r w:rsidRPr="00405171">
        <w:rPr>
          <w:rFonts w:ascii="Arial" w:hAnsi="Arial" w:eastAsia="Calibri" w:cs="Arial"/>
          <w:i/>
          <w:u w:color="000000"/>
        </w:rPr>
        <w:t>Beoordeling</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De grondslag voor die keuzen is en blijft het intersubjectieve oordeel van deskundigen over de vraag welke aanvragen het beste voldoen aan de criteria van de regeling. Dat beoordelingsproces is met strikte waarborgen omkleed vanuit het bes</w:t>
      </w:r>
      <w:r w:rsidRPr="004F1889">
        <w:rPr>
          <w:rFonts w:ascii="Arial" w:hAnsi="Arial" w:eastAsia="Calibri" w:cs="Arial"/>
          <w:u w:color="000000"/>
        </w:rPr>
        <w:t>ef dat er alleen draagvlak kan zijn voor de gemaakte keuzen als dat proces eerlijk, rechtmatig en transparant verloopt.</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Voor deze ronde zijn </w:t>
      </w:r>
      <w:r w:rsidRPr="004F1889">
        <w:rPr>
          <w:rFonts w:ascii="Arial" w:hAnsi="Arial" w:eastAsia="Calibri" w:cs="Arial"/>
          <w:b/>
          <w:bCs/>
          <w:u w:color="000000"/>
        </w:rPr>
        <w:t>212 aanvragen ingediend. Het beschikbare budget is ruim twee keer overvraagd (zelfs vier keer bij de festivals</w:t>
      </w:r>
      <w:r w:rsidRPr="004F1889">
        <w:rPr>
          <w:rFonts w:ascii="Arial" w:hAnsi="Arial" w:eastAsia="Calibri" w:cs="Arial"/>
          <w:u w:color="000000"/>
        </w:rPr>
        <w:t>, waa</w:t>
      </w:r>
      <w:r w:rsidRPr="004F1889">
        <w:rPr>
          <w:rFonts w:ascii="Arial" w:hAnsi="Arial" w:eastAsia="Calibri" w:cs="Arial"/>
          <w:u w:color="000000"/>
        </w:rPr>
        <w:t>r ook het verschil tussen het aantal aanvragen en toekenningen veruit het grootst is</w:t>
      </w:r>
      <w:r w:rsidR="00405171">
        <w:rPr>
          <w:rFonts w:ascii="Arial" w:hAnsi="Arial" w:eastAsia="Calibri" w:cs="Arial"/>
          <w:u w:color="000000"/>
        </w:rPr>
        <w:t>.</w:t>
      </w:r>
      <w:r w:rsidRPr="004F1889">
        <w:rPr>
          <w:rFonts w:ascii="Arial" w:hAnsi="Arial" w:eastAsia="Calibri" w:cs="Arial"/>
          <w:u w:color="000000"/>
        </w:rPr>
        <w:t xml:space="preserve"> </w:t>
      </w:r>
      <w:r w:rsidRPr="004F1889">
        <w:rPr>
          <w:rFonts w:ascii="Arial" w:hAnsi="Arial" w:eastAsia="Calibri" w:cs="Arial"/>
          <w:b/>
          <w:bCs/>
          <w:u w:color="000000"/>
        </w:rPr>
        <w:t>Van de 212 aanvragen zijn er 84 gehonoreerd</w:t>
      </w:r>
      <w:r w:rsidRPr="004F1889">
        <w:rPr>
          <w:rFonts w:ascii="Arial" w:hAnsi="Arial" w:eastAsia="Calibri" w:cs="Arial"/>
          <w:u w:color="000000"/>
        </w:rPr>
        <w:t>.</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De uitslag zegt </w:t>
      </w:r>
      <w:r w:rsidRPr="004F1889">
        <w:rPr>
          <w:rFonts w:ascii="Arial" w:hAnsi="Arial" w:eastAsia="Calibri" w:cs="Arial"/>
          <w:u w:color="000000"/>
        </w:rPr>
        <w:t xml:space="preserve">wie van de aanvragers het beste voldoen aan de vier criteria van de regeling meerjarige activiteitensubsidies: </w:t>
      </w:r>
      <w:r w:rsidRPr="004F1889">
        <w:rPr>
          <w:rFonts w:ascii="Arial" w:hAnsi="Arial" w:eastAsia="Calibri" w:cs="Arial"/>
          <w:b/>
          <w:bCs/>
          <w:u w:color="000000"/>
        </w:rPr>
        <w:t>artistieke kwaliteit, ondernemerschap, pluriformiteit en geografische spreiding</w:t>
      </w:r>
      <w:r w:rsidRPr="004F1889">
        <w:rPr>
          <w:rFonts w:ascii="Arial" w:hAnsi="Arial" w:eastAsia="Calibri" w:cs="Arial"/>
          <w:u w:color="000000"/>
        </w:rPr>
        <w:t>. Voor festivals en conco</w:t>
      </w:r>
      <w:r w:rsidRPr="004F1889">
        <w:rPr>
          <w:rFonts w:ascii="Arial" w:hAnsi="Arial" w:eastAsia="Calibri" w:cs="Arial"/>
          <w:u w:color="000000"/>
        </w:rPr>
        <w:t xml:space="preserve">ursen geldt nog een vijfde criterium: </w:t>
      </w:r>
      <w:r w:rsidRPr="004F1889">
        <w:rPr>
          <w:rFonts w:ascii="Arial" w:hAnsi="Arial" w:eastAsia="Calibri" w:cs="Arial"/>
          <w:b/>
          <w:bCs/>
          <w:u w:color="000000"/>
        </w:rPr>
        <w:t>bijdrage aan de ontwikkeling van de podiumkunsten</w:t>
      </w:r>
      <w:r w:rsidRPr="004F1889">
        <w:rPr>
          <w:rFonts w:ascii="Arial" w:hAnsi="Arial" w:eastAsia="Calibri" w:cs="Arial"/>
          <w:u w:color="000000"/>
        </w:rPr>
        <w:t>. Bovendien gaat het om een meerjarige subsidie. Dat impliceert dat de aanvrager een artistieke en bedrijfsmatige visie voor de middellange termijn heeft die het project</w:t>
      </w:r>
      <w:r w:rsidRPr="004F1889">
        <w:rPr>
          <w:rFonts w:ascii="Arial" w:hAnsi="Arial" w:eastAsia="Calibri" w:cs="Arial"/>
          <w:u w:color="000000"/>
        </w:rPr>
        <w:t>matig werken verre overstijgt en die overtuigend en realistisch is.</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Doorstroming</w:t>
      </w:r>
    </w:p>
    <w:p w:rsidR="00405171" w:rsidP="004F1889" w:rsidRDefault="004051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Calibri" w:cs="Arial"/>
          <w:u w:color="000000"/>
        </w:rPr>
      </w:pPr>
    </w:p>
    <w:p w:rsidRPr="00405171" w:rsidR="00405171" w:rsidP="004F1889" w:rsidRDefault="004051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Calibri" w:cs="Arial"/>
          <w:i/>
          <w:u w:color="000000"/>
        </w:rPr>
      </w:pPr>
      <w:r w:rsidRPr="00405171">
        <w:rPr>
          <w:rFonts w:ascii="Arial" w:hAnsi="Arial" w:eastAsia="Calibri" w:cs="Arial"/>
          <w:i/>
          <w:u w:color="000000"/>
        </w:rPr>
        <w:t>Dynamiek &amp; doorstroming</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Het Fonds Podiumkunsten heeft als opdracht te </w:t>
      </w:r>
      <w:r w:rsidRPr="004F1889">
        <w:rPr>
          <w:rFonts w:ascii="Arial" w:hAnsi="Arial" w:eastAsia="Calibri" w:cs="Arial"/>
          <w:b/>
          <w:bCs/>
          <w:u w:color="000000"/>
        </w:rPr>
        <w:t>waken over de dynamiek, doorstroming en innovatie in de sector, een taak waarmee het zich onderscheidt van de Basisinfrastructuur</w:t>
      </w:r>
      <w:r w:rsidRPr="004F1889">
        <w:rPr>
          <w:rFonts w:ascii="Arial" w:hAnsi="Arial" w:eastAsia="Calibri" w:cs="Arial"/>
          <w:b/>
          <w:bCs/>
          <w:u w:color="000000"/>
        </w:rPr>
        <w:t xml:space="preserve"> (BIS)</w:t>
      </w:r>
      <w:r w:rsidRPr="004F1889">
        <w:rPr>
          <w:rFonts w:ascii="Arial" w:hAnsi="Arial" w:eastAsia="Calibri" w:cs="Arial"/>
          <w:u w:color="000000"/>
        </w:rPr>
        <w:t xml:space="preserve">. Doorstroming is noodzakelijk om de aantrekkingskracht van de podiumkunsten ook voor de toekomst zeker te stellen. </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Van de 84 instellingen die subsidie ontvangen,</w:t>
      </w:r>
      <w:r w:rsidRPr="004F1889">
        <w:rPr>
          <w:rFonts w:ascii="Arial" w:hAnsi="Arial" w:eastAsia="Calibri" w:cs="Arial"/>
          <w:u w:color="000000"/>
        </w:rPr>
        <w:t xml:space="preserve"> zijn er </w:t>
      </w:r>
      <w:r w:rsidRPr="00405171">
        <w:rPr>
          <w:rFonts w:ascii="Arial" w:hAnsi="Arial" w:eastAsia="Calibri" w:cs="Arial"/>
          <w:b/>
          <w:u w:color="000000"/>
        </w:rPr>
        <w:t>28 nieuw en 56 van wie de meerjarige subsidie wordt gecontinueerd</w:t>
      </w:r>
      <w:r w:rsidRPr="004F1889">
        <w:rPr>
          <w:rFonts w:ascii="Arial" w:hAnsi="Arial" w:eastAsia="Calibri" w:cs="Arial"/>
          <w:u w:color="000000"/>
        </w:rPr>
        <w:t xml:space="preserve">. 23 instellingen keren niet terug. De reden hiervan kan zijn dat verschillende nieuwkomers vier jaar geleden werden afgeschrikt door de verwachte moordende concurrentie </w:t>
      </w:r>
      <w:r w:rsidRPr="004F1889">
        <w:rPr>
          <w:rFonts w:ascii="Arial" w:hAnsi="Arial" w:eastAsia="Calibri" w:cs="Arial"/>
          <w:u w:color="000000"/>
        </w:rPr>
        <w:t>–</w:t>
      </w:r>
      <w:r w:rsidRPr="004F1889">
        <w:rPr>
          <w:rFonts w:ascii="Arial" w:hAnsi="Arial" w:eastAsia="Calibri" w:cs="Arial"/>
          <w:u w:color="000000"/>
        </w:rPr>
        <w:t xml:space="preserve"> </w:t>
      </w:r>
      <w:r w:rsidRPr="004F1889">
        <w:rPr>
          <w:rFonts w:ascii="Arial" w:hAnsi="Arial" w:eastAsia="Calibri" w:cs="Arial"/>
          <w:b/>
          <w:bCs/>
          <w:u w:color="000000"/>
        </w:rPr>
        <w:t xml:space="preserve">40 procent minder budget voor de </w:t>
      </w:r>
      <w:proofErr w:type="spellStart"/>
      <w:r w:rsidRPr="004F1889">
        <w:rPr>
          <w:rFonts w:ascii="Arial" w:hAnsi="Arial" w:eastAsia="Calibri" w:cs="Arial"/>
          <w:b/>
          <w:bCs/>
          <w:u w:color="000000"/>
        </w:rPr>
        <w:t>meerjarenregeling</w:t>
      </w:r>
      <w:proofErr w:type="spellEnd"/>
      <w:r w:rsidRPr="004F1889">
        <w:rPr>
          <w:rFonts w:ascii="Arial" w:hAnsi="Arial" w:eastAsia="Calibri" w:cs="Arial"/>
          <w:b/>
          <w:bCs/>
          <w:u w:color="000000"/>
        </w:rPr>
        <w:t xml:space="preserve"> en veel meer aanvragen door de </w:t>
      </w:r>
      <w:r w:rsidRPr="004F1889">
        <w:rPr>
          <w:rFonts w:ascii="Arial" w:hAnsi="Arial" w:eastAsia="Calibri" w:cs="Arial"/>
          <w:b/>
          <w:bCs/>
          <w:u w:color="000000"/>
        </w:rPr>
        <w:t>‘</w:t>
      </w:r>
      <w:r w:rsidRPr="004F1889">
        <w:rPr>
          <w:rFonts w:ascii="Arial" w:hAnsi="Arial" w:eastAsia="Calibri" w:cs="Arial"/>
          <w:b/>
          <w:bCs/>
          <w:u w:color="000000"/>
        </w:rPr>
        <w:t>overloop</w:t>
      </w:r>
      <w:r w:rsidRPr="004F1889">
        <w:rPr>
          <w:rFonts w:ascii="Arial" w:hAnsi="Arial" w:eastAsia="Calibri" w:cs="Arial"/>
          <w:b/>
          <w:bCs/>
          <w:u w:color="000000"/>
        </w:rPr>
        <w:t xml:space="preserve">’ </w:t>
      </w:r>
      <w:r w:rsidRPr="004F1889">
        <w:rPr>
          <w:rFonts w:ascii="Arial" w:hAnsi="Arial" w:eastAsia="Calibri" w:cs="Arial"/>
          <w:b/>
          <w:bCs/>
          <w:u w:color="000000"/>
        </w:rPr>
        <w:t xml:space="preserve">uit de BIS </w:t>
      </w:r>
      <w:r w:rsidRPr="004F1889">
        <w:rPr>
          <w:rFonts w:ascii="Arial" w:hAnsi="Arial" w:eastAsia="Calibri" w:cs="Arial"/>
          <w:u w:color="000000"/>
        </w:rPr>
        <w:t xml:space="preserve">– </w:t>
      </w:r>
      <w:r w:rsidRPr="004F1889">
        <w:rPr>
          <w:rFonts w:ascii="Arial" w:hAnsi="Arial" w:eastAsia="Calibri" w:cs="Arial"/>
          <w:u w:color="000000"/>
        </w:rPr>
        <w:t>en dat nu als het ware een inhaalslag wordt gemaakt. Zeker is dat vrijwel alle nieuwkomers in de afgelopen jaren een trackrecord hebben opgebouwd me</w:t>
      </w:r>
      <w:r w:rsidRPr="004F1889">
        <w:rPr>
          <w:rFonts w:ascii="Arial" w:hAnsi="Arial" w:eastAsia="Calibri" w:cs="Arial"/>
          <w:u w:color="000000"/>
        </w:rPr>
        <w:t>t projectsubsidies van het Fonds. Die subsidie heeft hen in staat gesteld zich te ontwikkelen en het nu op te nemen tegen de meer gevestigde namen. Het Fonds heeft er vier jaar geleden bij de bezuinigingen juist om deze reden voor gekozen om de projectsubs</w:t>
      </w:r>
      <w:r w:rsidRPr="004F1889">
        <w:rPr>
          <w:rFonts w:ascii="Arial" w:hAnsi="Arial" w:eastAsia="Calibri" w:cs="Arial"/>
          <w:u w:color="000000"/>
        </w:rPr>
        <w:t>idies relatief te ontzien, om ervoor te zorgen dat de doorstroming ook in de toekomst gewaarborgd zou blijven.</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 </w:t>
      </w:r>
    </w:p>
    <w:p w:rsidRPr="00405171"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i/>
          <w:u w:color="000000"/>
        </w:rPr>
      </w:pPr>
      <w:r w:rsidRPr="00405171">
        <w:rPr>
          <w:rFonts w:ascii="Arial" w:hAnsi="Arial" w:eastAsia="Calibri" w:cs="Arial"/>
          <w:i/>
          <w:u w:color="000000"/>
        </w:rPr>
        <w:t>De rangorde in categorie</w:t>
      </w:r>
      <w:r w:rsidRPr="00405171">
        <w:rPr>
          <w:rFonts w:ascii="Arial" w:hAnsi="Arial" w:eastAsia="Calibri" w:cs="Arial"/>
          <w:i/>
          <w:u w:color="000000"/>
        </w:rPr>
        <w:t>ë</w:t>
      </w:r>
      <w:r w:rsidRPr="00405171">
        <w:rPr>
          <w:rFonts w:ascii="Arial" w:hAnsi="Arial" w:eastAsia="Calibri" w:cs="Arial"/>
          <w:i/>
          <w:u w:color="000000"/>
        </w:rPr>
        <w:t>n</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lastRenderedPageBreak/>
        <w:t>Alle aanvragen zijn per discipline door de betreffende commissie in een rangorde geplaatst. De aanvragen worden gehonoreerd volgens deze rangorde. Beginnend met de hoogste in de rangorde, tot en met de aanvraag die nog in zijn geheel kan worden gefinancier</w:t>
      </w:r>
      <w:r w:rsidRPr="004F1889">
        <w:rPr>
          <w:rFonts w:ascii="Arial" w:hAnsi="Arial" w:eastAsia="Calibri" w:cs="Arial"/>
          <w:u w:color="000000"/>
        </w:rPr>
        <w:t xml:space="preserve">d met het beschikbare budget (de a-categorie). De eerst volgende in de rangorde kan, in de meeste gevallen, slechts voor een deel worden gehonoreerd, door deze aanvraag loopt de zogenaamde zaaglijn. </w:t>
      </w:r>
      <w:r w:rsidRPr="004F1889">
        <w:rPr>
          <w:rFonts w:ascii="Arial" w:hAnsi="Arial" w:eastAsia="Calibri" w:cs="Arial"/>
          <w:b/>
          <w:bCs/>
          <w:u w:color="000000"/>
        </w:rPr>
        <w:t>Daaronder bevinden zich de aanvragen die in verschillende</w:t>
      </w:r>
      <w:r w:rsidRPr="004F1889">
        <w:rPr>
          <w:rFonts w:ascii="Arial" w:hAnsi="Arial" w:eastAsia="Calibri" w:cs="Arial"/>
          <w:b/>
          <w:bCs/>
          <w:u w:color="000000"/>
        </w:rPr>
        <w:t xml:space="preserve"> maar tenminste in voldoende mate aan de criteria voldoen om in beginsel voor subsidie in aanmerking te komen (de b-categorie). </w:t>
      </w:r>
      <w:r w:rsidRPr="00405171">
        <w:rPr>
          <w:rFonts w:ascii="Arial" w:hAnsi="Arial" w:eastAsia="Calibri" w:cs="Arial"/>
          <w:bCs/>
          <w:u w:color="000000"/>
        </w:rPr>
        <w:t xml:space="preserve">Hier staat nadrukkelijk </w:t>
      </w:r>
      <w:r w:rsidRPr="00405171">
        <w:rPr>
          <w:rFonts w:ascii="Arial" w:hAnsi="Arial" w:eastAsia="Calibri" w:cs="Arial"/>
          <w:bCs/>
          <w:u w:color="000000"/>
        </w:rPr>
        <w:t>‘</w:t>
      </w:r>
      <w:r w:rsidRPr="00405171">
        <w:rPr>
          <w:rFonts w:ascii="Arial" w:hAnsi="Arial" w:eastAsia="Calibri" w:cs="Arial"/>
          <w:bCs/>
          <w:u w:color="000000"/>
        </w:rPr>
        <w:t>in beginsel</w:t>
      </w:r>
      <w:r w:rsidRPr="00405171">
        <w:rPr>
          <w:rFonts w:ascii="Arial" w:hAnsi="Arial" w:eastAsia="Calibri" w:cs="Arial"/>
          <w:bCs/>
          <w:u w:color="000000"/>
        </w:rPr>
        <w:t>’</w:t>
      </w:r>
      <w:r w:rsidRPr="00405171">
        <w:rPr>
          <w:rFonts w:ascii="Arial" w:hAnsi="Arial" w:eastAsia="Calibri" w:cs="Arial"/>
          <w:bCs/>
          <w:u w:color="000000"/>
        </w:rPr>
        <w:t>, omdat er niet uit geconcludeerd mag worden dat in een ideale wereld de gehele b-categorie</w:t>
      </w:r>
      <w:r w:rsidRPr="00405171">
        <w:rPr>
          <w:rFonts w:ascii="Arial" w:hAnsi="Arial" w:eastAsia="Calibri" w:cs="Arial"/>
          <w:bCs/>
          <w:u w:color="000000"/>
        </w:rPr>
        <w:t xml:space="preserve"> eigenlijk gesubsidieerd had moeten worden.</w:t>
      </w:r>
      <w:r w:rsidRPr="004F1889">
        <w:rPr>
          <w:rFonts w:ascii="Arial" w:hAnsi="Arial" w:eastAsia="Calibri" w:cs="Arial"/>
          <w:u w:color="000000"/>
        </w:rPr>
        <w:t xml:space="preserve"> Want dan spelen er ook andere factoren een rol, zoals een goede balans tussen aanbod en afname. De c-categorie wordt gevormd door aanvragen die onvoldoende aan de criteria van de meerjarige regeling voldoen om ee</w:t>
      </w:r>
      <w:r w:rsidRPr="004F1889">
        <w:rPr>
          <w:rFonts w:ascii="Arial" w:hAnsi="Arial" w:eastAsia="Calibri" w:cs="Arial"/>
          <w:u w:color="000000"/>
        </w:rPr>
        <w:t>n subsidie te rechtvaardigen.</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 </w:t>
      </w:r>
    </w:p>
    <w:p w:rsidRPr="00405171"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i/>
          <w:u w:color="000000"/>
        </w:rPr>
      </w:pPr>
      <w:r w:rsidRPr="00405171">
        <w:rPr>
          <w:rFonts w:ascii="Arial" w:hAnsi="Arial" w:eastAsia="Calibri" w:cs="Arial"/>
          <w:i/>
          <w:u w:color="000000"/>
        </w:rPr>
        <w:t>Landelijke zichtbaarheid</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Het Fonds Podiumkunsten streeft naar landelijke zichtbaarheid van het gesubsidieerde aanbod. Geografische spreiding, zowel naar standplaats als naar voorstellingen, is daarom een van de vier criteria</w:t>
      </w:r>
      <w:r w:rsidRPr="004F1889">
        <w:rPr>
          <w:rFonts w:ascii="Arial" w:hAnsi="Arial" w:eastAsia="Calibri" w:cs="Arial"/>
          <w:u w:color="000000"/>
        </w:rPr>
        <w:t xml:space="preserve"> waarop wordt beoordeeld.</w:t>
      </w:r>
    </w:p>
    <w:p w:rsidRPr="004F1889" w:rsidR="007E24B5" w:rsidP="004F1889" w:rsidRDefault="004051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Pr>
          <w:rFonts w:ascii="Arial" w:hAnsi="Arial" w:eastAsia="Calibri" w:cs="Arial"/>
          <w:u w:color="000000"/>
        </w:rPr>
        <w:t xml:space="preserve">De </w:t>
      </w:r>
      <w:r w:rsidRPr="004F1889" w:rsidR="0099018B">
        <w:rPr>
          <w:rFonts w:ascii="Arial" w:hAnsi="Arial" w:eastAsia="Calibri" w:cs="Arial"/>
          <w:u w:color="000000"/>
        </w:rPr>
        <w:t xml:space="preserve">spreiding wat betreft standplaats is afgenomen. </w:t>
      </w:r>
      <w:r>
        <w:rPr>
          <w:rFonts w:ascii="Arial" w:hAnsi="Arial" w:eastAsia="Calibri" w:cs="Arial"/>
          <w:u w:color="000000"/>
        </w:rPr>
        <w:t>Maar</w:t>
      </w:r>
      <w:r>
        <w:rPr>
          <w:rFonts w:ascii="Arial" w:hAnsi="Arial" w:eastAsia="Arial" w:cs="Arial"/>
          <w:u w:color="000000"/>
        </w:rPr>
        <w:t xml:space="preserve"> </w:t>
      </w:r>
      <w:r>
        <w:rPr>
          <w:rFonts w:ascii="Arial" w:hAnsi="Arial" w:eastAsia="Calibri" w:cs="Arial"/>
          <w:u w:color="000000"/>
        </w:rPr>
        <w:t>a</w:t>
      </w:r>
      <w:r w:rsidRPr="004F1889" w:rsidR="0099018B">
        <w:rPr>
          <w:rFonts w:ascii="Arial" w:hAnsi="Arial" w:eastAsia="Calibri" w:cs="Arial"/>
          <w:u w:color="000000"/>
        </w:rPr>
        <w:t xml:space="preserve">ls we kijken naar waar de voorstellingen worden gespeeld, ontstaat een heel ander beeld. Dan blijkt dat de voorstellingen goed gespreid over het land worden gegeven. </w:t>
      </w:r>
      <w:r w:rsidRPr="004F1889" w:rsidR="0099018B">
        <w:rPr>
          <w:rFonts w:ascii="Arial" w:hAnsi="Arial" w:eastAsia="Calibri" w:cs="Arial"/>
          <w:b/>
          <w:bCs/>
          <w:u w:color="000000"/>
        </w:rPr>
        <w:t xml:space="preserve">Terwijl circa de helft van de aanvragen uit Amsterdam komt, wordt daarbij vergeleken </w:t>
      </w:r>
      <w:r w:rsidRPr="004F1889" w:rsidR="0099018B">
        <w:rPr>
          <w:rFonts w:ascii="Arial" w:hAnsi="Arial" w:eastAsia="Calibri" w:cs="Arial"/>
          <w:b/>
          <w:bCs/>
          <w:u w:color="000000"/>
        </w:rPr>
        <w:t>‘</w:t>
      </w:r>
      <w:r w:rsidRPr="004F1889" w:rsidR="0099018B">
        <w:rPr>
          <w:rFonts w:ascii="Arial" w:hAnsi="Arial" w:eastAsia="Calibri" w:cs="Arial"/>
          <w:b/>
          <w:bCs/>
          <w:u w:color="000000"/>
        </w:rPr>
        <w:t>slechts</w:t>
      </w:r>
      <w:r w:rsidRPr="004F1889" w:rsidR="0099018B">
        <w:rPr>
          <w:rFonts w:ascii="Arial" w:hAnsi="Arial" w:eastAsia="Calibri" w:cs="Arial"/>
          <w:b/>
          <w:bCs/>
          <w:u w:color="000000"/>
        </w:rPr>
        <w:t xml:space="preserve">’ </w:t>
      </w:r>
      <w:r w:rsidRPr="004F1889" w:rsidR="0099018B">
        <w:rPr>
          <w:rFonts w:ascii="Arial" w:hAnsi="Arial" w:eastAsia="Calibri" w:cs="Arial"/>
          <w:b/>
          <w:bCs/>
          <w:u w:color="000000"/>
        </w:rPr>
        <w:t>17 procent van de voorstellingen in de hoofdstad gespeeld. Het beeld is nagenoeg gelijk aan vier jaar geleden</w:t>
      </w:r>
      <w:r w:rsidRPr="004F1889" w:rsidR="0099018B">
        <w:rPr>
          <w:rFonts w:ascii="Arial" w:hAnsi="Arial" w:eastAsia="Calibri" w:cs="Arial"/>
          <w:u w:color="000000"/>
        </w:rPr>
        <w:t>.</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 </w:t>
      </w:r>
    </w:p>
    <w:p w:rsidRPr="0099018B"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b/>
          <w:bCs/>
          <w:sz w:val="24"/>
          <w:szCs w:val="24"/>
          <w:u w:color="000000"/>
        </w:rPr>
      </w:pPr>
      <w:r w:rsidRPr="0099018B">
        <w:rPr>
          <w:rFonts w:ascii="Arial" w:hAnsi="Arial" w:eastAsia="Calibri" w:cs="Arial"/>
          <w:b/>
          <w:bCs/>
          <w:sz w:val="24"/>
          <w:szCs w:val="24"/>
          <w:u w:color="000000"/>
        </w:rPr>
        <w:t>Fonds Podiumkunsten Algemeen</w:t>
      </w:r>
    </w:p>
    <w:p w:rsidRPr="00405171" w:rsidR="00405171" w:rsidP="00405171" w:rsidRDefault="00405171">
      <w:pPr>
        <w:pBdr>
          <w:top w:val="none" w:color="auto" w:sz="0" w:space="0"/>
          <w:left w:val="none" w:color="auto" w:sz="0" w:space="0"/>
          <w:bottom w:val="none" w:color="auto" w:sz="0" w:space="0"/>
          <w:right w:val="none" w:color="auto" w:sz="0" w:space="0"/>
          <w:between w:val="none" w:color="auto" w:sz="0" w:space="0"/>
          <w:bar w:val="none" w:color="auto" w:sz="0"/>
        </w:pBdr>
        <w:spacing w:before="0" w:beforeAutospacing="0" w:after="0" w:afterAutospacing="0"/>
        <w:rPr>
          <w:rFonts w:ascii="Arial" w:hAnsi="Arial" w:eastAsia="Times New Roman" w:cs="Arial"/>
          <w:color w:val="auto"/>
          <w:bdr w:val="none" w:color="auto" w:sz="0" w:space="0"/>
        </w:rPr>
      </w:pPr>
      <w:r w:rsidRPr="00405171">
        <w:rPr>
          <w:rFonts w:ascii="Arial" w:hAnsi="Arial" w:eastAsia="Times New Roman" w:cs="Arial"/>
          <w:color w:val="auto"/>
          <w:bdr w:val="none" w:color="auto" w:sz="0" w:space="0"/>
        </w:rPr>
        <w:t>Het landschap waarin de podiumkunsten opereren, verandert snel. De Cultuurverkenning van de Raad voor Cultuur, het rapport Cultuur Herwaarderen van de Wetenschappelijke R</w:t>
      </w:r>
      <w:r w:rsidRPr="0099018B">
        <w:rPr>
          <w:rFonts w:ascii="Arial" w:hAnsi="Arial" w:eastAsia="Times New Roman" w:cs="Arial"/>
          <w:color w:val="auto"/>
          <w:bdr w:val="none" w:color="auto" w:sz="0" w:space="0"/>
        </w:rPr>
        <w:t xml:space="preserve">aad voor het Regeringsbeleid en </w:t>
      </w:r>
      <w:r w:rsidRPr="00405171">
        <w:rPr>
          <w:rFonts w:ascii="Arial" w:hAnsi="Arial" w:eastAsia="Times New Roman" w:cs="Arial"/>
          <w:color w:val="auto"/>
          <w:bdr w:val="none" w:color="auto" w:sz="0" w:space="0"/>
        </w:rPr>
        <w:t>onze eigen verkenning ‘Fonds on Tour’ leveren overeenkomstig</w:t>
      </w:r>
      <w:r w:rsidRPr="0099018B">
        <w:rPr>
          <w:rFonts w:ascii="Arial" w:hAnsi="Arial" w:eastAsia="Times New Roman" w:cs="Arial"/>
          <w:color w:val="auto"/>
          <w:bdr w:val="none" w:color="auto" w:sz="0" w:space="0"/>
        </w:rPr>
        <w:t>e waarnemingen op. De consument gedraagt zich steeds onvoorspel</w:t>
      </w:r>
      <w:r w:rsidRPr="00405171">
        <w:rPr>
          <w:rFonts w:ascii="Arial" w:hAnsi="Arial" w:eastAsia="Times New Roman" w:cs="Arial"/>
          <w:color w:val="auto"/>
          <w:bdr w:val="none" w:color="auto" w:sz="0" w:space="0"/>
        </w:rPr>
        <w:t xml:space="preserve">baarder. Het aanbod van vrijetijdsbesteding </w:t>
      </w:r>
      <w:r w:rsidRPr="0099018B">
        <w:rPr>
          <w:rFonts w:ascii="Arial" w:hAnsi="Arial" w:eastAsia="Times New Roman" w:cs="Arial"/>
          <w:color w:val="auto"/>
          <w:bdr w:val="none" w:color="auto" w:sz="0" w:space="0"/>
        </w:rPr>
        <w:t xml:space="preserve">groeit explosief. Daarmee staat </w:t>
      </w:r>
      <w:r w:rsidRPr="00405171">
        <w:rPr>
          <w:rFonts w:ascii="Arial" w:hAnsi="Arial" w:eastAsia="Times New Roman" w:cs="Arial"/>
          <w:color w:val="auto"/>
          <w:bdr w:val="none" w:color="auto" w:sz="0" w:space="0"/>
        </w:rPr>
        <w:t xml:space="preserve">het evenwicht tussen aanbod en afname opnieuw onder druk. Verstedelijking, demografische </w:t>
      </w:r>
      <w:r w:rsidRPr="0099018B">
        <w:rPr>
          <w:rFonts w:ascii="Arial" w:hAnsi="Arial" w:eastAsia="Times New Roman" w:cs="Arial"/>
          <w:color w:val="auto"/>
          <w:bdr w:val="none" w:color="auto" w:sz="0" w:space="0"/>
        </w:rPr>
        <w:t xml:space="preserve">ontwikkelingen </w:t>
      </w:r>
      <w:r w:rsidRPr="00405171">
        <w:rPr>
          <w:rFonts w:ascii="Arial" w:hAnsi="Arial" w:eastAsia="Times New Roman" w:cs="Arial"/>
          <w:color w:val="auto"/>
          <w:bdr w:val="none" w:color="auto" w:sz="0" w:space="0"/>
        </w:rPr>
        <w:t>en globalisering hebben consequenties voor het denken over spreiding en toegankelijkheid.</w:t>
      </w:r>
    </w:p>
    <w:p w:rsidRPr="00405171" w:rsidR="00405171" w:rsidP="00405171" w:rsidRDefault="00405171">
      <w:pPr>
        <w:pBdr>
          <w:top w:val="none" w:color="auto" w:sz="0" w:space="0"/>
          <w:left w:val="none" w:color="auto" w:sz="0" w:space="0"/>
          <w:bottom w:val="none" w:color="auto" w:sz="0" w:space="0"/>
          <w:right w:val="none" w:color="auto" w:sz="0" w:space="0"/>
          <w:between w:val="none" w:color="auto" w:sz="0" w:space="0"/>
          <w:bar w:val="none" w:color="auto" w:sz="0"/>
        </w:pBdr>
        <w:spacing w:before="0" w:beforeAutospacing="0" w:after="0" w:afterAutospacing="0"/>
        <w:rPr>
          <w:rFonts w:ascii="Arial" w:hAnsi="Arial" w:eastAsia="Times New Roman" w:cs="Arial"/>
          <w:color w:val="auto"/>
          <w:bdr w:val="none" w:color="auto" w:sz="0" w:space="0"/>
        </w:rPr>
      </w:pPr>
      <w:r w:rsidRPr="00405171">
        <w:rPr>
          <w:rFonts w:ascii="Arial" w:hAnsi="Arial" w:eastAsia="Times New Roman" w:cs="Arial"/>
          <w:color w:val="auto"/>
          <w:bdr w:val="none" w:color="auto" w:sz="0" w:space="0"/>
        </w:rPr>
        <w:t xml:space="preserve">Het Fonds streeft naar een consistent instrumentarium dat voldoende flexibiliteit biedt om in te spelen op veranderingen in de omgeving en alle ruimte biedt voor de artistieke (verander-)kracht van aanvragers. De transitie naar nieuwe </w:t>
      </w:r>
      <w:r w:rsidRPr="0099018B" w:rsidR="0099018B">
        <w:rPr>
          <w:rFonts w:ascii="Arial" w:hAnsi="Arial" w:eastAsia="Times New Roman" w:cs="Arial"/>
          <w:color w:val="auto"/>
          <w:bdr w:val="none" w:color="auto" w:sz="0" w:space="0"/>
        </w:rPr>
        <w:t xml:space="preserve">modellen en de </w:t>
      </w:r>
      <w:r w:rsidRPr="00405171">
        <w:rPr>
          <w:rFonts w:ascii="Arial" w:hAnsi="Arial" w:eastAsia="Times New Roman" w:cs="Arial"/>
          <w:color w:val="auto"/>
          <w:bdr w:val="none" w:color="auto" w:sz="0" w:space="0"/>
        </w:rPr>
        <w:t xml:space="preserve">ontwikkeling van vitale verbindingen zijn hierbij gebaat. </w:t>
      </w:r>
      <w:r w:rsidRPr="0099018B" w:rsidR="0099018B">
        <w:rPr>
          <w:rFonts w:ascii="Arial" w:hAnsi="Arial" w:eastAsia="Times New Roman" w:cs="Arial"/>
          <w:color w:val="auto"/>
          <w:bdr w:val="none" w:color="auto" w:sz="0" w:space="0"/>
        </w:rPr>
        <w:t>De</w:t>
      </w:r>
      <w:r w:rsidRPr="00405171">
        <w:rPr>
          <w:rFonts w:ascii="Arial" w:hAnsi="Arial" w:eastAsia="Times New Roman" w:cs="Arial"/>
          <w:color w:val="auto"/>
          <w:bdr w:val="none" w:color="auto" w:sz="0" w:space="0"/>
        </w:rPr>
        <w:t xml:space="preserve"> vierjarige beleidscyclus </w:t>
      </w:r>
      <w:r w:rsidRPr="0099018B" w:rsidR="0099018B">
        <w:rPr>
          <w:rFonts w:ascii="Arial" w:hAnsi="Arial" w:eastAsia="Times New Roman" w:cs="Arial"/>
          <w:color w:val="auto"/>
          <w:bdr w:val="none" w:color="auto" w:sz="0" w:space="0"/>
        </w:rPr>
        <w:t xml:space="preserve">geeft daarbij </w:t>
      </w:r>
      <w:r w:rsidRPr="00405171">
        <w:rPr>
          <w:rFonts w:ascii="Arial" w:hAnsi="Arial" w:eastAsia="Times New Roman" w:cs="Arial"/>
          <w:color w:val="auto"/>
          <w:bdr w:val="none" w:color="auto" w:sz="0" w:space="0"/>
        </w:rPr>
        <w:t>houvast en stabiliteit.</w:t>
      </w:r>
    </w:p>
    <w:p w:rsidRPr="0099018B" w:rsidR="007E24B5" w:rsidP="004F1889" w:rsidRDefault="007E24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b/>
          <w:bCs/>
          <w:u w:color="000000"/>
        </w:rPr>
      </w:pPr>
      <w:r w:rsidRPr="0099018B">
        <w:rPr>
          <w:rFonts w:ascii="Arial" w:hAnsi="Arial" w:eastAsia="Calibri" w:cs="Arial"/>
          <w:b/>
          <w:u w:color="000000"/>
        </w:rPr>
        <w:t>In</w:t>
      </w:r>
      <w:r w:rsidRPr="004F1889">
        <w:rPr>
          <w:rFonts w:ascii="Arial" w:hAnsi="Arial" w:eastAsia="Calibri" w:cs="Arial"/>
          <w:b/>
          <w:bCs/>
          <w:u w:color="000000"/>
        </w:rPr>
        <w:t xml:space="preserve"> vogelvlucht</w:t>
      </w:r>
      <w:r>
        <w:rPr>
          <w:rFonts w:ascii="Arial" w:hAnsi="Arial" w:eastAsia="Calibri" w:cs="Arial"/>
          <w:b/>
          <w:bCs/>
          <w:u w:color="000000"/>
        </w:rPr>
        <w:t xml:space="preserve"> 2008-2016</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Een korte terugblik toont welke prioriteiten deze transitie het Fonds hebben opgeleverd. Als we vooruitkijken, stellen we vast dat dynamiek voorlopig </w:t>
      </w:r>
      <w:proofErr w:type="spellStart"/>
      <w:r w:rsidRPr="004F1889">
        <w:rPr>
          <w:rFonts w:ascii="Arial" w:hAnsi="Arial" w:eastAsia="Calibri" w:cs="Arial"/>
          <w:u w:color="000000"/>
        </w:rPr>
        <w:t>here</w:t>
      </w:r>
      <w:proofErr w:type="spellEnd"/>
      <w:r w:rsidRPr="004F1889">
        <w:rPr>
          <w:rFonts w:ascii="Arial" w:hAnsi="Arial" w:eastAsia="Calibri" w:cs="Arial"/>
          <w:u w:color="000000"/>
        </w:rPr>
        <w:t xml:space="preserve"> </w:t>
      </w:r>
      <w:proofErr w:type="spellStart"/>
      <w:r w:rsidRPr="004F1889">
        <w:rPr>
          <w:rFonts w:ascii="Arial" w:hAnsi="Arial" w:eastAsia="Calibri" w:cs="Arial"/>
          <w:u w:color="000000"/>
        </w:rPr>
        <w:t>to</w:t>
      </w:r>
      <w:proofErr w:type="spellEnd"/>
      <w:r w:rsidRPr="004F1889">
        <w:rPr>
          <w:rFonts w:ascii="Arial" w:hAnsi="Arial" w:eastAsia="Calibri" w:cs="Arial"/>
          <w:u w:color="000000"/>
        </w:rPr>
        <w:t xml:space="preserve"> </w:t>
      </w:r>
      <w:proofErr w:type="spellStart"/>
      <w:r w:rsidRPr="004F1889">
        <w:rPr>
          <w:rFonts w:ascii="Arial" w:hAnsi="Arial" w:eastAsia="Calibri" w:cs="Arial"/>
          <w:u w:color="000000"/>
        </w:rPr>
        <w:t>stay</w:t>
      </w:r>
      <w:proofErr w:type="spellEnd"/>
      <w:r w:rsidRPr="004F1889">
        <w:rPr>
          <w:rFonts w:ascii="Arial" w:hAnsi="Arial" w:eastAsia="Calibri" w:cs="Arial"/>
          <w:u w:color="000000"/>
        </w:rPr>
        <w:t xml:space="preserve"> lijkt. Dit vraagt om een antwoord van de sector en ook van het Fonds. </w:t>
      </w:r>
      <w:r w:rsidRPr="004F1889">
        <w:rPr>
          <w:rFonts w:ascii="Arial" w:hAnsi="Arial" w:eastAsia="Calibri" w:cs="Arial"/>
          <w:u w:color="000000"/>
        </w:rPr>
        <w:t>Wij werken vanuit de o</w:t>
      </w:r>
      <w:r w:rsidRPr="004F1889">
        <w:rPr>
          <w:rFonts w:ascii="Arial" w:hAnsi="Arial" w:eastAsia="Calibri" w:cs="Arial"/>
          <w:u w:color="000000"/>
        </w:rPr>
        <w:t>vertuiging dat de oplossing niet ligt in schuiven met budgetten of regelingen, maar in het waarborgen van een open, eerlijk en doelmatig beleid.</w:t>
      </w:r>
    </w:p>
    <w:p w:rsidRPr="004F1889" w:rsidR="007E24B5" w:rsidP="004F1889" w:rsidRDefault="007E24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b/>
          <w:bCs/>
          <w:u w:color="000000"/>
        </w:rPr>
      </w:pPr>
      <w:r w:rsidRPr="004F1889">
        <w:rPr>
          <w:rFonts w:ascii="Arial" w:hAnsi="Arial" w:eastAsia="Calibri" w:cs="Arial"/>
          <w:b/>
          <w:bCs/>
          <w:u w:color="000000"/>
        </w:rPr>
        <w:t>2006-2008: Inrichting BIS en Fonds</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De overheid roept een Basisinfrastructuur (BIS) in het leven, met daarin </w:t>
      </w:r>
      <w:r w:rsidRPr="004F1889">
        <w:rPr>
          <w:rFonts w:ascii="Arial" w:hAnsi="Arial" w:eastAsia="Calibri" w:cs="Arial"/>
          <w:u w:color="000000"/>
        </w:rPr>
        <w:t>opgenomen de grotere podiumkunstinstellingen die een landelijke functie vervullen (zoals de symfonieorkesten en de stadstheatergezelschappen). Voor de meerjarige subsidi</w:t>
      </w:r>
      <w:r w:rsidRPr="004F1889">
        <w:rPr>
          <w:rFonts w:ascii="Arial" w:hAnsi="Arial" w:eastAsia="Calibri" w:cs="Arial"/>
          <w:u w:color="000000"/>
        </w:rPr>
        <w:t>ë</w:t>
      </w:r>
      <w:r w:rsidRPr="004F1889">
        <w:rPr>
          <w:rFonts w:ascii="Arial" w:hAnsi="Arial" w:eastAsia="Calibri" w:cs="Arial"/>
          <w:u w:color="000000"/>
        </w:rPr>
        <w:t>ring van instellingen met vooral een eigen artistieke kleur wordt het Fonds verantwoor</w:t>
      </w:r>
      <w:r w:rsidRPr="004F1889">
        <w:rPr>
          <w:rFonts w:ascii="Arial" w:hAnsi="Arial" w:eastAsia="Calibri" w:cs="Arial"/>
          <w:u w:color="000000"/>
        </w:rPr>
        <w:t>delijk.</w:t>
      </w:r>
    </w:p>
    <w:p w:rsidRPr="004F1889" w:rsidR="007E24B5" w:rsidP="004F1889" w:rsidRDefault="007E24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b/>
          <w:bCs/>
          <w:u w:color="000000"/>
        </w:rPr>
      </w:pPr>
      <w:r w:rsidRPr="004F1889">
        <w:rPr>
          <w:rFonts w:ascii="Arial" w:hAnsi="Arial" w:eastAsia="Calibri" w:cs="Arial"/>
          <w:b/>
          <w:bCs/>
          <w:u w:color="000000"/>
        </w:rPr>
        <w:t>2009-2012: Meer voor minder</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Onder het motto Meer voor minder maakt het Fonds scherpe keuzes; minder gezelschappen, ensembles en festivals ontvangen een substanti</w:t>
      </w:r>
      <w:r w:rsidRPr="004F1889">
        <w:rPr>
          <w:rFonts w:ascii="Arial" w:hAnsi="Arial" w:eastAsia="Calibri" w:cs="Arial"/>
          <w:u w:color="000000"/>
        </w:rPr>
        <w:t>ë</w:t>
      </w:r>
      <w:r w:rsidRPr="004F1889">
        <w:rPr>
          <w:rFonts w:ascii="Arial" w:hAnsi="Arial" w:eastAsia="Calibri" w:cs="Arial"/>
          <w:u w:color="000000"/>
        </w:rPr>
        <w:t xml:space="preserve">lere, meerjarige subsidie. Daarnaast vormt het Fonds de </w:t>
      </w:r>
      <w:r w:rsidRPr="004F1889">
        <w:rPr>
          <w:rFonts w:ascii="Arial" w:hAnsi="Arial" w:eastAsia="Calibri" w:cs="Arial"/>
          <w:u w:color="000000"/>
        </w:rPr>
        <w:t>‘</w:t>
      </w:r>
      <w:r w:rsidRPr="004F1889">
        <w:rPr>
          <w:rFonts w:ascii="Arial" w:hAnsi="Arial" w:eastAsia="Calibri" w:cs="Arial"/>
          <w:u w:color="000000"/>
        </w:rPr>
        <w:t>lappendeken</w:t>
      </w:r>
      <w:r w:rsidRPr="004F1889">
        <w:rPr>
          <w:rFonts w:ascii="Arial" w:hAnsi="Arial" w:eastAsia="Calibri" w:cs="Arial"/>
          <w:u w:color="000000"/>
        </w:rPr>
        <w:t xml:space="preserve">’ </w:t>
      </w:r>
      <w:r w:rsidRPr="004F1889">
        <w:rPr>
          <w:rFonts w:ascii="Arial" w:hAnsi="Arial" w:eastAsia="Calibri" w:cs="Arial"/>
          <w:u w:color="000000"/>
        </w:rPr>
        <w:t xml:space="preserve">aan regelingen </w:t>
      </w:r>
      <w:r w:rsidRPr="004F1889">
        <w:rPr>
          <w:rFonts w:ascii="Arial" w:hAnsi="Arial" w:eastAsia="Calibri" w:cs="Arial"/>
          <w:u w:color="000000"/>
        </w:rPr>
        <w:t>van de rechtsvoorgangers om tot een samenhangend pakket subsidieregelingen. Het instrumentarium van het Fonds is erop gericht om de dynamiek, doorstroming en innovatie te bevorderen. Het uiteindelijke doel is een betere balans tussen aanbod en afname.</w:t>
      </w:r>
    </w:p>
    <w:p w:rsidRPr="004F1889" w:rsidR="007E24B5" w:rsidP="004F1889" w:rsidRDefault="007E24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b/>
          <w:bCs/>
          <w:u w:color="000000"/>
        </w:rPr>
      </w:pPr>
      <w:r w:rsidRPr="004F1889">
        <w:rPr>
          <w:rFonts w:ascii="Arial" w:hAnsi="Arial" w:eastAsia="Calibri" w:cs="Arial"/>
          <w:b/>
          <w:bCs/>
          <w:u w:color="000000"/>
        </w:rPr>
        <w:t>201</w:t>
      </w:r>
      <w:r w:rsidRPr="004F1889">
        <w:rPr>
          <w:rFonts w:ascii="Arial" w:hAnsi="Arial" w:eastAsia="Calibri" w:cs="Arial"/>
          <w:b/>
          <w:bCs/>
          <w:u w:color="000000"/>
        </w:rPr>
        <w:t>3-2016: Eerlijk verdelen</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De gevolgen van bezuinigingen op kunst en cultuur worden zichtbaar en voelbaar. Met minder geld voor kunst en cultuur neemt de druk op het Fondsbudget toe.</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Om te zorgen dat dit budget eerlijk, transparant en doelmatig wordt besteed</w:t>
      </w:r>
      <w:r w:rsidRPr="004F1889">
        <w:rPr>
          <w:rFonts w:ascii="Arial" w:hAnsi="Arial" w:eastAsia="Calibri" w:cs="Arial"/>
          <w:u w:color="000000"/>
        </w:rPr>
        <w:t xml:space="preserve">, actualiseert het Fonds de meerjarige regeling. Niet langer financiert het Fonds een exploitatietekort op basis van de kosten die de aanvrager opvoert. </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Genuanceerde normbedragen en prestaties worden leidend bij de berekening van de subsidiehoogte. Uitkom</w:t>
      </w:r>
      <w:r w:rsidRPr="004F1889">
        <w:rPr>
          <w:rFonts w:ascii="Arial" w:hAnsi="Arial" w:eastAsia="Calibri" w:cs="Arial"/>
          <w:u w:color="000000"/>
        </w:rPr>
        <w:t xml:space="preserve">st is dat het aantal meerjarig gesubsidieerde instellingen betrekkelijk op peil blijft, in voldoende verscheidenheid. Het Fonds ontziet naar verhouding de budgetten voor projectsubsidies en programmeringsregelingen. Dit past bij de opdracht om dynamiek en </w:t>
      </w:r>
      <w:r w:rsidRPr="004F1889">
        <w:rPr>
          <w:rFonts w:ascii="Arial" w:hAnsi="Arial" w:eastAsia="Calibri" w:cs="Arial"/>
          <w:u w:color="000000"/>
        </w:rPr>
        <w:t>doorstroming mogelijk te maken en te zorgen voor een betere balans tussen aanbod en afname.</w:t>
      </w:r>
    </w:p>
    <w:p w:rsidRPr="004F1889"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r w:rsidRPr="004F1889">
        <w:rPr>
          <w:rFonts w:ascii="Arial" w:hAnsi="Arial" w:eastAsia="Calibri" w:cs="Arial"/>
          <w:u w:color="000000"/>
        </w:rPr>
        <w:t xml:space="preserve">In deze periode heeft daarnaast talentontwikkeling prioriteit. De rijksoverheid schrapt de functie </w:t>
      </w:r>
      <w:r w:rsidRPr="004F1889">
        <w:rPr>
          <w:rFonts w:ascii="Arial" w:hAnsi="Arial" w:eastAsia="Calibri" w:cs="Arial"/>
          <w:u w:color="000000"/>
        </w:rPr>
        <w:t>‘</w:t>
      </w:r>
      <w:r w:rsidRPr="004F1889">
        <w:rPr>
          <w:rFonts w:ascii="Arial" w:hAnsi="Arial" w:eastAsia="Calibri" w:cs="Arial"/>
          <w:u w:color="000000"/>
        </w:rPr>
        <w:t>productiehuis</w:t>
      </w:r>
      <w:r w:rsidRPr="004F1889">
        <w:rPr>
          <w:rFonts w:ascii="Arial" w:hAnsi="Arial" w:eastAsia="Calibri" w:cs="Arial"/>
          <w:u w:color="000000"/>
        </w:rPr>
        <w:t xml:space="preserve">’ </w:t>
      </w:r>
      <w:r w:rsidRPr="004F1889">
        <w:rPr>
          <w:rFonts w:ascii="Arial" w:hAnsi="Arial" w:eastAsia="Calibri" w:cs="Arial"/>
          <w:u w:color="000000"/>
        </w:rPr>
        <w:t>uit de BIS. Het Fonds krijgt opdracht om een rege</w:t>
      </w:r>
      <w:r w:rsidRPr="004F1889">
        <w:rPr>
          <w:rFonts w:ascii="Arial" w:hAnsi="Arial" w:eastAsia="Calibri" w:cs="Arial"/>
          <w:u w:color="000000"/>
        </w:rPr>
        <w:t>ling in te voeren die ervoor zorgt dat talent zich sterker kan ontwikkelen in de praktijk, in een context van hands-on coaching en experiment. Het Fonds krijgt ook (tijdelijk) budget voor talentontwikkeling in een internationale context en talentontwikkeli</w:t>
      </w:r>
      <w:r w:rsidRPr="004F1889">
        <w:rPr>
          <w:rFonts w:ascii="Arial" w:hAnsi="Arial" w:eastAsia="Calibri" w:cs="Arial"/>
          <w:u w:color="000000"/>
        </w:rPr>
        <w:t xml:space="preserve">ng gericht op beginnende makers en op de makers </w:t>
      </w:r>
      <w:r w:rsidRPr="004F1889">
        <w:rPr>
          <w:rFonts w:ascii="Arial" w:hAnsi="Arial" w:eastAsia="Calibri" w:cs="Arial"/>
          <w:u w:color="000000"/>
        </w:rPr>
        <w:t>die de stap naar de grote zaal overwegen.</w:t>
      </w:r>
    </w:p>
    <w:p w:rsidRPr="004F1889" w:rsidR="007E24B5" w:rsidP="004F1889" w:rsidRDefault="007E24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Arial" w:cs="Arial"/>
          <w:u w:color="000000"/>
        </w:rPr>
      </w:pPr>
    </w:p>
    <w:p w:rsidRPr="0099018B" w:rsidR="007E24B5" w:rsidP="004F1889" w:rsidRDefault="00990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beforeAutospacing="0" w:after="0" w:afterAutospacing="0"/>
        <w:rPr>
          <w:rFonts w:ascii="Arial" w:hAnsi="Arial" w:eastAsia="Calibri" w:cs="Arial"/>
          <w:b/>
          <w:bCs/>
          <w:sz w:val="24"/>
          <w:szCs w:val="24"/>
          <w:u w:color="000000"/>
        </w:rPr>
      </w:pPr>
      <w:r w:rsidRPr="0099018B">
        <w:rPr>
          <w:rFonts w:ascii="Arial" w:hAnsi="Arial" w:eastAsia="Calibri" w:cs="Arial"/>
          <w:b/>
          <w:bCs/>
          <w:sz w:val="24"/>
          <w:szCs w:val="24"/>
          <w:u w:color="000000"/>
        </w:rPr>
        <w:t>Rijkscultuurfondsen Algemeen</w:t>
      </w:r>
    </w:p>
    <w:p w:rsidRPr="004F1889" w:rsidR="004F1889" w:rsidP="004F1889" w:rsidRDefault="004F1889">
      <w:pPr>
        <w:spacing w:before="0" w:beforeAutospacing="0" w:after="0" w:afterAutospacing="0"/>
        <w:rPr>
          <w:rFonts w:ascii="Arial" w:hAnsi="Arial" w:cs="Arial"/>
        </w:rPr>
      </w:pPr>
      <w:r w:rsidRPr="004F1889">
        <w:rPr>
          <w:rFonts w:ascii="Arial" w:hAnsi="Arial" w:cs="Arial"/>
        </w:rPr>
        <w:t>De zes cultuurfondsen spelen een bepalende rol in het kunstzinnige en culturele leven van Nederland. De fondsen zijn actief  binnen alle culturele disciplines: erfgoed, beeldende kunst, vormgeving, podiumkunsten, film, letteren, architectuur, creatieve industrie en - overkoepelend – cultuurparticipatie en digitale cultuur.</w:t>
      </w:r>
    </w:p>
    <w:p w:rsidRPr="004F1889" w:rsidR="004F1889" w:rsidP="004F1889" w:rsidRDefault="004F1889">
      <w:pPr>
        <w:spacing w:before="0" w:beforeAutospacing="0" w:after="0" w:afterAutospacing="0"/>
        <w:rPr>
          <w:rFonts w:ascii="Arial" w:hAnsi="Arial" w:cs="Arial"/>
        </w:rPr>
      </w:pPr>
      <w:bookmarkStart w:name="_GoBack" w:id="0"/>
      <w:bookmarkEnd w:id="0"/>
    </w:p>
    <w:p w:rsidRPr="004F1889" w:rsidR="004F1889" w:rsidP="004F1889" w:rsidRDefault="004F1889">
      <w:pPr>
        <w:shd w:val="solid" w:color="FFFFFF" w:fill="FFFFFF"/>
        <w:tabs>
          <w:tab w:val="left" w:pos="0"/>
        </w:tabs>
        <w:spacing w:before="0" w:beforeAutospacing="0" w:after="0" w:afterAutospacing="0"/>
        <w:rPr>
          <w:rFonts w:ascii="Arial" w:hAnsi="Arial" w:cs="Arial"/>
        </w:rPr>
      </w:pPr>
      <w:r w:rsidRPr="004F1889">
        <w:rPr>
          <w:rFonts w:ascii="Arial" w:hAnsi="Arial" w:cs="Arial"/>
        </w:rPr>
        <w:t xml:space="preserve">De minister is politiek verantwoordelijk voor het algehele beleid van de fondsen. De minister verleent in beginsel alleen vierjarige instellingssubsidies aan (grote) culturele instellingen in de basisinfrastructuur. De zes cultuurfondsen op hun beurt stimuleren dynamiek en vernieuwing in de deelsectoren en verlenen financiële bijdragen aan projecten en activiteiten van culturele instellingen en makers. De fondsen zijn niet alleen uitvoerder maar ook beleidsvoorbereider en initiatiefnemer op hun terrein. De fondsen zijn zelfstandig: zij voeren zelf hun eigen regelingen uit en subsidiebesluiten vallen onder de verantwoordelijkheid van het fondsbestuur. Doordat de fondsbesturen de wettelijk toegekende bevoegdheid hebben om subsidiebesluiten te nemen, zijn die besturen het </w:t>
      </w:r>
      <w:proofErr w:type="spellStart"/>
      <w:r w:rsidRPr="004F1889">
        <w:rPr>
          <w:rFonts w:ascii="Arial" w:hAnsi="Arial" w:cs="Arial"/>
        </w:rPr>
        <w:t>zbo</w:t>
      </w:r>
      <w:proofErr w:type="spellEnd"/>
      <w:r w:rsidRPr="004F1889">
        <w:rPr>
          <w:rFonts w:ascii="Arial" w:hAnsi="Arial" w:cs="Arial"/>
        </w:rPr>
        <w:t>. De fondsen kennen een Raad van Toezicht model waarbij het bestuur bestaat uit een directeur/bestuurder.</w:t>
      </w:r>
    </w:p>
    <w:p w:rsidRPr="004F1889" w:rsidR="004F1889" w:rsidP="004F1889" w:rsidRDefault="004F1889">
      <w:pPr>
        <w:shd w:val="solid" w:color="FFFFFF" w:fill="FFFFFF"/>
        <w:tabs>
          <w:tab w:val="left" w:pos="0"/>
        </w:tabs>
        <w:spacing w:before="0" w:beforeAutospacing="0" w:after="0" w:afterAutospacing="0"/>
        <w:rPr>
          <w:rFonts w:ascii="Arial" w:hAnsi="Arial" w:cs="Arial"/>
        </w:rPr>
      </w:pPr>
    </w:p>
    <w:p w:rsidRPr="004F1889" w:rsidR="004F1889" w:rsidP="004F1889" w:rsidRDefault="004F1889">
      <w:pPr>
        <w:spacing w:before="0" w:beforeAutospacing="0" w:after="0" w:afterAutospacing="0"/>
        <w:rPr>
          <w:rFonts w:ascii="Arial" w:hAnsi="Arial" w:cs="Arial"/>
        </w:rPr>
      </w:pPr>
      <w:r w:rsidRPr="004F1889">
        <w:rPr>
          <w:rFonts w:ascii="Arial" w:hAnsi="Arial" w:cs="Arial"/>
        </w:rPr>
        <w:t xml:space="preserve">Voorafgaand aan een nieuwe vierjarige periode stelt de minister een beleidskader per fonds vast met inhoudelijke en financiële instructies. De fondsen stemmen hun beleidsplan en begroting af op het beleidskader van de minister en sluiten hun regelgeving aan bij de criteria van de basisinfrastructuur. De subsidieregelingen met daarin opgenomen de doelen, voorwaarden en criteria worden vooraf in goed overleg tussen OCW en de fondsen opgesteld en door de minister goedgekeurd en gepubliceerd in de Staatscourant. </w:t>
      </w:r>
    </w:p>
    <w:p w:rsidRPr="004F1889" w:rsidR="004F1889" w:rsidP="004F1889" w:rsidRDefault="004F1889">
      <w:pPr>
        <w:shd w:val="solid" w:color="FFFFFF" w:fill="FFFFFF"/>
        <w:tabs>
          <w:tab w:val="left" w:pos="0"/>
        </w:tabs>
        <w:spacing w:before="0" w:beforeAutospacing="0" w:after="0" w:afterAutospacing="0"/>
        <w:rPr>
          <w:rFonts w:ascii="Arial" w:hAnsi="Arial" w:cs="Arial"/>
        </w:rPr>
      </w:pPr>
      <w:r w:rsidRPr="004F1889">
        <w:rPr>
          <w:rFonts w:ascii="Arial" w:hAnsi="Arial" w:cs="Arial"/>
        </w:rPr>
        <w:t xml:space="preserve">De minister beoordeelt de jaarverantwoordingen die in het kader van de subsidierelatie worden ingediend. In het kader van de Kaderwet </w:t>
      </w:r>
      <w:proofErr w:type="spellStart"/>
      <w:r w:rsidRPr="004F1889">
        <w:rPr>
          <w:rFonts w:ascii="Arial" w:hAnsi="Arial" w:cs="Arial"/>
        </w:rPr>
        <w:t>zbo</w:t>
      </w:r>
      <w:proofErr w:type="spellEnd"/>
      <w:r w:rsidRPr="004F1889">
        <w:rPr>
          <w:rFonts w:ascii="Arial" w:hAnsi="Arial" w:cs="Arial"/>
        </w:rPr>
        <w:t xml:space="preserve"> ontvangen tevens de voorzitters van de Eerste en Tweede Kamer jaarlijks het jaarverslag van de fondsen. Jaarverslagen worden daarnaast verspreid naar stakeholders van de fondsen en op hun respectievelijke websites gepubliceerd. </w:t>
      </w:r>
    </w:p>
    <w:p w:rsidRPr="004F1889" w:rsidR="004F1889" w:rsidP="004F1889" w:rsidRDefault="004F1889">
      <w:pPr>
        <w:spacing w:before="0" w:beforeAutospacing="0" w:after="0" w:afterAutospacing="0"/>
        <w:rPr>
          <w:rFonts w:ascii="Arial" w:hAnsi="Arial" w:cs="Arial"/>
        </w:rPr>
      </w:pPr>
      <w:r w:rsidRPr="004F1889">
        <w:rPr>
          <w:rFonts w:ascii="Arial" w:hAnsi="Arial" w:cs="Arial"/>
        </w:rPr>
        <w:t>Lopende de subsidie periode worden de fondsen gevisiteerd door de visitatie commissie. Deze kijkt naar het functioneren van de fondsen, naar de kwaliteit van de uitvoering en de bedrijfsvoering. De laatste beoordeling is in 2015 afgerond met een algemeen positief oordeel en de aanbevelingen ter verdere verbetering volgen de fondsen op.</w:t>
      </w:r>
    </w:p>
    <w:p w:rsidRPr="004F1889" w:rsidR="004F1889" w:rsidP="004F1889" w:rsidRDefault="004F1889">
      <w:pPr>
        <w:spacing w:before="0" w:beforeAutospacing="0" w:after="0" w:afterAutospacing="0"/>
        <w:rPr>
          <w:rFonts w:ascii="Arial" w:hAnsi="Arial" w:cs="Arial"/>
          <w:b/>
        </w:rPr>
      </w:pPr>
    </w:p>
    <w:p w:rsidRPr="004F1889" w:rsidR="004F1889" w:rsidP="004F1889" w:rsidRDefault="004F1889">
      <w:pPr>
        <w:spacing w:before="0" w:beforeAutospacing="0" w:after="0" w:afterAutospacing="0"/>
        <w:rPr>
          <w:rFonts w:ascii="Arial" w:hAnsi="Arial" w:cs="Arial"/>
        </w:rPr>
      </w:pPr>
      <w:r w:rsidRPr="004F1889">
        <w:rPr>
          <w:rFonts w:ascii="Arial" w:hAnsi="Arial" w:cs="Arial"/>
        </w:rPr>
        <w:t>De subsidieregelingen binnen en tussen de fondsen verschillen en zijn toegesneden op de specifieke sectoren.  De subsidieregelingen en stakeholders zijn verschillend voor bijvoorbeeld de grote langjarige investeringen in filmproducties, met diverse nationale en internationale partners (Filmfonds), en de kleinschalige ondersteuning van beginnende schrijvers (Letterenfonds). Deze zijn ook verschillend voor het stimuleren van cultuureducatie, in samenwerking met gemeenten en scholen (Fonds Cultuurparticipatie), of het ondersteunen van aankopen door musea of internationale promotie van kunstenaars in het buitenland (Mondriaan Fonds). En ook bij het meerjarig ondersteunen van theatergezelschappen (Fonds Podiumkunst) of het stimuleren van vernieuwende architectuurprojecten voor ruimtelijke vraagstukken (Stimuleringsfonds Creatieve Industrie) onderscheiden stakeholders en regelingen zich van elkaar.</w:t>
      </w:r>
    </w:p>
    <w:p w:rsidRPr="004F1889" w:rsidR="004F1889" w:rsidP="004F1889" w:rsidRDefault="004F1889">
      <w:pPr>
        <w:spacing w:before="0" w:beforeAutospacing="0" w:after="0" w:afterAutospacing="0"/>
        <w:rPr>
          <w:rFonts w:ascii="Arial" w:hAnsi="Arial" w:cs="Arial"/>
        </w:rPr>
      </w:pPr>
    </w:p>
    <w:p w:rsidRPr="004F1889" w:rsidR="004F1889" w:rsidP="004F1889" w:rsidRDefault="004F1889">
      <w:pPr>
        <w:spacing w:before="0" w:beforeAutospacing="0" w:after="0" w:afterAutospacing="0"/>
        <w:rPr>
          <w:rFonts w:ascii="Arial" w:hAnsi="Arial" w:cs="Arial"/>
        </w:rPr>
      </w:pPr>
      <w:r w:rsidRPr="004F1889">
        <w:rPr>
          <w:rFonts w:ascii="Arial" w:hAnsi="Arial" w:cs="Arial"/>
        </w:rPr>
        <w:t xml:space="preserve">De fondsen kunnen projectbijdragen verlenen maar ook meerjarige bijdragen. De manier waarop tot een advies wordt gekomen sluit aan op de betreffende regeling. Bij inhoudelijke toetsing werken de fondsen met experts uit de betreffende sector met kennis van zaken die zitting hebben in een adviescommissie of een rol vervullen als consulent of intendant. </w:t>
      </w:r>
    </w:p>
    <w:p w:rsidRPr="004F1889" w:rsidR="004F1889" w:rsidP="004F1889" w:rsidRDefault="004F1889">
      <w:pPr>
        <w:spacing w:before="0" w:beforeAutospacing="0" w:after="0" w:afterAutospacing="0"/>
        <w:rPr>
          <w:rFonts w:ascii="Arial" w:hAnsi="Arial" w:cs="Arial"/>
        </w:rPr>
      </w:pPr>
    </w:p>
    <w:p w:rsidRPr="004F1889" w:rsidR="007E24B5" w:rsidP="004F1889" w:rsidRDefault="004F1889">
      <w:pPr>
        <w:pStyle w:val="Hoofdtekst"/>
        <w:spacing w:beforeAutospacing="0" w:afterAutospacing="0"/>
        <w:rPr>
          <w:rFonts w:ascii="Arial" w:hAnsi="Arial" w:cs="Arial"/>
        </w:rPr>
      </w:pPr>
      <w:r w:rsidRPr="004F1889">
        <w:rPr>
          <w:rFonts w:ascii="Arial" w:hAnsi="Arial" w:cs="Arial"/>
        </w:rPr>
        <w:t xml:space="preserve">In basis werkt elk cultuurfonds hetzelfde. Het fonds publiceert een regeling, een aanvrager doet een aanvraag, indien een aanvraag ontvankelijk is volgt een beoordeling en een bestuursbesluit met een afwijzing of toekenning. De aanvrager kan in bezwaar en beroep gaan. Voor de subsidieverlening zijn de fondsen gehouden aan het subsidierecht zoals opgenomen in de </w:t>
      </w:r>
      <w:proofErr w:type="spellStart"/>
      <w:r w:rsidRPr="004F1889">
        <w:rPr>
          <w:rFonts w:ascii="Arial" w:hAnsi="Arial" w:cs="Arial"/>
        </w:rPr>
        <w:t>Awb</w:t>
      </w:r>
      <w:proofErr w:type="spellEnd"/>
      <w:r w:rsidRPr="004F1889">
        <w:rPr>
          <w:rFonts w:ascii="Arial" w:hAnsi="Arial" w:cs="Arial"/>
        </w:rPr>
        <w:t>. Ieder fonds heeft bovendien de verplichting een algemeen reglement te publiceren.</w:t>
      </w:r>
    </w:p>
    <w:sectPr w:rsidRPr="004F1889" w:rsidR="007E24B5">
      <w:headerReference w:type="default" r:id="rId6"/>
      <w:footerReference w:type="default" r:id="rId7"/>
      <w:pgSz w:w="11906" w:h="16838"/>
      <w:pgMar w:top="1134" w:right="1134" w:bottom="1134" w:left="1134" w:header="709" w:footer="850"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018B">
      <w:pPr>
        <w:spacing w:before="0" w:after="0"/>
      </w:pPr>
      <w:r>
        <w:separator/>
      </w:r>
    </w:p>
  </w:endnote>
  <w:endnote w:type="continuationSeparator" w:id="0">
    <w:p w:rsidR="00000000" w:rsidRDefault="009901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4B5" w:rsidRDefault="007E24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018B">
      <w:pPr>
        <w:spacing w:before="0" w:after="0"/>
      </w:pPr>
      <w:r>
        <w:separator/>
      </w:r>
    </w:p>
  </w:footnote>
  <w:footnote w:type="continuationSeparator" w:id="0">
    <w:p w:rsidR="00000000" w:rsidRDefault="0099018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4B5" w:rsidRDefault="007E24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B5"/>
    <w:rsid w:val="00405171"/>
    <w:rsid w:val="004F1889"/>
    <w:rsid w:val="007E24B5"/>
    <w:rsid w:val="009901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FB901-A48F-4770-9084-68520117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Helvetica" w:hAnsi="Helvetica" w:cs="Arial Unicode MS"/>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pPr>
      <w:spacing w:before="0" w:after="0"/>
    </w:pPr>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87291">
      <w:bodyDiv w:val="1"/>
      <w:marLeft w:val="0"/>
      <w:marRight w:val="0"/>
      <w:marTop w:val="0"/>
      <w:marBottom w:val="0"/>
      <w:divBdr>
        <w:top w:val="none" w:sz="0" w:space="0" w:color="auto"/>
        <w:left w:val="none" w:sz="0" w:space="0" w:color="auto"/>
        <w:bottom w:val="none" w:sz="0" w:space="0" w:color="auto"/>
        <w:right w:val="none" w:sz="0" w:space="0" w:color="auto"/>
      </w:divBdr>
      <w:divsChild>
        <w:div w:id="893198971">
          <w:marLeft w:val="0"/>
          <w:marRight w:val="0"/>
          <w:marTop w:val="0"/>
          <w:marBottom w:val="0"/>
          <w:divBdr>
            <w:top w:val="none" w:sz="0" w:space="0" w:color="auto"/>
            <w:left w:val="none" w:sz="0" w:space="0" w:color="auto"/>
            <w:bottom w:val="none" w:sz="0" w:space="0" w:color="auto"/>
            <w:right w:val="none" w:sz="0" w:space="0" w:color="auto"/>
          </w:divBdr>
        </w:div>
        <w:div w:id="1464810822">
          <w:marLeft w:val="0"/>
          <w:marRight w:val="0"/>
          <w:marTop w:val="0"/>
          <w:marBottom w:val="0"/>
          <w:divBdr>
            <w:top w:val="none" w:sz="0" w:space="0" w:color="auto"/>
            <w:left w:val="none" w:sz="0" w:space="0" w:color="auto"/>
            <w:bottom w:val="none" w:sz="0" w:space="0" w:color="auto"/>
            <w:right w:val="none" w:sz="0" w:space="0" w:color="auto"/>
          </w:divBdr>
        </w:div>
        <w:div w:id="902833977">
          <w:marLeft w:val="0"/>
          <w:marRight w:val="0"/>
          <w:marTop w:val="0"/>
          <w:marBottom w:val="0"/>
          <w:divBdr>
            <w:top w:val="none" w:sz="0" w:space="0" w:color="auto"/>
            <w:left w:val="none" w:sz="0" w:space="0" w:color="auto"/>
            <w:bottom w:val="none" w:sz="0" w:space="0" w:color="auto"/>
            <w:right w:val="none" w:sz="0" w:space="0" w:color="auto"/>
          </w:divBdr>
        </w:div>
        <w:div w:id="945425116">
          <w:marLeft w:val="0"/>
          <w:marRight w:val="0"/>
          <w:marTop w:val="0"/>
          <w:marBottom w:val="0"/>
          <w:divBdr>
            <w:top w:val="none" w:sz="0" w:space="0" w:color="auto"/>
            <w:left w:val="none" w:sz="0" w:space="0" w:color="auto"/>
            <w:bottom w:val="none" w:sz="0" w:space="0" w:color="auto"/>
            <w:right w:val="none" w:sz="0" w:space="0" w:color="auto"/>
          </w:divBdr>
        </w:div>
        <w:div w:id="751439904">
          <w:marLeft w:val="0"/>
          <w:marRight w:val="0"/>
          <w:marTop w:val="0"/>
          <w:marBottom w:val="0"/>
          <w:divBdr>
            <w:top w:val="none" w:sz="0" w:space="0" w:color="auto"/>
            <w:left w:val="none" w:sz="0" w:space="0" w:color="auto"/>
            <w:bottom w:val="none" w:sz="0" w:space="0" w:color="auto"/>
            <w:right w:val="none" w:sz="0" w:space="0" w:color="auto"/>
          </w:divBdr>
        </w:div>
        <w:div w:id="513422745">
          <w:marLeft w:val="0"/>
          <w:marRight w:val="0"/>
          <w:marTop w:val="0"/>
          <w:marBottom w:val="0"/>
          <w:divBdr>
            <w:top w:val="none" w:sz="0" w:space="0" w:color="auto"/>
            <w:left w:val="none" w:sz="0" w:space="0" w:color="auto"/>
            <w:bottom w:val="none" w:sz="0" w:space="0" w:color="auto"/>
            <w:right w:val="none" w:sz="0" w:space="0" w:color="auto"/>
          </w:divBdr>
        </w:div>
        <w:div w:id="1447845543">
          <w:marLeft w:val="0"/>
          <w:marRight w:val="0"/>
          <w:marTop w:val="0"/>
          <w:marBottom w:val="0"/>
          <w:divBdr>
            <w:top w:val="none" w:sz="0" w:space="0" w:color="auto"/>
            <w:left w:val="none" w:sz="0" w:space="0" w:color="auto"/>
            <w:bottom w:val="none" w:sz="0" w:space="0" w:color="auto"/>
            <w:right w:val="none" w:sz="0" w:space="0" w:color="auto"/>
          </w:divBdr>
        </w:div>
        <w:div w:id="1223634588">
          <w:marLeft w:val="0"/>
          <w:marRight w:val="0"/>
          <w:marTop w:val="0"/>
          <w:marBottom w:val="0"/>
          <w:divBdr>
            <w:top w:val="none" w:sz="0" w:space="0" w:color="auto"/>
            <w:left w:val="none" w:sz="0" w:space="0" w:color="auto"/>
            <w:bottom w:val="none" w:sz="0" w:space="0" w:color="auto"/>
            <w:right w:val="none" w:sz="0" w:space="0" w:color="auto"/>
          </w:divBdr>
        </w:div>
        <w:div w:id="834564203">
          <w:marLeft w:val="0"/>
          <w:marRight w:val="0"/>
          <w:marTop w:val="0"/>
          <w:marBottom w:val="0"/>
          <w:divBdr>
            <w:top w:val="none" w:sz="0" w:space="0" w:color="auto"/>
            <w:left w:val="none" w:sz="0" w:space="0" w:color="auto"/>
            <w:bottom w:val="none" w:sz="0" w:space="0" w:color="auto"/>
            <w:right w:val="none" w:sz="0" w:space="0" w:color="auto"/>
          </w:divBdr>
        </w:div>
        <w:div w:id="1676614102">
          <w:marLeft w:val="0"/>
          <w:marRight w:val="0"/>
          <w:marTop w:val="0"/>
          <w:marBottom w:val="0"/>
          <w:divBdr>
            <w:top w:val="none" w:sz="0" w:space="0" w:color="auto"/>
            <w:left w:val="none" w:sz="0" w:space="0" w:color="auto"/>
            <w:bottom w:val="none" w:sz="0" w:space="0" w:color="auto"/>
            <w:right w:val="none" w:sz="0" w:space="0" w:color="auto"/>
          </w:divBdr>
        </w:div>
        <w:div w:id="1206983151">
          <w:marLeft w:val="0"/>
          <w:marRight w:val="0"/>
          <w:marTop w:val="0"/>
          <w:marBottom w:val="0"/>
          <w:divBdr>
            <w:top w:val="none" w:sz="0" w:space="0" w:color="auto"/>
            <w:left w:val="none" w:sz="0" w:space="0" w:color="auto"/>
            <w:bottom w:val="none" w:sz="0" w:space="0" w:color="auto"/>
            <w:right w:val="none" w:sz="0" w:space="0" w:color="auto"/>
          </w:divBdr>
        </w:div>
        <w:div w:id="1850950075">
          <w:marLeft w:val="0"/>
          <w:marRight w:val="0"/>
          <w:marTop w:val="0"/>
          <w:marBottom w:val="0"/>
          <w:divBdr>
            <w:top w:val="none" w:sz="0" w:space="0" w:color="auto"/>
            <w:left w:val="none" w:sz="0" w:space="0" w:color="auto"/>
            <w:bottom w:val="none" w:sz="0" w:space="0" w:color="auto"/>
            <w:right w:val="none" w:sz="0" w:space="0" w:color="auto"/>
          </w:divBdr>
        </w:div>
        <w:div w:id="934704692">
          <w:marLeft w:val="0"/>
          <w:marRight w:val="0"/>
          <w:marTop w:val="0"/>
          <w:marBottom w:val="0"/>
          <w:divBdr>
            <w:top w:val="none" w:sz="0" w:space="0" w:color="auto"/>
            <w:left w:val="none" w:sz="0" w:space="0" w:color="auto"/>
            <w:bottom w:val="none" w:sz="0" w:space="0" w:color="auto"/>
            <w:right w:val="none" w:sz="0" w:space="0" w:color="auto"/>
          </w:divBdr>
        </w:div>
        <w:div w:id="1390836615">
          <w:marLeft w:val="0"/>
          <w:marRight w:val="0"/>
          <w:marTop w:val="0"/>
          <w:marBottom w:val="0"/>
          <w:divBdr>
            <w:top w:val="none" w:sz="0" w:space="0" w:color="auto"/>
            <w:left w:val="none" w:sz="0" w:space="0" w:color="auto"/>
            <w:bottom w:val="none" w:sz="0" w:space="0" w:color="auto"/>
            <w:right w:val="none" w:sz="0" w:space="0" w:color="auto"/>
          </w:divBdr>
        </w:div>
        <w:div w:id="172885581">
          <w:marLeft w:val="0"/>
          <w:marRight w:val="0"/>
          <w:marTop w:val="0"/>
          <w:marBottom w:val="0"/>
          <w:divBdr>
            <w:top w:val="none" w:sz="0" w:space="0" w:color="auto"/>
            <w:left w:val="none" w:sz="0" w:space="0" w:color="auto"/>
            <w:bottom w:val="none" w:sz="0" w:space="0" w:color="auto"/>
            <w:right w:val="none" w:sz="0" w:space="0" w:color="auto"/>
          </w:divBdr>
        </w:div>
        <w:div w:id="1321544846">
          <w:marLeft w:val="0"/>
          <w:marRight w:val="0"/>
          <w:marTop w:val="0"/>
          <w:marBottom w:val="0"/>
          <w:divBdr>
            <w:top w:val="none" w:sz="0" w:space="0" w:color="auto"/>
            <w:left w:val="none" w:sz="0" w:space="0" w:color="auto"/>
            <w:bottom w:val="none" w:sz="0" w:space="0" w:color="auto"/>
            <w:right w:val="none" w:sz="0" w:space="0" w:color="auto"/>
          </w:divBdr>
        </w:div>
        <w:div w:id="1214537433">
          <w:marLeft w:val="0"/>
          <w:marRight w:val="0"/>
          <w:marTop w:val="0"/>
          <w:marBottom w:val="0"/>
          <w:divBdr>
            <w:top w:val="none" w:sz="0" w:space="0" w:color="auto"/>
            <w:left w:val="none" w:sz="0" w:space="0" w:color="auto"/>
            <w:bottom w:val="none" w:sz="0" w:space="0" w:color="auto"/>
            <w:right w:val="none" w:sz="0" w:space="0" w:color="auto"/>
          </w:divBdr>
        </w:div>
        <w:div w:id="1246650133">
          <w:marLeft w:val="0"/>
          <w:marRight w:val="0"/>
          <w:marTop w:val="0"/>
          <w:marBottom w:val="0"/>
          <w:divBdr>
            <w:top w:val="none" w:sz="0" w:space="0" w:color="auto"/>
            <w:left w:val="none" w:sz="0" w:space="0" w:color="auto"/>
            <w:bottom w:val="none" w:sz="0" w:space="0" w:color="auto"/>
            <w:right w:val="none" w:sz="0" w:space="0" w:color="auto"/>
          </w:divBdr>
        </w:div>
        <w:div w:id="1570000543">
          <w:marLeft w:val="0"/>
          <w:marRight w:val="0"/>
          <w:marTop w:val="0"/>
          <w:marBottom w:val="0"/>
          <w:divBdr>
            <w:top w:val="none" w:sz="0" w:space="0" w:color="auto"/>
            <w:left w:val="none" w:sz="0" w:space="0" w:color="auto"/>
            <w:bottom w:val="none" w:sz="0" w:space="0" w:color="auto"/>
            <w:right w:val="none" w:sz="0" w:space="0" w:color="auto"/>
          </w:divBdr>
        </w:div>
        <w:div w:id="14139668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4</ap:Pages>
  <ap:Words>1979</ap:Words>
  <ap:Characters>10889</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2016-11-06T13:00:00.0000000Z</dcterms:created>
  <dcterms:modified xsi:type="dcterms:W3CDTF">2016-11-06T13:00:00.0000000Z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0x010100ABA4291325372344AB2D7ADC55AC987F</vt:lpwstr>
  </property>
</Properties>
</file>