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A0B" w:rsidP="00576674" w:rsidRDefault="00854ED8">
      <w:pPr>
        <w:rPr>
          <w:rFonts w:asciiTheme="minorHAnsi" w:hAnsiTheme="minorHAnsi"/>
          <w:b/>
          <w:sz w:val="22"/>
          <w:szCs w:val="22"/>
        </w:rPr>
      </w:pPr>
      <w:bookmarkStart w:name="_GoBack" w:id="0"/>
      <w:bookmarkEnd w:id="0"/>
      <w:r w:rsidRPr="00854ED8">
        <w:rPr>
          <w:rFonts w:asciiTheme="minorHAnsi" w:hAnsiTheme="minorHAnsi"/>
          <w:b/>
          <w:sz w:val="22"/>
          <w:szCs w:val="22"/>
        </w:rPr>
        <w:t>Lijst met EU-voorstellen op het terrein van de commissie I&amp;M</w:t>
      </w:r>
    </w:p>
    <w:p w:rsidRPr="00854ED8" w:rsidR="00854ED8" w:rsidP="00576674" w:rsidRDefault="00854ED8">
      <w:pPr>
        <w:rPr>
          <w:rFonts w:asciiTheme="minorHAnsi" w:hAnsiTheme="minorHAnsi"/>
          <w:b/>
          <w:sz w:val="22"/>
          <w:szCs w:val="22"/>
        </w:rPr>
      </w:pPr>
    </w:p>
    <w:p w:rsidRPr="00BF35EE" w:rsidR="00576674" w:rsidP="00576674" w:rsidRDefault="00576674">
      <w:pPr>
        <w:rPr>
          <w:rFonts w:asciiTheme="minorHAnsi" w:hAnsiTheme="minorHAnsi"/>
          <w:sz w:val="22"/>
          <w:szCs w:val="22"/>
          <w:u w:val="single"/>
        </w:rPr>
      </w:pPr>
      <w:r w:rsidRPr="00BF35EE">
        <w:rPr>
          <w:rFonts w:asciiTheme="minorHAnsi" w:hAnsiTheme="minorHAnsi"/>
          <w:sz w:val="22"/>
          <w:szCs w:val="22"/>
          <w:u w:val="single"/>
        </w:rPr>
        <w:t xml:space="preserve">Integraal overzicht met nieuw gepubliceerde EU-voorstellen </w:t>
      </w:r>
      <w:r w:rsidR="003C35BA">
        <w:rPr>
          <w:rFonts w:asciiTheme="minorHAnsi" w:hAnsiTheme="minorHAnsi"/>
          <w:sz w:val="22"/>
          <w:szCs w:val="22"/>
          <w:u w:val="single"/>
        </w:rPr>
        <w:t xml:space="preserve">week </w:t>
      </w:r>
      <w:r w:rsidR="0033576F">
        <w:rPr>
          <w:rFonts w:asciiTheme="minorHAnsi" w:hAnsiTheme="minorHAnsi"/>
          <w:sz w:val="22"/>
          <w:szCs w:val="22"/>
          <w:u w:val="single"/>
        </w:rPr>
        <w:t>42</w:t>
      </w:r>
      <w:r w:rsidR="00432A23">
        <w:rPr>
          <w:rFonts w:asciiTheme="minorHAnsi" w:hAnsiTheme="minorHAnsi"/>
          <w:sz w:val="22"/>
          <w:szCs w:val="22"/>
          <w:u w:val="single"/>
        </w:rPr>
        <w:t>-</w:t>
      </w:r>
      <w:r w:rsidRPr="00161645" w:rsidR="0033576F">
        <w:rPr>
          <w:rFonts w:asciiTheme="minorHAnsi" w:hAnsiTheme="minorHAnsi"/>
          <w:sz w:val="22"/>
          <w:szCs w:val="22"/>
          <w:u w:val="single"/>
        </w:rPr>
        <w:t>4</w:t>
      </w:r>
      <w:r w:rsidR="0033576F">
        <w:rPr>
          <w:rFonts w:asciiTheme="minorHAnsi" w:hAnsiTheme="minorHAnsi"/>
          <w:sz w:val="22"/>
          <w:szCs w:val="22"/>
          <w:u w:val="single"/>
        </w:rPr>
        <w:t>3</w:t>
      </w:r>
      <w:r w:rsidR="00A304B2">
        <w:rPr>
          <w:rFonts w:asciiTheme="minorHAnsi" w:hAnsiTheme="minorHAnsi"/>
          <w:sz w:val="22"/>
          <w:szCs w:val="22"/>
          <w:u w:val="single"/>
        </w:rPr>
        <w:t xml:space="preserve"> </w:t>
      </w:r>
      <w:r w:rsidR="00850AA1">
        <w:rPr>
          <w:rFonts w:asciiTheme="minorHAnsi" w:hAnsiTheme="minorHAnsi"/>
          <w:sz w:val="22"/>
          <w:szCs w:val="22"/>
          <w:u w:val="single"/>
        </w:rPr>
        <w:t>(</w:t>
      </w:r>
      <w:r w:rsidR="0033576F">
        <w:rPr>
          <w:rFonts w:asciiTheme="minorHAnsi" w:hAnsiTheme="minorHAnsi"/>
          <w:sz w:val="22"/>
          <w:szCs w:val="22"/>
          <w:u w:val="single"/>
        </w:rPr>
        <w:t>15 oktober</w:t>
      </w:r>
      <w:r w:rsidR="00DE7D71">
        <w:rPr>
          <w:rFonts w:asciiTheme="minorHAnsi" w:hAnsiTheme="minorHAnsi"/>
          <w:sz w:val="22"/>
          <w:szCs w:val="22"/>
          <w:u w:val="single"/>
        </w:rPr>
        <w:t xml:space="preserve"> </w:t>
      </w:r>
      <w:r w:rsidRPr="003C35BA">
        <w:rPr>
          <w:rFonts w:asciiTheme="minorHAnsi" w:hAnsiTheme="minorHAnsi"/>
          <w:sz w:val="22"/>
          <w:szCs w:val="22"/>
          <w:u w:val="single"/>
        </w:rPr>
        <w:t>201</w:t>
      </w:r>
      <w:r w:rsidR="00854ED8">
        <w:rPr>
          <w:rFonts w:asciiTheme="minorHAnsi" w:hAnsiTheme="minorHAnsi"/>
          <w:sz w:val="22"/>
          <w:szCs w:val="22"/>
          <w:u w:val="single"/>
        </w:rPr>
        <w:t>6</w:t>
      </w:r>
      <w:r w:rsidRPr="003C35BA">
        <w:rPr>
          <w:rFonts w:asciiTheme="minorHAnsi" w:hAnsiTheme="minorHAnsi"/>
          <w:sz w:val="22"/>
          <w:szCs w:val="22"/>
          <w:u w:val="single"/>
        </w:rPr>
        <w:t xml:space="preserve"> -</w:t>
      </w:r>
      <w:r w:rsidR="000A0676">
        <w:rPr>
          <w:rFonts w:asciiTheme="minorHAnsi" w:hAnsiTheme="minorHAnsi"/>
          <w:sz w:val="22"/>
          <w:szCs w:val="22"/>
          <w:u w:val="single"/>
        </w:rPr>
        <w:t xml:space="preserve"> </w:t>
      </w:r>
      <w:r w:rsidR="00161645">
        <w:rPr>
          <w:rFonts w:asciiTheme="minorHAnsi" w:hAnsiTheme="minorHAnsi"/>
          <w:sz w:val="22"/>
          <w:szCs w:val="22"/>
          <w:u w:val="single"/>
        </w:rPr>
        <w:t>28 oktober</w:t>
      </w:r>
      <w:r w:rsidR="00973D39">
        <w:rPr>
          <w:rFonts w:asciiTheme="minorHAnsi" w:hAnsiTheme="minorHAnsi"/>
          <w:sz w:val="22"/>
          <w:szCs w:val="22"/>
          <w:u w:val="single"/>
        </w:rPr>
        <w:t xml:space="preserve"> </w:t>
      </w:r>
      <w:r w:rsidRPr="003C35BA">
        <w:rPr>
          <w:rFonts w:asciiTheme="minorHAnsi" w:hAnsiTheme="minorHAnsi"/>
          <w:sz w:val="22"/>
          <w:szCs w:val="22"/>
          <w:u w:val="single"/>
        </w:rPr>
        <w:t>201</w:t>
      </w:r>
      <w:r w:rsidR="00854ED8">
        <w:rPr>
          <w:rFonts w:asciiTheme="minorHAnsi" w:hAnsiTheme="minorHAnsi"/>
          <w:sz w:val="22"/>
          <w:szCs w:val="22"/>
          <w:u w:val="single"/>
        </w:rPr>
        <w:t>6</w:t>
      </w:r>
      <w:r w:rsidRPr="00BF35EE">
        <w:rPr>
          <w:rFonts w:asciiTheme="minorHAnsi" w:hAnsiTheme="minorHAnsi"/>
          <w:sz w:val="22"/>
          <w:szCs w:val="22"/>
          <w:u w:val="single"/>
        </w:rPr>
        <w:t xml:space="preserve">) d.d. </w:t>
      </w:r>
      <w:r w:rsidR="0033576F">
        <w:rPr>
          <w:rFonts w:asciiTheme="minorHAnsi" w:hAnsiTheme="minorHAnsi"/>
          <w:sz w:val="22"/>
          <w:szCs w:val="22"/>
          <w:u w:val="single"/>
        </w:rPr>
        <w:t>3 november</w:t>
      </w:r>
      <w:r w:rsidR="009E4DB2">
        <w:rPr>
          <w:rFonts w:asciiTheme="minorHAnsi" w:hAnsiTheme="minorHAnsi"/>
          <w:sz w:val="22"/>
          <w:szCs w:val="22"/>
          <w:u w:val="single"/>
        </w:rPr>
        <w:t xml:space="preserve"> </w:t>
      </w:r>
      <w:r w:rsidR="00854ED8">
        <w:rPr>
          <w:rFonts w:asciiTheme="minorHAnsi" w:hAnsiTheme="minorHAnsi"/>
          <w:sz w:val="22"/>
          <w:szCs w:val="22"/>
          <w:u w:val="single"/>
        </w:rPr>
        <w:t>2016</w:t>
      </w:r>
      <w:r w:rsidR="003C35BA">
        <w:rPr>
          <w:rFonts w:asciiTheme="minorHAnsi" w:hAnsiTheme="minorHAnsi"/>
          <w:sz w:val="22"/>
          <w:szCs w:val="22"/>
          <w:u w:val="single"/>
        </w:rPr>
        <w:t xml:space="preserve"> </w:t>
      </w:r>
    </w:p>
    <w:p w:rsidRPr="00F67F5B" w:rsidR="00576674" w:rsidP="00576674" w:rsidRDefault="00576674">
      <w:pPr>
        <w:rPr>
          <w:rFonts w:asciiTheme="minorHAnsi" w:hAnsiTheme="minorHAnsi"/>
          <w:sz w:val="22"/>
          <w:szCs w:val="22"/>
        </w:rPr>
      </w:pPr>
    </w:p>
    <w:p w:rsidRPr="00F67F5B" w:rsidR="00576674" w:rsidP="00576674" w:rsidRDefault="00576674">
      <w:pPr>
        <w:rPr>
          <w:rFonts w:asciiTheme="minorHAnsi" w:hAnsiTheme="minorHAnsi"/>
          <w:sz w:val="22"/>
          <w:szCs w:val="22"/>
        </w:rPr>
      </w:pPr>
      <w:r w:rsidRPr="00F67F5B">
        <w:rPr>
          <w:rFonts w:asciiTheme="minorHAnsi" w:hAnsiTheme="minorHAnsi"/>
          <w:color w:val="000000"/>
          <w:sz w:val="22"/>
          <w:szCs w:val="22"/>
        </w:rPr>
        <w:t>Rood gemarkeerd</w:t>
      </w:r>
      <w:r w:rsidRPr="00F67F5B">
        <w:rPr>
          <w:rFonts w:asciiTheme="minorHAnsi" w:hAnsiTheme="minorHAnsi"/>
          <w:sz w:val="22"/>
          <w:szCs w:val="22"/>
        </w:rPr>
        <w:t xml:space="preserve"> betekent dat het desbetreffende EU-voorstel een apart behandeltraject doorloopt. De bijzonderheden worden in dat geval in het veld “Opmerking” vermeld.</w:t>
      </w:r>
    </w:p>
    <w:p w:rsidRPr="00F67F5B" w:rsidR="00576674" w:rsidP="00576674" w:rsidRDefault="00576674">
      <w:pPr>
        <w:rPr>
          <w:rFonts w:asciiTheme="minorHAnsi" w:hAnsiTheme="minorHAnsi"/>
          <w:sz w:val="22"/>
          <w:szCs w:val="22"/>
        </w:rPr>
      </w:pPr>
    </w:p>
    <w:tbl>
      <w:tblPr>
        <w:tblW w:w="14655"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980"/>
        <w:gridCol w:w="1203"/>
        <w:gridCol w:w="1254"/>
        <w:gridCol w:w="4890"/>
        <w:gridCol w:w="720"/>
        <w:gridCol w:w="1033"/>
        <w:gridCol w:w="4575"/>
      </w:tblGrid>
      <w:tr w:rsidRPr="00F67F5B" w:rsidR="00576674" w:rsidTr="00651515">
        <w:trPr>
          <w:trHeight w:val="1550"/>
        </w:trPr>
        <w:tc>
          <w:tcPr>
            <w:tcW w:w="980" w:type="dxa"/>
            <w:shd w:val="clear" w:color="auto" w:fill="auto"/>
            <w:textDirection w:val="btLr"/>
            <w:vAlign w:val="bottom"/>
            <w:hideMark/>
          </w:tcPr>
          <w:p w:rsidRPr="00F50A0B" w:rsidR="00454C0B" w:rsidP="00651515" w:rsidRDefault="00454C0B">
            <w:pPr>
              <w:jc w:val="center"/>
              <w:rPr>
                <w:rFonts w:asciiTheme="minorHAnsi" w:hAnsiTheme="minorHAnsi"/>
                <w:b/>
                <w:bCs/>
                <w:color w:val="000000"/>
                <w:sz w:val="22"/>
                <w:szCs w:val="22"/>
              </w:rPr>
            </w:pPr>
            <w:r w:rsidRPr="00F50A0B">
              <w:rPr>
                <w:rFonts w:asciiTheme="minorHAnsi" w:hAnsiTheme="minorHAnsi"/>
                <w:b/>
                <w:bCs/>
                <w:color w:val="000000"/>
                <w:sz w:val="22"/>
                <w:szCs w:val="22"/>
              </w:rPr>
              <w:t>Publicatie-</w:t>
            </w:r>
          </w:p>
          <w:p w:rsidRPr="00F67F5B" w:rsidR="00576674" w:rsidP="00651515" w:rsidRDefault="00576674">
            <w:pPr>
              <w:jc w:val="center"/>
              <w:rPr>
                <w:rFonts w:asciiTheme="minorHAnsi" w:hAnsiTheme="minorHAnsi"/>
                <w:b/>
                <w:bCs/>
                <w:color w:val="000000"/>
                <w:sz w:val="22"/>
                <w:szCs w:val="22"/>
              </w:rPr>
            </w:pPr>
            <w:r w:rsidRPr="00F50A0B">
              <w:rPr>
                <w:rFonts w:asciiTheme="minorHAnsi" w:hAnsiTheme="minorHAnsi"/>
                <w:b/>
                <w:bCs/>
                <w:color w:val="000000"/>
                <w:sz w:val="22"/>
                <w:szCs w:val="22"/>
              </w:rPr>
              <w:t>datum</w:t>
            </w:r>
          </w:p>
        </w:tc>
        <w:tc>
          <w:tcPr>
            <w:tcW w:w="1203" w:type="dxa"/>
            <w:shd w:val="clear" w:color="auto" w:fill="auto"/>
            <w:textDirection w:val="btLr"/>
            <w:vAlign w:val="bottom"/>
            <w:hideMark/>
          </w:tcPr>
          <w:p w:rsidRPr="00F67F5B" w:rsidR="00576674" w:rsidP="00E512BF"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Voortouw</w:t>
            </w:r>
          </w:p>
        </w:tc>
        <w:tc>
          <w:tcPr>
            <w:tcW w:w="1254" w:type="dxa"/>
            <w:shd w:val="clear" w:color="auto" w:fill="auto"/>
            <w:textDirection w:val="btLr"/>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Soort</w:t>
            </w:r>
          </w:p>
        </w:tc>
        <w:tc>
          <w:tcPr>
            <w:tcW w:w="4890" w:type="dxa"/>
            <w:shd w:val="clear" w:color="auto" w:fill="auto"/>
            <w:textDirection w:val="btLr"/>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Titel</w:t>
            </w:r>
          </w:p>
        </w:tc>
        <w:tc>
          <w:tcPr>
            <w:tcW w:w="720" w:type="dxa"/>
            <w:shd w:val="clear" w:color="auto" w:fill="auto"/>
            <w:textDirection w:val="btLr"/>
            <w:vAlign w:val="bottom"/>
            <w:hideMark/>
          </w:tcPr>
          <w:p w:rsidRPr="00F67F5B" w:rsidR="00576674" w:rsidP="00827F2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C</w:t>
            </w:r>
            <w:r w:rsidR="00827F25">
              <w:rPr>
                <w:rFonts w:asciiTheme="minorHAnsi" w:hAnsiTheme="minorHAnsi"/>
                <w:b/>
                <w:bCs/>
                <w:color w:val="000000"/>
                <w:sz w:val="22"/>
                <w:szCs w:val="22"/>
              </w:rPr>
              <w:t>OM</w:t>
            </w:r>
            <w:r w:rsidRPr="00F67F5B">
              <w:rPr>
                <w:rFonts w:asciiTheme="minorHAnsi" w:hAnsiTheme="minorHAnsi"/>
                <w:b/>
                <w:bCs/>
                <w:color w:val="000000"/>
                <w:sz w:val="22"/>
                <w:szCs w:val="22"/>
              </w:rPr>
              <w:t>-nummer</w:t>
            </w:r>
          </w:p>
        </w:tc>
        <w:tc>
          <w:tcPr>
            <w:tcW w:w="1033" w:type="dxa"/>
            <w:textDirection w:val="btLr"/>
          </w:tcPr>
          <w:p w:rsidR="00454C0B" w:rsidP="00651515" w:rsidRDefault="00454C0B">
            <w:pPr>
              <w:jc w:val="center"/>
              <w:rPr>
                <w:rFonts w:asciiTheme="minorHAnsi" w:hAnsiTheme="minorHAnsi"/>
                <w:b/>
                <w:bCs/>
                <w:color w:val="000000"/>
                <w:sz w:val="22"/>
                <w:szCs w:val="22"/>
              </w:rPr>
            </w:pPr>
          </w:p>
          <w:p w:rsidRPr="00F50A0B" w:rsidR="00576674" w:rsidP="00651515" w:rsidRDefault="00454C0B">
            <w:pPr>
              <w:jc w:val="center"/>
              <w:rPr>
                <w:rFonts w:asciiTheme="minorHAnsi" w:hAnsiTheme="minorHAnsi"/>
                <w:b/>
                <w:bCs/>
                <w:color w:val="000000"/>
                <w:sz w:val="22"/>
                <w:szCs w:val="22"/>
              </w:rPr>
            </w:pPr>
            <w:r w:rsidRPr="00F50A0B">
              <w:rPr>
                <w:rFonts w:asciiTheme="minorHAnsi" w:hAnsiTheme="minorHAnsi"/>
                <w:b/>
                <w:bCs/>
                <w:color w:val="000000"/>
                <w:sz w:val="22"/>
                <w:szCs w:val="22"/>
              </w:rPr>
              <w:t>Deadline</w:t>
            </w:r>
          </w:p>
          <w:p w:rsidRPr="00F67F5B" w:rsidR="00454C0B" w:rsidP="00454C0B" w:rsidRDefault="00454C0B">
            <w:pPr>
              <w:jc w:val="center"/>
              <w:rPr>
                <w:rFonts w:asciiTheme="minorHAnsi" w:hAnsiTheme="minorHAnsi"/>
                <w:b/>
                <w:bCs/>
                <w:color w:val="000000"/>
                <w:sz w:val="22"/>
                <w:szCs w:val="22"/>
              </w:rPr>
            </w:pPr>
            <w:r w:rsidRPr="00F50A0B">
              <w:rPr>
                <w:rFonts w:asciiTheme="minorHAnsi" w:hAnsiTheme="minorHAnsi"/>
                <w:b/>
                <w:bCs/>
                <w:color w:val="000000"/>
                <w:sz w:val="22"/>
                <w:szCs w:val="22"/>
              </w:rPr>
              <w:t>Sub.toets</w:t>
            </w:r>
          </w:p>
        </w:tc>
        <w:tc>
          <w:tcPr>
            <w:tcW w:w="4575" w:type="dxa"/>
            <w:shd w:val="clear" w:color="auto" w:fill="auto"/>
            <w:textDirection w:val="btLr"/>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Opmerking</w:t>
            </w:r>
          </w:p>
        </w:tc>
      </w:tr>
      <w:tr w:rsidRPr="00F67F5B" w:rsidR="00576674" w:rsidTr="00651515">
        <w:trPr>
          <w:trHeight w:val="300"/>
        </w:trPr>
        <w:tc>
          <w:tcPr>
            <w:tcW w:w="980" w:type="dxa"/>
            <w:tcBorders>
              <w:bottom w:val="single" w:color="auto" w:sz="4" w:space="0"/>
            </w:tcBorders>
            <w:shd w:val="clear" w:color="000000" w:fill="538DD5"/>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203" w:type="dxa"/>
            <w:tcBorders>
              <w:bottom w:val="single" w:color="auto" w:sz="4" w:space="0"/>
            </w:tcBorders>
            <w:shd w:val="clear" w:color="000000" w:fill="538DD5"/>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254" w:type="dxa"/>
            <w:tcBorders>
              <w:bottom w:val="single" w:color="auto" w:sz="4" w:space="0"/>
            </w:tcBorders>
            <w:shd w:val="clear" w:color="000000" w:fill="538DD5"/>
            <w:vAlign w:val="bottom"/>
            <w:hideMark/>
          </w:tcPr>
          <w:p w:rsidRPr="00F67F5B" w:rsidR="00576674" w:rsidP="00651515" w:rsidRDefault="00576674">
            <w:pP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4890" w:type="dxa"/>
            <w:tcBorders>
              <w:bottom w:val="single" w:color="auto" w:sz="4" w:space="0"/>
            </w:tcBorders>
            <w:shd w:val="clear" w:color="000000" w:fill="538DD5"/>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720" w:type="dxa"/>
            <w:tcBorders>
              <w:bottom w:val="single" w:color="auto" w:sz="4" w:space="0"/>
            </w:tcBorders>
            <w:shd w:val="clear" w:color="000000" w:fill="538DD5"/>
            <w:vAlign w:val="bottom"/>
            <w:hideMark/>
          </w:tcPr>
          <w:p w:rsidRPr="00F67F5B" w:rsidR="00576674" w:rsidP="00651515" w:rsidRDefault="00576674">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033" w:type="dxa"/>
            <w:tcBorders>
              <w:bottom w:val="single" w:color="auto" w:sz="4" w:space="0"/>
            </w:tcBorders>
            <w:shd w:val="clear" w:color="000000" w:fill="538DD5"/>
          </w:tcPr>
          <w:p w:rsidRPr="00F67F5B" w:rsidR="00576674" w:rsidP="00651515" w:rsidRDefault="00576674">
            <w:pPr>
              <w:rPr>
                <w:rFonts w:asciiTheme="minorHAnsi" w:hAnsiTheme="minorHAnsi"/>
                <w:b/>
                <w:bCs/>
                <w:color w:val="000000"/>
                <w:sz w:val="22"/>
                <w:szCs w:val="22"/>
              </w:rPr>
            </w:pPr>
          </w:p>
        </w:tc>
        <w:tc>
          <w:tcPr>
            <w:tcW w:w="4575" w:type="dxa"/>
            <w:tcBorders>
              <w:bottom w:val="single" w:color="auto" w:sz="4" w:space="0"/>
            </w:tcBorders>
            <w:shd w:val="clear" w:color="000000" w:fill="538DD5"/>
            <w:hideMark/>
          </w:tcPr>
          <w:p w:rsidRPr="00F67F5B" w:rsidR="00576674" w:rsidP="00651515" w:rsidRDefault="00576674">
            <w:pPr>
              <w:rPr>
                <w:rFonts w:asciiTheme="minorHAnsi" w:hAnsiTheme="minorHAnsi"/>
                <w:b/>
                <w:bCs/>
                <w:color w:val="000000"/>
                <w:sz w:val="22"/>
                <w:szCs w:val="22"/>
              </w:rPr>
            </w:pPr>
            <w:r w:rsidRPr="00F67F5B">
              <w:rPr>
                <w:rFonts w:asciiTheme="minorHAnsi" w:hAnsiTheme="minorHAnsi"/>
                <w:b/>
                <w:bCs/>
                <w:color w:val="000000"/>
                <w:sz w:val="22"/>
                <w:szCs w:val="22"/>
              </w:rPr>
              <w:t> </w:t>
            </w:r>
          </w:p>
        </w:tc>
      </w:tr>
      <w:tr w:rsidRPr="00F67F5B" w:rsidR="00D34827" w:rsidTr="00850AA1">
        <w:trPr>
          <w:trHeight w:val="906"/>
        </w:trPr>
        <w:tc>
          <w:tcPr>
            <w:tcW w:w="980" w:type="dxa"/>
            <w:shd w:val="clear" w:color="auto" w:fill="auto"/>
            <w:noWrap/>
          </w:tcPr>
          <w:p w:rsidR="00D34827" w:rsidP="006D4F3B" w:rsidRDefault="0033576F">
            <w:pPr>
              <w:jc w:val="center"/>
              <w:rPr>
                <w:rFonts w:ascii="Calibri" w:hAnsi="Calibri"/>
                <w:color w:val="000000"/>
                <w:sz w:val="22"/>
                <w:szCs w:val="22"/>
              </w:rPr>
            </w:pPr>
            <w:r w:rsidRPr="0033576F">
              <w:rPr>
                <w:rFonts w:ascii="Calibri" w:hAnsi="Calibri"/>
                <w:color w:val="000000"/>
                <w:sz w:val="22"/>
                <w:szCs w:val="22"/>
              </w:rPr>
              <w:t>24-okt-16</w:t>
            </w:r>
          </w:p>
        </w:tc>
        <w:tc>
          <w:tcPr>
            <w:tcW w:w="1203" w:type="dxa"/>
            <w:shd w:val="clear" w:color="auto" w:fill="auto"/>
            <w:noWrap/>
          </w:tcPr>
          <w:p w:rsidR="00D34827" w:rsidP="00734AA8" w:rsidRDefault="00FC2426">
            <w:pPr>
              <w:jc w:val="center"/>
              <w:rPr>
                <w:rFonts w:ascii="Calibri" w:hAnsi="Calibri"/>
                <w:color w:val="000000"/>
                <w:sz w:val="22"/>
                <w:szCs w:val="22"/>
              </w:rPr>
            </w:pPr>
            <w:r>
              <w:rPr>
                <w:rFonts w:ascii="Calibri" w:hAnsi="Calibri"/>
                <w:color w:val="000000"/>
                <w:sz w:val="22"/>
                <w:szCs w:val="22"/>
              </w:rPr>
              <w:t>I&amp;M</w:t>
            </w:r>
          </w:p>
        </w:tc>
        <w:tc>
          <w:tcPr>
            <w:tcW w:w="1254" w:type="dxa"/>
            <w:shd w:val="clear" w:color="auto" w:fill="auto"/>
            <w:noWrap/>
          </w:tcPr>
          <w:p w:rsidR="00D34827" w:rsidP="0033576F" w:rsidRDefault="0033576F">
            <w:pPr>
              <w:rPr>
                <w:rFonts w:ascii="Calibri" w:hAnsi="Calibri"/>
                <w:color w:val="000000"/>
                <w:sz w:val="22"/>
                <w:szCs w:val="22"/>
              </w:rPr>
            </w:pPr>
            <w:r>
              <w:rPr>
                <w:rFonts w:ascii="Calibri" w:hAnsi="Calibri"/>
                <w:color w:val="000000"/>
                <w:sz w:val="22"/>
                <w:szCs w:val="22"/>
              </w:rPr>
              <w:t>Mededeling</w:t>
            </w:r>
          </w:p>
        </w:tc>
        <w:tc>
          <w:tcPr>
            <w:tcW w:w="4890" w:type="dxa"/>
            <w:shd w:val="clear" w:color="auto" w:fill="auto"/>
          </w:tcPr>
          <w:p w:rsidR="00D34827" w:rsidP="004F5D55" w:rsidRDefault="0033576F">
            <w:pPr>
              <w:rPr>
                <w:rFonts w:ascii="Calibri" w:hAnsi="Calibri"/>
                <w:color w:val="000000"/>
                <w:sz w:val="22"/>
                <w:szCs w:val="22"/>
              </w:rPr>
            </w:pPr>
            <w:r w:rsidRPr="0033576F">
              <w:rPr>
                <w:rFonts w:ascii="Calibri" w:hAnsi="Calibri"/>
                <w:color w:val="000000"/>
                <w:sz w:val="22"/>
                <w:szCs w:val="22"/>
              </w:rPr>
              <w:t>MEDEDELING VAN DE COMMISSIE AAN HET EUROPEES PARLEMENT overeenkomstig artikel 294, lid 6, van het Verdrag betreffende de werking van de Europese Unie over het standpunt van de Raad over de vaststelling van een verordening tot wijziging van Verordening (EG) nr. 1370/2007 met betrekking tot de openstelling van de markt voor het binnenlands passagiersvervoer per spoor</w:t>
            </w:r>
          </w:p>
        </w:tc>
        <w:tc>
          <w:tcPr>
            <w:tcW w:w="720" w:type="dxa"/>
            <w:shd w:val="clear" w:color="auto" w:fill="auto"/>
            <w:noWrap/>
          </w:tcPr>
          <w:p w:rsidR="00161645" w:rsidP="00161645" w:rsidRDefault="00125892">
            <w:pPr>
              <w:jc w:val="center"/>
              <w:rPr>
                <w:rFonts w:ascii="Calibri" w:hAnsi="Calibri"/>
                <w:color w:val="0000FF"/>
                <w:sz w:val="22"/>
                <w:szCs w:val="22"/>
                <w:u w:val="single"/>
              </w:rPr>
            </w:pPr>
            <w:hyperlink w:history="1" r:id="rId8">
              <w:r w:rsidR="00161645">
                <w:rPr>
                  <w:rStyle w:val="Hyperlink"/>
                  <w:rFonts w:ascii="Calibri" w:hAnsi="Calibri"/>
                  <w:sz w:val="22"/>
                  <w:szCs w:val="22"/>
                </w:rPr>
                <w:t>689</w:t>
              </w:r>
            </w:hyperlink>
          </w:p>
          <w:p w:rsidR="00D34827" w:rsidP="0033576F" w:rsidRDefault="00D34827">
            <w:pPr>
              <w:jc w:val="center"/>
              <w:rPr>
                <w:rFonts w:ascii="Calibri" w:hAnsi="Calibri"/>
                <w:color w:val="0000FF"/>
                <w:sz w:val="22"/>
                <w:szCs w:val="22"/>
                <w:u w:val="single"/>
              </w:rPr>
            </w:pPr>
          </w:p>
        </w:tc>
        <w:tc>
          <w:tcPr>
            <w:tcW w:w="1033" w:type="dxa"/>
            <w:shd w:val="clear" w:color="auto" w:fill="auto"/>
          </w:tcPr>
          <w:p w:rsidR="00D34827" w:rsidP="006D4F3B" w:rsidRDefault="00FC2426">
            <w:pPr>
              <w:rPr>
                <w:rFonts w:asciiTheme="minorHAnsi" w:hAnsiTheme="minorHAnsi"/>
                <w:color w:val="000000"/>
                <w:sz w:val="22"/>
                <w:szCs w:val="22"/>
              </w:rPr>
            </w:pPr>
            <w:r>
              <w:rPr>
                <w:rFonts w:asciiTheme="minorHAnsi" w:hAnsiTheme="minorHAnsi"/>
                <w:color w:val="000000"/>
                <w:sz w:val="22"/>
                <w:szCs w:val="22"/>
              </w:rPr>
              <w:t>n.v.t.</w:t>
            </w:r>
          </w:p>
        </w:tc>
        <w:tc>
          <w:tcPr>
            <w:tcW w:w="4575" w:type="dxa"/>
            <w:shd w:val="clear" w:color="auto" w:fill="auto"/>
          </w:tcPr>
          <w:p w:rsidR="00D34827" w:rsidP="00DE7D71" w:rsidRDefault="00FC2426">
            <w:pPr>
              <w:rPr>
                <w:rFonts w:asciiTheme="minorHAnsi" w:hAnsiTheme="minorHAnsi"/>
                <w:color w:val="000000"/>
                <w:sz w:val="22"/>
                <w:szCs w:val="22"/>
              </w:rPr>
            </w:pPr>
            <w:r w:rsidRPr="000947B3">
              <w:rPr>
                <w:rFonts w:asciiTheme="minorHAnsi" w:hAnsiTheme="minorHAnsi"/>
                <w:color w:val="000000"/>
                <w:sz w:val="22"/>
                <w:szCs w:val="22"/>
                <w:u w:val="single"/>
              </w:rPr>
              <w:t>Behandelvoorstel</w:t>
            </w:r>
            <w:r>
              <w:rPr>
                <w:rFonts w:asciiTheme="minorHAnsi" w:hAnsiTheme="minorHAnsi"/>
                <w:color w:val="000000"/>
                <w:sz w:val="22"/>
                <w:szCs w:val="22"/>
              </w:rPr>
              <w:t xml:space="preserve">: </w:t>
            </w:r>
            <w:r w:rsidRPr="00396C76">
              <w:rPr>
                <w:rFonts w:asciiTheme="minorHAnsi" w:hAnsiTheme="minorHAnsi"/>
                <w:color w:val="000000"/>
                <w:sz w:val="22"/>
                <w:szCs w:val="22"/>
              </w:rPr>
              <w:t>Ter informatie.</w:t>
            </w:r>
          </w:p>
          <w:p w:rsidR="00FC2426" w:rsidP="00DE7D71" w:rsidRDefault="00FC2426">
            <w:pPr>
              <w:rPr>
                <w:rFonts w:asciiTheme="minorHAnsi" w:hAnsiTheme="minorHAnsi"/>
                <w:color w:val="000000"/>
                <w:sz w:val="22"/>
                <w:szCs w:val="22"/>
              </w:rPr>
            </w:pPr>
          </w:p>
          <w:p w:rsidRPr="000947B3" w:rsidR="00FC2426" w:rsidP="00DE7D71" w:rsidRDefault="00FC2426">
            <w:pPr>
              <w:rPr>
                <w:rFonts w:asciiTheme="minorHAnsi" w:hAnsiTheme="minorHAnsi"/>
                <w:color w:val="000000"/>
                <w:sz w:val="22"/>
                <w:szCs w:val="22"/>
                <w:u w:val="single"/>
              </w:rPr>
            </w:pPr>
          </w:p>
        </w:tc>
      </w:tr>
      <w:tr w:rsidRPr="00F67F5B" w:rsidR="0033576F" w:rsidTr="00850AA1">
        <w:trPr>
          <w:trHeight w:val="906"/>
        </w:trPr>
        <w:tc>
          <w:tcPr>
            <w:tcW w:w="980" w:type="dxa"/>
            <w:shd w:val="clear" w:color="auto" w:fill="auto"/>
            <w:noWrap/>
          </w:tcPr>
          <w:p w:rsidRPr="0033576F" w:rsidR="0033576F" w:rsidP="006D4F3B" w:rsidRDefault="0033576F">
            <w:pPr>
              <w:jc w:val="center"/>
              <w:rPr>
                <w:rFonts w:ascii="Calibri" w:hAnsi="Calibri"/>
                <w:color w:val="000000"/>
                <w:sz w:val="22"/>
                <w:szCs w:val="22"/>
              </w:rPr>
            </w:pPr>
            <w:r w:rsidRPr="0033576F">
              <w:rPr>
                <w:rFonts w:ascii="Calibri" w:hAnsi="Calibri"/>
                <w:color w:val="000000"/>
                <w:sz w:val="22"/>
                <w:szCs w:val="22"/>
              </w:rPr>
              <w:t>24-okt-16</w:t>
            </w:r>
          </w:p>
        </w:tc>
        <w:tc>
          <w:tcPr>
            <w:tcW w:w="1203" w:type="dxa"/>
            <w:shd w:val="clear" w:color="auto" w:fill="auto"/>
            <w:noWrap/>
          </w:tcPr>
          <w:p w:rsidR="0033576F" w:rsidP="00734AA8" w:rsidRDefault="0033576F">
            <w:pPr>
              <w:jc w:val="center"/>
              <w:rPr>
                <w:rFonts w:ascii="Calibri" w:hAnsi="Calibri"/>
                <w:color w:val="000000"/>
                <w:sz w:val="22"/>
                <w:szCs w:val="22"/>
              </w:rPr>
            </w:pPr>
            <w:r>
              <w:rPr>
                <w:rFonts w:ascii="Calibri" w:hAnsi="Calibri"/>
                <w:color w:val="000000"/>
                <w:sz w:val="22"/>
                <w:szCs w:val="22"/>
              </w:rPr>
              <w:t>I&amp;M</w:t>
            </w:r>
          </w:p>
        </w:tc>
        <w:tc>
          <w:tcPr>
            <w:tcW w:w="1254" w:type="dxa"/>
            <w:shd w:val="clear" w:color="auto" w:fill="auto"/>
            <w:noWrap/>
          </w:tcPr>
          <w:p w:rsidR="0033576F" w:rsidP="0033576F" w:rsidRDefault="0033576F">
            <w:pPr>
              <w:rPr>
                <w:rFonts w:ascii="Calibri" w:hAnsi="Calibri"/>
                <w:color w:val="000000"/>
                <w:sz w:val="22"/>
                <w:szCs w:val="22"/>
              </w:rPr>
            </w:pPr>
            <w:r>
              <w:rPr>
                <w:rFonts w:ascii="Calibri" w:hAnsi="Calibri"/>
                <w:color w:val="000000"/>
                <w:sz w:val="22"/>
                <w:szCs w:val="22"/>
              </w:rPr>
              <w:t>Mededeling</w:t>
            </w:r>
          </w:p>
        </w:tc>
        <w:tc>
          <w:tcPr>
            <w:tcW w:w="4890" w:type="dxa"/>
            <w:shd w:val="clear" w:color="auto" w:fill="auto"/>
          </w:tcPr>
          <w:p w:rsidRPr="0033576F" w:rsidR="0033576F" w:rsidP="005A630F" w:rsidRDefault="0033576F">
            <w:pPr>
              <w:rPr>
                <w:rFonts w:ascii="Calibri" w:hAnsi="Calibri"/>
                <w:color w:val="000000"/>
                <w:sz w:val="22"/>
                <w:szCs w:val="22"/>
              </w:rPr>
            </w:pPr>
            <w:r>
              <w:rPr>
                <w:rFonts w:ascii="Calibri" w:hAnsi="Calibri"/>
                <w:color w:val="000000"/>
                <w:sz w:val="22"/>
                <w:szCs w:val="22"/>
              </w:rPr>
              <w:t>MEDEDELING VAN DE COMMISSIE AAN HET EUROPEES PARLEMENT overeenkomstig artikel 294, lid 6, van het Verdrag betreffende de werking van de Europese Unie over het standpunt van de Raad over de vaststelling van een verordening van het Europees Parlement en de Raad tot intrekking van Verordening (EEG) nr. 1192/69 van de Raad betreffende de gemeenschappelijke regels voor de normalisatie van de rekeningstelsels van de spoorwegondernemingen</w:t>
            </w:r>
          </w:p>
        </w:tc>
        <w:tc>
          <w:tcPr>
            <w:tcW w:w="720" w:type="dxa"/>
            <w:shd w:val="clear" w:color="auto" w:fill="auto"/>
            <w:noWrap/>
          </w:tcPr>
          <w:p w:rsidR="0033576F" w:rsidP="0033576F" w:rsidRDefault="00125892">
            <w:pPr>
              <w:jc w:val="center"/>
              <w:rPr>
                <w:rFonts w:ascii="Calibri" w:hAnsi="Calibri"/>
                <w:color w:val="0000FF"/>
                <w:sz w:val="22"/>
                <w:szCs w:val="22"/>
                <w:u w:val="single"/>
              </w:rPr>
            </w:pPr>
            <w:hyperlink w:history="1" r:id="rId9">
              <w:r w:rsidR="0033576F">
                <w:rPr>
                  <w:rStyle w:val="Hyperlink"/>
                  <w:rFonts w:ascii="Calibri" w:hAnsi="Calibri"/>
                  <w:sz w:val="22"/>
                  <w:szCs w:val="22"/>
                </w:rPr>
                <w:t>688</w:t>
              </w:r>
            </w:hyperlink>
          </w:p>
          <w:p w:rsidRPr="0033576F" w:rsidR="0033576F" w:rsidP="0033576F" w:rsidRDefault="0033576F">
            <w:pPr>
              <w:jc w:val="center"/>
              <w:rPr>
                <w:rFonts w:ascii="Calibri" w:hAnsi="Calibri"/>
                <w:color w:val="0000FF"/>
                <w:sz w:val="22"/>
                <w:szCs w:val="22"/>
                <w:highlight w:val="yellow"/>
                <w:u w:val="single"/>
              </w:rPr>
            </w:pPr>
          </w:p>
        </w:tc>
        <w:tc>
          <w:tcPr>
            <w:tcW w:w="1033" w:type="dxa"/>
            <w:shd w:val="clear" w:color="auto" w:fill="auto"/>
          </w:tcPr>
          <w:p w:rsidR="0033576F" w:rsidP="006D4F3B" w:rsidRDefault="00396C76">
            <w:pPr>
              <w:rPr>
                <w:rFonts w:asciiTheme="minorHAnsi" w:hAnsiTheme="minorHAnsi"/>
                <w:color w:val="000000"/>
                <w:sz w:val="22"/>
                <w:szCs w:val="22"/>
              </w:rPr>
            </w:pPr>
            <w:r>
              <w:rPr>
                <w:rFonts w:asciiTheme="minorHAnsi" w:hAnsiTheme="minorHAnsi"/>
                <w:color w:val="000000"/>
                <w:sz w:val="22"/>
                <w:szCs w:val="22"/>
              </w:rPr>
              <w:t>n.v.t.</w:t>
            </w:r>
          </w:p>
        </w:tc>
        <w:tc>
          <w:tcPr>
            <w:tcW w:w="4575" w:type="dxa"/>
            <w:shd w:val="clear" w:color="auto" w:fill="auto"/>
          </w:tcPr>
          <w:p w:rsidRPr="000947B3" w:rsidR="0033576F" w:rsidP="00DE7D71" w:rsidRDefault="00161645">
            <w:pPr>
              <w:rPr>
                <w:rFonts w:asciiTheme="minorHAnsi" w:hAnsiTheme="minorHAnsi"/>
                <w:color w:val="000000"/>
                <w:sz w:val="22"/>
                <w:szCs w:val="22"/>
                <w:u w:val="single"/>
              </w:rPr>
            </w:pPr>
            <w:r w:rsidRPr="000947B3">
              <w:rPr>
                <w:rFonts w:asciiTheme="minorHAnsi" w:hAnsiTheme="minorHAnsi"/>
                <w:color w:val="000000"/>
                <w:sz w:val="22"/>
                <w:szCs w:val="22"/>
                <w:u w:val="single"/>
              </w:rPr>
              <w:t>Behandelvoorstel</w:t>
            </w:r>
            <w:r>
              <w:rPr>
                <w:rFonts w:asciiTheme="minorHAnsi" w:hAnsiTheme="minorHAnsi"/>
                <w:color w:val="000000"/>
                <w:sz w:val="22"/>
                <w:szCs w:val="22"/>
              </w:rPr>
              <w:t>:</w:t>
            </w:r>
            <w:r w:rsidR="00396C76">
              <w:rPr>
                <w:rFonts w:asciiTheme="minorHAnsi" w:hAnsiTheme="minorHAnsi"/>
                <w:color w:val="000000"/>
                <w:sz w:val="22"/>
                <w:szCs w:val="22"/>
              </w:rPr>
              <w:t xml:space="preserve"> </w:t>
            </w:r>
            <w:r w:rsidRPr="00396C76" w:rsidR="00396C76">
              <w:rPr>
                <w:rFonts w:asciiTheme="minorHAnsi" w:hAnsiTheme="minorHAnsi"/>
                <w:color w:val="000000"/>
                <w:sz w:val="22"/>
                <w:szCs w:val="22"/>
              </w:rPr>
              <w:t>Ter informatie.</w:t>
            </w:r>
          </w:p>
        </w:tc>
      </w:tr>
      <w:tr w:rsidRPr="00F67F5B" w:rsidR="005A630F" w:rsidTr="00850AA1">
        <w:trPr>
          <w:trHeight w:val="906"/>
        </w:trPr>
        <w:tc>
          <w:tcPr>
            <w:tcW w:w="980" w:type="dxa"/>
            <w:shd w:val="clear" w:color="auto" w:fill="auto"/>
            <w:noWrap/>
          </w:tcPr>
          <w:p w:rsidRPr="0033576F" w:rsidR="005A630F" w:rsidP="006D4F3B" w:rsidRDefault="005A630F">
            <w:pPr>
              <w:jc w:val="center"/>
              <w:rPr>
                <w:rFonts w:ascii="Calibri" w:hAnsi="Calibri"/>
                <w:color w:val="000000"/>
                <w:sz w:val="22"/>
                <w:szCs w:val="22"/>
              </w:rPr>
            </w:pPr>
            <w:r w:rsidRPr="0033576F">
              <w:rPr>
                <w:rFonts w:ascii="Calibri" w:hAnsi="Calibri"/>
                <w:color w:val="000000"/>
                <w:sz w:val="22"/>
                <w:szCs w:val="22"/>
              </w:rPr>
              <w:lastRenderedPageBreak/>
              <w:t>24-okt-16</w:t>
            </w:r>
          </w:p>
        </w:tc>
        <w:tc>
          <w:tcPr>
            <w:tcW w:w="1203" w:type="dxa"/>
            <w:shd w:val="clear" w:color="auto" w:fill="auto"/>
            <w:noWrap/>
          </w:tcPr>
          <w:p w:rsidR="005A630F" w:rsidP="00F66FAA" w:rsidRDefault="005A630F">
            <w:pPr>
              <w:jc w:val="center"/>
              <w:rPr>
                <w:rFonts w:ascii="Calibri" w:hAnsi="Calibri"/>
                <w:color w:val="000000"/>
                <w:sz w:val="22"/>
                <w:szCs w:val="22"/>
              </w:rPr>
            </w:pPr>
            <w:r>
              <w:rPr>
                <w:rFonts w:ascii="Calibri" w:hAnsi="Calibri"/>
                <w:color w:val="000000"/>
                <w:sz w:val="22"/>
                <w:szCs w:val="22"/>
              </w:rPr>
              <w:t>I&amp;M</w:t>
            </w:r>
          </w:p>
        </w:tc>
        <w:tc>
          <w:tcPr>
            <w:tcW w:w="1254" w:type="dxa"/>
            <w:shd w:val="clear" w:color="auto" w:fill="auto"/>
            <w:noWrap/>
          </w:tcPr>
          <w:p w:rsidR="005A630F" w:rsidP="00F66FAA" w:rsidRDefault="005A630F">
            <w:pPr>
              <w:rPr>
                <w:rFonts w:ascii="Calibri" w:hAnsi="Calibri"/>
                <w:color w:val="000000"/>
                <w:sz w:val="22"/>
                <w:szCs w:val="22"/>
              </w:rPr>
            </w:pPr>
            <w:r>
              <w:rPr>
                <w:rFonts w:ascii="Calibri" w:hAnsi="Calibri"/>
                <w:color w:val="000000"/>
                <w:sz w:val="22"/>
                <w:szCs w:val="22"/>
              </w:rPr>
              <w:t>Mededeling</w:t>
            </w:r>
          </w:p>
        </w:tc>
        <w:tc>
          <w:tcPr>
            <w:tcW w:w="4890" w:type="dxa"/>
            <w:shd w:val="clear" w:color="auto" w:fill="auto"/>
          </w:tcPr>
          <w:p w:rsidR="005A630F" w:rsidP="005A630F" w:rsidRDefault="005A630F">
            <w:pPr>
              <w:rPr>
                <w:rFonts w:ascii="Calibri" w:hAnsi="Calibri"/>
                <w:color w:val="000000"/>
                <w:sz w:val="22"/>
                <w:szCs w:val="22"/>
              </w:rPr>
            </w:pPr>
            <w:r w:rsidRPr="005A630F">
              <w:rPr>
                <w:rFonts w:ascii="Calibri" w:hAnsi="Calibri"/>
                <w:color w:val="000000"/>
                <w:sz w:val="22"/>
                <w:szCs w:val="22"/>
              </w:rPr>
              <w:t>MEDEDELING VAN DE COMMISSIE AAN HET EUROPEES PARLEMENT overeenkomstig artikel 294, lid 6, van het Verdrag betreffende de werking van de Europese Unie over het standpunt van de Raad over de vaststelling van een richtlijn van het Europees Parlement en de Raad tot wijziging van Richtlijn 2012/34/EU tot instelling van één Europese spoorwegruimte met betrekking tot de openstelling van de markt voor het binnenlands passagiersvervoer per spoor en het beheer van de spoorweginfrastructuur</w:t>
            </w:r>
          </w:p>
        </w:tc>
        <w:tc>
          <w:tcPr>
            <w:tcW w:w="720" w:type="dxa"/>
            <w:shd w:val="clear" w:color="auto" w:fill="auto"/>
            <w:noWrap/>
          </w:tcPr>
          <w:p w:rsidR="005A630F" w:rsidP="005A630F" w:rsidRDefault="00125892">
            <w:pPr>
              <w:jc w:val="center"/>
              <w:rPr>
                <w:rFonts w:ascii="Calibri" w:hAnsi="Calibri"/>
                <w:color w:val="0000FF"/>
                <w:sz w:val="22"/>
                <w:szCs w:val="22"/>
                <w:u w:val="single"/>
              </w:rPr>
            </w:pPr>
            <w:hyperlink w:history="1" r:id="rId10">
              <w:r w:rsidR="005A630F">
                <w:rPr>
                  <w:rStyle w:val="Hyperlink"/>
                  <w:rFonts w:ascii="Calibri" w:hAnsi="Calibri"/>
                  <w:sz w:val="22"/>
                  <w:szCs w:val="22"/>
                </w:rPr>
                <w:t>691</w:t>
              </w:r>
            </w:hyperlink>
          </w:p>
          <w:p w:rsidR="005A630F" w:rsidP="0033576F" w:rsidRDefault="005A630F">
            <w:pPr>
              <w:jc w:val="center"/>
              <w:rPr>
                <w:rFonts w:ascii="Calibri" w:hAnsi="Calibri"/>
                <w:color w:val="0000FF"/>
                <w:sz w:val="22"/>
                <w:szCs w:val="22"/>
                <w:u w:val="single"/>
              </w:rPr>
            </w:pPr>
          </w:p>
        </w:tc>
        <w:tc>
          <w:tcPr>
            <w:tcW w:w="1033" w:type="dxa"/>
            <w:shd w:val="clear" w:color="auto" w:fill="auto"/>
          </w:tcPr>
          <w:p w:rsidR="005A630F" w:rsidP="006D4F3B" w:rsidRDefault="00396C76">
            <w:pPr>
              <w:rPr>
                <w:rFonts w:asciiTheme="minorHAnsi" w:hAnsiTheme="minorHAnsi"/>
                <w:color w:val="000000"/>
                <w:sz w:val="22"/>
                <w:szCs w:val="22"/>
              </w:rPr>
            </w:pPr>
            <w:r>
              <w:rPr>
                <w:rFonts w:asciiTheme="minorHAnsi" w:hAnsiTheme="minorHAnsi"/>
                <w:color w:val="000000"/>
                <w:sz w:val="22"/>
                <w:szCs w:val="22"/>
              </w:rPr>
              <w:t>n.v.t.</w:t>
            </w:r>
          </w:p>
        </w:tc>
        <w:tc>
          <w:tcPr>
            <w:tcW w:w="4575" w:type="dxa"/>
            <w:shd w:val="clear" w:color="auto" w:fill="auto"/>
          </w:tcPr>
          <w:p w:rsidRPr="000947B3" w:rsidR="005A630F" w:rsidP="00DE7D71" w:rsidRDefault="00161645">
            <w:pPr>
              <w:rPr>
                <w:rFonts w:asciiTheme="minorHAnsi" w:hAnsiTheme="minorHAnsi"/>
                <w:color w:val="000000"/>
                <w:sz w:val="22"/>
                <w:szCs w:val="22"/>
                <w:u w:val="single"/>
              </w:rPr>
            </w:pPr>
            <w:r w:rsidRPr="000947B3">
              <w:rPr>
                <w:rFonts w:asciiTheme="minorHAnsi" w:hAnsiTheme="minorHAnsi"/>
                <w:color w:val="000000"/>
                <w:sz w:val="22"/>
                <w:szCs w:val="22"/>
                <w:u w:val="single"/>
              </w:rPr>
              <w:t>Behandelvoorstel</w:t>
            </w:r>
            <w:r>
              <w:rPr>
                <w:rFonts w:asciiTheme="minorHAnsi" w:hAnsiTheme="minorHAnsi"/>
                <w:color w:val="000000"/>
                <w:sz w:val="22"/>
                <w:szCs w:val="22"/>
              </w:rPr>
              <w:t>:</w:t>
            </w:r>
            <w:r w:rsidR="00396C76">
              <w:rPr>
                <w:rFonts w:asciiTheme="minorHAnsi" w:hAnsiTheme="minorHAnsi"/>
                <w:color w:val="000000"/>
                <w:sz w:val="22"/>
                <w:szCs w:val="22"/>
              </w:rPr>
              <w:t xml:space="preserve"> </w:t>
            </w:r>
            <w:r w:rsidRPr="00396C76" w:rsidR="00396C76">
              <w:rPr>
                <w:rFonts w:asciiTheme="minorHAnsi" w:hAnsiTheme="minorHAnsi"/>
                <w:color w:val="000000"/>
                <w:sz w:val="22"/>
                <w:szCs w:val="22"/>
              </w:rPr>
              <w:t>Ter informatie.</w:t>
            </w:r>
          </w:p>
        </w:tc>
      </w:tr>
      <w:tr w:rsidRPr="00F67F5B" w:rsidR="005A630F" w:rsidTr="00850AA1">
        <w:trPr>
          <w:trHeight w:val="906"/>
        </w:trPr>
        <w:tc>
          <w:tcPr>
            <w:tcW w:w="980" w:type="dxa"/>
            <w:shd w:val="clear" w:color="auto" w:fill="auto"/>
            <w:noWrap/>
          </w:tcPr>
          <w:p w:rsidRPr="0033576F" w:rsidR="005A630F" w:rsidP="006D4F3B" w:rsidRDefault="005A630F">
            <w:pPr>
              <w:jc w:val="center"/>
              <w:rPr>
                <w:rFonts w:ascii="Calibri" w:hAnsi="Calibri"/>
                <w:color w:val="000000"/>
                <w:sz w:val="22"/>
                <w:szCs w:val="22"/>
              </w:rPr>
            </w:pPr>
            <w:r>
              <w:rPr>
                <w:rFonts w:ascii="Calibri" w:hAnsi="Calibri"/>
                <w:color w:val="000000"/>
                <w:sz w:val="22"/>
                <w:szCs w:val="22"/>
              </w:rPr>
              <w:t>28</w:t>
            </w:r>
            <w:r w:rsidRPr="0033576F">
              <w:rPr>
                <w:rFonts w:ascii="Calibri" w:hAnsi="Calibri"/>
                <w:color w:val="000000"/>
                <w:sz w:val="22"/>
                <w:szCs w:val="22"/>
              </w:rPr>
              <w:t>-okt-16</w:t>
            </w:r>
          </w:p>
        </w:tc>
        <w:tc>
          <w:tcPr>
            <w:tcW w:w="1203" w:type="dxa"/>
            <w:shd w:val="clear" w:color="auto" w:fill="auto"/>
            <w:noWrap/>
          </w:tcPr>
          <w:p w:rsidR="005A630F" w:rsidP="00734AA8" w:rsidRDefault="005A630F">
            <w:pPr>
              <w:jc w:val="center"/>
              <w:rPr>
                <w:rFonts w:ascii="Calibri" w:hAnsi="Calibri"/>
                <w:color w:val="000000"/>
                <w:sz w:val="22"/>
                <w:szCs w:val="22"/>
              </w:rPr>
            </w:pPr>
            <w:r>
              <w:rPr>
                <w:rFonts w:ascii="Calibri" w:hAnsi="Calibri"/>
                <w:color w:val="000000"/>
                <w:sz w:val="22"/>
                <w:szCs w:val="22"/>
              </w:rPr>
              <w:t>I&amp;M</w:t>
            </w:r>
          </w:p>
        </w:tc>
        <w:tc>
          <w:tcPr>
            <w:tcW w:w="1254" w:type="dxa"/>
            <w:shd w:val="clear" w:color="auto" w:fill="auto"/>
            <w:noWrap/>
          </w:tcPr>
          <w:p w:rsidR="005A630F" w:rsidP="0033576F" w:rsidRDefault="005A630F">
            <w:pPr>
              <w:rPr>
                <w:rFonts w:ascii="Calibri" w:hAnsi="Calibri"/>
                <w:color w:val="000000"/>
                <w:sz w:val="22"/>
                <w:szCs w:val="22"/>
              </w:rPr>
            </w:pPr>
            <w:r>
              <w:rPr>
                <w:rFonts w:ascii="Calibri" w:hAnsi="Calibri"/>
                <w:color w:val="000000"/>
                <w:sz w:val="22"/>
                <w:szCs w:val="22"/>
              </w:rPr>
              <w:t>Raadpleging</w:t>
            </w:r>
          </w:p>
        </w:tc>
        <w:tc>
          <w:tcPr>
            <w:tcW w:w="4890" w:type="dxa"/>
            <w:shd w:val="clear" w:color="auto" w:fill="auto"/>
          </w:tcPr>
          <w:p w:rsidRPr="005A630F" w:rsidR="005A630F" w:rsidP="005A630F" w:rsidRDefault="005A630F">
            <w:pPr>
              <w:rPr>
                <w:rFonts w:ascii="Calibri" w:hAnsi="Calibri"/>
                <w:color w:val="000000"/>
                <w:sz w:val="22"/>
                <w:szCs w:val="22"/>
              </w:rPr>
            </w:pPr>
            <w:r w:rsidRPr="005A630F">
              <w:rPr>
                <w:rFonts w:ascii="Calibri" w:hAnsi="Calibri"/>
                <w:color w:val="000000"/>
                <w:sz w:val="22"/>
                <w:szCs w:val="22"/>
              </w:rPr>
              <w:t>Openbare raadpleging over de REFIT-evaluatie van de REACH-verordening</w:t>
            </w:r>
          </w:p>
        </w:tc>
        <w:tc>
          <w:tcPr>
            <w:tcW w:w="720" w:type="dxa"/>
            <w:shd w:val="clear" w:color="auto" w:fill="auto"/>
            <w:noWrap/>
          </w:tcPr>
          <w:p w:rsidR="005A630F" w:rsidP="005A630F" w:rsidRDefault="00125892">
            <w:pPr>
              <w:jc w:val="center"/>
              <w:rPr>
                <w:rFonts w:ascii="Calibri" w:hAnsi="Calibri"/>
                <w:color w:val="0000FF"/>
                <w:sz w:val="22"/>
                <w:szCs w:val="22"/>
                <w:u w:val="single"/>
              </w:rPr>
            </w:pPr>
            <w:hyperlink w:history="1" r:id="rId11">
              <w:r w:rsidR="005A630F">
                <w:rPr>
                  <w:rStyle w:val="Hyperlink"/>
                  <w:rFonts w:ascii="Calibri" w:hAnsi="Calibri"/>
                  <w:sz w:val="22"/>
                  <w:szCs w:val="22"/>
                </w:rPr>
                <w:t>OR</w:t>
              </w:r>
            </w:hyperlink>
          </w:p>
          <w:p w:rsidR="005A630F" w:rsidP="005A630F" w:rsidRDefault="005A630F">
            <w:pPr>
              <w:jc w:val="center"/>
              <w:rPr>
                <w:rFonts w:ascii="Calibri" w:hAnsi="Calibri"/>
                <w:color w:val="0000FF"/>
                <w:sz w:val="22"/>
                <w:szCs w:val="22"/>
                <w:u w:val="single"/>
              </w:rPr>
            </w:pPr>
          </w:p>
        </w:tc>
        <w:tc>
          <w:tcPr>
            <w:tcW w:w="1033" w:type="dxa"/>
            <w:shd w:val="clear" w:color="auto" w:fill="auto"/>
          </w:tcPr>
          <w:p w:rsidR="005A630F" w:rsidP="006D4F3B" w:rsidRDefault="00396C76">
            <w:pPr>
              <w:rPr>
                <w:rFonts w:asciiTheme="minorHAnsi" w:hAnsiTheme="minorHAnsi"/>
                <w:color w:val="000000"/>
                <w:sz w:val="22"/>
                <w:szCs w:val="22"/>
              </w:rPr>
            </w:pPr>
            <w:r>
              <w:rPr>
                <w:rFonts w:asciiTheme="minorHAnsi" w:hAnsiTheme="minorHAnsi"/>
                <w:color w:val="000000"/>
                <w:sz w:val="22"/>
                <w:szCs w:val="22"/>
              </w:rPr>
              <w:t>n.v.t.</w:t>
            </w:r>
          </w:p>
        </w:tc>
        <w:tc>
          <w:tcPr>
            <w:tcW w:w="4575" w:type="dxa"/>
            <w:shd w:val="clear" w:color="auto" w:fill="auto"/>
          </w:tcPr>
          <w:p w:rsidR="005A630F" w:rsidP="00DE7D71" w:rsidRDefault="00161645">
            <w:pPr>
              <w:rPr>
                <w:rFonts w:asciiTheme="minorHAnsi" w:hAnsiTheme="minorHAnsi"/>
                <w:color w:val="000000"/>
                <w:sz w:val="22"/>
                <w:szCs w:val="22"/>
              </w:rPr>
            </w:pPr>
            <w:r w:rsidRPr="000947B3">
              <w:rPr>
                <w:rFonts w:asciiTheme="minorHAnsi" w:hAnsiTheme="minorHAnsi"/>
                <w:color w:val="000000"/>
                <w:sz w:val="22"/>
                <w:szCs w:val="22"/>
                <w:u w:val="single"/>
              </w:rPr>
              <w:t>Behandelvoorstel</w:t>
            </w:r>
            <w:r>
              <w:rPr>
                <w:rFonts w:asciiTheme="minorHAnsi" w:hAnsiTheme="minorHAnsi"/>
                <w:color w:val="000000"/>
                <w:sz w:val="22"/>
                <w:szCs w:val="22"/>
              </w:rPr>
              <w:t>:</w:t>
            </w:r>
            <w:r w:rsidR="00396C76">
              <w:rPr>
                <w:rFonts w:asciiTheme="minorHAnsi" w:hAnsiTheme="minorHAnsi"/>
                <w:color w:val="000000"/>
                <w:sz w:val="22"/>
                <w:szCs w:val="22"/>
              </w:rPr>
              <w:t xml:space="preserve"> Ter informatie.</w:t>
            </w:r>
          </w:p>
          <w:p w:rsidR="00396C76" w:rsidP="00DE7D71" w:rsidRDefault="00396C76">
            <w:pPr>
              <w:rPr>
                <w:rFonts w:asciiTheme="minorHAnsi" w:hAnsiTheme="minorHAnsi"/>
                <w:color w:val="000000"/>
                <w:sz w:val="22"/>
                <w:szCs w:val="22"/>
              </w:rPr>
            </w:pPr>
          </w:p>
          <w:p w:rsidR="00396C76" w:rsidP="00DE7D71" w:rsidRDefault="00396C76">
            <w:pPr>
              <w:rPr>
                <w:rFonts w:ascii="Calibri" w:hAnsi="Calibri"/>
                <w:color w:val="000000"/>
                <w:sz w:val="22"/>
                <w:szCs w:val="22"/>
              </w:rPr>
            </w:pPr>
            <w:r w:rsidRPr="00983052">
              <w:rPr>
                <w:rFonts w:ascii="Calibri" w:hAnsi="Calibri"/>
                <w:color w:val="000000"/>
                <w:sz w:val="22"/>
                <w:szCs w:val="22"/>
              </w:rPr>
              <w:t>De deadline van deze consultatie is</w:t>
            </w:r>
            <w:r>
              <w:rPr>
                <w:rFonts w:ascii="Calibri" w:hAnsi="Calibri"/>
                <w:color w:val="000000"/>
                <w:sz w:val="22"/>
                <w:szCs w:val="22"/>
              </w:rPr>
              <w:t xml:space="preserve"> 28 januari 2017.</w:t>
            </w:r>
          </w:p>
          <w:p w:rsidRPr="000947B3" w:rsidR="00396C76" w:rsidP="00DE7D71" w:rsidRDefault="00396C76">
            <w:pPr>
              <w:rPr>
                <w:rFonts w:asciiTheme="minorHAnsi" w:hAnsiTheme="minorHAnsi"/>
                <w:color w:val="000000"/>
                <w:sz w:val="22"/>
                <w:szCs w:val="22"/>
                <w:u w:val="single"/>
              </w:rPr>
            </w:pPr>
          </w:p>
        </w:tc>
      </w:tr>
      <w:tr w:rsidRPr="00F67F5B" w:rsidR="005A630F" w:rsidTr="00850AA1">
        <w:trPr>
          <w:trHeight w:val="906"/>
        </w:trPr>
        <w:tc>
          <w:tcPr>
            <w:tcW w:w="980" w:type="dxa"/>
            <w:shd w:val="clear" w:color="auto" w:fill="auto"/>
            <w:noWrap/>
          </w:tcPr>
          <w:p w:rsidRPr="0033576F" w:rsidR="005A630F" w:rsidP="006D4F3B" w:rsidRDefault="005A630F">
            <w:pPr>
              <w:jc w:val="center"/>
              <w:rPr>
                <w:rFonts w:ascii="Calibri" w:hAnsi="Calibri"/>
                <w:color w:val="000000"/>
                <w:sz w:val="22"/>
                <w:szCs w:val="22"/>
              </w:rPr>
            </w:pPr>
            <w:r>
              <w:rPr>
                <w:rFonts w:ascii="Calibri" w:hAnsi="Calibri"/>
                <w:color w:val="000000"/>
                <w:sz w:val="22"/>
                <w:szCs w:val="22"/>
              </w:rPr>
              <w:t>28</w:t>
            </w:r>
            <w:r w:rsidRPr="0033576F">
              <w:rPr>
                <w:rFonts w:ascii="Calibri" w:hAnsi="Calibri"/>
                <w:color w:val="000000"/>
                <w:sz w:val="22"/>
                <w:szCs w:val="22"/>
              </w:rPr>
              <w:t>-okt-16</w:t>
            </w:r>
          </w:p>
        </w:tc>
        <w:tc>
          <w:tcPr>
            <w:tcW w:w="1203" w:type="dxa"/>
            <w:shd w:val="clear" w:color="auto" w:fill="auto"/>
            <w:noWrap/>
          </w:tcPr>
          <w:p w:rsidR="005A630F" w:rsidP="00734AA8" w:rsidRDefault="005A630F">
            <w:pPr>
              <w:jc w:val="center"/>
              <w:rPr>
                <w:rFonts w:ascii="Calibri" w:hAnsi="Calibri"/>
                <w:color w:val="000000"/>
                <w:sz w:val="22"/>
                <w:szCs w:val="22"/>
              </w:rPr>
            </w:pPr>
            <w:r>
              <w:rPr>
                <w:rFonts w:ascii="Calibri" w:hAnsi="Calibri"/>
                <w:color w:val="000000"/>
                <w:sz w:val="22"/>
                <w:szCs w:val="22"/>
              </w:rPr>
              <w:t>I&amp;M</w:t>
            </w:r>
          </w:p>
        </w:tc>
        <w:tc>
          <w:tcPr>
            <w:tcW w:w="1254" w:type="dxa"/>
            <w:shd w:val="clear" w:color="auto" w:fill="auto"/>
            <w:noWrap/>
          </w:tcPr>
          <w:p w:rsidR="005A630F" w:rsidP="0033576F" w:rsidRDefault="005A630F">
            <w:pPr>
              <w:rPr>
                <w:rFonts w:ascii="Calibri" w:hAnsi="Calibri"/>
                <w:color w:val="000000"/>
                <w:sz w:val="22"/>
                <w:szCs w:val="22"/>
              </w:rPr>
            </w:pPr>
            <w:r>
              <w:rPr>
                <w:rFonts w:ascii="Calibri" w:hAnsi="Calibri"/>
                <w:color w:val="000000"/>
                <w:sz w:val="22"/>
                <w:szCs w:val="22"/>
              </w:rPr>
              <w:t>Raadpleging</w:t>
            </w:r>
          </w:p>
        </w:tc>
        <w:tc>
          <w:tcPr>
            <w:tcW w:w="4890" w:type="dxa"/>
            <w:shd w:val="clear" w:color="auto" w:fill="auto"/>
          </w:tcPr>
          <w:p w:rsidRPr="005A630F" w:rsidR="005A630F" w:rsidP="005A630F" w:rsidRDefault="005A630F">
            <w:pPr>
              <w:rPr>
                <w:rFonts w:ascii="Calibri" w:hAnsi="Calibri"/>
                <w:color w:val="000000"/>
                <w:sz w:val="22"/>
                <w:szCs w:val="22"/>
              </w:rPr>
            </w:pPr>
            <w:r w:rsidRPr="005A630F">
              <w:rPr>
                <w:rFonts w:ascii="Calibri" w:hAnsi="Calibri"/>
                <w:color w:val="000000"/>
                <w:sz w:val="22"/>
                <w:szCs w:val="22"/>
              </w:rPr>
              <w:t>Minimumkwaliteitseisen voor hergebruikt water in de EU: openbare raadpleging over beleidsopties</w:t>
            </w:r>
          </w:p>
        </w:tc>
        <w:tc>
          <w:tcPr>
            <w:tcW w:w="720" w:type="dxa"/>
            <w:shd w:val="clear" w:color="auto" w:fill="auto"/>
            <w:noWrap/>
          </w:tcPr>
          <w:p w:rsidR="005A630F" w:rsidP="005A630F" w:rsidRDefault="00125892">
            <w:pPr>
              <w:jc w:val="center"/>
              <w:rPr>
                <w:rFonts w:ascii="Calibri" w:hAnsi="Calibri"/>
                <w:color w:val="0000FF"/>
                <w:sz w:val="22"/>
                <w:szCs w:val="22"/>
                <w:u w:val="single"/>
              </w:rPr>
            </w:pPr>
            <w:hyperlink w:history="1" r:id="rId12">
              <w:r w:rsidR="005A630F">
                <w:rPr>
                  <w:rStyle w:val="Hyperlink"/>
                  <w:rFonts w:ascii="Calibri" w:hAnsi="Calibri"/>
                  <w:sz w:val="22"/>
                  <w:szCs w:val="22"/>
                </w:rPr>
                <w:t>OR</w:t>
              </w:r>
            </w:hyperlink>
          </w:p>
          <w:p w:rsidR="005A630F" w:rsidP="005A630F" w:rsidRDefault="005A630F">
            <w:pPr>
              <w:jc w:val="center"/>
              <w:rPr>
                <w:rFonts w:ascii="Calibri" w:hAnsi="Calibri"/>
                <w:color w:val="0000FF"/>
                <w:sz w:val="22"/>
                <w:szCs w:val="22"/>
                <w:u w:val="single"/>
              </w:rPr>
            </w:pPr>
          </w:p>
        </w:tc>
        <w:tc>
          <w:tcPr>
            <w:tcW w:w="1033" w:type="dxa"/>
            <w:shd w:val="clear" w:color="auto" w:fill="auto"/>
          </w:tcPr>
          <w:p w:rsidR="005A630F" w:rsidP="006D4F3B" w:rsidRDefault="00396C76">
            <w:pPr>
              <w:rPr>
                <w:rFonts w:asciiTheme="minorHAnsi" w:hAnsiTheme="minorHAnsi"/>
                <w:color w:val="000000"/>
                <w:sz w:val="22"/>
                <w:szCs w:val="22"/>
              </w:rPr>
            </w:pPr>
            <w:r>
              <w:rPr>
                <w:rFonts w:asciiTheme="minorHAnsi" w:hAnsiTheme="minorHAnsi"/>
                <w:color w:val="000000"/>
                <w:sz w:val="22"/>
                <w:szCs w:val="22"/>
              </w:rPr>
              <w:t>n.v.t.</w:t>
            </w:r>
          </w:p>
        </w:tc>
        <w:tc>
          <w:tcPr>
            <w:tcW w:w="4575" w:type="dxa"/>
            <w:shd w:val="clear" w:color="auto" w:fill="auto"/>
          </w:tcPr>
          <w:p w:rsidR="005A630F" w:rsidP="00DE7D71" w:rsidRDefault="00161645">
            <w:pPr>
              <w:rPr>
                <w:rFonts w:asciiTheme="minorHAnsi" w:hAnsiTheme="minorHAnsi"/>
                <w:color w:val="000000"/>
                <w:sz w:val="22"/>
                <w:szCs w:val="22"/>
              </w:rPr>
            </w:pPr>
            <w:r w:rsidRPr="000947B3">
              <w:rPr>
                <w:rFonts w:asciiTheme="minorHAnsi" w:hAnsiTheme="minorHAnsi"/>
                <w:color w:val="000000"/>
                <w:sz w:val="22"/>
                <w:szCs w:val="22"/>
                <w:u w:val="single"/>
              </w:rPr>
              <w:t>Behandelvoorstel</w:t>
            </w:r>
            <w:r>
              <w:rPr>
                <w:rFonts w:asciiTheme="minorHAnsi" w:hAnsiTheme="minorHAnsi"/>
                <w:color w:val="000000"/>
                <w:sz w:val="22"/>
                <w:szCs w:val="22"/>
              </w:rPr>
              <w:t>:</w:t>
            </w:r>
            <w:r w:rsidR="00396C76">
              <w:rPr>
                <w:rFonts w:asciiTheme="minorHAnsi" w:hAnsiTheme="minorHAnsi"/>
                <w:color w:val="000000"/>
                <w:sz w:val="22"/>
                <w:szCs w:val="22"/>
              </w:rPr>
              <w:t xml:space="preserve"> Ter informatie.</w:t>
            </w:r>
          </w:p>
          <w:p w:rsidR="00396C76" w:rsidP="00DE7D71" w:rsidRDefault="00396C76">
            <w:pPr>
              <w:rPr>
                <w:rFonts w:asciiTheme="minorHAnsi" w:hAnsiTheme="minorHAnsi"/>
                <w:color w:val="000000"/>
                <w:sz w:val="22"/>
                <w:szCs w:val="22"/>
              </w:rPr>
            </w:pPr>
          </w:p>
          <w:p w:rsidRPr="000947B3" w:rsidR="00396C76" w:rsidP="00DE7D71" w:rsidRDefault="00396C76">
            <w:pPr>
              <w:rPr>
                <w:rFonts w:asciiTheme="minorHAnsi" w:hAnsiTheme="minorHAnsi"/>
                <w:color w:val="000000"/>
                <w:sz w:val="22"/>
                <w:szCs w:val="22"/>
                <w:u w:val="single"/>
              </w:rPr>
            </w:pPr>
            <w:r w:rsidRPr="00983052">
              <w:rPr>
                <w:rFonts w:ascii="Calibri" w:hAnsi="Calibri"/>
                <w:color w:val="000000"/>
                <w:sz w:val="22"/>
                <w:szCs w:val="22"/>
              </w:rPr>
              <w:t>De deadline van deze consultatie is</w:t>
            </w:r>
            <w:r w:rsidR="00C068FC">
              <w:rPr>
                <w:rFonts w:ascii="Calibri" w:hAnsi="Calibri"/>
                <w:color w:val="000000"/>
                <w:sz w:val="22"/>
                <w:szCs w:val="22"/>
              </w:rPr>
              <w:t xml:space="preserve"> 27 januari 2017.</w:t>
            </w:r>
          </w:p>
        </w:tc>
      </w:tr>
    </w:tbl>
    <w:p w:rsidR="00F569B4" w:rsidP="00F569B4" w:rsidRDefault="00F569B4">
      <w:pPr>
        <w:pStyle w:val="Voetnoottekst"/>
        <w:rPr>
          <w:rFonts w:ascii="Verdana" w:hAnsi="Verdana"/>
          <w:b/>
        </w:rPr>
      </w:pPr>
    </w:p>
    <w:p w:rsidR="008D3A2D" w:rsidP="00F569B4" w:rsidRDefault="008D3A2D">
      <w:pPr>
        <w:pStyle w:val="Voetnoottekst"/>
        <w:rPr>
          <w:rFonts w:ascii="Verdana" w:hAnsi="Verdana"/>
          <w:b/>
        </w:rPr>
      </w:pPr>
    </w:p>
    <w:p w:rsidR="00CC3A29" w:rsidRDefault="00CC3A29">
      <w:pPr>
        <w:rPr>
          <w:rFonts w:ascii="Verdana" w:hAnsi="Verdana"/>
          <w:b/>
          <w:sz w:val="20"/>
          <w:szCs w:val="20"/>
        </w:rPr>
      </w:pPr>
      <w:r>
        <w:rPr>
          <w:rFonts w:ascii="Verdana" w:hAnsi="Verdana"/>
          <w:b/>
        </w:rPr>
        <w:br w:type="page"/>
      </w:r>
    </w:p>
    <w:p w:rsidRPr="00A32873" w:rsidR="00F569B4" w:rsidP="00F569B4" w:rsidRDefault="00F569B4">
      <w:pPr>
        <w:pStyle w:val="Voetnoottekst"/>
        <w:rPr>
          <w:rFonts w:ascii="Verdana" w:hAnsi="Verdana"/>
          <w:b/>
        </w:rPr>
      </w:pPr>
      <w:r w:rsidRPr="00A32873">
        <w:rPr>
          <w:rFonts w:ascii="Verdana" w:hAnsi="Verdana"/>
          <w:b/>
        </w:rPr>
        <w:lastRenderedPageBreak/>
        <w:t>Behandelmogelijkheden EU-voorstellen</w:t>
      </w:r>
    </w:p>
    <w:p w:rsidRPr="00A32873" w:rsidR="00F569B4" w:rsidP="00F569B4" w:rsidRDefault="00F569B4">
      <w:pPr>
        <w:pStyle w:val="Voetnoottekst"/>
        <w:rPr>
          <w:rFonts w:ascii="Verdana" w:hAnsi="Verdana"/>
          <w:sz w:val="18"/>
          <w:szCs w:val="18"/>
        </w:rPr>
      </w:pPr>
    </w:p>
    <w:p w:rsidRPr="00A32873" w:rsidR="00F569B4" w:rsidP="00F569B4" w:rsidRDefault="00F569B4">
      <w:pPr>
        <w:rPr>
          <w:rFonts w:ascii="Verdana" w:hAnsi="Verdana"/>
          <w:sz w:val="18"/>
          <w:szCs w:val="18"/>
        </w:rPr>
      </w:pPr>
      <w:r w:rsidRPr="00A32873">
        <w:rPr>
          <w:rFonts w:ascii="Verdana" w:hAnsi="Verdana"/>
          <w:sz w:val="18"/>
          <w:szCs w:val="18"/>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A32873" w:rsidR="00F569B4" w:rsidP="00F569B4" w:rsidRDefault="00F569B4">
      <w:pPr>
        <w:rPr>
          <w:rFonts w:ascii="Verdana" w:hAnsi="Verdana"/>
          <w:sz w:val="18"/>
          <w:szCs w:val="18"/>
        </w:rPr>
      </w:pPr>
      <w:r w:rsidRPr="00A32873">
        <w:rPr>
          <w:rFonts w:ascii="Verdana" w:hAnsi="Verdana"/>
          <w:sz w:val="18"/>
          <w:szCs w:val="18"/>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A32873" w:rsidR="00F569B4" w:rsidP="00F569B4" w:rsidRDefault="00F569B4">
      <w:pPr>
        <w:pStyle w:val="Voetnoottekst"/>
        <w:rPr>
          <w:rFonts w:ascii="Verdana" w:hAnsi="Verdana"/>
          <w:sz w:val="18"/>
          <w:szCs w:val="18"/>
        </w:rPr>
      </w:pPr>
    </w:p>
    <w:tbl>
      <w:tblPr>
        <w:tblStyle w:val="Tabelraster"/>
        <w:tblW w:w="14142" w:type="dxa"/>
        <w:tblLayout w:type="fixed"/>
        <w:tblLook w:val="04A0" w:firstRow="1" w:lastRow="0" w:firstColumn="1" w:lastColumn="0" w:noHBand="0" w:noVBand="1"/>
      </w:tblPr>
      <w:tblGrid>
        <w:gridCol w:w="2093"/>
        <w:gridCol w:w="6946"/>
        <w:gridCol w:w="5103"/>
      </w:tblGrid>
      <w:tr w:rsidRPr="002F662A" w:rsidR="00F569B4" w:rsidTr="00144FBB">
        <w:tc>
          <w:tcPr>
            <w:tcW w:w="2093" w:type="dxa"/>
          </w:tcPr>
          <w:p w:rsidRPr="002F662A" w:rsidR="00F569B4" w:rsidP="00144FBB" w:rsidRDefault="00F569B4">
            <w:pPr>
              <w:pStyle w:val="Voetnoottekst"/>
              <w:rPr>
                <w:rFonts w:ascii="Verdana" w:hAnsi="Verdana"/>
                <w:b/>
                <w:sz w:val="18"/>
                <w:szCs w:val="18"/>
              </w:rPr>
            </w:pPr>
            <w:r w:rsidRPr="002F662A">
              <w:rPr>
                <w:rFonts w:ascii="Verdana" w:hAnsi="Verdana"/>
                <w:b/>
                <w:sz w:val="18"/>
                <w:szCs w:val="18"/>
              </w:rPr>
              <w:t xml:space="preserve">Soort </w:t>
            </w:r>
            <w:r>
              <w:rPr>
                <w:rFonts w:ascii="Verdana" w:hAnsi="Verdana"/>
                <w:b/>
                <w:sz w:val="18"/>
                <w:szCs w:val="18"/>
              </w:rPr>
              <w:t>I</w:t>
            </w:r>
            <w:r w:rsidRPr="002F662A">
              <w:rPr>
                <w:rFonts w:ascii="Verdana" w:hAnsi="Verdana"/>
                <w:b/>
                <w:sz w:val="18"/>
                <w:szCs w:val="18"/>
              </w:rPr>
              <w:t>nstrument</w:t>
            </w:r>
          </w:p>
        </w:tc>
        <w:tc>
          <w:tcPr>
            <w:tcW w:w="6946" w:type="dxa"/>
          </w:tcPr>
          <w:p w:rsidRPr="002F662A" w:rsidR="00F569B4" w:rsidP="00144FBB" w:rsidRDefault="00F569B4">
            <w:pPr>
              <w:pStyle w:val="Voetnoottekst"/>
              <w:rPr>
                <w:rFonts w:ascii="Verdana" w:hAnsi="Verdana"/>
                <w:b/>
                <w:sz w:val="18"/>
                <w:szCs w:val="18"/>
              </w:rPr>
            </w:pPr>
            <w:r w:rsidRPr="002F662A">
              <w:rPr>
                <w:rFonts w:ascii="Verdana" w:hAnsi="Verdana"/>
                <w:b/>
                <w:sz w:val="18"/>
                <w:szCs w:val="18"/>
              </w:rPr>
              <w:t>Toelichting</w:t>
            </w:r>
          </w:p>
        </w:tc>
        <w:tc>
          <w:tcPr>
            <w:tcW w:w="5103" w:type="dxa"/>
          </w:tcPr>
          <w:p w:rsidRPr="002F662A" w:rsidR="00F569B4" w:rsidP="00144FBB" w:rsidRDefault="00F569B4">
            <w:pPr>
              <w:pStyle w:val="Voetnoottekst"/>
              <w:rPr>
                <w:rFonts w:ascii="Verdana" w:hAnsi="Verdana"/>
                <w:b/>
                <w:sz w:val="18"/>
                <w:szCs w:val="18"/>
              </w:rPr>
            </w:pPr>
            <w:r w:rsidRPr="002F662A">
              <w:rPr>
                <w:rFonts w:ascii="Verdana" w:hAnsi="Verdana"/>
                <w:b/>
                <w:sz w:val="18"/>
                <w:szCs w:val="18"/>
              </w:rPr>
              <w:t xml:space="preserve">Mogelijke beïnvloedingsmomenten </w:t>
            </w:r>
          </w:p>
        </w:tc>
      </w:tr>
      <w:tr w:rsidRPr="002F662A" w:rsidR="00F569B4" w:rsidTr="00144FBB">
        <w:tc>
          <w:tcPr>
            <w:tcW w:w="14142" w:type="dxa"/>
            <w:gridSpan w:val="3"/>
          </w:tcPr>
          <w:p w:rsidR="00F569B4" w:rsidP="00144FBB" w:rsidRDefault="00F569B4">
            <w:pPr>
              <w:pStyle w:val="Voetnoottekst"/>
              <w:rPr>
                <w:rFonts w:ascii="Verdana" w:hAnsi="Verdana"/>
                <w:i/>
                <w:sz w:val="18"/>
                <w:szCs w:val="18"/>
              </w:rPr>
            </w:pPr>
          </w:p>
          <w:p w:rsidRPr="002F662A" w:rsidR="00F569B4" w:rsidP="00144FBB" w:rsidRDefault="00F569B4">
            <w:pPr>
              <w:pStyle w:val="Voetnoottekst"/>
              <w:rPr>
                <w:rFonts w:ascii="Verdana" w:hAnsi="Verdana"/>
                <w:i/>
                <w:sz w:val="18"/>
                <w:szCs w:val="18"/>
              </w:rPr>
            </w:pPr>
            <w:r w:rsidRPr="002F662A">
              <w:rPr>
                <w:rFonts w:ascii="Verdana" w:hAnsi="Verdana"/>
                <w:i/>
                <w:sz w:val="18"/>
                <w:szCs w:val="18"/>
              </w:rPr>
              <w:t>Wetgevende, bindende rechtshandelingen</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Verordening</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w:t>
            </w:r>
            <w:r>
              <w:rPr>
                <w:rFonts w:ascii="Verdana" w:hAnsi="Verdana"/>
                <w:sz w:val="18"/>
                <w:szCs w:val="18"/>
              </w:rPr>
              <w:t xml:space="preserve"> </w:t>
            </w:r>
            <w:r w:rsidRPr="00A32873">
              <w:rPr>
                <w:rFonts w:ascii="Verdana" w:hAnsi="Verdana"/>
                <w:sz w:val="18"/>
                <w:szCs w:val="18"/>
              </w:rPr>
              <w:t xml:space="preserve">aanvullende wetgeving nodig om de verordening volledig te operationaliseren. Een door de EU wetgever (Raad en/of Europees Parlement) aangenomen verordening komt niet terug in de Kamer voor behandeling. </w:t>
            </w:r>
          </w:p>
        </w:tc>
        <w:tc>
          <w:tcPr>
            <w:tcW w:w="5103" w:type="dxa"/>
            <w:vMerge w:val="restart"/>
          </w:tcPr>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ambtenaren of Commissaris</w:t>
            </w:r>
            <w:r>
              <w:rPr>
                <w:rFonts w:ascii="Verdana" w:hAnsi="Verdana"/>
                <w:sz w:val="18"/>
                <w:szCs w:val="18"/>
              </w:rPr>
              <w:t xml:space="preserve"> Europese Commissie</w:t>
            </w:r>
            <w:r w:rsidRPr="00A32873">
              <w:rPr>
                <w:rFonts w:ascii="Verdana" w:hAnsi="Verdana"/>
                <w:sz w:val="18"/>
                <w:szCs w:val="18"/>
              </w:rPr>
              <w:t xml:space="preserve"> (de ‘auteurs’) uitnodigen voor briefing/gesprek, evt. via videoconferentie</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subsidiariteitstoets overwegen: let op termijn (zie hieronder)</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behandelvoorbehoud overwegen: let op termijn (zie hieronder)</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ad-hoc rapporteur</w:t>
            </w:r>
            <w:r>
              <w:rPr>
                <w:rFonts w:ascii="Verdana" w:hAnsi="Verdana"/>
                <w:sz w:val="18"/>
                <w:szCs w:val="18"/>
              </w:rPr>
              <w:t>(s)</w:t>
            </w:r>
            <w:r w:rsidRPr="00A32873">
              <w:rPr>
                <w:rFonts w:ascii="Verdana" w:hAnsi="Verdana"/>
                <w:sz w:val="18"/>
                <w:szCs w:val="18"/>
              </w:rPr>
              <w:t xml:space="preserve"> binnen de commissie</w:t>
            </w:r>
            <w:r>
              <w:rPr>
                <w:rFonts w:ascii="Verdana" w:hAnsi="Verdana"/>
                <w:sz w:val="18"/>
                <w:szCs w:val="18"/>
              </w:rPr>
              <w:t>(s)</w:t>
            </w:r>
            <w:r w:rsidRPr="00A32873">
              <w:rPr>
                <w:rFonts w:ascii="Verdana" w:hAnsi="Verdana"/>
                <w:sz w:val="18"/>
                <w:szCs w:val="18"/>
              </w:rPr>
              <w:t xml:space="preserve"> benoemen</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 xml:space="preserve">tijdens overleg met </w:t>
            </w:r>
            <w:r>
              <w:rPr>
                <w:rFonts w:ascii="Verdana" w:hAnsi="Verdana"/>
                <w:sz w:val="18"/>
                <w:szCs w:val="18"/>
              </w:rPr>
              <w:t>kabinet</w:t>
            </w:r>
            <w:r w:rsidRPr="00A32873">
              <w:rPr>
                <w:rFonts w:ascii="Verdana" w:hAnsi="Verdana"/>
                <w:sz w:val="18"/>
                <w:szCs w:val="18"/>
              </w:rPr>
              <w:t xml:space="preserve"> NL onderhandelingsinzet aan de orde stellen, evt. aan de hand van het “BNC-fiche”.</w:t>
            </w:r>
            <w:r w:rsidRPr="00A32873">
              <w:rPr>
                <w:rStyle w:val="Voetnootmarkering"/>
                <w:rFonts w:ascii="Verdana" w:hAnsi="Verdana"/>
                <w:sz w:val="18"/>
                <w:szCs w:val="18"/>
              </w:rPr>
              <w:footnoteReference w:id="1"/>
            </w:r>
            <w:r w:rsidRPr="00A32873">
              <w:rPr>
                <w:rFonts w:ascii="Verdana" w:hAnsi="Verdana"/>
                <w:sz w:val="18"/>
                <w:szCs w:val="18"/>
              </w:rPr>
              <w:t xml:space="preserve"> </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EP-rapporteur uitnodigen, evt. via videoconferentie</w:t>
            </w:r>
            <w:r>
              <w:rPr>
                <w:rFonts w:ascii="Verdana" w:hAnsi="Verdana"/>
                <w:sz w:val="18"/>
                <w:szCs w:val="18"/>
              </w:rPr>
              <w:t>.</w:t>
            </w:r>
            <w:r w:rsidRPr="00A32873">
              <w:rPr>
                <w:rFonts w:ascii="Verdana" w:hAnsi="Verdana"/>
                <w:sz w:val="18"/>
                <w:szCs w:val="18"/>
              </w:rPr>
              <w:br/>
            </w:r>
            <w:r w:rsidRPr="00A32873">
              <w:rPr>
                <w:rFonts w:ascii="Verdana" w:hAnsi="Verdana"/>
                <w:sz w:val="18"/>
                <w:szCs w:val="18"/>
              </w:rPr>
              <w:br/>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NB</w:t>
            </w:r>
            <w:r>
              <w:rPr>
                <w:rFonts w:ascii="Verdana" w:hAnsi="Verdana"/>
                <w:sz w:val="18"/>
                <w:szCs w:val="18"/>
              </w:rPr>
              <w:t>:</w:t>
            </w:r>
            <w:r w:rsidRPr="00A32873">
              <w:rPr>
                <w:rFonts w:ascii="Verdana" w:hAnsi="Verdana"/>
                <w:sz w:val="18"/>
                <w:szCs w:val="18"/>
              </w:rPr>
              <w:t xml:space="preserve"> Pas na afronding van het onderhandelingstraject: nationale wetgevingstraject monitoren (i</w:t>
            </w:r>
            <w:r>
              <w:rPr>
                <w:rFonts w:ascii="Verdana" w:hAnsi="Verdana"/>
                <w:sz w:val="18"/>
                <w:szCs w:val="18"/>
              </w:rPr>
              <w:t>.</w:t>
            </w:r>
            <w:r w:rsidRPr="00A32873">
              <w:rPr>
                <w:rFonts w:ascii="Verdana" w:hAnsi="Verdana"/>
                <w:sz w:val="18"/>
                <w:szCs w:val="18"/>
              </w:rPr>
              <w:t>h</w:t>
            </w:r>
            <w:r>
              <w:rPr>
                <w:rFonts w:ascii="Verdana" w:hAnsi="Verdana"/>
                <w:sz w:val="18"/>
                <w:szCs w:val="18"/>
              </w:rPr>
              <w:t>.</w:t>
            </w:r>
            <w:r w:rsidRPr="00A32873">
              <w:rPr>
                <w:rFonts w:ascii="Verdana" w:hAnsi="Verdana"/>
                <w:sz w:val="18"/>
                <w:szCs w:val="18"/>
              </w:rPr>
              <w:t>k</w:t>
            </w:r>
            <w:r>
              <w:rPr>
                <w:rFonts w:ascii="Verdana" w:hAnsi="Verdana"/>
                <w:sz w:val="18"/>
                <w:szCs w:val="18"/>
              </w:rPr>
              <w:t>.</w:t>
            </w:r>
            <w:r w:rsidRPr="00A32873">
              <w:rPr>
                <w:rFonts w:ascii="Verdana" w:hAnsi="Verdana"/>
                <w:sz w:val="18"/>
                <w:szCs w:val="18"/>
              </w:rPr>
              <w:t>v</w:t>
            </w:r>
            <w:r>
              <w:rPr>
                <w:rFonts w:ascii="Verdana" w:hAnsi="Verdana"/>
                <w:sz w:val="18"/>
                <w:szCs w:val="18"/>
              </w:rPr>
              <w:t>.</w:t>
            </w:r>
            <w:r w:rsidRPr="00A32873">
              <w:rPr>
                <w:rFonts w:ascii="Verdana" w:hAnsi="Verdana"/>
                <w:sz w:val="18"/>
                <w:szCs w:val="18"/>
              </w:rPr>
              <w:t xml:space="preserve"> omzetting naar nationale wetgeving)</w:t>
            </w:r>
            <w:r>
              <w:rPr>
                <w:rFonts w:ascii="Verdana" w:hAnsi="Verdana"/>
                <w:sz w:val="18"/>
                <w:szCs w:val="18"/>
              </w:rPr>
              <w:t>.</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Richtlijn </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A32873" w:rsidR="00F569B4" w:rsidP="00F569B4" w:rsidRDefault="00F569B4">
            <w:pPr>
              <w:pStyle w:val="Voetnoottekst"/>
              <w:numPr>
                <w:ilvl w:val="0"/>
                <w:numId w:val="2"/>
              </w:numPr>
              <w:ind w:left="317" w:hanging="283"/>
              <w:rPr>
                <w:rFonts w:ascii="Verdana" w:hAnsi="Verdana"/>
                <w:sz w:val="18"/>
                <w:szCs w:val="18"/>
              </w:rPr>
            </w:pP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(Besluit)</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Een besluit is verbindend in al haar onderdelen. Indien de adressanten worden vermeld, is zij alleen voor hen verbindend. Met besluiten kunnen algemeen verbindende voorschriften worden toegepast op een concreet geval. Daarnaast kunnen besluiten</w:t>
            </w:r>
            <w:r>
              <w:rPr>
                <w:rFonts w:ascii="Verdana" w:hAnsi="Verdana"/>
                <w:sz w:val="18"/>
                <w:szCs w:val="18"/>
              </w:rPr>
              <w:t xml:space="preserve"> </w:t>
            </w:r>
            <w:r w:rsidRPr="00A32873">
              <w:rPr>
                <w:rFonts w:ascii="Verdana" w:hAnsi="Verdana"/>
                <w:sz w:val="18"/>
                <w:szCs w:val="18"/>
              </w:rPr>
              <w:t xml:space="preserve">ook algemeen verbindende voorschriften bevatten. In dat laatste geval is sprake van een wetgevende handeling, in dat eerste geval niet. </w:t>
            </w:r>
            <w:r w:rsidRPr="00A32873">
              <w:rPr>
                <w:rFonts w:ascii="Verdana" w:hAnsi="Verdana"/>
                <w:sz w:val="18"/>
                <w:szCs w:val="18"/>
              </w:rPr>
              <w:br/>
              <w:t>Voor wetgevende besluiten kan gekozen worden als richtlijnen en verordeningen niet geschikt zijn als instrument. Niet-wetgevende besluiten kunnen gericht zijn tot individuele of alle lidstaten (bv</w:t>
            </w:r>
            <w:r>
              <w:rPr>
                <w:rFonts w:ascii="Verdana" w:hAnsi="Verdana"/>
                <w:sz w:val="18"/>
                <w:szCs w:val="18"/>
              </w:rPr>
              <w:t>.</w:t>
            </w:r>
            <w:r w:rsidRPr="00A32873">
              <w:rPr>
                <w:rFonts w:ascii="Verdana" w:hAnsi="Verdana"/>
                <w:sz w:val="18"/>
                <w:szCs w:val="18"/>
              </w:rPr>
              <w:t xml:space="preserve"> </w:t>
            </w:r>
            <w:r w:rsidRPr="00A32873">
              <w:rPr>
                <w:rFonts w:ascii="Verdana" w:hAnsi="Verdana"/>
                <w:sz w:val="18"/>
                <w:szCs w:val="18"/>
              </w:rPr>
              <w:lastRenderedPageBreak/>
              <w:t>maatregelen tegen onrechtmatige staatssteun) of individuen (natuurlijke personen en rechtspersonen) (bv in mededingingszaken). Verder is</w:t>
            </w:r>
            <w:r>
              <w:rPr>
                <w:rFonts w:ascii="Verdana" w:hAnsi="Verdana"/>
                <w:sz w:val="18"/>
                <w:szCs w:val="18"/>
              </w:rPr>
              <w:t xml:space="preserve"> </w:t>
            </w:r>
            <w:r w:rsidRPr="00A32873">
              <w:rPr>
                <w:rFonts w:ascii="Verdana" w:hAnsi="Verdana"/>
                <w:sz w:val="18"/>
                <w:szCs w:val="18"/>
              </w:rPr>
              <w:t>er nog een aantal bijzondere besluiten, zoals direct op de Verdragen gebaseerde uitvoeringsbepalingen; besluiten van de Europese Raad (bv het meerjarenplan op JBZ-gebied); en besluiten op het terrein van het Gemeenschappelijk Buitenlands- en Veiligheidsbeleid (bv besluiten tot het sluiten van internationale verdragen). Deze zijn in de regel niet wetgevend. Indien een besluit alleen door de Commissie wordt genomen,</w:t>
            </w:r>
            <w:r>
              <w:rPr>
                <w:rFonts w:ascii="Verdana" w:hAnsi="Verdana"/>
                <w:sz w:val="18"/>
                <w:szCs w:val="18"/>
              </w:rPr>
              <w:t xml:space="preserve"> </w:t>
            </w:r>
            <w:r w:rsidRPr="00A32873">
              <w:rPr>
                <w:rFonts w:ascii="Verdana" w:hAnsi="Verdana"/>
                <w:sz w:val="18"/>
                <w:szCs w:val="18"/>
              </w:rPr>
              <w:t xml:space="preserve">is het een niet-wetgevend besluit. Besluiten op voorstel van de </w:t>
            </w:r>
            <w:r>
              <w:rPr>
                <w:rFonts w:ascii="Verdana" w:hAnsi="Verdana"/>
                <w:sz w:val="18"/>
                <w:szCs w:val="18"/>
              </w:rPr>
              <w:t xml:space="preserve">Europese </w:t>
            </w:r>
            <w:r w:rsidRPr="00A32873">
              <w:rPr>
                <w:rFonts w:ascii="Verdana" w:hAnsi="Verdana"/>
                <w:sz w:val="18"/>
                <w:szCs w:val="18"/>
              </w:rPr>
              <w:t>Commissie, genomen door de Raad en het Parlement zullen in de regel wetgevend zijn. Dit zal van geval tot geval moeten worden beoordeeld.</w:t>
            </w:r>
            <w:r>
              <w:rPr>
                <w:rFonts w:ascii="Verdana" w:hAnsi="Verdana"/>
                <w:sz w:val="18"/>
                <w:szCs w:val="18"/>
              </w:rPr>
              <w:t xml:space="preserve"> </w:t>
            </w:r>
          </w:p>
        </w:tc>
        <w:tc>
          <w:tcPr>
            <w:tcW w:w="5103" w:type="dxa"/>
            <w:vMerge/>
          </w:tcPr>
          <w:p w:rsidRPr="00A32873" w:rsidR="00F569B4" w:rsidP="00F569B4" w:rsidRDefault="00F569B4">
            <w:pPr>
              <w:pStyle w:val="Voetnoottekst"/>
              <w:numPr>
                <w:ilvl w:val="0"/>
                <w:numId w:val="2"/>
              </w:numPr>
              <w:ind w:left="317" w:hanging="283"/>
              <w:rPr>
                <w:rFonts w:ascii="Verdana" w:hAnsi="Verdana"/>
                <w:sz w:val="18"/>
                <w:szCs w:val="18"/>
              </w:rPr>
            </w:pPr>
          </w:p>
        </w:tc>
      </w:tr>
      <w:tr w:rsidRPr="00A32873" w:rsidR="00F569B4" w:rsidTr="00144FBB">
        <w:tc>
          <w:tcPr>
            <w:tcW w:w="14142" w:type="dxa"/>
            <w:gridSpan w:val="3"/>
          </w:tcPr>
          <w:p w:rsidRPr="002F662A" w:rsidR="00F569B4" w:rsidP="00144FBB" w:rsidRDefault="00F569B4">
            <w:pPr>
              <w:pStyle w:val="Voetnoottekst"/>
              <w:rPr>
                <w:rFonts w:ascii="Verdana" w:hAnsi="Verdana"/>
                <w:i/>
                <w:sz w:val="18"/>
                <w:szCs w:val="18"/>
              </w:rPr>
            </w:pPr>
            <w:r w:rsidRPr="002F662A">
              <w:rPr>
                <w:rFonts w:ascii="Verdana" w:hAnsi="Verdana"/>
                <w:i/>
                <w:sz w:val="18"/>
                <w:szCs w:val="18"/>
              </w:rPr>
              <w:lastRenderedPageBreak/>
              <w:t>Niet-wetgevende bindende rechtshandelingen</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Gedelegeerde handeling</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Er wordt over onderhandeld door comités van nationale ambtenaren en de Europese Commissie.</w:t>
            </w:r>
          </w:p>
        </w:tc>
        <w:tc>
          <w:tcPr>
            <w:tcW w:w="5103" w:type="dxa"/>
          </w:tcPr>
          <w:p w:rsidRPr="00A32873" w:rsidR="00F569B4" w:rsidP="00F569B4" w:rsidRDefault="00F569B4">
            <w:pPr>
              <w:pStyle w:val="Voetnoottekst"/>
              <w:numPr>
                <w:ilvl w:val="0"/>
                <w:numId w:val="1"/>
              </w:numPr>
              <w:rPr>
                <w:rFonts w:ascii="Verdana" w:hAnsi="Verdana"/>
                <w:sz w:val="18"/>
                <w:szCs w:val="18"/>
              </w:rPr>
            </w:pPr>
            <w:r>
              <w:rPr>
                <w:rFonts w:ascii="Verdana" w:hAnsi="Verdana"/>
                <w:sz w:val="18"/>
                <w:szCs w:val="18"/>
              </w:rPr>
              <w:t>kabinet</w:t>
            </w:r>
            <w:r w:rsidRPr="00A32873">
              <w:rPr>
                <w:rFonts w:ascii="Verdana" w:hAnsi="Verdana"/>
                <w:sz w:val="18"/>
                <w:szCs w:val="18"/>
              </w:rPr>
              <w:t xml:space="preserve"> per brief of tijdens overleg bevragen over stand van zaken en appreciatie EU onderhandelingen en NL inzet</w:t>
            </w:r>
            <w:r>
              <w:rPr>
                <w:rFonts w:ascii="Verdana" w:hAnsi="Verdana"/>
                <w:sz w:val="18"/>
                <w:szCs w:val="18"/>
              </w:rPr>
              <w:t>.</w:t>
            </w:r>
          </w:p>
          <w:p w:rsidRPr="00A32873" w:rsidR="00F569B4" w:rsidP="00144FBB" w:rsidRDefault="00F569B4">
            <w:pPr>
              <w:pStyle w:val="Voetnoottekst"/>
              <w:ind w:left="360"/>
              <w:rPr>
                <w:rFonts w:ascii="Verdana" w:hAnsi="Verdana"/>
                <w:sz w:val="18"/>
                <w:szCs w:val="18"/>
              </w:rPr>
            </w:pP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Uitvoerings</w:t>
            </w:r>
            <w:r>
              <w:rPr>
                <w:rFonts w:ascii="Verdana" w:hAnsi="Verdana"/>
                <w:sz w:val="18"/>
                <w:szCs w:val="18"/>
              </w:rPr>
              <w:t>-</w:t>
            </w:r>
            <w:r w:rsidRPr="00A32873">
              <w:rPr>
                <w:rFonts w:ascii="Verdana" w:hAnsi="Verdana"/>
                <w:sz w:val="18"/>
                <w:szCs w:val="18"/>
              </w:rPr>
              <w:t>handeling</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Indien de implementatie van Unierecht volgens uniforme standaarden van procedurele aard moeten plaatsvinden, kan de </w:t>
            </w:r>
            <w:r>
              <w:rPr>
                <w:rFonts w:ascii="Verdana" w:hAnsi="Verdana"/>
                <w:sz w:val="18"/>
                <w:szCs w:val="18"/>
              </w:rPr>
              <w:t xml:space="preserve">Europese </w:t>
            </w:r>
            <w:r w:rsidRPr="00A32873">
              <w:rPr>
                <w:rFonts w:ascii="Verdana" w:hAnsi="Verdana"/>
                <w:sz w:val="18"/>
                <w:szCs w:val="18"/>
              </w:rPr>
              <w:t>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en de Europese Commissie.</w:t>
            </w:r>
          </w:p>
        </w:tc>
        <w:tc>
          <w:tcPr>
            <w:tcW w:w="5103" w:type="dxa"/>
          </w:tcPr>
          <w:p w:rsidRPr="00A32873" w:rsidR="00F569B4" w:rsidP="00F569B4" w:rsidRDefault="00F569B4">
            <w:pPr>
              <w:pStyle w:val="Voetnoottekst"/>
              <w:numPr>
                <w:ilvl w:val="0"/>
                <w:numId w:val="1"/>
              </w:numPr>
              <w:rPr>
                <w:rFonts w:ascii="Verdana" w:hAnsi="Verdana"/>
                <w:sz w:val="18"/>
                <w:szCs w:val="18"/>
              </w:rPr>
            </w:pPr>
            <w:r>
              <w:rPr>
                <w:rFonts w:ascii="Verdana" w:hAnsi="Verdana"/>
                <w:sz w:val="18"/>
                <w:szCs w:val="18"/>
              </w:rPr>
              <w:t>kabinet</w:t>
            </w:r>
            <w:r w:rsidRPr="00A32873">
              <w:rPr>
                <w:rFonts w:ascii="Verdana" w:hAnsi="Verdana"/>
                <w:sz w:val="18"/>
                <w:szCs w:val="18"/>
              </w:rPr>
              <w:t xml:space="preserve"> per brief of tijdens </w:t>
            </w:r>
            <w:r>
              <w:rPr>
                <w:rFonts w:ascii="Verdana" w:hAnsi="Verdana"/>
                <w:sz w:val="18"/>
                <w:szCs w:val="18"/>
              </w:rPr>
              <w:t xml:space="preserve">algemeen </w:t>
            </w:r>
            <w:r w:rsidRPr="00A32873">
              <w:rPr>
                <w:rFonts w:ascii="Verdana" w:hAnsi="Verdana"/>
                <w:sz w:val="18"/>
                <w:szCs w:val="18"/>
              </w:rPr>
              <w:t>overleg</w:t>
            </w:r>
            <w:r>
              <w:rPr>
                <w:rFonts w:ascii="Verdana" w:hAnsi="Verdana"/>
                <w:sz w:val="18"/>
                <w:szCs w:val="18"/>
              </w:rPr>
              <w:t>/debat</w:t>
            </w:r>
            <w:r w:rsidRPr="00A32873">
              <w:rPr>
                <w:rFonts w:ascii="Verdana" w:hAnsi="Verdana"/>
                <w:sz w:val="18"/>
                <w:szCs w:val="18"/>
              </w:rPr>
              <w:t xml:space="preserve"> bevragen over stand van zaken en appreciatie EU onderhandelingen en NL inzet.</w:t>
            </w:r>
          </w:p>
          <w:p w:rsidRPr="00A32873" w:rsidR="00F569B4" w:rsidP="00F569B4" w:rsidRDefault="00F569B4">
            <w:pPr>
              <w:numPr>
                <w:ilvl w:val="0"/>
                <w:numId w:val="1"/>
              </w:numPr>
              <w:rPr>
                <w:rFonts w:ascii="Verdana" w:hAnsi="Verdana"/>
                <w:sz w:val="18"/>
                <w:szCs w:val="18"/>
              </w:rPr>
            </w:pPr>
            <w:r>
              <w:rPr>
                <w:rFonts w:ascii="Verdana" w:hAnsi="Verdana"/>
                <w:color w:val="000000"/>
                <w:sz w:val="18"/>
                <w:szCs w:val="18"/>
              </w:rPr>
              <w:t>o</w:t>
            </w:r>
            <w:r w:rsidRPr="00A32873">
              <w:rPr>
                <w:rFonts w:ascii="Verdana" w:hAnsi="Verdana"/>
                <w:color w:val="000000"/>
                <w:sz w:val="18"/>
                <w:szCs w:val="18"/>
              </w:rPr>
              <w:t xml:space="preserve">p basis van </w:t>
            </w:r>
            <w:r w:rsidRPr="00614461">
              <w:rPr>
                <w:rFonts w:ascii="Verdana" w:hAnsi="Verdana"/>
                <w:sz w:val="18"/>
                <w:szCs w:val="18"/>
              </w:rPr>
              <w:t xml:space="preserve">de </w:t>
            </w:r>
            <w:hyperlink w:history="1" r:id="rId13">
              <w:r w:rsidRPr="00614461">
                <w:rPr>
                  <w:rFonts w:ascii="Verdana" w:hAnsi="Verdana"/>
                  <w:sz w:val="18"/>
                  <w:szCs w:val="18"/>
                  <w:u w:val="single"/>
                </w:rPr>
                <w:t>(gewijzigde) motie Van Gent</w:t>
              </w:r>
            </w:hyperlink>
            <w:r w:rsidRPr="00A32873">
              <w:rPr>
                <w:rFonts w:ascii="Verdana" w:hAnsi="Verdana"/>
                <w:color w:val="000000"/>
                <w:sz w:val="18"/>
                <w:szCs w:val="18"/>
              </w:rPr>
              <w:t xml:space="preserve"> dient het kabinet de Kamer afschriften te sturen van haar correspondentie met de Europese Commissie over de uitvoering van Europese regelgeving</w:t>
            </w:r>
            <w:r>
              <w:rPr>
                <w:rFonts w:ascii="Verdana" w:hAnsi="Verdana"/>
                <w:color w:val="000000"/>
                <w:sz w:val="18"/>
                <w:szCs w:val="18"/>
              </w:rPr>
              <w:t>.</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Bijzondere rechtshandelingen</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Er bestaan nog andere typen niet-wetgevende rechtshandelingen waarvan op voorhand niet te zeggen zijn of zij bindend zijn of niet. Bijvoorbeeld meerjarige kaderprogramma’s</w:t>
            </w:r>
            <w:r>
              <w:rPr>
                <w:rFonts w:ascii="Verdana" w:hAnsi="Verdana"/>
                <w:sz w:val="18"/>
                <w:szCs w:val="18"/>
              </w:rPr>
              <w:t xml:space="preserve"> </w:t>
            </w:r>
            <w:r w:rsidRPr="00A32873">
              <w:rPr>
                <w:rFonts w:ascii="Verdana" w:hAnsi="Verdana"/>
                <w:sz w:val="18"/>
                <w:szCs w:val="18"/>
              </w:rPr>
              <w:t>of actieprogramma’s. Deze programma’s worden vastgesteld volgens dezelfde wetgevingsprocedures als richtlijnen en verordeningen. Het is zaak goed in de teksten te bezien wat de voorgestelde rechtskracht is.</w:t>
            </w:r>
          </w:p>
          <w:p w:rsidRPr="00A32873" w:rsidR="00F569B4" w:rsidP="00144FBB" w:rsidRDefault="00F569B4">
            <w:pPr>
              <w:pStyle w:val="Voetnoottekst"/>
              <w:rPr>
                <w:rFonts w:ascii="Verdana" w:hAnsi="Verdana"/>
                <w:sz w:val="18"/>
                <w:szCs w:val="18"/>
              </w:rPr>
            </w:pPr>
          </w:p>
        </w:tc>
        <w:tc>
          <w:tcPr>
            <w:tcW w:w="5103" w:type="dxa"/>
          </w:tcPr>
          <w:p w:rsidRPr="00A32873" w:rsidR="00F569B4" w:rsidP="00F569B4" w:rsidRDefault="00F569B4">
            <w:pPr>
              <w:pStyle w:val="Voetnoottekst"/>
              <w:numPr>
                <w:ilvl w:val="0"/>
                <w:numId w:val="1"/>
              </w:numPr>
              <w:rPr>
                <w:rFonts w:ascii="Verdana" w:hAnsi="Verdana"/>
                <w:sz w:val="18"/>
                <w:szCs w:val="18"/>
              </w:rPr>
            </w:pPr>
            <w:r>
              <w:rPr>
                <w:rFonts w:ascii="Verdana" w:hAnsi="Verdana"/>
                <w:sz w:val="18"/>
                <w:szCs w:val="18"/>
              </w:rPr>
              <w:t>k</w:t>
            </w:r>
            <w:r w:rsidRPr="00A32873">
              <w:rPr>
                <w:rFonts w:ascii="Verdana" w:hAnsi="Verdana"/>
                <w:sz w:val="18"/>
                <w:szCs w:val="18"/>
              </w:rPr>
              <w:t>abinetsappreciatie (‘BNC-fiche’) vragen, bespreken</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 xml:space="preserve">ambtenaren of Commissaris </w:t>
            </w:r>
            <w:r>
              <w:rPr>
                <w:rFonts w:ascii="Verdana" w:hAnsi="Verdana"/>
                <w:sz w:val="18"/>
                <w:szCs w:val="18"/>
              </w:rPr>
              <w:t xml:space="preserve">van </w:t>
            </w:r>
            <w:r w:rsidRPr="00A32873">
              <w:rPr>
                <w:rFonts w:ascii="Verdana" w:hAnsi="Verdana"/>
                <w:sz w:val="18"/>
                <w:szCs w:val="18"/>
              </w:rPr>
              <w:t>Europese Commissie (de ‘auteurs’) uitnodigen voor briefing/gesprek, evt. via videoconferentie</w:t>
            </w:r>
          </w:p>
          <w:p w:rsidRPr="00A32873" w:rsidR="00F569B4" w:rsidP="00F569B4" w:rsidRDefault="00F569B4">
            <w:pPr>
              <w:pStyle w:val="Voetnoottekst"/>
              <w:numPr>
                <w:ilvl w:val="0"/>
                <w:numId w:val="1"/>
              </w:numPr>
              <w:rPr>
                <w:rFonts w:ascii="Verdana" w:hAnsi="Verdana"/>
                <w:sz w:val="18"/>
                <w:szCs w:val="18"/>
              </w:rPr>
            </w:pPr>
            <w:r>
              <w:rPr>
                <w:rFonts w:ascii="Verdana" w:hAnsi="Verdana"/>
                <w:sz w:val="18"/>
                <w:szCs w:val="18"/>
              </w:rPr>
              <w:t>i</w:t>
            </w:r>
            <w:r w:rsidRPr="00A32873">
              <w:rPr>
                <w:rFonts w:ascii="Verdana" w:hAnsi="Verdana"/>
                <w:sz w:val="18"/>
                <w:szCs w:val="18"/>
              </w:rPr>
              <w:t>ndien het Europees Parlement een rapporteur heeft aangesteld kan deze desgewenst worden uitgenodigd voor een gesprek</w:t>
            </w:r>
            <w:r>
              <w:rPr>
                <w:rFonts w:ascii="Verdana" w:hAnsi="Verdana"/>
                <w:sz w:val="18"/>
                <w:szCs w:val="18"/>
              </w:rPr>
              <w:t>.</w:t>
            </w:r>
          </w:p>
          <w:p w:rsidRPr="00A32873" w:rsidR="00F569B4" w:rsidP="00F569B4" w:rsidRDefault="00F569B4">
            <w:pPr>
              <w:pStyle w:val="Voetnoottekst"/>
              <w:numPr>
                <w:ilvl w:val="0"/>
                <w:numId w:val="1"/>
              </w:numPr>
              <w:rPr>
                <w:rFonts w:ascii="Verdana" w:hAnsi="Verdana"/>
                <w:sz w:val="18"/>
                <w:szCs w:val="18"/>
              </w:rPr>
            </w:pPr>
            <w:r>
              <w:rPr>
                <w:rFonts w:ascii="Verdana" w:hAnsi="Verdana"/>
                <w:sz w:val="18"/>
                <w:szCs w:val="18"/>
              </w:rPr>
              <w:t>u</w:t>
            </w:r>
            <w:r w:rsidRPr="00A32873">
              <w:rPr>
                <w:rFonts w:ascii="Verdana" w:hAnsi="Verdana"/>
                <w:sz w:val="18"/>
                <w:szCs w:val="18"/>
              </w:rPr>
              <w:t>w commissie kan op dit onderwerp een ad-hoc rapporteur benoemen</w:t>
            </w:r>
          </w:p>
          <w:p w:rsidRPr="00A32873" w:rsidR="00F569B4" w:rsidP="00144FBB" w:rsidRDefault="00F569B4">
            <w:pPr>
              <w:pStyle w:val="Voetnoottekst"/>
              <w:ind w:left="360"/>
              <w:rPr>
                <w:rFonts w:ascii="Verdana" w:hAnsi="Verdana"/>
                <w:sz w:val="18"/>
                <w:szCs w:val="18"/>
              </w:rPr>
            </w:pPr>
            <w:r>
              <w:rPr>
                <w:rFonts w:ascii="Verdana" w:hAnsi="Verdana"/>
                <w:sz w:val="18"/>
                <w:szCs w:val="18"/>
              </w:rPr>
              <w:t>n</w:t>
            </w:r>
            <w:r w:rsidRPr="00A32873">
              <w:rPr>
                <w:rFonts w:ascii="Verdana" w:hAnsi="Verdana"/>
                <w:sz w:val="18"/>
                <w:szCs w:val="18"/>
              </w:rPr>
              <w:t>ationale wetgevingstraject (i</w:t>
            </w:r>
            <w:r>
              <w:rPr>
                <w:rFonts w:ascii="Verdana" w:hAnsi="Verdana"/>
                <w:sz w:val="18"/>
                <w:szCs w:val="18"/>
              </w:rPr>
              <w:t>.</w:t>
            </w:r>
            <w:r w:rsidRPr="00A32873">
              <w:rPr>
                <w:rFonts w:ascii="Verdana" w:hAnsi="Verdana"/>
                <w:sz w:val="18"/>
                <w:szCs w:val="18"/>
              </w:rPr>
              <w:t>h</w:t>
            </w:r>
            <w:r>
              <w:rPr>
                <w:rFonts w:ascii="Verdana" w:hAnsi="Verdana"/>
                <w:sz w:val="18"/>
                <w:szCs w:val="18"/>
              </w:rPr>
              <w:t>.</w:t>
            </w:r>
            <w:r w:rsidRPr="00A32873">
              <w:rPr>
                <w:rFonts w:ascii="Verdana" w:hAnsi="Verdana"/>
                <w:sz w:val="18"/>
                <w:szCs w:val="18"/>
              </w:rPr>
              <w:t>k</w:t>
            </w:r>
            <w:r>
              <w:rPr>
                <w:rFonts w:ascii="Verdana" w:hAnsi="Verdana"/>
                <w:sz w:val="18"/>
                <w:szCs w:val="18"/>
              </w:rPr>
              <w:t>.</w:t>
            </w:r>
            <w:r w:rsidRPr="00A32873">
              <w:rPr>
                <w:rFonts w:ascii="Verdana" w:hAnsi="Verdana"/>
                <w:sz w:val="18"/>
                <w:szCs w:val="18"/>
              </w:rPr>
              <w:t>v</w:t>
            </w:r>
            <w:r>
              <w:rPr>
                <w:rFonts w:ascii="Verdana" w:hAnsi="Verdana"/>
                <w:sz w:val="18"/>
                <w:szCs w:val="18"/>
              </w:rPr>
              <w:t>.</w:t>
            </w:r>
            <w:r w:rsidRPr="00A32873">
              <w:rPr>
                <w:rFonts w:ascii="Verdana" w:hAnsi="Verdana"/>
                <w:sz w:val="18"/>
                <w:szCs w:val="18"/>
              </w:rPr>
              <w:t xml:space="preserve"> omzetting van richtlijn naar nationale wetgeving)</w:t>
            </w:r>
            <w:r>
              <w:rPr>
                <w:rFonts w:ascii="Verdana" w:hAnsi="Verdana"/>
                <w:sz w:val="18"/>
                <w:szCs w:val="18"/>
              </w:rPr>
              <w:t>.</w:t>
            </w:r>
          </w:p>
        </w:tc>
      </w:tr>
      <w:tr w:rsidRPr="00A32873" w:rsidR="00F569B4" w:rsidTr="00144FBB">
        <w:tc>
          <w:tcPr>
            <w:tcW w:w="14142" w:type="dxa"/>
            <w:gridSpan w:val="3"/>
          </w:tcPr>
          <w:p w:rsidRPr="002F662A" w:rsidR="00F569B4" w:rsidP="00144FBB" w:rsidRDefault="00F569B4">
            <w:pPr>
              <w:pStyle w:val="Voetnoottekst"/>
              <w:rPr>
                <w:rFonts w:ascii="Verdana" w:hAnsi="Verdana"/>
                <w:i/>
                <w:sz w:val="18"/>
                <w:szCs w:val="18"/>
              </w:rPr>
            </w:pPr>
            <w:r w:rsidRPr="002F662A">
              <w:rPr>
                <w:rFonts w:ascii="Verdana" w:hAnsi="Verdana"/>
                <w:i/>
                <w:sz w:val="18"/>
                <w:szCs w:val="18"/>
              </w:rPr>
              <w:t>Niet-bindende handelingen (soft-law)</w:t>
            </w:r>
          </w:p>
        </w:tc>
      </w:tr>
      <w:tr w:rsidRPr="00A32873" w:rsidR="00F569B4" w:rsidTr="00144FBB">
        <w:tc>
          <w:tcPr>
            <w:tcW w:w="2093" w:type="dxa"/>
          </w:tcPr>
          <w:p w:rsidR="00F569B4" w:rsidP="00144FBB" w:rsidRDefault="00F569B4">
            <w:pPr>
              <w:pStyle w:val="Voetnoottekst"/>
              <w:rPr>
                <w:rFonts w:ascii="Verdana" w:hAnsi="Verdana"/>
                <w:sz w:val="18"/>
                <w:szCs w:val="18"/>
              </w:rPr>
            </w:pPr>
            <w:r w:rsidRPr="00A32873">
              <w:rPr>
                <w:rFonts w:ascii="Verdana" w:hAnsi="Verdana"/>
                <w:sz w:val="18"/>
                <w:szCs w:val="18"/>
              </w:rPr>
              <w:t xml:space="preserve">Advies, aanbeveling, </w:t>
            </w:r>
            <w:r w:rsidRPr="00A32873">
              <w:rPr>
                <w:rFonts w:ascii="Verdana" w:hAnsi="Verdana"/>
                <w:sz w:val="18"/>
                <w:szCs w:val="18"/>
              </w:rPr>
              <w:lastRenderedPageBreak/>
              <w:t>mededeling</w:t>
            </w:r>
          </w:p>
          <w:p w:rsidR="00F569B4" w:rsidP="00144FBB" w:rsidRDefault="00F569B4">
            <w:pPr>
              <w:jc w:val="right"/>
            </w:pPr>
          </w:p>
          <w:p w:rsidR="00F569B4" w:rsidP="00144FBB" w:rsidRDefault="00F569B4">
            <w:pPr>
              <w:jc w:val="right"/>
            </w:pPr>
          </w:p>
          <w:p w:rsidR="00F569B4" w:rsidP="00144FBB" w:rsidRDefault="00F569B4">
            <w:pPr>
              <w:jc w:val="right"/>
            </w:pPr>
          </w:p>
          <w:p w:rsidR="00F569B4" w:rsidP="00144FBB" w:rsidRDefault="00F569B4">
            <w:pPr>
              <w:jc w:val="right"/>
            </w:pPr>
          </w:p>
          <w:p w:rsidRPr="00B45904" w:rsidR="00F569B4" w:rsidP="00144FBB" w:rsidRDefault="00F569B4">
            <w:pPr>
              <w:jc w:val="right"/>
            </w:pPr>
          </w:p>
        </w:tc>
        <w:tc>
          <w:tcPr>
            <w:tcW w:w="6946" w:type="dxa"/>
          </w:tcPr>
          <w:p w:rsidRPr="00A32873" w:rsidR="00F569B4" w:rsidP="00144FBB" w:rsidRDefault="00F569B4">
            <w:pPr>
              <w:pStyle w:val="Voetnoottekst"/>
              <w:spacing w:before="100" w:beforeAutospacing="1" w:after="100" w:afterAutospacing="1"/>
              <w:rPr>
                <w:rFonts w:ascii="Verdana" w:hAnsi="Verdana"/>
                <w:sz w:val="18"/>
                <w:szCs w:val="18"/>
              </w:rPr>
            </w:pPr>
            <w:r w:rsidRPr="00A32873">
              <w:rPr>
                <w:rFonts w:ascii="Verdana" w:hAnsi="Verdana"/>
                <w:sz w:val="18"/>
                <w:szCs w:val="18"/>
              </w:rPr>
              <w:lastRenderedPageBreak/>
              <w:t xml:space="preserve">De EU kent een grote hoeveelheid uiteenlopende typen beleid (‘soft law’) </w:t>
            </w:r>
            <w:r w:rsidRPr="00A32873">
              <w:rPr>
                <w:rFonts w:ascii="Verdana" w:hAnsi="Verdana"/>
                <w:sz w:val="18"/>
                <w:szCs w:val="18"/>
              </w:rPr>
              <w:lastRenderedPageBreak/>
              <w:t>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soft-law.</w:t>
            </w:r>
            <w:r>
              <w:rPr>
                <w:rFonts w:ascii="Verdana" w:hAnsi="Verdana"/>
                <w:sz w:val="18"/>
                <w:szCs w:val="18"/>
              </w:rPr>
              <w:t xml:space="preserve"> </w:t>
            </w:r>
          </w:p>
        </w:tc>
        <w:tc>
          <w:tcPr>
            <w:tcW w:w="5103" w:type="dxa"/>
          </w:tcPr>
          <w:p w:rsidRPr="002E058C" w:rsidR="00F569B4" w:rsidP="00F569B4" w:rsidRDefault="00F569B4">
            <w:pPr>
              <w:pStyle w:val="Voetnoottekst"/>
              <w:numPr>
                <w:ilvl w:val="0"/>
                <w:numId w:val="1"/>
              </w:numPr>
              <w:rPr>
                <w:rFonts w:ascii="Verdana" w:hAnsi="Verdana"/>
                <w:sz w:val="18"/>
                <w:szCs w:val="18"/>
              </w:rPr>
            </w:pPr>
            <w:r>
              <w:rPr>
                <w:rFonts w:ascii="Verdana" w:hAnsi="Verdana"/>
                <w:sz w:val="18"/>
                <w:szCs w:val="18"/>
              </w:rPr>
              <w:lastRenderedPageBreak/>
              <w:t>k</w:t>
            </w:r>
            <w:r w:rsidRPr="002E058C">
              <w:rPr>
                <w:rFonts w:ascii="Verdana" w:hAnsi="Verdana"/>
                <w:sz w:val="18"/>
                <w:szCs w:val="18"/>
              </w:rPr>
              <w:t xml:space="preserve">abinet om appreciatie in de vorm van BNC-fiche </w:t>
            </w:r>
            <w:r w:rsidRPr="002E058C">
              <w:rPr>
                <w:rFonts w:ascii="Verdana" w:hAnsi="Verdana"/>
                <w:sz w:val="18"/>
                <w:szCs w:val="18"/>
              </w:rPr>
              <w:lastRenderedPageBreak/>
              <w:t>verzoeken aangezien over deze categorie niet standaard een fiche wordt gemaakt.</w:t>
            </w:r>
          </w:p>
          <w:p w:rsidR="00F569B4" w:rsidP="00144FBB" w:rsidRDefault="00F569B4">
            <w:pPr>
              <w:pStyle w:val="Voetnoottekst"/>
              <w:rPr>
                <w:rFonts w:ascii="Verdana" w:hAnsi="Verdana"/>
                <w:sz w:val="18"/>
                <w:szCs w:val="18"/>
              </w:rPr>
            </w:pPr>
          </w:p>
          <w:p w:rsidR="00F569B4" w:rsidP="00144FBB" w:rsidRDefault="00F569B4">
            <w:pPr>
              <w:pStyle w:val="Voetnoottekst"/>
              <w:rPr>
                <w:rFonts w:ascii="Verdana" w:hAnsi="Verdana"/>
                <w:sz w:val="18"/>
                <w:szCs w:val="18"/>
              </w:rPr>
            </w:pPr>
          </w:p>
          <w:p w:rsidR="00F569B4" w:rsidP="00144FBB" w:rsidRDefault="00F569B4">
            <w:pPr>
              <w:pStyle w:val="Voetnoottekst"/>
              <w:rPr>
                <w:rFonts w:ascii="Verdana" w:hAnsi="Verdana"/>
                <w:sz w:val="18"/>
                <w:szCs w:val="18"/>
              </w:rPr>
            </w:pPr>
          </w:p>
          <w:p w:rsidR="00F569B4" w:rsidP="00144FBB" w:rsidRDefault="00F569B4">
            <w:pPr>
              <w:pStyle w:val="Voetnoottekst"/>
              <w:rPr>
                <w:rFonts w:ascii="Verdana" w:hAnsi="Verdana"/>
                <w:sz w:val="18"/>
                <w:szCs w:val="18"/>
              </w:rPr>
            </w:pPr>
          </w:p>
          <w:p w:rsidRPr="00A32873" w:rsidR="00F569B4" w:rsidP="00144FBB" w:rsidRDefault="00F569B4">
            <w:pPr>
              <w:pStyle w:val="Voetnoottekst"/>
              <w:rPr>
                <w:rFonts w:ascii="Verdana" w:hAnsi="Verdana"/>
                <w:sz w:val="18"/>
                <w:szCs w:val="18"/>
              </w:rPr>
            </w:pPr>
          </w:p>
        </w:tc>
      </w:tr>
      <w:tr w:rsidRPr="00A32873" w:rsidR="00F569B4" w:rsidTr="00144FBB">
        <w:tc>
          <w:tcPr>
            <w:tcW w:w="14142" w:type="dxa"/>
            <w:gridSpan w:val="3"/>
          </w:tcPr>
          <w:p w:rsidRPr="002F662A" w:rsidR="00F569B4" w:rsidP="00144FBB" w:rsidRDefault="00F569B4">
            <w:pPr>
              <w:pStyle w:val="Voetnoottekst"/>
              <w:rPr>
                <w:rFonts w:ascii="Verdana" w:hAnsi="Verdana"/>
                <w:i/>
                <w:sz w:val="18"/>
                <w:szCs w:val="18"/>
              </w:rPr>
            </w:pPr>
            <w:r w:rsidRPr="002F662A">
              <w:rPr>
                <w:rFonts w:ascii="Verdana" w:hAnsi="Verdana"/>
                <w:i/>
                <w:sz w:val="18"/>
                <w:szCs w:val="18"/>
              </w:rPr>
              <w:lastRenderedPageBreak/>
              <w:t xml:space="preserve">Overige handelingen en instrumenten </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Routekaart, actieplannen, strategie, agenda </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cs="Arial"/>
                <w:sz w:val="18"/>
                <w:szCs w:val="18"/>
              </w:rPr>
              <w:t>Via routekaarten, actieplannen, strategieën en agenda’s</w:t>
            </w:r>
            <w:r>
              <w:rPr>
                <w:rFonts w:ascii="Verdana" w:hAnsi="Verdana" w:cs="Arial"/>
                <w:sz w:val="18"/>
                <w:szCs w:val="18"/>
              </w:rPr>
              <w:t xml:space="preserve"> </w:t>
            </w:r>
            <w:r w:rsidRPr="00A32873">
              <w:rPr>
                <w:rFonts w:ascii="Verdana" w:hAnsi="Verdana" w:cs="Arial"/>
                <w:sz w:val="18"/>
                <w:szCs w:val="18"/>
              </w:rPr>
              <w:t xml:space="preserve">informeert de Europese Commissie belanghebbenden en burgers over nieuwe initiatieven, evaluaties en geschiktheidscontroles. In deze documenten </w:t>
            </w:r>
            <w:r w:rsidRPr="00A32873">
              <w:rPr>
                <w:rStyle w:val="Zwaar"/>
                <w:rFonts w:ascii="Verdana" w:hAnsi="Verdana" w:cs="Arial"/>
                <w:sz w:val="18"/>
                <w:szCs w:val="18"/>
              </w:rPr>
              <w:t>voor nieuwe initiatieven</w:t>
            </w:r>
            <w:r w:rsidRPr="00A32873">
              <w:rPr>
                <w:rFonts w:ascii="Verdana" w:hAnsi="Verdana" w:cs="Arial"/>
                <w:sz w:val="18"/>
                <w:szCs w:val="18"/>
              </w:rPr>
              <w:t xml:space="preserve"> wordt uitgelegd wat het probleem is, wat de Commissie wil bereiken, waarom juist de EU maatregelen moet nemen, wat de toegevoegde waarde is en welke alternatieven er zijn. In deze documenten</w:t>
            </w:r>
            <w:r w:rsidRPr="00A32873">
              <w:rPr>
                <w:rStyle w:val="Zwaar"/>
                <w:rFonts w:ascii="Verdana" w:hAnsi="Verdana" w:cs="Arial"/>
                <w:sz w:val="18"/>
                <w:szCs w:val="18"/>
              </w:rPr>
              <w:t xml:space="preserve"> voor evaluaties en geschiktheidscontroles</w:t>
            </w:r>
            <w:r w:rsidRPr="00A32873">
              <w:rPr>
                <w:rFonts w:ascii="Verdana" w:hAnsi="Verdana" w:cs="Arial"/>
                <w:sz w:val="18"/>
                <w:szCs w:val="18"/>
              </w:rPr>
              <w:t xml:space="preserve"> wordt bepaald wat er geëvalueerd moet worden en welke aspecten moeten worden onderzocht. </w:t>
            </w:r>
          </w:p>
        </w:tc>
        <w:tc>
          <w:tcPr>
            <w:tcW w:w="5103" w:type="dxa"/>
          </w:tcPr>
          <w:p w:rsidR="00F569B4" w:rsidP="00F569B4" w:rsidRDefault="00F569B4">
            <w:pPr>
              <w:pStyle w:val="Voetnoottekst"/>
              <w:numPr>
                <w:ilvl w:val="0"/>
                <w:numId w:val="1"/>
              </w:numPr>
              <w:rPr>
                <w:rFonts w:ascii="Verdana" w:hAnsi="Verdana"/>
                <w:sz w:val="18"/>
                <w:szCs w:val="18"/>
              </w:rPr>
            </w:pPr>
            <w:r>
              <w:rPr>
                <w:rFonts w:ascii="Verdana" w:hAnsi="Verdana"/>
                <w:sz w:val="18"/>
                <w:szCs w:val="18"/>
              </w:rPr>
              <w:t>k</w:t>
            </w:r>
            <w:r w:rsidRPr="002E058C">
              <w:rPr>
                <w:rFonts w:ascii="Verdana" w:hAnsi="Verdana"/>
                <w:sz w:val="18"/>
                <w:szCs w:val="18"/>
              </w:rPr>
              <w:t xml:space="preserve">abinet om appreciatie in de vorm van BNC-fiche verzoeken aangezien over deze categorie niet standaard een fiche wordt </w:t>
            </w:r>
            <w:r>
              <w:rPr>
                <w:rFonts w:ascii="Verdana" w:hAnsi="Verdana"/>
                <w:sz w:val="18"/>
                <w:szCs w:val="18"/>
              </w:rPr>
              <w:t>gemaakt</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 xml:space="preserve">en/of </w:t>
            </w:r>
            <w:r>
              <w:rPr>
                <w:rFonts w:ascii="Verdana" w:hAnsi="Verdana"/>
                <w:sz w:val="18"/>
                <w:szCs w:val="18"/>
              </w:rPr>
              <w:t>kabinet</w:t>
            </w:r>
            <w:r w:rsidRPr="00A32873">
              <w:rPr>
                <w:rFonts w:ascii="Verdana" w:hAnsi="Verdana"/>
                <w:sz w:val="18"/>
                <w:szCs w:val="18"/>
              </w:rPr>
              <w:t xml:space="preserve"> vragen om NL inzet (per commissiebrief of tijdens algemeen overleg</w:t>
            </w:r>
            <w:r>
              <w:rPr>
                <w:rFonts w:ascii="Verdana" w:hAnsi="Verdana"/>
                <w:sz w:val="18"/>
                <w:szCs w:val="18"/>
              </w:rPr>
              <w:t>/debat</w:t>
            </w:r>
            <w:r w:rsidRPr="00A32873">
              <w:rPr>
                <w:rFonts w:ascii="Verdana" w:hAnsi="Verdana"/>
                <w:sz w:val="18"/>
                <w:szCs w:val="18"/>
              </w:rPr>
              <w:t>)</w:t>
            </w:r>
            <w:r>
              <w:rPr>
                <w:rFonts w:ascii="Verdana" w:hAnsi="Verdana"/>
                <w:sz w:val="18"/>
                <w:szCs w:val="18"/>
              </w:rPr>
              <w:t>.</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Groen- en witboek</w:t>
            </w:r>
          </w:p>
        </w:tc>
        <w:tc>
          <w:tcPr>
            <w:tcW w:w="6946"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Groenboek: een discussiestuk, waarmee de Europese Commissie de stand van zaken inventariseert omtrent een onderwerp. Ook doet ze aanbevelingen voor nieuw</w:t>
            </w:r>
            <w:r>
              <w:rPr>
                <w:rFonts w:ascii="Verdana" w:hAnsi="Verdana"/>
                <w:sz w:val="18"/>
                <w:szCs w:val="18"/>
              </w:rPr>
              <w:t xml:space="preserve"> </w:t>
            </w:r>
            <w:r w:rsidRPr="00A32873">
              <w:rPr>
                <w:rFonts w:ascii="Verdana" w:hAnsi="Verdana"/>
                <w:sz w:val="18"/>
                <w:szCs w:val="18"/>
              </w:rPr>
              <w:t xml:space="preserve">beleid. </w:t>
            </w:r>
          </w:p>
          <w:p w:rsidRPr="00A32873" w:rsidR="00F569B4" w:rsidP="00144FBB" w:rsidRDefault="00F569B4">
            <w:pPr>
              <w:pStyle w:val="Voetnoottekst"/>
              <w:rPr>
                <w:rFonts w:ascii="Verdana" w:hAnsi="Verdana"/>
                <w:sz w:val="18"/>
                <w:szCs w:val="18"/>
              </w:rPr>
            </w:pPr>
          </w:p>
          <w:p w:rsidRPr="00A32873" w:rsidR="00F569B4" w:rsidP="00144FBB" w:rsidRDefault="00F569B4">
            <w:pPr>
              <w:pStyle w:val="Voetnoottekst"/>
              <w:rPr>
                <w:rFonts w:ascii="Verdana" w:hAnsi="Verdana"/>
                <w:sz w:val="18"/>
                <w:szCs w:val="18"/>
              </w:rPr>
            </w:pPr>
            <w:r w:rsidRPr="00A32873">
              <w:rPr>
                <w:rFonts w:ascii="Verdana" w:hAnsi="Verdana"/>
                <w:sz w:val="18"/>
                <w:szCs w:val="18"/>
              </w:rPr>
              <w:t>Witboek: hierin zet de Europese Commissie uiteen hoe zij bepaalde doelen wil bereiken. Vaak worden in een witboek al concrete voorstellen uitgewerkt en toegelicht.</w:t>
            </w:r>
          </w:p>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De Europese Commissie nodigt overheden, nationale parlementen en andere organisaties uit om binnen een bepaalde termijn op een Groen- of Witboek te reageren. </w:t>
            </w:r>
          </w:p>
        </w:tc>
        <w:tc>
          <w:tcPr>
            <w:tcW w:w="5103" w:type="dxa"/>
          </w:tcPr>
          <w:p w:rsidR="00F569B4" w:rsidP="00F569B4" w:rsidRDefault="00F569B4">
            <w:pPr>
              <w:pStyle w:val="Voetnoottekst"/>
              <w:numPr>
                <w:ilvl w:val="0"/>
                <w:numId w:val="1"/>
              </w:numPr>
              <w:rPr>
                <w:rFonts w:ascii="Verdana" w:hAnsi="Verdana"/>
                <w:sz w:val="18"/>
                <w:szCs w:val="18"/>
              </w:rPr>
            </w:pPr>
            <w:r w:rsidRPr="002E058C">
              <w:rPr>
                <w:rFonts w:ascii="Verdana" w:hAnsi="Verdana"/>
                <w:sz w:val="18"/>
                <w:szCs w:val="18"/>
              </w:rPr>
              <w:t>desgewenst ambtenaren EC of Europees Commissaris uitnodigen voor een toelichting.</w:t>
            </w:r>
          </w:p>
          <w:p w:rsidR="00F569B4" w:rsidP="00F569B4" w:rsidRDefault="00F569B4">
            <w:pPr>
              <w:pStyle w:val="Voetnoottekst"/>
              <w:numPr>
                <w:ilvl w:val="0"/>
                <w:numId w:val="1"/>
              </w:numPr>
              <w:rPr>
                <w:rFonts w:ascii="Verdana" w:hAnsi="Verdana"/>
                <w:sz w:val="18"/>
                <w:szCs w:val="18"/>
              </w:rPr>
            </w:pPr>
            <w:r>
              <w:rPr>
                <w:rFonts w:ascii="Verdana" w:hAnsi="Verdana"/>
                <w:sz w:val="18"/>
                <w:szCs w:val="18"/>
              </w:rPr>
              <w:t>i</w:t>
            </w:r>
            <w:r w:rsidRPr="002E058C">
              <w:rPr>
                <w:rFonts w:ascii="Verdana" w:hAnsi="Verdana"/>
                <w:sz w:val="18"/>
                <w:szCs w:val="18"/>
              </w:rPr>
              <w:t>n commissieverband (via schriftelijke inbreng in de vorm van een politieke dialoog) of als lid, burger of via fracties een reactie sturen aan de Europese Commissie.</w:t>
            </w:r>
          </w:p>
          <w:p w:rsidRPr="00A32873" w:rsidR="00F569B4" w:rsidP="00F569B4" w:rsidRDefault="00F569B4">
            <w:pPr>
              <w:pStyle w:val="Voetnoottekst"/>
              <w:numPr>
                <w:ilvl w:val="0"/>
                <w:numId w:val="1"/>
              </w:numPr>
              <w:rPr>
                <w:rFonts w:ascii="Verdana" w:hAnsi="Verdana"/>
                <w:sz w:val="18"/>
                <w:szCs w:val="18"/>
              </w:rPr>
            </w:pPr>
            <w:r w:rsidRPr="00A32873">
              <w:rPr>
                <w:rFonts w:ascii="Verdana" w:hAnsi="Verdana"/>
                <w:sz w:val="18"/>
                <w:szCs w:val="18"/>
              </w:rPr>
              <w:t>kabinet stuurt de Kamer het concept van haar reactie op Groen- en Witboeken tenminste dertig dagen voor het verstrijken van de reactietermijn bij de Europese Commissie. Ook de definitieve reactie wordt in afschrift aan de Kamer gezonden. Deze reactie kan in behandeling worden genomen, bv</w:t>
            </w:r>
            <w:r>
              <w:rPr>
                <w:rFonts w:ascii="Verdana" w:hAnsi="Verdana"/>
                <w:sz w:val="18"/>
                <w:szCs w:val="18"/>
              </w:rPr>
              <w:t>.</w:t>
            </w:r>
            <w:r w:rsidRPr="00A32873">
              <w:rPr>
                <w:rFonts w:ascii="Verdana" w:hAnsi="Verdana"/>
                <w:sz w:val="18"/>
                <w:szCs w:val="18"/>
              </w:rPr>
              <w:t xml:space="preserve"> door te agenderen voor een algemeen overleg</w:t>
            </w:r>
            <w:r>
              <w:rPr>
                <w:rFonts w:ascii="Verdana" w:hAnsi="Verdana"/>
                <w:sz w:val="18"/>
                <w:szCs w:val="18"/>
              </w:rPr>
              <w:t>/debat</w:t>
            </w:r>
            <w:r w:rsidRPr="00A32873">
              <w:rPr>
                <w:rFonts w:ascii="Verdana" w:hAnsi="Verdana"/>
                <w:sz w:val="18"/>
                <w:szCs w:val="18"/>
              </w:rPr>
              <w:t>.</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Openbare raadpleging (consultatie)</w:t>
            </w:r>
          </w:p>
        </w:tc>
        <w:tc>
          <w:tcPr>
            <w:tcW w:w="6946" w:type="dxa"/>
          </w:tcPr>
          <w:p w:rsidRPr="00A32873" w:rsidR="00F569B4" w:rsidP="00144FBB" w:rsidRDefault="00F569B4">
            <w:pPr>
              <w:pStyle w:val="Voetnoottekst"/>
              <w:spacing w:before="100" w:beforeAutospacing="1" w:after="100" w:afterAutospacing="1"/>
              <w:rPr>
                <w:rFonts w:ascii="Verdana" w:hAnsi="Verdana"/>
                <w:sz w:val="18"/>
                <w:szCs w:val="18"/>
              </w:rPr>
            </w:pPr>
            <w:r w:rsidRPr="00A32873">
              <w:rPr>
                <w:rFonts w:ascii="Verdana" w:hAnsi="Verdana"/>
                <w:sz w:val="18"/>
                <w:szCs w:val="18"/>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4">
              <w:r w:rsidRPr="00A32873">
                <w:rPr>
                  <w:rStyle w:val="Hyperlink"/>
                  <w:rFonts w:ascii="Verdana" w:hAnsi="Verdana"/>
                  <w:sz w:val="18"/>
                  <w:szCs w:val="18"/>
                </w:rPr>
                <w:t>Bekijk alle openbare raadplegingen op "Uw stem in Europa"</w:t>
              </w:r>
            </w:hyperlink>
            <w:r w:rsidRPr="00A32873">
              <w:rPr>
                <w:rFonts w:ascii="Verdana" w:hAnsi="Verdana"/>
                <w:sz w:val="18"/>
                <w:szCs w:val="18"/>
              </w:rPr>
              <w:t xml:space="preserve"> . </w:t>
            </w:r>
          </w:p>
        </w:tc>
        <w:tc>
          <w:tcPr>
            <w:tcW w:w="5103" w:type="dxa"/>
          </w:tcPr>
          <w:p w:rsidR="00F569B4" w:rsidP="00F569B4" w:rsidRDefault="00F569B4">
            <w:pPr>
              <w:pStyle w:val="Voetnoottekst"/>
              <w:numPr>
                <w:ilvl w:val="0"/>
                <w:numId w:val="1"/>
              </w:numPr>
              <w:autoSpaceDE w:val="0"/>
              <w:autoSpaceDN w:val="0"/>
              <w:rPr>
                <w:rFonts w:ascii="Verdana" w:hAnsi="Verdana"/>
                <w:sz w:val="18"/>
                <w:szCs w:val="18"/>
              </w:rPr>
            </w:pPr>
            <w:r w:rsidRPr="00782306">
              <w:rPr>
                <w:rFonts w:ascii="Verdana" w:hAnsi="Verdana"/>
                <w:sz w:val="18"/>
                <w:szCs w:val="18"/>
              </w:rPr>
              <w:t>als burger, lid, fractie of in commissieverband (via schriftelijke inbreng in de vorm van een politieke dialoog). meedoen aan de openbare raadpleging.</w:t>
            </w:r>
          </w:p>
          <w:p w:rsidR="00F569B4" w:rsidP="00F569B4" w:rsidRDefault="00F569B4">
            <w:pPr>
              <w:pStyle w:val="Voetnoottekst"/>
              <w:numPr>
                <w:ilvl w:val="0"/>
                <w:numId w:val="1"/>
              </w:numPr>
              <w:autoSpaceDE w:val="0"/>
              <w:autoSpaceDN w:val="0"/>
              <w:rPr>
                <w:rFonts w:ascii="Verdana" w:hAnsi="Verdana"/>
                <w:sz w:val="18"/>
                <w:szCs w:val="18"/>
              </w:rPr>
            </w:pPr>
            <w:r w:rsidRPr="00782306">
              <w:rPr>
                <w:rFonts w:ascii="Verdana" w:hAnsi="Verdana"/>
                <w:sz w:val="18"/>
                <w:szCs w:val="18"/>
              </w:rPr>
              <w:t>kabinet verzoeken om de concept-kabinetsreactie naar de Kamer te sturen voordat de definitieve versie naar de Europese Commissie wordt gestuurd, teneinde desgewenst hierover met de bewindspersoon in gesprek te treden.</w:t>
            </w:r>
          </w:p>
          <w:p w:rsidRPr="00A32873" w:rsidR="00F569B4" w:rsidP="00F569B4" w:rsidRDefault="00F569B4">
            <w:pPr>
              <w:pStyle w:val="Voetnoottekst"/>
              <w:numPr>
                <w:ilvl w:val="0"/>
                <w:numId w:val="1"/>
              </w:numPr>
              <w:autoSpaceDE w:val="0"/>
              <w:autoSpaceDN w:val="0"/>
              <w:rPr>
                <w:rFonts w:ascii="Verdana" w:hAnsi="Verdana"/>
                <w:sz w:val="18"/>
                <w:szCs w:val="18"/>
              </w:rPr>
            </w:pPr>
            <w:r>
              <w:rPr>
                <w:rFonts w:ascii="Verdana" w:hAnsi="Verdana"/>
                <w:sz w:val="18"/>
                <w:szCs w:val="18"/>
              </w:rPr>
              <w:t>d</w:t>
            </w:r>
            <w:r w:rsidRPr="00782306">
              <w:rPr>
                <w:rFonts w:ascii="Verdana" w:hAnsi="Verdana"/>
                <w:sz w:val="18"/>
                <w:szCs w:val="18"/>
              </w:rPr>
              <w:t xml:space="preserve">e Kamer ontvangt krachtens de standaard-informatieafspraken de definitieve </w:t>
            </w:r>
            <w:r w:rsidRPr="00782306">
              <w:rPr>
                <w:rFonts w:ascii="Verdana" w:hAnsi="Verdana"/>
                <w:sz w:val="18"/>
                <w:szCs w:val="18"/>
              </w:rPr>
              <w:lastRenderedPageBreak/>
              <w:t>kabinetsreactie op alle consultaties van de Europese Commissie waarop het kabinet reageert.</w:t>
            </w:r>
          </w:p>
        </w:tc>
      </w:tr>
      <w:tr w:rsidRPr="00A32873" w:rsidR="00F569B4" w:rsidTr="00144FBB">
        <w:tc>
          <w:tcPr>
            <w:tcW w:w="14142" w:type="dxa"/>
            <w:gridSpan w:val="3"/>
          </w:tcPr>
          <w:p w:rsidRPr="002F662A" w:rsidR="00F569B4" w:rsidP="00144FBB" w:rsidRDefault="00F569B4">
            <w:pPr>
              <w:pStyle w:val="Voetnoottekst"/>
              <w:rPr>
                <w:rFonts w:ascii="Verdana" w:hAnsi="Verdana"/>
                <w:i/>
                <w:sz w:val="18"/>
                <w:szCs w:val="18"/>
              </w:rPr>
            </w:pPr>
            <w:r w:rsidRPr="002F662A">
              <w:rPr>
                <w:rFonts w:ascii="Verdana" w:hAnsi="Verdana"/>
                <w:i/>
                <w:sz w:val="18"/>
                <w:szCs w:val="18"/>
              </w:rPr>
              <w:lastRenderedPageBreak/>
              <w:t>Uitgelicht: twee specifieke parlementaire instrumenten bij</w:t>
            </w:r>
            <w:r>
              <w:rPr>
                <w:rFonts w:ascii="Verdana" w:hAnsi="Verdana"/>
                <w:i/>
                <w:sz w:val="18"/>
                <w:szCs w:val="18"/>
              </w:rPr>
              <w:t xml:space="preserve"> </w:t>
            </w:r>
            <w:r w:rsidRPr="002F662A">
              <w:rPr>
                <w:rFonts w:ascii="Verdana" w:hAnsi="Verdana"/>
                <w:i/>
                <w:sz w:val="18"/>
                <w:szCs w:val="18"/>
              </w:rPr>
              <w:t>nieuw gepubliceerde EU-voorstellen</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 xml:space="preserve">Subsidiariteitstoets </w:t>
            </w:r>
          </w:p>
          <w:p w:rsidRPr="00A32873" w:rsidR="00F569B4" w:rsidP="00144FBB" w:rsidRDefault="00F569B4">
            <w:pPr>
              <w:pStyle w:val="Voetnoottekst"/>
              <w:rPr>
                <w:rFonts w:ascii="Verdana" w:hAnsi="Verdana"/>
                <w:sz w:val="18"/>
                <w:szCs w:val="18"/>
              </w:rPr>
            </w:pPr>
            <w:r w:rsidRPr="00A32873">
              <w:rPr>
                <w:rFonts w:ascii="Verdana" w:hAnsi="Verdana"/>
                <w:sz w:val="18"/>
                <w:szCs w:val="18"/>
              </w:rPr>
              <w:t>(richting EU)</w:t>
            </w:r>
          </w:p>
        </w:tc>
        <w:tc>
          <w:tcPr>
            <w:tcW w:w="6946" w:type="dxa"/>
          </w:tcPr>
          <w:p w:rsidRPr="00A32873" w:rsidR="00F569B4" w:rsidP="00144FBB" w:rsidRDefault="00F569B4">
            <w:pPr>
              <w:pStyle w:val="Lijstalinea"/>
              <w:ind w:left="0"/>
              <w:rPr>
                <w:rFonts w:ascii="Verdana" w:hAnsi="Verdana"/>
                <w:sz w:val="18"/>
                <w:szCs w:val="18"/>
              </w:rPr>
            </w:pPr>
            <w:r w:rsidRPr="00A32873">
              <w:rPr>
                <w:rFonts w:ascii="Verdana" w:hAnsi="Verdana"/>
                <w:sz w:val="18"/>
                <w:szCs w:val="18"/>
              </w:rPr>
              <w:t>Bij een subsidiariteitstoets toetst een nationale (</w:t>
            </w:r>
            <w:r>
              <w:rPr>
                <w:rFonts w:ascii="Verdana" w:hAnsi="Verdana"/>
                <w:sz w:val="18"/>
                <w:szCs w:val="18"/>
              </w:rPr>
              <w:t>K</w:t>
            </w:r>
            <w:r w:rsidRPr="00A32873">
              <w:rPr>
                <w:rFonts w:ascii="Verdana" w:hAnsi="Verdana"/>
                <w:sz w:val="18"/>
                <w:szCs w:val="18"/>
              </w:rPr>
              <w:t>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w:t>
            </w:r>
            <w:r>
              <w:rPr>
                <w:rFonts w:ascii="Verdana" w:hAnsi="Verdana"/>
                <w:sz w:val="18"/>
                <w:szCs w:val="18"/>
              </w:rPr>
              <w:t xml:space="preserve"> </w:t>
            </w:r>
            <w:r w:rsidRPr="00A32873">
              <w:rPr>
                <w:rFonts w:ascii="Verdana" w:hAnsi="Verdana"/>
                <w:sz w:val="18"/>
                <w:szCs w:val="18"/>
              </w:rPr>
              <w:t>weken bezwaar maken uit een oogpunt van subsidiariteit. Een zgn. “gele kaart”</w:t>
            </w:r>
            <w:r>
              <w:rPr>
                <w:rFonts w:ascii="Verdana" w:hAnsi="Verdana"/>
                <w:sz w:val="18"/>
                <w:szCs w:val="18"/>
              </w:rPr>
              <w:t xml:space="preserve"> </w:t>
            </w:r>
            <w:r w:rsidRPr="00A32873">
              <w:rPr>
                <w:rFonts w:ascii="Verdana" w:hAnsi="Verdana"/>
                <w:sz w:val="18"/>
                <w:szCs w:val="18"/>
              </w:rPr>
              <w:t>is voor de Commissie geldig als 1/3 van de nationale parlementen een voorstel in strijd acht met het subsidiariteitsbeginsel. De Europese Commissie moet dan haar voorstel heroverwegen.</w:t>
            </w:r>
            <w:r>
              <w:rPr>
                <w:rFonts w:ascii="Verdana" w:hAnsi="Verdana"/>
                <w:sz w:val="18"/>
                <w:szCs w:val="18"/>
              </w:rPr>
              <w:t xml:space="preserve"> I</w:t>
            </w:r>
            <w:r w:rsidRPr="00A32873">
              <w:rPr>
                <w:rFonts w:ascii="Verdana" w:hAnsi="Verdana"/>
                <w:sz w:val="18"/>
                <w:szCs w:val="18"/>
              </w:rPr>
              <w:t xml:space="preserve">n totaal zijn er </w:t>
            </w:r>
            <w:r>
              <w:rPr>
                <w:rFonts w:ascii="Verdana" w:hAnsi="Verdana"/>
                <w:sz w:val="18"/>
                <w:szCs w:val="18"/>
              </w:rPr>
              <w:t xml:space="preserve">28 Parlementen met </w:t>
            </w:r>
            <w:r w:rsidRPr="00A32873">
              <w:rPr>
                <w:rFonts w:ascii="Verdana" w:hAnsi="Verdana"/>
                <w:sz w:val="18"/>
                <w:szCs w:val="18"/>
              </w:rPr>
              <w:t>4</w:t>
            </w:r>
            <w:r>
              <w:rPr>
                <w:rFonts w:ascii="Verdana" w:hAnsi="Verdana"/>
                <w:sz w:val="18"/>
                <w:szCs w:val="18"/>
              </w:rPr>
              <w:t>1</w:t>
            </w:r>
            <w:r w:rsidRPr="00A32873">
              <w:rPr>
                <w:rFonts w:ascii="Verdana" w:hAnsi="Verdana"/>
                <w:sz w:val="18"/>
                <w:szCs w:val="18"/>
              </w:rPr>
              <w:t xml:space="preserve"> </w:t>
            </w:r>
            <w:r>
              <w:rPr>
                <w:rFonts w:ascii="Verdana" w:hAnsi="Verdana"/>
                <w:sz w:val="18"/>
                <w:szCs w:val="18"/>
              </w:rPr>
              <w:t xml:space="preserve">Kamers </w:t>
            </w:r>
            <w:r w:rsidRPr="00A32873">
              <w:rPr>
                <w:rFonts w:ascii="Verdana" w:hAnsi="Verdana"/>
                <w:sz w:val="18"/>
                <w:szCs w:val="18"/>
              </w:rPr>
              <w:t>in de EU</w:t>
            </w:r>
            <w:r>
              <w:rPr>
                <w:rFonts w:ascii="Verdana" w:hAnsi="Verdana"/>
                <w:sz w:val="18"/>
                <w:szCs w:val="18"/>
              </w:rPr>
              <w:t xml:space="preserve">. </w:t>
            </w:r>
            <w:r>
              <w:rPr>
                <w:rFonts w:asciiTheme="minorHAnsi" w:hAnsiTheme="minorHAnsi" w:cstheme="minorHAnsi"/>
                <w:color w:val="000000" w:themeColor="text1"/>
                <w:sz w:val="22"/>
              </w:rPr>
              <w:t>E</w:t>
            </w:r>
            <w:r w:rsidRPr="00D74760">
              <w:rPr>
                <w:rFonts w:asciiTheme="minorHAnsi" w:hAnsiTheme="minorHAnsi" w:cstheme="minorHAnsi"/>
                <w:color w:val="000000" w:themeColor="text1"/>
                <w:sz w:val="22"/>
              </w:rPr>
              <w:t xml:space="preserve">lk parlement krijgt 2 stemmen, maar </w:t>
            </w:r>
            <w:r>
              <w:rPr>
                <w:rFonts w:asciiTheme="minorHAnsi" w:hAnsiTheme="minorHAnsi" w:cstheme="minorHAnsi"/>
                <w:color w:val="000000" w:themeColor="text1"/>
                <w:sz w:val="22"/>
              </w:rPr>
              <w:t xml:space="preserve">bij </w:t>
            </w:r>
            <w:r w:rsidRPr="00D74760">
              <w:rPr>
                <w:rFonts w:asciiTheme="minorHAnsi" w:hAnsiTheme="minorHAnsi" w:cstheme="minorHAnsi"/>
                <w:color w:val="000000" w:themeColor="text1"/>
                <w:sz w:val="22"/>
              </w:rPr>
              <w:t>een bi</w:t>
            </w:r>
            <w:r>
              <w:rPr>
                <w:rFonts w:asciiTheme="minorHAnsi" w:hAnsiTheme="minorHAnsi" w:cstheme="minorHAnsi"/>
                <w:color w:val="000000" w:themeColor="text1"/>
                <w:sz w:val="22"/>
              </w:rPr>
              <w:t>c</w:t>
            </w:r>
            <w:r w:rsidRPr="00D74760">
              <w:rPr>
                <w:rFonts w:asciiTheme="minorHAnsi" w:hAnsiTheme="minorHAnsi" w:cstheme="minorHAnsi"/>
                <w:color w:val="000000" w:themeColor="text1"/>
                <w:sz w:val="22"/>
              </w:rPr>
              <w:t>ameraal stelsel, zoals in Nederland</w:t>
            </w:r>
            <w:r>
              <w:rPr>
                <w:rFonts w:asciiTheme="minorHAnsi" w:hAnsiTheme="minorHAnsi" w:cstheme="minorHAnsi"/>
                <w:color w:val="000000" w:themeColor="text1"/>
                <w:sz w:val="22"/>
              </w:rPr>
              <w:t xml:space="preserve">, </w:t>
            </w:r>
            <w:r w:rsidRPr="00D74760">
              <w:rPr>
                <w:rFonts w:asciiTheme="minorHAnsi" w:hAnsiTheme="minorHAnsi" w:cstheme="minorHAnsi"/>
                <w:color w:val="000000" w:themeColor="text1"/>
                <w:sz w:val="22"/>
              </w:rPr>
              <w:t>krijgt elke kamer 1 stem</w:t>
            </w:r>
            <w:r>
              <w:rPr>
                <w:rFonts w:ascii="Verdana" w:hAnsi="Verdana"/>
                <w:sz w:val="18"/>
                <w:szCs w:val="18"/>
              </w:rPr>
              <w:t>.</w:t>
            </w:r>
            <w:r w:rsidRPr="00D74760">
              <w:rPr>
                <w:rFonts w:asciiTheme="minorHAnsi" w:hAnsiTheme="minorHAnsi" w:cstheme="minorHAnsi"/>
                <w:color w:val="000000" w:themeColor="text1"/>
                <w:sz w:val="22"/>
              </w:rPr>
              <w:t xml:space="preserve"> Om een gele kaart te trekken moeten er 19 stemmen worden gehaald.</w:t>
            </w:r>
          </w:p>
        </w:tc>
        <w:tc>
          <w:tcPr>
            <w:tcW w:w="5103" w:type="dxa"/>
          </w:tcPr>
          <w:p w:rsidR="00F569B4" w:rsidP="00F569B4" w:rsidRDefault="00F569B4">
            <w:pPr>
              <w:pStyle w:val="Voetnoottekst"/>
              <w:numPr>
                <w:ilvl w:val="0"/>
                <w:numId w:val="1"/>
              </w:numPr>
              <w:rPr>
                <w:rFonts w:ascii="Verdana" w:hAnsi="Verdana"/>
                <w:sz w:val="18"/>
                <w:szCs w:val="18"/>
              </w:rPr>
            </w:pPr>
            <w:r>
              <w:rPr>
                <w:rFonts w:ascii="Verdana" w:hAnsi="Verdana"/>
                <w:sz w:val="18"/>
                <w:szCs w:val="18"/>
              </w:rPr>
              <w:t>b</w:t>
            </w:r>
            <w:r w:rsidRPr="00782306">
              <w:rPr>
                <w:rFonts w:ascii="Verdana" w:hAnsi="Verdana"/>
                <w:sz w:val="18"/>
                <w:szCs w:val="18"/>
              </w:rPr>
              <w:t xml:space="preserve">ij wetgevende EU-voorstellen kan een Kamercommissie besluiten tot het uitvoeren van een subsidiariteitstoets. Let op: dit moet binnen </w:t>
            </w:r>
            <w:r>
              <w:rPr>
                <w:rFonts w:ascii="Verdana" w:hAnsi="Verdana"/>
                <w:sz w:val="18"/>
                <w:szCs w:val="18"/>
              </w:rPr>
              <w:t>acht</w:t>
            </w:r>
            <w:r w:rsidRPr="00782306">
              <w:rPr>
                <w:rFonts w:ascii="Verdana" w:hAnsi="Verdana"/>
                <w:sz w:val="18"/>
                <w:szCs w:val="18"/>
              </w:rPr>
              <w:t xml:space="preserve"> weken na het uitkomen van </w:t>
            </w:r>
            <w:r>
              <w:rPr>
                <w:rFonts w:ascii="Verdana" w:hAnsi="Verdana"/>
                <w:sz w:val="18"/>
                <w:szCs w:val="18"/>
              </w:rPr>
              <w:t xml:space="preserve">alle </w:t>
            </w:r>
            <w:r w:rsidRPr="00782306">
              <w:rPr>
                <w:rFonts w:ascii="Verdana" w:hAnsi="Verdana"/>
                <w:sz w:val="18"/>
                <w:szCs w:val="18"/>
              </w:rPr>
              <w:t>taalversie</w:t>
            </w:r>
            <w:r>
              <w:rPr>
                <w:rFonts w:ascii="Verdana" w:hAnsi="Verdana"/>
                <w:sz w:val="18"/>
                <w:szCs w:val="18"/>
              </w:rPr>
              <w:t>s</w:t>
            </w:r>
            <w:r w:rsidRPr="00782306">
              <w:rPr>
                <w:rFonts w:ascii="Verdana" w:hAnsi="Verdana"/>
                <w:sz w:val="18"/>
                <w:szCs w:val="18"/>
              </w:rPr>
              <w:t xml:space="preserve"> van het voorstel.</w:t>
            </w:r>
          </w:p>
          <w:p w:rsidR="00F569B4" w:rsidP="00F569B4" w:rsidRDefault="00F569B4">
            <w:pPr>
              <w:pStyle w:val="Voetnoottekst"/>
              <w:numPr>
                <w:ilvl w:val="0"/>
                <w:numId w:val="1"/>
              </w:numPr>
              <w:rPr>
                <w:rFonts w:ascii="Verdana" w:hAnsi="Verdana"/>
                <w:sz w:val="18"/>
                <w:szCs w:val="18"/>
              </w:rPr>
            </w:pPr>
            <w:r>
              <w:rPr>
                <w:rFonts w:ascii="Verdana" w:hAnsi="Verdana"/>
                <w:sz w:val="18"/>
                <w:szCs w:val="18"/>
              </w:rPr>
              <w:t>k</w:t>
            </w:r>
            <w:r w:rsidRPr="00782306">
              <w:rPr>
                <w:rFonts w:ascii="Verdana" w:hAnsi="Verdana"/>
                <w:sz w:val="18"/>
                <w:szCs w:val="18"/>
              </w:rPr>
              <w:t xml:space="preserve">abinetsappreciatie (‘BNC-fiche’) komt voor aangekondigde subsidiariteitstoetsen binnen </w:t>
            </w:r>
            <w:r>
              <w:rPr>
                <w:rFonts w:ascii="Verdana" w:hAnsi="Verdana"/>
                <w:sz w:val="18"/>
                <w:szCs w:val="18"/>
              </w:rPr>
              <w:t>drie</w:t>
            </w:r>
            <w:r w:rsidRPr="00782306">
              <w:rPr>
                <w:rFonts w:ascii="Verdana" w:hAnsi="Verdana"/>
                <w:sz w:val="18"/>
                <w:szCs w:val="18"/>
              </w:rPr>
              <w:t xml:space="preserve"> weken t.b.v. een snelle behandeling.</w:t>
            </w:r>
          </w:p>
          <w:p w:rsidRPr="00B45904" w:rsidR="00F569B4" w:rsidP="00F569B4" w:rsidRDefault="00F569B4">
            <w:pPr>
              <w:pStyle w:val="Voetnoottekst"/>
              <w:numPr>
                <w:ilvl w:val="0"/>
                <w:numId w:val="1"/>
              </w:numPr>
              <w:rPr>
                <w:rFonts w:ascii="Verdana" w:hAnsi="Verdana"/>
                <w:sz w:val="18"/>
                <w:szCs w:val="18"/>
              </w:rPr>
            </w:pPr>
            <w:r>
              <w:rPr>
                <w:rFonts w:ascii="Verdana" w:hAnsi="Verdana"/>
                <w:sz w:val="18"/>
                <w:szCs w:val="18"/>
              </w:rPr>
              <w:t>m</w:t>
            </w:r>
            <w:r w:rsidRPr="00A32873">
              <w:rPr>
                <w:rFonts w:ascii="Verdana" w:hAnsi="Verdana"/>
                <w:sz w:val="18"/>
                <w:szCs w:val="18"/>
              </w:rPr>
              <w:t xml:space="preserve">et andere parlementen in overleg treden t.b.v. behalen meerderheid voor ’gele kaart’ (1/3 </w:t>
            </w:r>
            <w:r>
              <w:rPr>
                <w:rFonts w:ascii="Verdana" w:hAnsi="Verdana"/>
                <w:sz w:val="18"/>
                <w:szCs w:val="18"/>
              </w:rPr>
              <w:t>stemmen</w:t>
            </w:r>
            <w:r w:rsidRPr="00A32873">
              <w:rPr>
                <w:rFonts w:ascii="Verdana" w:hAnsi="Verdana"/>
                <w:sz w:val="18"/>
                <w:szCs w:val="18"/>
              </w:rPr>
              <w:t>) via parlementaire vertegenwoordiging en/of fractielijnen</w:t>
            </w:r>
            <w:r>
              <w:rPr>
                <w:rFonts w:ascii="Verdana" w:hAnsi="Verdana"/>
                <w:sz w:val="18"/>
                <w:szCs w:val="18"/>
              </w:rPr>
              <w:t>.</w:t>
            </w:r>
            <w:r w:rsidRPr="00A32873">
              <w:rPr>
                <w:rFonts w:ascii="Verdana" w:hAnsi="Verdana"/>
                <w:sz w:val="18"/>
                <w:szCs w:val="18"/>
              </w:rPr>
              <w:t xml:space="preserve"> </w:t>
            </w:r>
          </w:p>
        </w:tc>
      </w:tr>
      <w:tr w:rsidRPr="00A32873" w:rsidR="00F569B4" w:rsidTr="00144FBB">
        <w:tc>
          <w:tcPr>
            <w:tcW w:w="2093" w:type="dxa"/>
          </w:tcPr>
          <w:p w:rsidRPr="00A32873" w:rsidR="00F569B4" w:rsidP="00144FBB" w:rsidRDefault="00F569B4">
            <w:pPr>
              <w:pStyle w:val="Voetnoottekst"/>
              <w:rPr>
                <w:rFonts w:ascii="Verdana" w:hAnsi="Verdana"/>
                <w:sz w:val="18"/>
                <w:szCs w:val="18"/>
              </w:rPr>
            </w:pPr>
            <w:r w:rsidRPr="00A32873">
              <w:rPr>
                <w:rFonts w:ascii="Verdana" w:hAnsi="Verdana"/>
                <w:sz w:val="18"/>
                <w:szCs w:val="18"/>
              </w:rPr>
              <w:t>Behandel-voorbehoud (richting regering)</w:t>
            </w:r>
          </w:p>
        </w:tc>
        <w:tc>
          <w:tcPr>
            <w:tcW w:w="6946" w:type="dxa"/>
          </w:tcPr>
          <w:p w:rsidRPr="00A32873" w:rsidR="00F569B4" w:rsidP="00144FBB" w:rsidRDefault="00F569B4">
            <w:pPr>
              <w:pStyle w:val="Lijstalinea"/>
              <w:ind w:left="34"/>
              <w:rPr>
                <w:rFonts w:ascii="Verdana" w:hAnsi="Verdana"/>
                <w:sz w:val="18"/>
                <w:szCs w:val="18"/>
              </w:rPr>
            </w:pPr>
            <w:r w:rsidRPr="00A32873">
              <w:rPr>
                <w:rFonts w:ascii="Verdana" w:hAnsi="Verdana"/>
                <w:sz w:val="18"/>
                <w:szCs w:val="18"/>
              </w:rPr>
              <w:t xml:space="preserve">Zodra de Europese Commissie een wetgevend voorstel heeft gepresenteerd, kan de Kamer </w:t>
            </w:r>
            <w:r>
              <w:rPr>
                <w:rFonts w:ascii="Verdana" w:hAnsi="Verdana"/>
                <w:sz w:val="18"/>
                <w:szCs w:val="18"/>
              </w:rPr>
              <w:t xml:space="preserve">binnen 8 weken </w:t>
            </w:r>
            <w:r w:rsidRPr="00A32873">
              <w:rPr>
                <w:rFonts w:ascii="Verdana" w:hAnsi="Verdana"/>
                <w:sz w:val="18"/>
                <w:szCs w:val="18"/>
              </w:rPr>
              <w:t>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w:t>
            </w:r>
            <w:r>
              <w:rPr>
                <w:rFonts w:ascii="Verdana" w:hAnsi="Verdana"/>
                <w:sz w:val="18"/>
                <w:szCs w:val="18"/>
              </w:rPr>
              <w:t>g door het kabinet aan de</w:t>
            </w:r>
            <w:r w:rsidRPr="00A32873">
              <w:rPr>
                <w:rFonts w:ascii="Verdana" w:hAnsi="Verdana"/>
                <w:sz w:val="18"/>
                <w:szCs w:val="18"/>
              </w:rPr>
              <w:t xml:space="preserv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00F569B4" w:rsidP="00F569B4" w:rsidRDefault="00F569B4">
            <w:pPr>
              <w:pStyle w:val="Voetnoottekst"/>
              <w:numPr>
                <w:ilvl w:val="0"/>
                <w:numId w:val="1"/>
              </w:numPr>
              <w:rPr>
                <w:rFonts w:ascii="Verdana" w:hAnsi="Verdana"/>
                <w:sz w:val="18"/>
                <w:szCs w:val="18"/>
              </w:rPr>
            </w:pPr>
            <w:r>
              <w:rPr>
                <w:rFonts w:ascii="Verdana" w:hAnsi="Verdana"/>
                <w:sz w:val="18"/>
                <w:szCs w:val="18"/>
              </w:rPr>
              <w:t>b</w:t>
            </w:r>
            <w:r w:rsidRPr="00782306">
              <w:rPr>
                <w:rFonts w:ascii="Verdana" w:hAnsi="Verdana"/>
                <w:sz w:val="18"/>
                <w:szCs w:val="18"/>
              </w:rPr>
              <w:t xml:space="preserve">ij wetgevende EU-voorstellen kan een commissie besluiten tot het uitvoeren van een zgn. ‘behandelvoorbehoud’. </w:t>
            </w:r>
            <w:r>
              <w:rPr>
                <w:rFonts w:ascii="Verdana" w:hAnsi="Verdana"/>
                <w:sz w:val="18"/>
                <w:szCs w:val="18"/>
              </w:rPr>
              <w:t>Over d</w:t>
            </w:r>
            <w:r w:rsidRPr="00782306">
              <w:rPr>
                <w:rFonts w:ascii="Verdana" w:hAnsi="Verdana"/>
                <w:sz w:val="18"/>
                <w:szCs w:val="18"/>
              </w:rPr>
              <w:t xml:space="preserve">eze brief moet plenair gestemd </w:t>
            </w:r>
            <w:r>
              <w:rPr>
                <w:rFonts w:ascii="Verdana" w:hAnsi="Verdana"/>
                <w:sz w:val="18"/>
                <w:szCs w:val="18"/>
              </w:rPr>
              <w:t>worden (</w:t>
            </w:r>
            <w:r w:rsidRPr="00782306">
              <w:rPr>
                <w:rFonts w:ascii="Verdana" w:hAnsi="Verdana"/>
                <w:sz w:val="18"/>
                <w:szCs w:val="18"/>
              </w:rPr>
              <w:t xml:space="preserve">let op </w:t>
            </w:r>
            <w:r>
              <w:rPr>
                <w:rFonts w:ascii="Verdana" w:hAnsi="Verdana"/>
                <w:sz w:val="18"/>
                <w:szCs w:val="18"/>
              </w:rPr>
              <w:t xml:space="preserve">de </w:t>
            </w:r>
            <w:r w:rsidRPr="00782306">
              <w:rPr>
                <w:rFonts w:ascii="Verdana" w:hAnsi="Verdana"/>
                <w:sz w:val="18"/>
                <w:szCs w:val="18"/>
              </w:rPr>
              <w:t>termijnen</w:t>
            </w:r>
            <w:r>
              <w:rPr>
                <w:rFonts w:ascii="Verdana" w:hAnsi="Verdana"/>
                <w:sz w:val="18"/>
                <w:szCs w:val="18"/>
              </w:rPr>
              <w:t>)</w:t>
            </w:r>
            <w:r w:rsidRPr="00782306">
              <w:rPr>
                <w:rFonts w:ascii="Verdana" w:hAnsi="Verdana"/>
                <w:sz w:val="18"/>
                <w:szCs w:val="18"/>
              </w:rPr>
              <w:t>.</w:t>
            </w:r>
          </w:p>
          <w:p w:rsidR="00F569B4" w:rsidP="00F569B4" w:rsidRDefault="00F569B4">
            <w:pPr>
              <w:pStyle w:val="Voetnoottekst"/>
              <w:numPr>
                <w:ilvl w:val="0"/>
                <w:numId w:val="1"/>
              </w:numPr>
              <w:rPr>
                <w:rFonts w:ascii="Verdana" w:hAnsi="Verdana"/>
                <w:sz w:val="18"/>
                <w:szCs w:val="18"/>
              </w:rPr>
            </w:pPr>
            <w:r>
              <w:rPr>
                <w:rFonts w:ascii="Verdana" w:hAnsi="Verdana"/>
                <w:sz w:val="18"/>
                <w:szCs w:val="18"/>
              </w:rPr>
              <w:t>t</w:t>
            </w:r>
            <w:r w:rsidRPr="00782306">
              <w:rPr>
                <w:rFonts w:ascii="Verdana" w:hAnsi="Verdana"/>
                <w:sz w:val="18"/>
                <w:szCs w:val="18"/>
              </w:rPr>
              <w:t>ijdens een speciaal overleg kan de commissie afspraken maken over informatieverstrekking (bv</w:t>
            </w:r>
            <w:r>
              <w:rPr>
                <w:rFonts w:ascii="Verdana" w:hAnsi="Verdana"/>
                <w:sz w:val="18"/>
                <w:szCs w:val="18"/>
              </w:rPr>
              <w:t>.</w:t>
            </w:r>
            <w:r w:rsidRPr="00782306">
              <w:rPr>
                <w:rFonts w:ascii="Verdana" w:hAnsi="Verdana"/>
                <w:sz w:val="18"/>
                <w:szCs w:val="18"/>
              </w:rPr>
              <w:t xml:space="preserve"> in kwartaalrapportages) zolang het desbetreffende dossier in onderhandeling is.</w:t>
            </w:r>
          </w:p>
          <w:p w:rsidRPr="00782306" w:rsidR="00F569B4" w:rsidP="00F569B4" w:rsidRDefault="00F569B4">
            <w:pPr>
              <w:pStyle w:val="Voetnoottekst"/>
              <w:numPr>
                <w:ilvl w:val="0"/>
                <w:numId w:val="1"/>
              </w:numPr>
              <w:rPr>
                <w:rFonts w:ascii="Verdana" w:hAnsi="Verdana"/>
                <w:sz w:val="18"/>
                <w:szCs w:val="18"/>
              </w:rPr>
            </w:pPr>
            <w:r>
              <w:rPr>
                <w:rFonts w:ascii="Verdana" w:hAnsi="Verdana"/>
                <w:sz w:val="18"/>
                <w:szCs w:val="18"/>
              </w:rPr>
              <w:t>k</w:t>
            </w:r>
            <w:r w:rsidRPr="00782306">
              <w:rPr>
                <w:rFonts w:ascii="Verdana" w:hAnsi="Verdana"/>
                <w:sz w:val="18"/>
                <w:szCs w:val="18"/>
              </w:rPr>
              <w:t>abinetsappreciatie (‘BNC-fiche’) komt voor aangekondig</w:t>
            </w:r>
            <w:r>
              <w:rPr>
                <w:rFonts w:ascii="Verdana" w:hAnsi="Verdana"/>
                <w:sz w:val="18"/>
                <w:szCs w:val="18"/>
              </w:rPr>
              <w:t>de behandelvoorbehouden binnen drie</w:t>
            </w:r>
            <w:r w:rsidRPr="00782306">
              <w:rPr>
                <w:rFonts w:ascii="Verdana" w:hAnsi="Verdana"/>
                <w:sz w:val="18"/>
                <w:szCs w:val="18"/>
              </w:rPr>
              <w:t xml:space="preserve"> weken t.b.v. een snelle behandeling.</w:t>
            </w:r>
          </w:p>
          <w:p w:rsidRPr="00A32873" w:rsidR="00F569B4" w:rsidP="00144FBB" w:rsidRDefault="00F569B4">
            <w:pPr>
              <w:pStyle w:val="Voetnoottekst"/>
              <w:rPr>
                <w:rFonts w:ascii="Verdana" w:hAnsi="Verdana"/>
                <w:sz w:val="18"/>
                <w:szCs w:val="18"/>
              </w:rPr>
            </w:pPr>
          </w:p>
        </w:tc>
      </w:tr>
    </w:tbl>
    <w:p w:rsidRPr="00A32873" w:rsidR="00F569B4" w:rsidP="00F569B4" w:rsidRDefault="00F569B4">
      <w:pPr>
        <w:rPr>
          <w:rFonts w:ascii="Verdana" w:hAnsi="Verdana"/>
          <w:sz w:val="18"/>
          <w:szCs w:val="18"/>
        </w:rPr>
      </w:pPr>
    </w:p>
    <w:p w:rsidRPr="00740F31" w:rsidR="004C7A6A" w:rsidRDefault="004C7A6A"/>
    <w:sectPr w:rsidRPr="00740F31" w:rsidR="004C7A6A" w:rsidSect="00BF35EE">
      <w:footerReference w:type="default" r:id="rId15"/>
      <w:pgSz w:w="16838" w:h="11906" w:orient="landscape"/>
      <w:pgMar w:top="1134" w:right="1134" w:bottom="1134" w:left="1134"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5D0" w:rsidRDefault="000975D0">
      <w:r>
        <w:separator/>
      </w:r>
    </w:p>
  </w:endnote>
  <w:endnote w:type="continuationSeparator" w:id="0">
    <w:p w:rsidR="000975D0" w:rsidRDefault="00097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330075"/>
      <w:docPartObj>
        <w:docPartGallery w:val="Page Numbers (Bottom of Page)"/>
        <w:docPartUnique/>
      </w:docPartObj>
    </w:sdtPr>
    <w:sdtEndPr>
      <w:rPr>
        <w:rFonts w:asciiTheme="minorHAnsi" w:hAnsiTheme="minorHAnsi"/>
        <w:sz w:val="22"/>
        <w:szCs w:val="22"/>
      </w:rPr>
    </w:sdtEndPr>
    <w:sdtContent>
      <w:p w:rsidR="00BF35EE" w:rsidRPr="00BF35EE" w:rsidRDefault="002E1447">
        <w:pPr>
          <w:pStyle w:val="Voettekst"/>
          <w:jc w:val="right"/>
          <w:rPr>
            <w:rFonts w:asciiTheme="minorHAnsi" w:hAnsiTheme="minorHAnsi"/>
            <w:sz w:val="22"/>
            <w:szCs w:val="22"/>
          </w:rPr>
        </w:pPr>
        <w:r w:rsidRPr="00BF35EE">
          <w:rPr>
            <w:rFonts w:asciiTheme="minorHAnsi" w:hAnsiTheme="minorHAnsi"/>
            <w:sz w:val="22"/>
            <w:szCs w:val="22"/>
          </w:rPr>
          <w:fldChar w:fldCharType="begin"/>
        </w:r>
        <w:r w:rsidRPr="00BF35EE">
          <w:rPr>
            <w:rFonts w:asciiTheme="minorHAnsi" w:hAnsiTheme="minorHAnsi"/>
            <w:sz w:val="22"/>
            <w:szCs w:val="22"/>
          </w:rPr>
          <w:instrText>PAGE   \* MERGEFORMAT</w:instrText>
        </w:r>
        <w:r w:rsidRPr="00BF35EE">
          <w:rPr>
            <w:rFonts w:asciiTheme="minorHAnsi" w:hAnsiTheme="minorHAnsi"/>
            <w:sz w:val="22"/>
            <w:szCs w:val="22"/>
          </w:rPr>
          <w:fldChar w:fldCharType="separate"/>
        </w:r>
        <w:r w:rsidR="00125892">
          <w:rPr>
            <w:rFonts w:asciiTheme="minorHAnsi" w:hAnsiTheme="minorHAnsi"/>
            <w:noProof/>
            <w:sz w:val="22"/>
            <w:szCs w:val="22"/>
          </w:rPr>
          <w:t>1</w:t>
        </w:r>
        <w:r w:rsidRPr="00BF35EE">
          <w:rPr>
            <w:rFonts w:asciiTheme="minorHAnsi" w:hAnsiTheme="minorHAnsi"/>
            <w:sz w:val="22"/>
            <w:szCs w:val="22"/>
          </w:rPr>
          <w:fldChar w:fldCharType="end"/>
        </w:r>
      </w:p>
    </w:sdtContent>
  </w:sdt>
  <w:p w:rsidR="00BF35EE" w:rsidRDefault="0012589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5D0" w:rsidRDefault="000975D0">
      <w:r>
        <w:separator/>
      </w:r>
    </w:p>
  </w:footnote>
  <w:footnote w:type="continuationSeparator" w:id="0">
    <w:p w:rsidR="000975D0" w:rsidRDefault="000975D0">
      <w:r>
        <w:continuationSeparator/>
      </w:r>
    </w:p>
  </w:footnote>
  <w:footnote w:id="1">
    <w:p w:rsidR="00F569B4" w:rsidRPr="00B45904" w:rsidRDefault="00F569B4" w:rsidP="00F569B4">
      <w:pPr>
        <w:pStyle w:val="Voetnoottekst"/>
        <w:rPr>
          <w:rFonts w:ascii="Verdana" w:hAnsi="Verdana"/>
          <w:sz w:val="16"/>
          <w:szCs w:val="16"/>
        </w:rPr>
      </w:pPr>
      <w:r w:rsidRPr="00B45904">
        <w:rPr>
          <w:rStyle w:val="Voetnootmarkering"/>
          <w:rFonts w:ascii="Verdana" w:hAnsi="Verdana"/>
          <w:sz w:val="16"/>
          <w:szCs w:val="16"/>
        </w:rPr>
        <w:footnoteRef/>
      </w:r>
      <w:r w:rsidRPr="00B45904">
        <w:rPr>
          <w:rFonts w:ascii="Verdana" w:hAnsi="Verdana"/>
          <w:sz w:val="16"/>
          <w:szCs w:val="16"/>
        </w:rPr>
        <w:t xml:space="preserve"> </w:t>
      </w:r>
      <w:r w:rsidRPr="00B45904">
        <w:rPr>
          <w:rFonts w:ascii="Verdana" w:hAnsi="Verdana"/>
          <w:sz w:val="16"/>
          <w:szCs w:val="16"/>
        </w:rPr>
        <w:tab/>
        <w:t>Krachtens de standaard EU 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74"/>
    <w:rsid w:val="00031324"/>
    <w:rsid w:val="00067DB7"/>
    <w:rsid w:val="000947B3"/>
    <w:rsid w:val="000975D0"/>
    <w:rsid w:val="000A0676"/>
    <w:rsid w:val="000E704E"/>
    <w:rsid w:val="00125892"/>
    <w:rsid w:val="0014285D"/>
    <w:rsid w:val="00161645"/>
    <w:rsid w:val="001E30B4"/>
    <w:rsid w:val="00207E0A"/>
    <w:rsid w:val="00227229"/>
    <w:rsid w:val="00235B19"/>
    <w:rsid w:val="00270661"/>
    <w:rsid w:val="002E1447"/>
    <w:rsid w:val="0033576F"/>
    <w:rsid w:val="00396C76"/>
    <w:rsid w:val="003B22F4"/>
    <w:rsid w:val="003C35BA"/>
    <w:rsid w:val="00415AE0"/>
    <w:rsid w:val="00432A23"/>
    <w:rsid w:val="00454C0B"/>
    <w:rsid w:val="004649EC"/>
    <w:rsid w:val="004C7A6A"/>
    <w:rsid w:val="004D7A2C"/>
    <w:rsid w:val="004F5D55"/>
    <w:rsid w:val="00516474"/>
    <w:rsid w:val="00523FCA"/>
    <w:rsid w:val="0052733A"/>
    <w:rsid w:val="00552DF7"/>
    <w:rsid w:val="00575D2D"/>
    <w:rsid w:val="00576674"/>
    <w:rsid w:val="005A630F"/>
    <w:rsid w:val="0061689F"/>
    <w:rsid w:val="00623BF5"/>
    <w:rsid w:val="006D4F3B"/>
    <w:rsid w:val="00734AA8"/>
    <w:rsid w:val="00740F31"/>
    <w:rsid w:val="00744BFD"/>
    <w:rsid w:val="007529D4"/>
    <w:rsid w:val="00823D4C"/>
    <w:rsid w:val="00827F25"/>
    <w:rsid w:val="00835CB9"/>
    <w:rsid w:val="008425AF"/>
    <w:rsid w:val="00850AA1"/>
    <w:rsid w:val="00854ED8"/>
    <w:rsid w:val="008871F8"/>
    <w:rsid w:val="008C6FAA"/>
    <w:rsid w:val="008D3A2D"/>
    <w:rsid w:val="00973D39"/>
    <w:rsid w:val="00974376"/>
    <w:rsid w:val="009E4DB2"/>
    <w:rsid w:val="00A304B2"/>
    <w:rsid w:val="00A50496"/>
    <w:rsid w:val="00A762AC"/>
    <w:rsid w:val="00A7766A"/>
    <w:rsid w:val="00A91CAE"/>
    <w:rsid w:val="00B30C96"/>
    <w:rsid w:val="00B52958"/>
    <w:rsid w:val="00B823EF"/>
    <w:rsid w:val="00BB7E82"/>
    <w:rsid w:val="00C068FC"/>
    <w:rsid w:val="00C52776"/>
    <w:rsid w:val="00CC3A29"/>
    <w:rsid w:val="00D34827"/>
    <w:rsid w:val="00D66EED"/>
    <w:rsid w:val="00D973AD"/>
    <w:rsid w:val="00DE7D71"/>
    <w:rsid w:val="00DF3FBF"/>
    <w:rsid w:val="00E512BF"/>
    <w:rsid w:val="00E7588D"/>
    <w:rsid w:val="00EA2272"/>
    <w:rsid w:val="00EE15B6"/>
    <w:rsid w:val="00F05D5B"/>
    <w:rsid w:val="00F27282"/>
    <w:rsid w:val="00F50A0B"/>
    <w:rsid w:val="00F569B4"/>
    <w:rsid w:val="00FC2426"/>
    <w:rsid w:val="00FE6D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576674"/>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576674"/>
    <w:pPr>
      <w:tabs>
        <w:tab w:val="center" w:pos="4536"/>
        <w:tab w:val="right" w:pos="9072"/>
      </w:tabs>
    </w:pPr>
  </w:style>
  <w:style w:type="character" w:customStyle="1" w:styleId="VoettekstChar">
    <w:name w:val="Voettekst Char"/>
    <w:basedOn w:val="Standaardalinea-lettertype"/>
    <w:link w:val="Voettekst"/>
    <w:uiPriority w:val="99"/>
    <w:rsid w:val="00576674"/>
    <w:rPr>
      <w:sz w:val="24"/>
      <w:szCs w:val="24"/>
    </w:rPr>
  </w:style>
  <w:style w:type="character" w:styleId="Hyperlink">
    <w:name w:val="Hyperlink"/>
    <w:basedOn w:val="Standaardalinea-lettertype"/>
    <w:uiPriority w:val="99"/>
    <w:unhideWhenUsed/>
    <w:rsid w:val="00B30C96"/>
    <w:rPr>
      <w:color w:val="0000FF"/>
      <w:u w:val="single"/>
    </w:rPr>
  </w:style>
  <w:style w:type="paragraph" w:styleId="Ballontekst">
    <w:name w:val="Balloon Text"/>
    <w:basedOn w:val="Standaard"/>
    <w:link w:val="BallontekstChar"/>
    <w:rsid w:val="00827F25"/>
    <w:rPr>
      <w:rFonts w:ascii="Tahoma" w:hAnsi="Tahoma" w:cs="Tahoma"/>
      <w:sz w:val="16"/>
      <w:szCs w:val="16"/>
    </w:rPr>
  </w:style>
  <w:style w:type="character" w:customStyle="1" w:styleId="BallontekstChar">
    <w:name w:val="Ballontekst Char"/>
    <w:basedOn w:val="Standaardalinea-lettertype"/>
    <w:link w:val="Ballontekst"/>
    <w:rsid w:val="00827F25"/>
    <w:rPr>
      <w:rFonts w:ascii="Tahoma" w:hAnsi="Tahoma" w:cs="Tahoma"/>
      <w:sz w:val="16"/>
      <w:szCs w:val="16"/>
    </w:rPr>
  </w:style>
  <w:style w:type="character" w:styleId="GevolgdeHyperlink">
    <w:name w:val="FollowedHyperlink"/>
    <w:basedOn w:val="Standaardalinea-lettertype"/>
    <w:rsid w:val="000947B3"/>
    <w:rPr>
      <w:color w:val="800080" w:themeColor="followedHyperlink"/>
      <w:u w:val="single"/>
    </w:rPr>
  </w:style>
  <w:style w:type="character" w:styleId="Zwaar">
    <w:name w:val="Strong"/>
    <w:basedOn w:val="Standaardalinea-lettertype"/>
    <w:uiPriority w:val="22"/>
    <w:qFormat/>
    <w:rsid w:val="00F569B4"/>
    <w:rPr>
      <w:b/>
      <w:bCs/>
    </w:rPr>
  </w:style>
  <w:style w:type="paragraph" w:styleId="Voetnoottekst">
    <w:name w:val="footnote text"/>
    <w:basedOn w:val="Standaard"/>
    <w:link w:val="VoetnoottekstChar"/>
    <w:rsid w:val="00F569B4"/>
    <w:rPr>
      <w:sz w:val="20"/>
      <w:szCs w:val="20"/>
    </w:rPr>
  </w:style>
  <w:style w:type="character" w:customStyle="1" w:styleId="VoetnoottekstChar">
    <w:name w:val="Voetnoottekst Char"/>
    <w:basedOn w:val="Standaardalinea-lettertype"/>
    <w:link w:val="Voetnoottekst"/>
    <w:rsid w:val="00F569B4"/>
  </w:style>
  <w:style w:type="table" w:styleId="Tabelraster">
    <w:name w:val="Table Grid"/>
    <w:basedOn w:val="Standaardtabel"/>
    <w:rsid w:val="00F56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569B4"/>
    <w:pPr>
      <w:ind w:left="720"/>
    </w:pPr>
    <w:rPr>
      <w:rFonts w:eastAsiaTheme="minorHAnsi"/>
    </w:rPr>
  </w:style>
  <w:style w:type="character" w:styleId="Voetnootmarkering">
    <w:name w:val="footnote reference"/>
    <w:basedOn w:val="Standaardalinea-lettertype"/>
    <w:uiPriority w:val="99"/>
    <w:rsid w:val="00F569B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576674"/>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576674"/>
    <w:pPr>
      <w:tabs>
        <w:tab w:val="center" w:pos="4536"/>
        <w:tab w:val="right" w:pos="9072"/>
      </w:tabs>
    </w:pPr>
  </w:style>
  <w:style w:type="character" w:customStyle="1" w:styleId="VoettekstChar">
    <w:name w:val="Voettekst Char"/>
    <w:basedOn w:val="Standaardalinea-lettertype"/>
    <w:link w:val="Voettekst"/>
    <w:uiPriority w:val="99"/>
    <w:rsid w:val="00576674"/>
    <w:rPr>
      <w:sz w:val="24"/>
      <w:szCs w:val="24"/>
    </w:rPr>
  </w:style>
  <w:style w:type="character" w:styleId="Hyperlink">
    <w:name w:val="Hyperlink"/>
    <w:basedOn w:val="Standaardalinea-lettertype"/>
    <w:uiPriority w:val="99"/>
    <w:unhideWhenUsed/>
    <w:rsid w:val="00B30C96"/>
    <w:rPr>
      <w:color w:val="0000FF"/>
      <w:u w:val="single"/>
    </w:rPr>
  </w:style>
  <w:style w:type="paragraph" w:styleId="Ballontekst">
    <w:name w:val="Balloon Text"/>
    <w:basedOn w:val="Standaard"/>
    <w:link w:val="BallontekstChar"/>
    <w:rsid w:val="00827F25"/>
    <w:rPr>
      <w:rFonts w:ascii="Tahoma" w:hAnsi="Tahoma" w:cs="Tahoma"/>
      <w:sz w:val="16"/>
      <w:szCs w:val="16"/>
    </w:rPr>
  </w:style>
  <w:style w:type="character" w:customStyle="1" w:styleId="BallontekstChar">
    <w:name w:val="Ballontekst Char"/>
    <w:basedOn w:val="Standaardalinea-lettertype"/>
    <w:link w:val="Ballontekst"/>
    <w:rsid w:val="00827F25"/>
    <w:rPr>
      <w:rFonts w:ascii="Tahoma" w:hAnsi="Tahoma" w:cs="Tahoma"/>
      <w:sz w:val="16"/>
      <w:szCs w:val="16"/>
    </w:rPr>
  </w:style>
  <w:style w:type="character" w:styleId="GevolgdeHyperlink">
    <w:name w:val="FollowedHyperlink"/>
    <w:basedOn w:val="Standaardalinea-lettertype"/>
    <w:rsid w:val="000947B3"/>
    <w:rPr>
      <w:color w:val="800080" w:themeColor="followedHyperlink"/>
      <w:u w:val="single"/>
    </w:rPr>
  </w:style>
  <w:style w:type="character" w:styleId="Zwaar">
    <w:name w:val="Strong"/>
    <w:basedOn w:val="Standaardalinea-lettertype"/>
    <w:uiPriority w:val="22"/>
    <w:qFormat/>
    <w:rsid w:val="00F569B4"/>
    <w:rPr>
      <w:b/>
      <w:bCs/>
    </w:rPr>
  </w:style>
  <w:style w:type="paragraph" w:styleId="Voetnoottekst">
    <w:name w:val="footnote text"/>
    <w:basedOn w:val="Standaard"/>
    <w:link w:val="VoetnoottekstChar"/>
    <w:rsid w:val="00F569B4"/>
    <w:rPr>
      <w:sz w:val="20"/>
      <w:szCs w:val="20"/>
    </w:rPr>
  </w:style>
  <w:style w:type="character" w:customStyle="1" w:styleId="VoetnoottekstChar">
    <w:name w:val="Voetnoottekst Char"/>
    <w:basedOn w:val="Standaardalinea-lettertype"/>
    <w:link w:val="Voetnoottekst"/>
    <w:rsid w:val="00F569B4"/>
  </w:style>
  <w:style w:type="table" w:styleId="Tabelraster">
    <w:name w:val="Table Grid"/>
    <w:basedOn w:val="Standaardtabel"/>
    <w:rsid w:val="00F56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569B4"/>
    <w:pPr>
      <w:ind w:left="720"/>
    </w:pPr>
    <w:rPr>
      <w:rFonts w:eastAsiaTheme="minorHAnsi"/>
    </w:rPr>
  </w:style>
  <w:style w:type="character" w:styleId="Voetnootmarkering">
    <w:name w:val="footnote reference"/>
    <w:basedOn w:val="Standaardalinea-lettertype"/>
    <w:uiPriority w:val="99"/>
    <w:rsid w:val="00F56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4139">
      <w:bodyDiv w:val="1"/>
      <w:marLeft w:val="0"/>
      <w:marRight w:val="0"/>
      <w:marTop w:val="0"/>
      <w:marBottom w:val="0"/>
      <w:divBdr>
        <w:top w:val="none" w:sz="0" w:space="0" w:color="auto"/>
        <w:left w:val="none" w:sz="0" w:space="0" w:color="auto"/>
        <w:bottom w:val="none" w:sz="0" w:space="0" w:color="auto"/>
        <w:right w:val="none" w:sz="0" w:space="0" w:color="auto"/>
      </w:divBdr>
    </w:div>
    <w:div w:id="35787066">
      <w:bodyDiv w:val="1"/>
      <w:marLeft w:val="0"/>
      <w:marRight w:val="0"/>
      <w:marTop w:val="0"/>
      <w:marBottom w:val="0"/>
      <w:divBdr>
        <w:top w:val="none" w:sz="0" w:space="0" w:color="auto"/>
        <w:left w:val="none" w:sz="0" w:space="0" w:color="auto"/>
        <w:bottom w:val="none" w:sz="0" w:space="0" w:color="auto"/>
        <w:right w:val="none" w:sz="0" w:space="0" w:color="auto"/>
      </w:divBdr>
    </w:div>
    <w:div w:id="61097757">
      <w:bodyDiv w:val="1"/>
      <w:marLeft w:val="0"/>
      <w:marRight w:val="0"/>
      <w:marTop w:val="0"/>
      <w:marBottom w:val="0"/>
      <w:divBdr>
        <w:top w:val="none" w:sz="0" w:space="0" w:color="auto"/>
        <w:left w:val="none" w:sz="0" w:space="0" w:color="auto"/>
        <w:bottom w:val="none" w:sz="0" w:space="0" w:color="auto"/>
        <w:right w:val="none" w:sz="0" w:space="0" w:color="auto"/>
      </w:divBdr>
    </w:div>
    <w:div w:id="158205193">
      <w:bodyDiv w:val="1"/>
      <w:marLeft w:val="0"/>
      <w:marRight w:val="0"/>
      <w:marTop w:val="0"/>
      <w:marBottom w:val="0"/>
      <w:divBdr>
        <w:top w:val="none" w:sz="0" w:space="0" w:color="auto"/>
        <w:left w:val="none" w:sz="0" w:space="0" w:color="auto"/>
        <w:bottom w:val="none" w:sz="0" w:space="0" w:color="auto"/>
        <w:right w:val="none" w:sz="0" w:space="0" w:color="auto"/>
      </w:divBdr>
    </w:div>
    <w:div w:id="173424160">
      <w:bodyDiv w:val="1"/>
      <w:marLeft w:val="0"/>
      <w:marRight w:val="0"/>
      <w:marTop w:val="0"/>
      <w:marBottom w:val="0"/>
      <w:divBdr>
        <w:top w:val="none" w:sz="0" w:space="0" w:color="auto"/>
        <w:left w:val="none" w:sz="0" w:space="0" w:color="auto"/>
        <w:bottom w:val="none" w:sz="0" w:space="0" w:color="auto"/>
        <w:right w:val="none" w:sz="0" w:space="0" w:color="auto"/>
      </w:divBdr>
    </w:div>
    <w:div w:id="176358213">
      <w:bodyDiv w:val="1"/>
      <w:marLeft w:val="0"/>
      <w:marRight w:val="0"/>
      <w:marTop w:val="0"/>
      <w:marBottom w:val="0"/>
      <w:divBdr>
        <w:top w:val="none" w:sz="0" w:space="0" w:color="auto"/>
        <w:left w:val="none" w:sz="0" w:space="0" w:color="auto"/>
        <w:bottom w:val="none" w:sz="0" w:space="0" w:color="auto"/>
        <w:right w:val="none" w:sz="0" w:space="0" w:color="auto"/>
      </w:divBdr>
    </w:div>
    <w:div w:id="228074865">
      <w:bodyDiv w:val="1"/>
      <w:marLeft w:val="0"/>
      <w:marRight w:val="0"/>
      <w:marTop w:val="0"/>
      <w:marBottom w:val="0"/>
      <w:divBdr>
        <w:top w:val="none" w:sz="0" w:space="0" w:color="auto"/>
        <w:left w:val="none" w:sz="0" w:space="0" w:color="auto"/>
        <w:bottom w:val="none" w:sz="0" w:space="0" w:color="auto"/>
        <w:right w:val="none" w:sz="0" w:space="0" w:color="auto"/>
      </w:divBdr>
    </w:div>
    <w:div w:id="234584611">
      <w:bodyDiv w:val="1"/>
      <w:marLeft w:val="0"/>
      <w:marRight w:val="0"/>
      <w:marTop w:val="0"/>
      <w:marBottom w:val="0"/>
      <w:divBdr>
        <w:top w:val="none" w:sz="0" w:space="0" w:color="auto"/>
        <w:left w:val="none" w:sz="0" w:space="0" w:color="auto"/>
        <w:bottom w:val="none" w:sz="0" w:space="0" w:color="auto"/>
        <w:right w:val="none" w:sz="0" w:space="0" w:color="auto"/>
      </w:divBdr>
    </w:div>
    <w:div w:id="237399369">
      <w:bodyDiv w:val="1"/>
      <w:marLeft w:val="0"/>
      <w:marRight w:val="0"/>
      <w:marTop w:val="0"/>
      <w:marBottom w:val="0"/>
      <w:divBdr>
        <w:top w:val="none" w:sz="0" w:space="0" w:color="auto"/>
        <w:left w:val="none" w:sz="0" w:space="0" w:color="auto"/>
        <w:bottom w:val="none" w:sz="0" w:space="0" w:color="auto"/>
        <w:right w:val="none" w:sz="0" w:space="0" w:color="auto"/>
      </w:divBdr>
    </w:div>
    <w:div w:id="263225323">
      <w:bodyDiv w:val="1"/>
      <w:marLeft w:val="0"/>
      <w:marRight w:val="0"/>
      <w:marTop w:val="0"/>
      <w:marBottom w:val="0"/>
      <w:divBdr>
        <w:top w:val="none" w:sz="0" w:space="0" w:color="auto"/>
        <w:left w:val="none" w:sz="0" w:space="0" w:color="auto"/>
        <w:bottom w:val="none" w:sz="0" w:space="0" w:color="auto"/>
        <w:right w:val="none" w:sz="0" w:space="0" w:color="auto"/>
      </w:divBdr>
    </w:div>
    <w:div w:id="273439890">
      <w:bodyDiv w:val="1"/>
      <w:marLeft w:val="0"/>
      <w:marRight w:val="0"/>
      <w:marTop w:val="0"/>
      <w:marBottom w:val="0"/>
      <w:divBdr>
        <w:top w:val="none" w:sz="0" w:space="0" w:color="auto"/>
        <w:left w:val="none" w:sz="0" w:space="0" w:color="auto"/>
        <w:bottom w:val="none" w:sz="0" w:space="0" w:color="auto"/>
        <w:right w:val="none" w:sz="0" w:space="0" w:color="auto"/>
      </w:divBdr>
    </w:div>
    <w:div w:id="309678532">
      <w:bodyDiv w:val="1"/>
      <w:marLeft w:val="0"/>
      <w:marRight w:val="0"/>
      <w:marTop w:val="0"/>
      <w:marBottom w:val="0"/>
      <w:divBdr>
        <w:top w:val="none" w:sz="0" w:space="0" w:color="auto"/>
        <w:left w:val="none" w:sz="0" w:space="0" w:color="auto"/>
        <w:bottom w:val="none" w:sz="0" w:space="0" w:color="auto"/>
        <w:right w:val="none" w:sz="0" w:space="0" w:color="auto"/>
      </w:divBdr>
    </w:div>
    <w:div w:id="319967231">
      <w:bodyDiv w:val="1"/>
      <w:marLeft w:val="0"/>
      <w:marRight w:val="0"/>
      <w:marTop w:val="0"/>
      <w:marBottom w:val="0"/>
      <w:divBdr>
        <w:top w:val="none" w:sz="0" w:space="0" w:color="auto"/>
        <w:left w:val="none" w:sz="0" w:space="0" w:color="auto"/>
        <w:bottom w:val="none" w:sz="0" w:space="0" w:color="auto"/>
        <w:right w:val="none" w:sz="0" w:space="0" w:color="auto"/>
      </w:divBdr>
    </w:div>
    <w:div w:id="332731865">
      <w:bodyDiv w:val="1"/>
      <w:marLeft w:val="0"/>
      <w:marRight w:val="0"/>
      <w:marTop w:val="0"/>
      <w:marBottom w:val="0"/>
      <w:divBdr>
        <w:top w:val="none" w:sz="0" w:space="0" w:color="auto"/>
        <w:left w:val="none" w:sz="0" w:space="0" w:color="auto"/>
        <w:bottom w:val="none" w:sz="0" w:space="0" w:color="auto"/>
        <w:right w:val="none" w:sz="0" w:space="0" w:color="auto"/>
      </w:divBdr>
    </w:div>
    <w:div w:id="350254807">
      <w:bodyDiv w:val="1"/>
      <w:marLeft w:val="0"/>
      <w:marRight w:val="0"/>
      <w:marTop w:val="0"/>
      <w:marBottom w:val="0"/>
      <w:divBdr>
        <w:top w:val="none" w:sz="0" w:space="0" w:color="auto"/>
        <w:left w:val="none" w:sz="0" w:space="0" w:color="auto"/>
        <w:bottom w:val="none" w:sz="0" w:space="0" w:color="auto"/>
        <w:right w:val="none" w:sz="0" w:space="0" w:color="auto"/>
      </w:divBdr>
    </w:div>
    <w:div w:id="358244047">
      <w:bodyDiv w:val="1"/>
      <w:marLeft w:val="0"/>
      <w:marRight w:val="0"/>
      <w:marTop w:val="0"/>
      <w:marBottom w:val="0"/>
      <w:divBdr>
        <w:top w:val="none" w:sz="0" w:space="0" w:color="auto"/>
        <w:left w:val="none" w:sz="0" w:space="0" w:color="auto"/>
        <w:bottom w:val="none" w:sz="0" w:space="0" w:color="auto"/>
        <w:right w:val="none" w:sz="0" w:space="0" w:color="auto"/>
      </w:divBdr>
    </w:div>
    <w:div w:id="405691401">
      <w:bodyDiv w:val="1"/>
      <w:marLeft w:val="0"/>
      <w:marRight w:val="0"/>
      <w:marTop w:val="0"/>
      <w:marBottom w:val="0"/>
      <w:divBdr>
        <w:top w:val="none" w:sz="0" w:space="0" w:color="auto"/>
        <w:left w:val="none" w:sz="0" w:space="0" w:color="auto"/>
        <w:bottom w:val="none" w:sz="0" w:space="0" w:color="auto"/>
        <w:right w:val="none" w:sz="0" w:space="0" w:color="auto"/>
      </w:divBdr>
    </w:div>
    <w:div w:id="415975670">
      <w:bodyDiv w:val="1"/>
      <w:marLeft w:val="0"/>
      <w:marRight w:val="0"/>
      <w:marTop w:val="0"/>
      <w:marBottom w:val="0"/>
      <w:divBdr>
        <w:top w:val="none" w:sz="0" w:space="0" w:color="auto"/>
        <w:left w:val="none" w:sz="0" w:space="0" w:color="auto"/>
        <w:bottom w:val="none" w:sz="0" w:space="0" w:color="auto"/>
        <w:right w:val="none" w:sz="0" w:space="0" w:color="auto"/>
      </w:divBdr>
    </w:div>
    <w:div w:id="432171989">
      <w:bodyDiv w:val="1"/>
      <w:marLeft w:val="0"/>
      <w:marRight w:val="0"/>
      <w:marTop w:val="0"/>
      <w:marBottom w:val="0"/>
      <w:divBdr>
        <w:top w:val="none" w:sz="0" w:space="0" w:color="auto"/>
        <w:left w:val="none" w:sz="0" w:space="0" w:color="auto"/>
        <w:bottom w:val="none" w:sz="0" w:space="0" w:color="auto"/>
        <w:right w:val="none" w:sz="0" w:space="0" w:color="auto"/>
      </w:divBdr>
    </w:div>
    <w:div w:id="472258856">
      <w:bodyDiv w:val="1"/>
      <w:marLeft w:val="0"/>
      <w:marRight w:val="0"/>
      <w:marTop w:val="0"/>
      <w:marBottom w:val="0"/>
      <w:divBdr>
        <w:top w:val="none" w:sz="0" w:space="0" w:color="auto"/>
        <w:left w:val="none" w:sz="0" w:space="0" w:color="auto"/>
        <w:bottom w:val="none" w:sz="0" w:space="0" w:color="auto"/>
        <w:right w:val="none" w:sz="0" w:space="0" w:color="auto"/>
      </w:divBdr>
    </w:div>
    <w:div w:id="478769719">
      <w:bodyDiv w:val="1"/>
      <w:marLeft w:val="0"/>
      <w:marRight w:val="0"/>
      <w:marTop w:val="0"/>
      <w:marBottom w:val="0"/>
      <w:divBdr>
        <w:top w:val="none" w:sz="0" w:space="0" w:color="auto"/>
        <w:left w:val="none" w:sz="0" w:space="0" w:color="auto"/>
        <w:bottom w:val="none" w:sz="0" w:space="0" w:color="auto"/>
        <w:right w:val="none" w:sz="0" w:space="0" w:color="auto"/>
      </w:divBdr>
    </w:div>
    <w:div w:id="497623634">
      <w:bodyDiv w:val="1"/>
      <w:marLeft w:val="0"/>
      <w:marRight w:val="0"/>
      <w:marTop w:val="0"/>
      <w:marBottom w:val="0"/>
      <w:divBdr>
        <w:top w:val="none" w:sz="0" w:space="0" w:color="auto"/>
        <w:left w:val="none" w:sz="0" w:space="0" w:color="auto"/>
        <w:bottom w:val="none" w:sz="0" w:space="0" w:color="auto"/>
        <w:right w:val="none" w:sz="0" w:space="0" w:color="auto"/>
      </w:divBdr>
    </w:div>
    <w:div w:id="556742277">
      <w:bodyDiv w:val="1"/>
      <w:marLeft w:val="0"/>
      <w:marRight w:val="0"/>
      <w:marTop w:val="0"/>
      <w:marBottom w:val="0"/>
      <w:divBdr>
        <w:top w:val="none" w:sz="0" w:space="0" w:color="auto"/>
        <w:left w:val="none" w:sz="0" w:space="0" w:color="auto"/>
        <w:bottom w:val="none" w:sz="0" w:space="0" w:color="auto"/>
        <w:right w:val="none" w:sz="0" w:space="0" w:color="auto"/>
      </w:divBdr>
    </w:div>
    <w:div w:id="557206887">
      <w:bodyDiv w:val="1"/>
      <w:marLeft w:val="0"/>
      <w:marRight w:val="0"/>
      <w:marTop w:val="0"/>
      <w:marBottom w:val="0"/>
      <w:divBdr>
        <w:top w:val="none" w:sz="0" w:space="0" w:color="auto"/>
        <w:left w:val="none" w:sz="0" w:space="0" w:color="auto"/>
        <w:bottom w:val="none" w:sz="0" w:space="0" w:color="auto"/>
        <w:right w:val="none" w:sz="0" w:space="0" w:color="auto"/>
      </w:divBdr>
    </w:div>
    <w:div w:id="562986464">
      <w:bodyDiv w:val="1"/>
      <w:marLeft w:val="0"/>
      <w:marRight w:val="0"/>
      <w:marTop w:val="0"/>
      <w:marBottom w:val="0"/>
      <w:divBdr>
        <w:top w:val="none" w:sz="0" w:space="0" w:color="auto"/>
        <w:left w:val="none" w:sz="0" w:space="0" w:color="auto"/>
        <w:bottom w:val="none" w:sz="0" w:space="0" w:color="auto"/>
        <w:right w:val="none" w:sz="0" w:space="0" w:color="auto"/>
      </w:divBdr>
    </w:div>
    <w:div w:id="607933329">
      <w:bodyDiv w:val="1"/>
      <w:marLeft w:val="0"/>
      <w:marRight w:val="0"/>
      <w:marTop w:val="0"/>
      <w:marBottom w:val="0"/>
      <w:divBdr>
        <w:top w:val="none" w:sz="0" w:space="0" w:color="auto"/>
        <w:left w:val="none" w:sz="0" w:space="0" w:color="auto"/>
        <w:bottom w:val="none" w:sz="0" w:space="0" w:color="auto"/>
        <w:right w:val="none" w:sz="0" w:space="0" w:color="auto"/>
      </w:divBdr>
    </w:div>
    <w:div w:id="609699234">
      <w:bodyDiv w:val="1"/>
      <w:marLeft w:val="0"/>
      <w:marRight w:val="0"/>
      <w:marTop w:val="0"/>
      <w:marBottom w:val="0"/>
      <w:divBdr>
        <w:top w:val="none" w:sz="0" w:space="0" w:color="auto"/>
        <w:left w:val="none" w:sz="0" w:space="0" w:color="auto"/>
        <w:bottom w:val="none" w:sz="0" w:space="0" w:color="auto"/>
        <w:right w:val="none" w:sz="0" w:space="0" w:color="auto"/>
      </w:divBdr>
    </w:div>
    <w:div w:id="643629885">
      <w:bodyDiv w:val="1"/>
      <w:marLeft w:val="0"/>
      <w:marRight w:val="0"/>
      <w:marTop w:val="0"/>
      <w:marBottom w:val="0"/>
      <w:divBdr>
        <w:top w:val="none" w:sz="0" w:space="0" w:color="auto"/>
        <w:left w:val="none" w:sz="0" w:space="0" w:color="auto"/>
        <w:bottom w:val="none" w:sz="0" w:space="0" w:color="auto"/>
        <w:right w:val="none" w:sz="0" w:space="0" w:color="auto"/>
      </w:divBdr>
    </w:div>
    <w:div w:id="707802866">
      <w:bodyDiv w:val="1"/>
      <w:marLeft w:val="0"/>
      <w:marRight w:val="0"/>
      <w:marTop w:val="0"/>
      <w:marBottom w:val="0"/>
      <w:divBdr>
        <w:top w:val="none" w:sz="0" w:space="0" w:color="auto"/>
        <w:left w:val="none" w:sz="0" w:space="0" w:color="auto"/>
        <w:bottom w:val="none" w:sz="0" w:space="0" w:color="auto"/>
        <w:right w:val="none" w:sz="0" w:space="0" w:color="auto"/>
      </w:divBdr>
    </w:div>
    <w:div w:id="716900447">
      <w:bodyDiv w:val="1"/>
      <w:marLeft w:val="0"/>
      <w:marRight w:val="0"/>
      <w:marTop w:val="0"/>
      <w:marBottom w:val="0"/>
      <w:divBdr>
        <w:top w:val="none" w:sz="0" w:space="0" w:color="auto"/>
        <w:left w:val="none" w:sz="0" w:space="0" w:color="auto"/>
        <w:bottom w:val="none" w:sz="0" w:space="0" w:color="auto"/>
        <w:right w:val="none" w:sz="0" w:space="0" w:color="auto"/>
      </w:divBdr>
    </w:div>
    <w:div w:id="722798854">
      <w:bodyDiv w:val="1"/>
      <w:marLeft w:val="0"/>
      <w:marRight w:val="0"/>
      <w:marTop w:val="0"/>
      <w:marBottom w:val="0"/>
      <w:divBdr>
        <w:top w:val="none" w:sz="0" w:space="0" w:color="auto"/>
        <w:left w:val="none" w:sz="0" w:space="0" w:color="auto"/>
        <w:bottom w:val="none" w:sz="0" w:space="0" w:color="auto"/>
        <w:right w:val="none" w:sz="0" w:space="0" w:color="auto"/>
      </w:divBdr>
    </w:div>
    <w:div w:id="742874332">
      <w:bodyDiv w:val="1"/>
      <w:marLeft w:val="0"/>
      <w:marRight w:val="0"/>
      <w:marTop w:val="0"/>
      <w:marBottom w:val="0"/>
      <w:divBdr>
        <w:top w:val="none" w:sz="0" w:space="0" w:color="auto"/>
        <w:left w:val="none" w:sz="0" w:space="0" w:color="auto"/>
        <w:bottom w:val="none" w:sz="0" w:space="0" w:color="auto"/>
        <w:right w:val="none" w:sz="0" w:space="0" w:color="auto"/>
      </w:divBdr>
    </w:div>
    <w:div w:id="779572243">
      <w:bodyDiv w:val="1"/>
      <w:marLeft w:val="0"/>
      <w:marRight w:val="0"/>
      <w:marTop w:val="0"/>
      <w:marBottom w:val="0"/>
      <w:divBdr>
        <w:top w:val="none" w:sz="0" w:space="0" w:color="auto"/>
        <w:left w:val="none" w:sz="0" w:space="0" w:color="auto"/>
        <w:bottom w:val="none" w:sz="0" w:space="0" w:color="auto"/>
        <w:right w:val="none" w:sz="0" w:space="0" w:color="auto"/>
      </w:divBdr>
    </w:div>
    <w:div w:id="799491609">
      <w:bodyDiv w:val="1"/>
      <w:marLeft w:val="0"/>
      <w:marRight w:val="0"/>
      <w:marTop w:val="0"/>
      <w:marBottom w:val="0"/>
      <w:divBdr>
        <w:top w:val="none" w:sz="0" w:space="0" w:color="auto"/>
        <w:left w:val="none" w:sz="0" w:space="0" w:color="auto"/>
        <w:bottom w:val="none" w:sz="0" w:space="0" w:color="auto"/>
        <w:right w:val="none" w:sz="0" w:space="0" w:color="auto"/>
      </w:divBdr>
    </w:div>
    <w:div w:id="804008913">
      <w:bodyDiv w:val="1"/>
      <w:marLeft w:val="0"/>
      <w:marRight w:val="0"/>
      <w:marTop w:val="0"/>
      <w:marBottom w:val="0"/>
      <w:divBdr>
        <w:top w:val="none" w:sz="0" w:space="0" w:color="auto"/>
        <w:left w:val="none" w:sz="0" w:space="0" w:color="auto"/>
        <w:bottom w:val="none" w:sz="0" w:space="0" w:color="auto"/>
        <w:right w:val="none" w:sz="0" w:space="0" w:color="auto"/>
      </w:divBdr>
    </w:div>
    <w:div w:id="820582405">
      <w:bodyDiv w:val="1"/>
      <w:marLeft w:val="0"/>
      <w:marRight w:val="0"/>
      <w:marTop w:val="0"/>
      <w:marBottom w:val="0"/>
      <w:divBdr>
        <w:top w:val="none" w:sz="0" w:space="0" w:color="auto"/>
        <w:left w:val="none" w:sz="0" w:space="0" w:color="auto"/>
        <w:bottom w:val="none" w:sz="0" w:space="0" w:color="auto"/>
        <w:right w:val="none" w:sz="0" w:space="0" w:color="auto"/>
      </w:divBdr>
    </w:div>
    <w:div w:id="821459824">
      <w:bodyDiv w:val="1"/>
      <w:marLeft w:val="0"/>
      <w:marRight w:val="0"/>
      <w:marTop w:val="0"/>
      <w:marBottom w:val="0"/>
      <w:divBdr>
        <w:top w:val="none" w:sz="0" w:space="0" w:color="auto"/>
        <w:left w:val="none" w:sz="0" w:space="0" w:color="auto"/>
        <w:bottom w:val="none" w:sz="0" w:space="0" w:color="auto"/>
        <w:right w:val="none" w:sz="0" w:space="0" w:color="auto"/>
      </w:divBdr>
    </w:div>
    <w:div w:id="824124428">
      <w:bodyDiv w:val="1"/>
      <w:marLeft w:val="0"/>
      <w:marRight w:val="0"/>
      <w:marTop w:val="0"/>
      <w:marBottom w:val="0"/>
      <w:divBdr>
        <w:top w:val="none" w:sz="0" w:space="0" w:color="auto"/>
        <w:left w:val="none" w:sz="0" w:space="0" w:color="auto"/>
        <w:bottom w:val="none" w:sz="0" w:space="0" w:color="auto"/>
        <w:right w:val="none" w:sz="0" w:space="0" w:color="auto"/>
      </w:divBdr>
    </w:div>
    <w:div w:id="876505628">
      <w:bodyDiv w:val="1"/>
      <w:marLeft w:val="0"/>
      <w:marRight w:val="0"/>
      <w:marTop w:val="0"/>
      <w:marBottom w:val="0"/>
      <w:divBdr>
        <w:top w:val="none" w:sz="0" w:space="0" w:color="auto"/>
        <w:left w:val="none" w:sz="0" w:space="0" w:color="auto"/>
        <w:bottom w:val="none" w:sz="0" w:space="0" w:color="auto"/>
        <w:right w:val="none" w:sz="0" w:space="0" w:color="auto"/>
      </w:divBdr>
    </w:div>
    <w:div w:id="892041820">
      <w:bodyDiv w:val="1"/>
      <w:marLeft w:val="0"/>
      <w:marRight w:val="0"/>
      <w:marTop w:val="0"/>
      <w:marBottom w:val="0"/>
      <w:divBdr>
        <w:top w:val="none" w:sz="0" w:space="0" w:color="auto"/>
        <w:left w:val="none" w:sz="0" w:space="0" w:color="auto"/>
        <w:bottom w:val="none" w:sz="0" w:space="0" w:color="auto"/>
        <w:right w:val="none" w:sz="0" w:space="0" w:color="auto"/>
      </w:divBdr>
    </w:div>
    <w:div w:id="942424051">
      <w:bodyDiv w:val="1"/>
      <w:marLeft w:val="0"/>
      <w:marRight w:val="0"/>
      <w:marTop w:val="0"/>
      <w:marBottom w:val="0"/>
      <w:divBdr>
        <w:top w:val="none" w:sz="0" w:space="0" w:color="auto"/>
        <w:left w:val="none" w:sz="0" w:space="0" w:color="auto"/>
        <w:bottom w:val="none" w:sz="0" w:space="0" w:color="auto"/>
        <w:right w:val="none" w:sz="0" w:space="0" w:color="auto"/>
      </w:divBdr>
    </w:div>
    <w:div w:id="946348670">
      <w:bodyDiv w:val="1"/>
      <w:marLeft w:val="0"/>
      <w:marRight w:val="0"/>
      <w:marTop w:val="0"/>
      <w:marBottom w:val="0"/>
      <w:divBdr>
        <w:top w:val="none" w:sz="0" w:space="0" w:color="auto"/>
        <w:left w:val="none" w:sz="0" w:space="0" w:color="auto"/>
        <w:bottom w:val="none" w:sz="0" w:space="0" w:color="auto"/>
        <w:right w:val="none" w:sz="0" w:space="0" w:color="auto"/>
      </w:divBdr>
    </w:div>
    <w:div w:id="984164357">
      <w:bodyDiv w:val="1"/>
      <w:marLeft w:val="0"/>
      <w:marRight w:val="0"/>
      <w:marTop w:val="0"/>
      <w:marBottom w:val="0"/>
      <w:divBdr>
        <w:top w:val="none" w:sz="0" w:space="0" w:color="auto"/>
        <w:left w:val="none" w:sz="0" w:space="0" w:color="auto"/>
        <w:bottom w:val="none" w:sz="0" w:space="0" w:color="auto"/>
        <w:right w:val="none" w:sz="0" w:space="0" w:color="auto"/>
      </w:divBdr>
    </w:div>
    <w:div w:id="1051344459">
      <w:bodyDiv w:val="1"/>
      <w:marLeft w:val="0"/>
      <w:marRight w:val="0"/>
      <w:marTop w:val="0"/>
      <w:marBottom w:val="0"/>
      <w:divBdr>
        <w:top w:val="none" w:sz="0" w:space="0" w:color="auto"/>
        <w:left w:val="none" w:sz="0" w:space="0" w:color="auto"/>
        <w:bottom w:val="none" w:sz="0" w:space="0" w:color="auto"/>
        <w:right w:val="none" w:sz="0" w:space="0" w:color="auto"/>
      </w:divBdr>
    </w:div>
    <w:div w:id="1055082781">
      <w:bodyDiv w:val="1"/>
      <w:marLeft w:val="0"/>
      <w:marRight w:val="0"/>
      <w:marTop w:val="0"/>
      <w:marBottom w:val="0"/>
      <w:divBdr>
        <w:top w:val="none" w:sz="0" w:space="0" w:color="auto"/>
        <w:left w:val="none" w:sz="0" w:space="0" w:color="auto"/>
        <w:bottom w:val="none" w:sz="0" w:space="0" w:color="auto"/>
        <w:right w:val="none" w:sz="0" w:space="0" w:color="auto"/>
      </w:divBdr>
    </w:div>
    <w:div w:id="1068579606">
      <w:bodyDiv w:val="1"/>
      <w:marLeft w:val="0"/>
      <w:marRight w:val="0"/>
      <w:marTop w:val="0"/>
      <w:marBottom w:val="0"/>
      <w:divBdr>
        <w:top w:val="none" w:sz="0" w:space="0" w:color="auto"/>
        <w:left w:val="none" w:sz="0" w:space="0" w:color="auto"/>
        <w:bottom w:val="none" w:sz="0" w:space="0" w:color="auto"/>
        <w:right w:val="none" w:sz="0" w:space="0" w:color="auto"/>
      </w:divBdr>
    </w:div>
    <w:div w:id="1099569611">
      <w:bodyDiv w:val="1"/>
      <w:marLeft w:val="0"/>
      <w:marRight w:val="0"/>
      <w:marTop w:val="0"/>
      <w:marBottom w:val="0"/>
      <w:divBdr>
        <w:top w:val="none" w:sz="0" w:space="0" w:color="auto"/>
        <w:left w:val="none" w:sz="0" w:space="0" w:color="auto"/>
        <w:bottom w:val="none" w:sz="0" w:space="0" w:color="auto"/>
        <w:right w:val="none" w:sz="0" w:space="0" w:color="auto"/>
      </w:divBdr>
    </w:div>
    <w:div w:id="1106266394">
      <w:bodyDiv w:val="1"/>
      <w:marLeft w:val="0"/>
      <w:marRight w:val="0"/>
      <w:marTop w:val="0"/>
      <w:marBottom w:val="0"/>
      <w:divBdr>
        <w:top w:val="none" w:sz="0" w:space="0" w:color="auto"/>
        <w:left w:val="none" w:sz="0" w:space="0" w:color="auto"/>
        <w:bottom w:val="none" w:sz="0" w:space="0" w:color="auto"/>
        <w:right w:val="none" w:sz="0" w:space="0" w:color="auto"/>
      </w:divBdr>
    </w:div>
    <w:div w:id="1113131572">
      <w:bodyDiv w:val="1"/>
      <w:marLeft w:val="0"/>
      <w:marRight w:val="0"/>
      <w:marTop w:val="0"/>
      <w:marBottom w:val="0"/>
      <w:divBdr>
        <w:top w:val="none" w:sz="0" w:space="0" w:color="auto"/>
        <w:left w:val="none" w:sz="0" w:space="0" w:color="auto"/>
        <w:bottom w:val="none" w:sz="0" w:space="0" w:color="auto"/>
        <w:right w:val="none" w:sz="0" w:space="0" w:color="auto"/>
      </w:divBdr>
    </w:div>
    <w:div w:id="1116867596">
      <w:bodyDiv w:val="1"/>
      <w:marLeft w:val="0"/>
      <w:marRight w:val="0"/>
      <w:marTop w:val="0"/>
      <w:marBottom w:val="0"/>
      <w:divBdr>
        <w:top w:val="none" w:sz="0" w:space="0" w:color="auto"/>
        <w:left w:val="none" w:sz="0" w:space="0" w:color="auto"/>
        <w:bottom w:val="none" w:sz="0" w:space="0" w:color="auto"/>
        <w:right w:val="none" w:sz="0" w:space="0" w:color="auto"/>
      </w:divBdr>
    </w:div>
    <w:div w:id="1160923738">
      <w:bodyDiv w:val="1"/>
      <w:marLeft w:val="0"/>
      <w:marRight w:val="0"/>
      <w:marTop w:val="0"/>
      <w:marBottom w:val="0"/>
      <w:divBdr>
        <w:top w:val="none" w:sz="0" w:space="0" w:color="auto"/>
        <w:left w:val="none" w:sz="0" w:space="0" w:color="auto"/>
        <w:bottom w:val="none" w:sz="0" w:space="0" w:color="auto"/>
        <w:right w:val="none" w:sz="0" w:space="0" w:color="auto"/>
      </w:divBdr>
    </w:div>
    <w:div w:id="1226721827">
      <w:bodyDiv w:val="1"/>
      <w:marLeft w:val="0"/>
      <w:marRight w:val="0"/>
      <w:marTop w:val="0"/>
      <w:marBottom w:val="0"/>
      <w:divBdr>
        <w:top w:val="none" w:sz="0" w:space="0" w:color="auto"/>
        <w:left w:val="none" w:sz="0" w:space="0" w:color="auto"/>
        <w:bottom w:val="none" w:sz="0" w:space="0" w:color="auto"/>
        <w:right w:val="none" w:sz="0" w:space="0" w:color="auto"/>
      </w:divBdr>
    </w:div>
    <w:div w:id="1236163499">
      <w:bodyDiv w:val="1"/>
      <w:marLeft w:val="0"/>
      <w:marRight w:val="0"/>
      <w:marTop w:val="0"/>
      <w:marBottom w:val="0"/>
      <w:divBdr>
        <w:top w:val="none" w:sz="0" w:space="0" w:color="auto"/>
        <w:left w:val="none" w:sz="0" w:space="0" w:color="auto"/>
        <w:bottom w:val="none" w:sz="0" w:space="0" w:color="auto"/>
        <w:right w:val="none" w:sz="0" w:space="0" w:color="auto"/>
      </w:divBdr>
    </w:div>
    <w:div w:id="1237545557">
      <w:bodyDiv w:val="1"/>
      <w:marLeft w:val="0"/>
      <w:marRight w:val="0"/>
      <w:marTop w:val="0"/>
      <w:marBottom w:val="0"/>
      <w:divBdr>
        <w:top w:val="none" w:sz="0" w:space="0" w:color="auto"/>
        <w:left w:val="none" w:sz="0" w:space="0" w:color="auto"/>
        <w:bottom w:val="none" w:sz="0" w:space="0" w:color="auto"/>
        <w:right w:val="none" w:sz="0" w:space="0" w:color="auto"/>
      </w:divBdr>
    </w:div>
    <w:div w:id="1316957035">
      <w:bodyDiv w:val="1"/>
      <w:marLeft w:val="0"/>
      <w:marRight w:val="0"/>
      <w:marTop w:val="0"/>
      <w:marBottom w:val="0"/>
      <w:divBdr>
        <w:top w:val="none" w:sz="0" w:space="0" w:color="auto"/>
        <w:left w:val="none" w:sz="0" w:space="0" w:color="auto"/>
        <w:bottom w:val="none" w:sz="0" w:space="0" w:color="auto"/>
        <w:right w:val="none" w:sz="0" w:space="0" w:color="auto"/>
      </w:divBdr>
    </w:div>
    <w:div w:id="1378552292">
      <w:bodyDiv w:val="1"/>
      <w:marLeft w:val="0"/>
      <w:marRight w:val="0"/>
      <w:marTop w:val="0"/>
      <w:marBottom w:val="0"/>
      <w:divBdr>
        <w:top w:val="none" w:sz="0" w:space="0" w:color="auto"/>
        <w:left w:val="none" w:sz="0" w:space="0" w:color="auto"/>
        <w:bottom w:val="none" w:sz="0" w:space="0" w:color="auto"/>
        <w:right w:val="none" w:sz="0" w:space="0" w:color="auto"/>
      </w:divBdr>
    </w:div>
    <w:div w:id="1399597389">
      <w:bodyDiv w:val="1"/>
      <w:marLeft w:val="0"/>
      <w:marRight w:val="0"/>
      <w:marTop w:val="0"/>
      <w:marBottom w:val="0"/>
      <w:divBdr>
        <w:top w:val="none" w:sz="0" w:space="0" w:color="auto"/>
        <w:left w:val="none" w:sz="0" w:space="0" w:color="auto"/>
        <w:bottom w:val="none" w:sz="0" w:space="0" w:color="auto"/>
        <w:right w:val="none" w:sz="0" w:space="0" w:color="auto"/>
      </w:divBdr>
    </w:div>
    <w:div w:id="1399670741">
      <w:bodyDiv w:val="1"/>
      <w:marLeft w:val="0"/>
      <w:marRight w:val="0"/>
      <w:marTop w:val="0"/>
      <w:marBottom w:val="0"/>
      <w:divBdr>
        <w:top w:val="none" w:sz="0" w:space="0" w:color="auto"/>
        <w:left w:val="none" w:sz="0" w:space="0" w:color="auto"/>
        <w:bottom w:val="none" w:sz="0" w:space="0" w:color="auto"/>
        <w:right w:val="none" w:sz="0" w:space="0" w:color="auto"/>
      </w:divBdr>
    </w:div>
    <w:div w:id="1404059176">
      <w:bodyDiv w:val="1"/>
      <w:marLeft w:val="0"/>
      <w:marRight w:val="0"/>
      <w:marTop w:val="0"/>
      <w:marBottom w:val="0"/>
      <w:divBdr>
        <w:top w:val="none" w:sz="0" w:space="0" w:color="auto"/>
        <w:left w:val="none" w:sz="0" w:space="0" w:color="auto"/>
        <w:bottom w:val="none" w:sz="0" w:space="0" w:color="auto"/>
        <w:right w:val="none" w:sz="0" w:space="0" w:color="auto"/>
      </w:divBdr>
    </w:div>
    <w:div w:id="1418819620">
      <w:bodyDiv w:val="1"/>
      <w:marLeft w:val="0"/>
      <w:marRight w:val="0"/>
      <w:marTop w:val="0"/>
      <w:marBottom w:val="0"/>
      <w:divBdr>
        <w:top w:val="none" w:sz="0" w:space="0" w:color="auto"/>
        <w:left w:val="none" w:sz="0" w:space="0" w:color="auto"/>
        <w:bottom w:val="none" w:sz="0" w:space="0" w:color="auto"/>
        <w:right w:val="none" w:sz="0" w:space="0" w:color="auto"/>
      </w:divBdr>
    </w:div>
    <w:div w:id="1442265382">
      <w:bodyDiv w:val="1"/>
      <w:marLeft w:val="0"/>
      <w:marRight w:val="0"/>
      <w:marTop w:val="0"/>
      <w:marBottom w:val="0"/>
      <w:divBdr>
        <w:top w:val="none" w:sz="0" w:space="0" w:color="auto"/>
        <w:left w:val="none" w:sz="0" w:space="0" w:color="auto"/>
        <w:bottom w:val="none" w:sz="0" w:space="0" w:color="auto"/>
        <w:right w:val="none" w:sz="0" w:space="0" w:color="auto"/>
      </w:divBdr>
    </w:div>
    <w:div w:id="1490488320">
      <w:bodyDiv w:val="1"/>
      <w:marLeft w:val="0"/>
      <w:marRight w:val="0"/>
      <w:marTop w:val="0"/>
      <w:marBottom w:val="0"/>
      <w:divBdr>
        <w:top w:val="none" w:sz="0" w:space="0" w:color="auto"/>
        <w:left w:val="none" w:sz="0" w:space="0" w:color="auto"/>
        <w:bottom w:val="none" w:sz="0" w:space="0" w:color="auto"/>
        <w:right w:val="none" w:sz="0" w:space="0" w:color="auto"/>
      </w:divBdr>
    </w:div>
    <w:div w:id="1535650690">
      <w:bodyDiv w:val="1"/>
      <w:marLeft w:val="0"/>
      <w:marRight w:val="0"/>
      <w:marTop w:val="0"/>
      <w:marBottom w:val="0"/>
      <w:divBdr>
        <w:top w:val="none" w:sz="0" w:space="0" w:color="auto"/>
        <w:left w:val="none" w:sz="0" w:space="0" w:color="auto"/>
        <w:bottom w:val="none" w:sz="0" w:space="0" w:color="auto"/>
        <w:right w:val="none" w:sz="0" w:space="0" w:color="auto"/>
      </w:divBdr>
    </w:div>
    <w:div w:id="1558010732">
      <w:bodyDiv w:val="1"/>
      <w:marLeft w:val="0"/>
      <w:marRight w:val="0"/>
      <w:marTop w:val="0"/>
      <w:marBottom w:val="0"/>
      <w:divBdr>
        <w:top w:val="none" w:sz="0" w:space="0" w:color="auto"/>
        <w:left w:val="none" w:sz="0" w:space="0" w:color="auto"/>
        <w:bottom w:val="none" w:sz="0" w:space="0" w:color="auto"/>
        <w:right w:val="none" w:sz="0" w:space="0" w:color="auto"/>
      </w:divBdr>
    </w:div>
    <w:div w:id="1592622130">
      <w:bodyDiv w:val="1"/>
      <w:marLeft w:val="0"/>
      <w:marRight w:val="0"/>
      <w:marTop w:val="0"/>
      <w:marBottom w:val="0"/>
      <w:divBdr>
        <w:top w:val="none" w:sz="0" w:space="0" w:color="auto"/>
        <w:left w:val="none" w:sz="0" w:space="0" w:color="auto"/>
        <w:bottom w:val="none" w:sz="0" w:space="0" w:color="auto"/>
        <w:right w:val="none" w:sz="0" w:space="0" w:color="auto"/>
      </w:divBdr>
    </w:div>
    <w:div w:id="1618871009">
      <w:bodyDiv w:val="1"/>
      <w:marLeft w:val="0"/>
      <w:marRight w:val="0"/>
      <w:marTop w:val="0"/>
      <w:marBottom w:val="0"/>
      <w:divBdr>
        <w:top w:val="none" w:sz="0" w:space="0" w:color="auto"/>
        <w:left w:val="none" w:sz="0" w:space="0" w:color="auto"/>
        <w:bottom w:val="none" w:sz="0" w:space="0" w:color="auto"/>
        <w:right w:val="none" w:sz="0" w:space="0" w:color="auto"/>
      </w:divBdr>
    </w:div>
    <w:div w:id="1624843563">
      <w:bodyDiv w:val="1"/>
      <w:marLeft w:val="0"/>
      <w:marRight w:val="0"/>
      <w:marTop w:val="0"/>
      <w:marBottom w:val="0"/>
      <w:divBdr>
        <w:top w:val="none" w:sz="0" w:space="0" w:color="auto"/>
        <w:left w:val="none" w:sz="0" w:space="0" w:color="auto"/>
        <w:bottom w:val="none" w:sz="0" w:space="0" w:color="auto"/>
        <w:right w:val="none" w:sz="0" w:space="0" w:color="auto"/>
      </w:divBdr>
    </w:div>
    <w:div w:id="1626037040">
      <w:bodyDiv w:val="1"/>
      <w:marLeft w:val="0"/>
      <w:marRight w:val="0"/>
      <w:marTop w:val="0"/>
      <w:marBottom w:val="0"/>
      <w:divBdr>
        <w:top w:val="none" w:sz="0" w:space="0" w:color="auto"/>
        <w:left w:val="none" w:sz="0" w:space="0" w:color="auto"/>
        <w:bottom w:val="none" w:sz="0" w:space="0" w:color="auto"/>
        <w:right w:val="none" w:sz="0" w:space="0" w:color="auto"/>
      </w:divBdr>
    </w:div>
    <w:div w:id="1661931536">
      <w:bodyDiv w:val="1"/>
      <w:marLeft w:val="0"/>
      <w:marRight w:val="0"/>
      <w:marTop w:val="0"/>
      <w:marBottom w:val="0"/>
      <w:divBdr>
        <w:top w:val="none" w:sz="0" w:space="0" w:color="auto"/>
        <w:left w:val="none" w:sz="0" w:space="0" w:color="auto"/>
        <w:bottom w:val="none" w:sz="0" w:space="0" w:color="auto"/>
        <w:right w:val="none" w:sz="0" w:space="0" w:color="auto"/>
      </w:divBdr>
    </w:div>
    <w:div w:id="1664352476">
      <w:bodyDiv w:val="1"/>
      <w:marLeft w:val="0"/>
      <w:marRight w:val="0"/>
      <w:marTop w:val="0"/>
      <w:marBottom w:val="0"/>
      <w:divBdr>
        <w:top w:val="none" w:sz="0" w:space="0" w:color="auto"/>
        <w:left w:val="none" w:sz="0" w:space="0" w:color="auto"/>
        <w:bottom w:val="none" w:sz="0" w:space="0" w:color="auto"/>
        <w:right w:val="none" w:sz="0" w:space="0" w:color="auto"/>
      </w:divBdr>
    </w:div>
    <w:div w:id="1666086411">
      <w:bodyDiv w:val="1"/>
      <w:marLeft w:val="0"/>
      <w:marRight w:val="0"/>
      <w:marTop w:val="0"/>
      <w:marBottom w:val="0"/>
      <w:divBdr>
        <w:top w:val="none" w:sz="0" w:space="0" w:color="auto"/>
        <w:left w:val="none" w:sz="0" w:space="0" w:color="auto"/>
        <w:bottom w:val="none" w:sz="0" w:space="0" w:color="auto"/>
        <w:right w:val="none" w:sz="0" w:space="0" w:color="auto"/>
      </w:divBdr>
    </w:div>
    <w:div w:id="1674142521">
      <w:bodyDiv w:val="1"/>
      <w:marLeft w:val="0"/>
      <w:marRight w:val="0"/>
      <w:marTop w:val="0"/>
      <w:marBottom w:val="0"/>
      <w:divBdr>
        <w:top w:val="none" w:sz="0" w:space="0" w:color="auto"/>
        <w:left w:val="none" w:sz="0" w:space="0" w:color="auto"/>
        <w:bottom w:val="none" w:sz="0" w:space="0" w:color="auto"/>
        <w:right w:val="none" w:sz="0" w:space="0" w:color="auto"/>
      </w:divBdr>
    </w:div>
    <w:div w:id="1724676810">
      <w:bodyDiv w:val="1"/>
      <w:marLeft w:val="0"/>
      <w:marRight w:val="0"/>
      <w:marTop w:val="0"/>
      <w:marBottom w:val="0"/>
      <w:divBdr>
        <w:top w:val="none" w:sz="0" w:space="0" w:color="auto"/>
        <w:left w:val="none" w:sz="0" w:space="0" w:color="auto"/>
        <w:bottom w:val="none" w:sz="0" w:space="0" w:color="auto"/>
        <w:right w:val="none" w:sz="0" w:space="0" w:color="auto"/>
      </w:divBdr>
    </w:div>
    <w:div w:id="1729643754">
      <w:bodyDiv w:val="1"/>
      <w:marLeft w:val="0"/>
      <w:marRight w:val="0"/>
      <w:marTop w:val="0"/>
      <w:marBottom w:val="0"/>
      <w:divBdr>
        <w:top w:val="none" w:sz="0" w:space="0" w:color="auto"/>
        <w:left w:val="none" w:sz="0" w:space="0" w:color="auto"/>
        <w:bottom w:val="none" w:sz="0" w:space="0" w:color="auto"/>
        <w:right w:val="none" w:sz="0" w:space="0" w:color="auto"/>
      </w:divBdr>
    </w:div>
    <w:div w:id="1743209694">
      <w:bodyDiv w:val="1"/>
      <w:marLeft w:val="0"/>
      <w:marRight w:val="0"/>
      <w:marTop w:val="0"/>
      <w:marBottom w:val="0"/>
      <w:divBdr>
        <w:top w:val="none" w:sz="0" w:space="0" w:color="auto"/>
        <w:left w:val="none" w:sz="0" w:space="0" w:color="auto"/>
        <w:bottom w:val="none" w:sz="0" w:space="0" w:color="auto"/>
        <w:right w:val="none" w:sz="0" w:space="0" w:color="auto"/>
      </w:divBdr>
    </w:div>
    <w:div w:id="1752461457">
      <w:bodyDiv w:val="1"/>
      <w:marLeft w:val="0"/>
      <w:marRight w:val="0"/>
      <w:marTop w:val="0"/>
      <w:marBottom w:val="0"/>
      <w:divBdr>
        <w:top w:val="none" w:sz="0" w:space="0" w:color="auto"/>
        <w:left w:val="none" w:sz="0" w:space="0" w:color="auto"/>
        <w:bottom w:val="none" w:sz="0" w:space="0" w:color="auto"/>
        <w:right w:val="none" w:sz="0" w:space="0" w:color="auto"/>
      </w:divBdr>
    </w:div>
    <w:div w:id="1763453892">
      <w:bodyDiv w:val="1"/>
      <w:marLeft w:val="0"/>
      <w:marRight w:val="0"/>
      <w:marTop w:val="0"/>
      <w:marBottom w:val="0"/>
      <w:divBdr>
        <w:top w:val="none" w:sz="0" w:space="0" w:color="auto"/>
        <w:left w:val="none" w:sz="0" w:space="0" w:color="auto"/>
        <w:bottom w:val="none" w:sz="0" w:space="0" w:color="auto"/>
        <w:right w:val="none" w:sz="0" w:space="0" w:color="auto"/>
      </w:divBdr>
    </w:div>
    <w:div w:id="1783038250">
      <w:bodyDiv w:val="1"/>
      <w:marLeft w:val="0"/>
      <w:marRight w:val="0"/>
      <w:marTop w:val="0"/>
      <w:marBottom w:val="0"/>
      <w:divBdr>
        <w:top w:val="none" w:sz="0" w:space="0" w:color="auto"/>
        <w:left w:val="none" w:sz="0" w:space="0" w:color="auto"/>
        <w:bottom w:val="none" w:sz="0" w:space="0" w:color="auto"/>
        <w:right w:val="none" w:sz="0" w:space="0" w:color="auto"/>
      </w:divBdr>
    </w:div>
    <w:div w:id="1813209449">
      <w:bodyDiv w:val="1"/>
      <w:marLeft w:val="0"/>
      <w:marRight w:val="0"/>
      <w:marTop w:val="0"/>
      <w:marBottom w:val="0"/>
      <w:divBdr>
        <w:top w:val="none" w:sz="0" w:space="0" w:color="auto"/>
        <w:left w:val="none" w:sz="0" w:space="0" w:color="auto"/>
        <w:bottom w:val="none" w:sz="0" w:space="0" w:color="auto"/>
        <w:right w:val="none" w:sz="0" w:space="0" w:color="auto"/>
      </w:divBdr>
    </w:div>
    <w:div w:id="1845169522">
      <w:bodyDiv w:val="1"/>
      <w:marLeft w:val="0"/>
      <w:marRight w:val="0"/>
      <w:marTop w:val="0"/>
      <w:marBottom w:val="0"/>
      <w:divBdr>
        <w:top w:val="none" w:sz="0" w:space="0" w:color="auto"/>
        <w:left w:val="none" w:sz="0" w:space="0" w:color="auto"/>
        <w:bottom w:val="none" w:sz="0" w:space="0" w:color="auto"/>
        <w:right w:val="none" w:sz="0" w:space="0" w:color="auto"/>
      </w:divBdr>
    </w:div>
    <w:div w:id="1882746702">
      <w:bodyDiv w:val="1"/>
      <w:marLeft w:val="0"/>
      <w:marRight w:val="0"/>
      <w:marTop w:val="0"/>
      <w:marBottom w:val="0"/>
      <w:divBdr>
        <w:top w:val="none" w:sz="0" w:space="0" w:color="auto"/>
        <w:left w:val="none" w:sz="0" w:space="0" w:color="auto"/>
        <w:bottom w:val="none" w:sz="0" w:space="0" w:color="auto"/>
        <w:right w:val="none" w:sz="0" w:space="0" w:color="auto"/>
      </w:divBdr>
    </w:div>
    <w:div w:id="1906136632">
      <w:bodyDiv w:val="1"/>
      <w:marLeft w:val="0"/>
      <w:marRight w:val="0"/>
      <w:marTop w:val="0"/>
      <w:marBottom w:val="0"/>
      <w:divBdr>
        <w:top w:val="none" w:sz="0" w:space="0" w:color="auto"/>
        <w:left w:val="none" w:sz="0" w:space="0" w:color="auto"/>
        <w:bottom w:val="none" w:sz="0" w:space="0" w:color="auto"/>
        <w:right w:val="none" w:sz="0" w:space="0" w:color="auto"/>
      </w:divBdr>
    </w:div>
    <w:div w:id="1931353543">
      <w:bodyDiv w:val="1"/>
      <w:marLeft w:val="0"/>
      <w:marRight w:val="0"/>
      <w:marTop w:val="0"/>
      <w:marBottom w:val="0"/>
      <w:divBdr>
        <w:top w:val="none" w:sz="0" w:space="0" w:color="auto"/>
        <w:left w:val="none" w:sz="0" w:space="0" w:color="auto"/>
        <w:bottom w:val="none" w:sz="0" w:space="0" w:color="auto"/>
        <w:right w:val="none" w:sz="0" w:space="0" w:color="auto"/>
      </w:divBdr>
    </w:div>
    <w:div w:id="1939098660">
      <w:bodyDiv w:val="1"/>
      <w:marLeft w:val="0"/>
      <w:marRight w:val="0"/>
      <w:marTop w:val="0"/>
      <w:marBottom w:val="0"/>
      <w:divBdr>
        <w:top w:val="none" w:sz="0" w:space="0" w:color="auto"/>
        <w:left w:val="none" w:sz="0" w:space="0" w:color="auto"/>
        <w:bottom w:val="none" w:sz="0" w:space="0" w:color="auto"/>
        <w:right w:val="none" w:sz="0" w:space="0" w:color="auto"/>
      </w:divBdr>
    </w:div>
    <w:div w:id="1982736220">
      <w:bodyDiv w:val="1"/>
      <w:marLeft w:val="0"/>
      <w:marRight w:val="0"/>
      <w:marTop w:val="0"/>
      <w:marBottom w:val="0"/>
      <w:divBdr>
        <w:top w:val="none" w:sz="0" w:space="0" w:color="auto"/>
        <w:left w:val="none" w:sz="0" w:space="0" w:color="auto"/>
        <w:bottom w:val="none" w:sz="0" w:space="0" w:color="auto"/>
        <w:right w:val="none" w:sz="0" w:space="0" w:color="auto"/>
      </w:divBdr>
    </w:div>
    <w:div w:id="1983845118">
      <w:bodyDiv w:val="1"/>
      <w:marLeft w:val="0"/>
      <w:marRight w:val="0"/>
      <w:marTop w:val="0"/>
      <w:marBottom w:val="0"/>
      <w:divBdr>
        <w:top w:val="none" w:sz="0" w:space="0" w:color="auto"/>
        <w:left w:val="none" w:sz="0" w:space="0" w:color="auto"/>
        <w:bottom w:val="none" w:sz="0" w:space="0" w:color="auto"/>
        <w:right w:val="none" w:sz="0" w:space="0" w:color="auto"/>
      </w:divBdr>
    </w:div>
    <w:div w:id="1985889124">
      <w:bodyDiv w:val="1"/>
      <w:marLeft w:val="0"/>
      <w:marRight w:val="0"/>
      <w:marTop w:val="0"/>
      <w:marBottom w:val="0"/>
      <w:divBdr>
        <w:top w:val="none" w:sz="0" w:space="0" w:color="auto"/>
        <w:left w:val="none" w:sz="0" w:space="0" w:color="auto"/>
        <w:bottom w:val="none" w:sz="0" w:space="0" w:color="auto"/>
        <w:right w:val="none" w:sz="0" w:space="0" w:color="auto"/>
      </w:divBdr>
    </w:div>
    <w:div w:id="1987202589">
      <w:bodyDiv w:val="1"/>
      <w:marLeft w:val="0"/>
      <w:marRight w:val="0"/>
      <w:marTop w:val="0"/>
      <w:marBottom w:val="0"/>
      <w:divBdr>
        <w:top w:val="none" w:sz="0" w:space="0" w:color="auto"/>
        <w:left w:val="none" w:sz="0" w:space="0" w:color="auto"/>
        <w:bottom w:val="none" w:sz="0" w:space="0" w:color="auto"/>
        <w:right w:val="none" w:sz="0" w:space="0" w:color="auto"/>
      </w:divBdr>
    </w:div>
    <w:div w:id="2049335193">
      <w:bodyDiv w:val="1"/>
      <w:marLeft w:val="0"/>
      <w:marRight w:val="0"/>
      <w:marTop w:val="0"/>
      <w:marBottom w:val="0"/>
      <w:divBdr>
        <w:top w:val="none" w:sz="0" w:space="0" w:color="auto"/>
        <w:left w:val="none" w:sz="0" w:space="0" w:color="auto"/>
        <w:bottom w:val="none" w:sz="0" w:space="0" w:color="auto"/>
        <w:right w:val="none" w:sz="0" w:space="0" w:color="auto"/>
      </w:divBdr>
    </w:div>
    <w:div w:id="2080712778">
      <w:bodyDiv w:val="1"/>
      <w:marLeft w:val="0"/>
      <w:marRight w:val="0"/>
      <w:marTop w:val="0"/>
      <w:marBottom w:val="0"/>
      <w:divBdr>
        <w:top w:val="none" w:sz="0" w:space="0" w:color="auto"/>
        <w:left w:val="none" w:sz="0" w:space="0" w:color="auto"/>
        <w:bottom w:val="none" w:sz="0" w:space="0" w:color="auto"/>
        <w:right w:val="none" w:sz="0" w:space="0" w:color="auto"/>
      </w:divBdr>
    </w:div>
    <w:div w:id="2095466460">
      <w:bodyDiv w:val="1"/>
      <w:marLeft w:val="0"/>
      <w:marRight w:val="0"/>
      <w:marTop w:val="0"/>
      <w:marBottom w:val="0"/>
      <w:divBdr>
        <w:top w:val="none" w:sz="0" w:space="0" w:color="auto"/>
        <w:left w:val="none" w:sz="0" w:space="0" w:color="auto"/>
        <w:bottom w:val="none" w:sz="0" w:space="0" w:color="auto"/>
        <w:right w:val="none" w:sz="0" w:space="0" w:color="auto"/>
      </w:divBdr>
    </w:div>
    <w:div w:id="2095853803">
      <w:bodyDiv w:val="1"/>
      <w:marLeft w:val="0"/>
      <w:marRight w:val="0"/>
      <w:marTop w:val="0"/>
      <w:marBottom w:val="0"/>
      <w:divBdr>
        <w:top w:val="none" w:sz="0" w:space="0" w:color="auto"/>
        <w:left w:val="none" w:sz="0" w:space="0" w:color="auto"/>
        <w:bottom w:val="none" w:sz="0" w:space="0" w:color="auto"/>
        <w:right w:val="none" w:sz="0" w:space="0" w:color="auto"/>
      </w:divBdr>
    </w:div>
    <w:div w:id="213517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ipex.eu/IPEXL-WEB/dossier/document/COM20160689.do" TargetMode="External" Id="rId8"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hyperlink" Target="http://ec.europa.eu/environment/consultations/reused_water_en.htm"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hyperlink" Target="http://ec.europa.eu/environment/chemicals/reach/review_2017_en.htm"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www.ipex.eu/IPEXL-WEB/dossier/document/COM20160691.do" TargetMode="External" Id="rId10" /><Relationship Type="http://schemas.openxmlformats.org/officeDocument/2006/relationships/settings" Target="settings.xml" Id="rId4" /><Relationship Type="http://schemas.openxmlformats.org/officeDocument/2006/relationships/hyperlink" Target="http://www.ipex.eu/IPEXL-WEB/dossier/document/COM20160688.do" TargetMode="External" Id="rId9" /><Relationship Type="http://schemas.openxmlformats.org/officeDocument/2006/relationships/hyperlink" Target="http://ec.europa.eu/yourvoice/consultations/index_nl.htm"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2513</ap:Words>
  <ap:Characters>13822</ap:Characters>
  <ap:DocSecurity>4</ap:DocSecurity>
  <ap:Lines>115</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16303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2016-09-29T11:30:00.0000000Z</lastPrinted>
  <dcterms:created xsi:type="dcterms:W3CDTF">2016-11-03T13:04:00.0000000Z</dcterms:created>
  <dcterms:modified xsi:type="dcterms:W3CDTF">2016-11-03T13:04:00.0000000Z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0x010100FF3B225D68156F44B3634EC1A63ED039</vt:lpwstr>
  </property>
</Properties>
</file>