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514AA8" w:rsidR="00514AA8" w:rsidTr="00D67501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3337BC" w:rsidRDefault="003337BC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  <w:bookmarkStart w:name="_GoBack" w:id="0"/>
            <w:bookmarkEnd w:id="0"/>
            <w:r>
              <w:rPr>
                <w:b/>
                <w:bCs/>
              </w:rPr>
              <w:t xml:space="preserve">Bijgewerkt t/m nr. 7 (nota van wijziging d.d. 2 november </w:t>
            </w:r>
            <w:proofErr w:type="gramStart"/>
            <w:r>
              <w:rPr>
                <w:b/>
                <w:bCs/>
              </w:rPr>
              <w:t xml:space="preserve">2016)           </w:t>
            </w:r>
            <w:proofErr w:type="gramEnd"/>
          </w:p>
        </w:tc>
      </w:tr>
      <w:tr w:rsidRPr="00514AA8" w:rsidR="00514AA8" w:rsidTr="00D6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14AA8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14AA8">
            <w:pPr>
              <w:tabs>
                <w:tab w:val="left" w:pos="-1440"/>
                <w:tab w:val="left" w:pos="-720"/>
              </w:tabs>
              <w:suppressAutoHyphens/>
              <w:rPr>
                <w:b/>
                <w:bCs/>
                <w:sz w:val="20"/>
              </w:rPr>
            </w:pPr>
          </w:p>
        </w:tc>
      </w:tr>
      <w:tr w:rsidRPr="00514AA8" w:rsidR="00514AA8" w:rsidTr="00D6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D16A1">
            <w:pPr>
              <w:rPr>
                <w:b/>
              </w:rPr>
            </w:pPr>
            <w:r>
              <w:rPr>
                <w:b/>
              </w:rPr>
              <w:t>34 464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14AA8">
            <w:pPr>
              <w:rPr>
                <w:rFonts w:eastAsiaTheme="minorHAnsi"/>
                <w:b/>
                <w:lang w:eastAsia="en-US"/>
              </w:rPr>
            </w:pPr>
            <w:r w:rsidRPr="00514AA8">
              <w:rPr>
                <w:rFonts w:eastAsiaTheme="minorHAnsi"/>
                <w:b/>
                <w:lang w:eastAsia="en-US"/>
              </w:rPr>
              <w:t xml:space="preserve">Voorstel van wet van het lid </w:t>
            </w:r>
            <w:proofErr w:type="spellStart"/>
            <w:r w:rsidRPr="00514AA8">
              <w:rPr>
                <w:rFonts w:eastAsiaTheme="minorHAnsi" w:cstheme="minorBidi"/>
                <w:b/>
                <w:szCs w:val="22"/>
                <w:lang w:eastAsia="en-US"/>
              </w:rPr>
              <w:t>Koşer</w:t>
            </w:r>
            <w:proofErr w:type="spellEnd"/>
            <w:r w:rsidRPr="00514AA8">
              <w:rPr>
                <w:rFonts w:eastAsiaTheme="minorHAnsi"/>
                <w:b/>
                <w:lang w:eastAsia="en-US"/>
              </w:rPr>
              <w:t xml:space="preserve"> Kaya tot intrekking van de Zondagswet </w:t>
            </w:r>
          </w:p>
          <w:p w:rsidRPr="00514AA8" w:rsidR="00514AA8" w:rsidP="00514AA8" w:rsidRDefault="00514AA8">
            <w:pPr>
              <w:rPr>
                <w:b/>
              </w:rPr>
            </w:pPr>
          </w:p>
        </w:tc>
      </w:tr>
      <w:tr w:rsidRPr="00514AA8" w:rsidR="00514AA8" w:rsidTr="00D6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14AA8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14AA8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</w:tr>
      <w:tr w:rsidRPr="00514AA8" w:rsidR="00514AA8" w:rsidTr="00D6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14AA8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14AA8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</w:tr>
      <w:tr w:rsidRPr="00514AA8" w:rsidR="00514AA8" w:rsidTr="00D6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14AA8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  <w:r w:rsidRPr="00514AA8">
              <w:rPr>
                <w:b/>
                <w:bCs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14AA8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  <w:r w:rsidRPr="00514AA8">
              <w:rPr>
                <w:b/>
                <w:bCs/>
              </w:rPr>
              <w:t>VOORSTEL VAN WET</w:t>
            </w:r>
          </w:p>
        </w:tc>
      </w:tr>
      <w:tr w:rsidRPr="00514AA8" w:rsidR="00514AA8" w:rsidTr="00D6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14AA8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14AA8" w:rsidR="00514AA8" w:rsidP="00514AA8" w:rsidRDefault="00514AA8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</w:tr>
    </w:tbl>
    <w:p w:rsidRPr="00514AA8" w:rsidR="00514AA8" w:rsidP="00514AA8" w:rsidRDefault="00514AA8">
      <w:pPr>
        <w:ind w:firstLine="284"/>
        <w:rPr>
          <w:rFonts w:eastAsiaTheme="minorHAnsi"/>
          <w:lang w:eastAsia="en-US"/>
        </w:rPr>
      </w:pPr>
      <w:r w:rsidRPr="00514AA8">
        <w:rPr>
          <w:rFonts w:eastAsiaTheme="minorHAnsi"/>
          <w:lang w:eastAsia="en-US"/>
        </w:rPr>
        <w:t xml:space="preserve">Wij Willem-Alexander, bij de gratie Gods, Koning der Nederlanden, Prins van Oranje-Nassau, enz. enz. enz. </w:t>
      </w:r>
    </w:p>
    <w:p w:rsidRPr="00514AA8" w:rsidR="00514AA8" w:rsidP="00514AA8" w:rsidRDefault="00514AA8">
      <w:pPr>
        <w:rPr>
          <w:rFonts w:eastAsiaTheme="minorHAnsi"/>
          <w:lang w:eastAsia="en-US"/>
        </w:rPr>
      </w:pPr>
    </w:p>
    <w:p w:rsidRPr="00514AA8" w:rsidR="00514AA8" w:rsidP="00EA36AE" w:rsidRDefault="00514AA8">
      <w:pPr>
        <w:ind w:firstLine="284"/>
        <w:rPr>
          <w:rFonts w:eastAsiaTheme="minorHAnsi"/>
          <w:lang w:eastAsia="en-US"/>
        </w:rPr>
      </w:pPr>
      <w:r w:rsidRPr="00514AA8">
        <w:rPr>
          <w:rFonts w:eastAsiaTheme="minorHAnsi"/>
          <w:lang w:eastAsia="en-US"/>
        </w:rPr>
        <w:t xml:space="preserve">Allen, die deze zullen zien of horen lezen, saluut! </w:t>
      </w:r>
      <w:proofErr w:type="gramStart"/>
      <w:r w:rsidRPr="00514AA8">
        <w:rPr>
          <w:rFonts w:eastAsiaTheme="minorHAnsi"/>
          <w:lang w:eastAsia="en-US"/>
        </w:rPr>
        <w:t>doen</w:t>
      </w:r>
      <w:proofErr w:type="gramEnd"/>
      <w:r w:rsidRPr="00514AA8">
        <w:rPr>
          <w:rFonts w:eastAsiaTheme="minorHAnsi"/>
          <w:lang w:eastAsia="en-US"/>
        </w:rPr>
        <w:t xml:space="preserve"> te weten:</w:t>
      </w:r>
    </w:p>
    <w:p w:rsidRPr="00514AA8" w:rsidR="00514AA8" w:rsidP="00EA36AE" w:rsidRDefault="00514AA8">
      <w:pPr>
        <w:ind w:firstLine="284"/>
        <w:rPr>
          <w:rFonts w:eastAsiaTheme="minorHAnsi"/>
          <w:lang w:eastAsia="en-US"/>
        </w:rPr>
      </w:pPr>
      <w:proofErr w:type="gramStart"/>
      <w:r w:rsidRPr="00514AA8">
        <w:rPr>
          <w:rFonts w:eastAsiaTheme="minorHAnsi"/>
          <w:lang w:eastAsia="en-US"/>
        </w:rPr>
        <w:t>Alzo</w:t>
      </w:r>
      <w:proofErr w:type="gramEnd"/>
      <w:r w:rsidRPr="00514AA8">
        <w:rPr>
          <w:rFonts w:eastAsiaTheme="minorHAnsi"/>
          <w:lang w:eastAsia="en-US"/>
        </w:rPr>
        <w:t xml:space="preserve"> Wij in overweging genomen hebben, dat het niet tot de taken van de overheid behoort om met het oog op de viering van de zondag </w:t>
      </w:r>
      <w:r w:rsidR="001D420A">
        <w:rPr>
          <w:rFonts w:eastAsiaTheme="minorHAnsi"/>
          <w:lang w:eastAsia="en-US"/>
        </w:rPr>
        <w:t xml:space="preserve">maatregelen te nemen </w:t>
      </w:r>
      <w:r w:rsidRPr="00514AA8">
        <w:rPr>
          <w:rFonts w:eastAsiaTheme="minorHAnsi"/>
          <w:lang w:eastAsia="en-US"/>
        </w:rPr>
        <w:t>ter</w:t>
      </w:r>
      <w:r w:rsidR="009F63A4">
        <w:rPr>
          <w:rFonts w:eastAsiaTheme="minorHAnsi"/>
          <w:lang w:eastAsia="en-US"/>
        </w:rPr>
        <w:t xml:space="preserve"> verzekering van de zondagsrust</w:t>
      </w:r>
      <w:r w:rsidRPr="00514AA8">
        <w:rPr>
          <w:rFonts w:eastAsiaTheme="minorHAnsi"/>
          <w:lang w:eastAsia="en-US"/>
        </w:rPr>
        <w:t>;</w:t>
      </w:r>
      <w:r w:rsidRPr="00514AA8">
        <w:rPr>
          <w:rFonts w:eastAsiaTheme="minorHAnsi"/>
          <w:lang w:eastAsia="en-US"/>
        </w:rPr>
        <w:tab/>
      </w:r>
    </w:p>
    <w:p w:rsidRPr="00514AA8" w:rsidR="00514AA8" w:rsidP="00514AA8" w:rsidRDefault="00514AA8">
      <w:pPr>
        <w:ind w:firstLine="284"/>
        <w:rPr>
          <w:rFonts w:eastAsiaTheme="minorHAnsi"/>
          <w:lang w:eastAsia="en-US"/>
        </w:rPr>
      </w:pPr>
      <w:r w:rsidRPr="00514AA8">
        <w:rPr>
          <w:rFonts w:eastAsiaTheme="minorHAnsi"/>
          <w:lang w:eastAsia="en-US"/>
        </w:rPr>
        <w:t xml:space="preserve">Zo is het, dat Wij, de Afdeling advisering van de Raad van State gehoord, en met gemeen overleg der Staten-Generaal, hebben goedgevonden en verstaan, </w:t>
      </w:r>
      <w:proofErr w:type="gramStart"/>
      <w:r w:rsidRPr="00514AA8">
        <w:rPr>
          <w:rFonts w:eastAsiaTheme="minorHAnsi"/>
          <w:lang w:eastAsia="en-US"/>
        </w:rPr>
        <w:t>gelijk</w:t>
      </w:r>
      <w:proofErr w:type="gramEnd"/>
      <w:r w:rsidRPr="00514AA8">
        <w:rPr>
          <w:rFonts w:eastAsiaTheme="minorHAnsi"/>
          <w:lang w:eastAsia="en-US"/>
        </w:rPr>
        <w:t xml:space="preserve"> Wij goedvinden en verstaan bij deze: </w:t>
      </w:r>
    </w:p>
    <w:p w:rsidR="00514AA8" w:rsidP="00514AA8" w:rsidRDefault="00514AA8">
      <w:pPr>
        <w:rPr>
          <w:rFonts w:eastAsiaTheme="minorHAnsi"/>
          <w:b/>
          <w:lang w:eastAsia="en-US"/>
        </w:rPr>
      </w:pPr>
    </w:p>
    <w:p w:rsidRPr="00514AA8" w:rsidR="005D16A1" w:rsidP="00514AA8" w:rsidRDefault="005D16A1">
      <w:pPr>
        <w:rPr>
          <w:rFonts w:eastAsiaTheme="minorHAnsi"/>
          <w:b/>
          <w:lang w:eastAsia="en-US"/>
        </w:rPr>
      </w:pPr>
    </w:p>
    <w:p w:rsidRPr="00514AA8" w:rsidR="00514AA8" w:rsidP="00514AA8" w:rsidRDefault="00514AA8">
      <w:pPr>
        <w:rPr>
          <w:rFonts w:eastAsiaTheme="minorHAnsi"/>
          <w:b/>
          <w:lang w:eastAsia="en-US"/>
        </w:rPr>
      </w:pPr>
      <w:r w:rsidRPr="00514AA8">
        <w:rPr>
          <w:rFonts w:eastAsiaTheme="minorHAnsi"/>
          <w:b/>
          <w:lang w:eastAsia="en-US"/>
        </w:rPr>
        <w:t>A</w:t>
      </w:r>
      <w:r w:rsidR="00C97D67">
        <w:rPr>
          <w:rFonts w:eastAsiaTheme="minorHAnsi"/>
          <w:b/>
          <w:lang w:eastAsia="en-US"/>
        </w:rPr>
        <w:t xml:space="preserve">RTIKEL </w:t>
      </w:r>
      <w:r w:rsidR="00904253">
        <w:rPr>
          <w:rFonts w:eastAsiaTheme="minorHAnsi"/>
          <w:b/>
          <w:lang w:eastAsia="en-US"/>
        </w:rPr>
        <w:t>I</w:t>
      </w:r>
    </w:p>
    <w:p w:rsidRPr="00514AA8" w:rsidR="00514AA8" w:rsidP="00514AA8" w:rsidRDefault="00514AA8">
      <w:pPr>
        <w:rPr>
          <w:rFonts w:eastAsiaTheme="minorHAnsi"/>
          <w:b/>
          <w:lang w:eastAsia="en-US"/>
        </w:rPr>
      </w:pPr>
    </w:p>
    <w:p w:rsidRPr="00514AA8" w:rsidR="00514AA8" w:rsidP="00514AA8" w:rsidRDefault="00514AA8">
      <w:pPr>
        <w:ind w:firstLine="284"/>
        <w:rPr>
          <w:rFonts w:eastAsiaTheme="minorHAnsi"/>
          <w:lang w:eastAsia="en-US"/>
        </w:rPr>
      </w:pPr>
      <w:r w:rsidRPr="00514AA8">
        <w:rPr>
          <w:rFonts w:eastAsiaTheme="minorHAnsi"/>
          <w:lang w:eastAsia="en-US"/>
        </w:rPr>
        <w:t>De Zondagswet wordt ingetrokken.</w:t>
      </w:r>
    </w:p>
    <w:p w:rsidR="00904253" w:rsidP="00514AA8" w:rsidRDefault="00904253">
      <w:pPr>
        <w:rPr>
          <w:rFonts w:eastAsiaTheme="minorHAnsi"/>
          <w:lang w:eastAsia="en-US"/>
        </w:rPr>
      </w:pPr>
    </w:p>
    <w:p w:rsidR="005D16A1" w:rsidP="00514AA8" w:rsidRDefault="005D16A1">
      <w:pPr>
        <w:rPr>
          <w:rFonts w:eastAsiaTheme="minorHAnsi"/>
          <w:lang w:eastAsia="en-US"/>
        </w:rPr>
      </w:pPr>
    </w:p>
    <w:p w:rsidRPr="00904253" w:rsidR="00514AA8" w:rsidP="00514AA8" w:rsidRDefault="00904253">
      <w:pPr>
        <w:rPr>
          <w:rFonts w:eastAsiaTheme="minorHAnsi"/>
          <w:b/>
          <w:lang w:eastAsia="en-US"/>
        </w:rPr>
      </w:pPr>
      <w:r w:rsidRPr="00904253">
        <w:rPr>
          <w:rFonts w:eastAsiaTheme="minorHAnsi"/>
          <w:b/>
          <w:lang w:eastAsia="en-US"/>
        </w:rPr>
        <w:t>A</w:t>
      </w:r>
      <w:r w:rsidR="00C97D67">
        <w:rPr>
          <w:rFonts w:eastAsiaTheme="minorHAnsi"/>
          <w:b/>
          <w:lang w:eastAsia="en-US"/>
        </w:rPr>
        <w:t xml:space="preserve">RTIKEL </w:t>
      </w:r>
      <w:r w:rsidRPr="00904253">
        <w:rPr>
          <w:rFonts w:eastAsiaTheme="minorHAnsi"/>
          <w:b/>
          <w:lang w:eastAsia="en-US"/>
        </w:rPr>
        <w:t>II</w:t>
      </w:r>
    </w:p>
    <w:p w:rsidR="00904253" w:rsidP="00904253" w:rsidRDefault="00904253">
      <w:pPr>
        <w:ind w:firstLine="284"/>
        <w:rPr>
          <w:rFonts w:eastAsiaTheme="minorHAnsi"/>
          <w:lang w:eastAsia="en-US"/>
        </w:rPr>
      </w:pPr>
    </w:p>
    <w:p w:rsidR="00904253" w:rsidP="00904253" w:rsidRDefault="00904253">
      <w:pPr>
        <w:ind w:firstLine="28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artikel 145 van de Gemeentewet wordt een paragraaf ingevoegd, luidende:</w:t>
      </w:r>
    </w:p>
    <w:p w:rsidR="00904253" w:rsidP="00904253" w:rsidRDefault="00904253">
      <w:pPr>
        <w:rPr>
          <w:rFonts w:eastAsiaTheme="minorHAnsi"/>
          <w:lang w:eastAsia="en-US"/>
        </w:rPr>
      </w:pPr>
    </w:p>
    <w:p w:rsidRPr="00714A8D" w:rsidR="00904253" w:rsidP="00904253" w:rsidRDefault="00904253">
      <w:pPr>
        <w:rPr>
          <w:rFonts w:eastAsiaTheme="minorHAnsi"/>
          <w:i/>
          <w:lang w:eastAsia="en-US"/>
        </w:rPr>
      </w:pPr>
      <w:r w:rsidRPr="00714A8D">
        <w:rPr>
          <w:rFonts w:eastAsiaTheme="minorHAnsi"/>
          <w:i/>
          <w:lang w:eastAsia="en-US"/>
        </w:rPr>
        <w:t>§ 7. Overige bepalingen</w:t>
      </w:r>
    </w:p>
    <w:p w:rsidR="00904253" w:rsidP="00904253" w:rsidRDefault="00904253">
      <w:pPr>
        <w:rPr>
          <w:rFonts w:eastAsiaTheme="minorHAnsi"/>
          <w:lang w:eastAsia="en-US"/>
        </w:rPr>
      </w:pPr>
    </w:p>
    <w:p w:rsidRPr="00DF1F25" w:rsidR="003337BC" w:rsidP="003337BC" w:rsidRDefault="003337BC">
      <w:pPr>
        <w:rPr>
          <w:b/>
        </w:rPr>
      </w:pPr>
      <w:r w:rsidRPr="00DF1F25">
        <w:rPr>
          <w:b/>
        </w:rPr>
        <w:t>Artikel 146</w:t>
      </w:r>
    </w:p>
    <w:p w:rsidR="003337BC" w:rsidP="003337BC" w:rsidRDefault="003337BC"/>
    <w:p w:rsidR="003337BC" w:rsidP="003337BC" w:rsidRDefault="003337BC">
      <w:pPr>
        <w:ind w:firstLine="426"/>
      </w:pPr>
      <w:r>
        <w:t>Het gemeentebestuur stelt, op de grond dat zij plaatsvinden op een godsdienstige rustdag of feestdag, geen beperkingen aan:</w:t>
      </w:r>
    </w:p>
    <w:p w:rsidR="003337BC" w:rsidP="003337BC" w:rsidRDefault="003337BC">
      <w:pPr>
        <w:ind w:firstLine="426"/>
      </w:pPr>
      <w:proofErr w:type="gramStart"/>
      <w:r>
        <w:t>a</w:t>
      </w:r>
      <w:proofErr w:type="gramEnd"/>
      <w:r>
        <w:t xml:space="preserve">. sportbeoefening of andere vormen van ontspanning, die niet in overwegende mate als openbare vermakelijkheden zijn te beschouwen; </w:t>
      </w:r>
    </w:p>
    <w:p w:rsidR="003337BC" w:rsidP="003337BC" w:rsidRDefault="003337BC">
      <w:pPr>
        <w:ind w:firstLine="426"/>
      </w:pPr>
      <w:r>
        <w:t>b. openbare vermakelijkheden van culturele aard binnen besloten ruimten, of</w:t>
      </w:r>
    </w:p>
    <w:p w:rsidR="003337BC" w:rsidP="003337BC" w:rsidRDefault="003337BC">
      <w:pPr>
        <w:ind w:firstLine="426"/>
      </w:pPr>
      <w:proofErr w:type="gramStart"/>
      <w:r>
        <w:t>c.</w:t>
      </w:r>
      <w:proofErr w:type="gramEnd"/>
      <w:r>
        <w:t xml:space="preserve"> andere openbare vermakelijkheden en samenkomsten alsmede al dan niet openbare gedragingen van personen die naar hun aard niet gepaard plegen te gaan met aanmerkelijke geluids- of verkeersoverlast.</w:t>
      </w:r>
    </w:p>
    <w:p w:rsidR="00904253" w:rsidP="00514AA8" w:rsidRDefault="00904253">
      <w:pPr>
        <w:rPr>
          <w:rFonts w:eastAsiaTheme="minorHAnsi"/>
          <w:b/>
          <w:lang w:eastAsia="en-US"/>
        </w:rPr>
      </w:pPr>
    </w:p>
    <w:p w:rsidR="005D16A1" w:rsidP="00514AA8" w:rsidRDefault="005D16A1">
      <w:pPr>
        <w:rPr>
          <w:rFonts w:eastAsiaTheme="minorHAnsi"/>
          <w:b/>
          <w:lang w:eastAsia="en-US"/>
        </w:rPr>
      </w:pPr>
    </w:p>
    <w:p w:rsidR="003337BC" w:rsidP="003337BC" w:rsidRDefault="003337BC">
      <w:pPr>
        <w:rPr>
          <w:b/>
        </w:rPr>
      </w:pPr>
      <w:r w:rsidRPr="005D623A">
        <w:rPr>
          <w:b/>
        </w:rPr>
        <w:t>A</w:t>
      </w:r>
      <w:r>
        <w:rPr>
          <w:b/>
        </w:rPr>
        <w:t xml:space="preserve">RTIKEL </w:t>
      </w:r>
      <w:proofErr w:type="spellStart"/>
      <w:r w:rsidRPr="005D623A">
        <w:rPr>
          <w:b/>
        </w:rPr>
        <w:t>IIa</w:t>
      </w:r>
      <w:proofErr w:type="spellEnd"/>
    </w:p>
    <w:p w:rsidR="003337BC" w:rsidP="003337BC" w:rsidRDefault="003337BC">
      <w:pPr>
        <w:rPr>
          <w:b/>
        </w:rPr>
      </w:pPr>
    </w:p>
    <w:p w:rsidR="003337BC" w:rsidP="003337BC" w:rsidRDefault="003337BC">
      <w:pPr>
        <w:ind w:firstLine="426"/>
      </w:pPr>
      <w:r>
        <w:t>De Wet openbare manifestaties wordt als volgt gewijzigd.</w:t>
      </w:r>
    </w:p>
    <w:p w:rsidRPr="00677F24" w:rsidR="003337BC" w:rsidP="003337BC" w:rsidRDefault="003337BC"/>
    <w:p w:rsidRPr="00677F24" w:rsidR="003337BC" w:rsidP="003337BC" w:rsidRDefault="003337BC">
      <w:r w:rsidRPr="00677F24">
        <w:t>A</w:t>
      </w:r>
    </w:p>
    <w:p w:rsidR="003337BC" w:rsidP="003337BC" w:rsidRDefault="003337BC">
      <w:pPr>
        <w:ind w:firstLine="426"/>
        <w:rPr>
          <w:b/>
        </w:rPr>
      </w:pPr>
    </w:p>
    <w:p w:rsidR="003337BC" w:rsidP="003337BC" w:rsidRDefault="003337BC">
      <w:pPr>
        <w:ind w:firstLine="426"/>
        <w:rPr>
          <w:b/>
        </w:rPr>
      </w:pPr>
      <w:r>
        <w:t>Aan artikel 2 wordt, onder plaatsing van de aanduiding “1.” voor de bestaande tekst, een lid toegevoegd, luidende:</w:t>
      </w:r>
    </w:p>
    <w:p w:rsidR="003337BC" w:rsidP="003337BC" w:rsidRDefault="003337BC">
      <w:pPr>
        <w:ind w:firstLine="426"/>
        <w:rPr>
          <w:b/>
        </w:rPr>
      </w:pPr>
      <w:r>
        <w:t>2. In afwijking van het eerste lid kan de burgemeester</w:t>
      </w:r>
      <w:r w:rsidRPr="00A20325">
        <w:t xml:space="preserve"> </w:t>
      </w:r>
      <w:r>
        <w:t>met betrekking tot vergaderingen en betogingen op openbare plaatsen, v</w:t>
      </w:r>
      <w:r w:rsidRPr="00BF599D">
        <w:t xml:space="preserve">oor zover dat vereist is ter voorkoming van </w:t>
      </w:r>
      <w:r>
        <w:t xml:space="preserve">verstoring van </w:t>
      </w:r>
      <w:r w:rsidRPr="00BF599D">
        <w:t xml:space="preserve">samenkomsten tot het belijden van </w:t>
      </w:r>
      <w:r>
        <w:t>godsdienst of levensovertuiging,</w:t>
      </w:r>
      <w:r w:rsidRPr="00BF599D">
        <w:t xml:space="preserve"> </w:t>
      </w:r>
      <w:r>
        <w:t xml:space="preserve">ook </w:t>
      </w:r>
      <w:r w:rsidRPr="00BF599D">
        <w:t>voorschriften en beperkingen</w:t>
      </w:r>
      <w:r>
        <w:t xml:space="preserve"> als </w:t>
      </w:r>
      <w:r w:rsidRPr="00BF599D">
        <w:t xml:space="preserve">bedoeld in artikel 5, eerste lid, </w:t>
      </w:r>
      <w:r>
        <w:t xml:space="preserve">vaststellen </w:t>
      </w:r>
      <w:r w:rsidRPr="00BF599D">
        <w:t xml:space="preserve">of aanwijzingen </w:t>
      </w:r>
      <w:r>
        <w:t>geven met betrekking tot:</w:t>
      </w:r>
    </w:p>
    <w:p w:rsidR="003337BC" w:rsidP="003337BC" w:rsidRDefault="003337BC">
      <w:pPr>
        <w:ind w:firstLine="426"/>
        <w:rPr>
          <w:b/>
        </w:rPr>
      </w:pPr>
      <w:proofErr w:type="gramStart"/>
      <w:r>
        <w:t>a</w:t>
      </w:r>
      <w:proofErr w:type="gramEnd"/>
      <w:r>
        <w:t>. de</w:t>
      </w:r>
      <w:r w:rsidRPr="00A20325">
        <w:t xml:space="preserve"> tijd, plaats en duur </w:t>
      </w:r>
      <w:r>
        <w:t>van die vergaderingen en betogingen en</w:t>
      </w:r>
      <w:r w:rsidRPr="00A20325">
        <w:t xml:space="preserve"> </w:t>
      </w:r>
    </w:p>
    <w:p w:rsidR="003337BC" w:rsidP="003337BC" w:rsidRDefault="003337BC">
      <w:pPr>
        <w:ind w:firstLine="426"/>
      </w:pPr>
      <w:r>
        <w:t xml:space="preserve">b. </w:t>
      </w:r>
      <w:r w:rsidRPr="00BF599D">
        <w:t>h</w:t>
      </w:r>
      <w:r>
        <w:t>et gebruik dat daarbij wordt gemaakt van geluidsapparaten en</w:t>
      </w:r>
      <w:r w:rsidRPr="00A20325">
        <w:t xml:space="preserve"> </w:t>
      </w:r>
      <w:r w:rsidRPr="00BF599D">
        <w:t>het geluidsniveau</w:t>
      </w:r>
      <w:r>
        <w:t xml:space="preserve"> daarvan.</w:t>
      </w:r>
      <w:r w:rsidRPr="00BF599D">
        <w:t xml:space="preserve"> </w:t>
      </w:r>
    </w:p>
    <w:p w:rsidR="003337BC" w:rsidP="003337BC" w:rsidRDefault="003337BC">
      <w:pPr>
        <w:ind w:firstLine="426"/>
      </w:pPr>
    </w:p>
    <w:p w:rsidR="003337BC" w:rsidP="003337BC" w:rsidRDefault="003337BC">
      <w:r>
        <w:t>B</w:t>
      </w:r>
    </w:p>
    <w:p w:rsidR="003337BC" w:rsidP="003337BC" w:rsidRDefault="003337BC">
      <w:pPr>
        <w:ind w:firstLine="426"/>
      </w:pPr>
    </w:p>
    <w:p w:rsidR="003337BC" w:rsidP="003337BC" w:rsidRDefault="003337BC">
      <w:pPr>
        <w:ind w:firstLine="426"/>
      </w:pPr>
      <w:r>
        <w:t>Aan artikel 3 wordt een lid toegevoegd, luidende:</w:t>
      </w:r>
    </w:p>
    <w:p w:rsidR="003337BC" w:rsidP="003337BC" w:rsidRDefault="003337BC">
      <w:pPr>
        <w:ind w:firstLine="426"/>
      </w:pPr>
      <w:r>
        <w:t xml:space="preserve">5. De burgemeester draagt zorg voor een onbelemmerde toegang tot gebouwen en besloten plaatsen </w:t>
      </w:r>
      <w:r w:rsidRPr="005D623A">
        <w:t>als bedoeld in artikel</w:t>
      </w:r>
      <w:r>
        <w:t xml:space="preserve"> 6, tweede lid, van de Grondwet, gedurende de tijd dat daarin </w:t>
      </w:r>
      <w:r w:rsidRPr="005D623A">
        <w:t>samenkomsten tot het belijden van godsdienst of levensovertuiging</w:t>
      </w:r>
      <w:r>
        <w:t xml:space="preserve"> worden gehouden.</w:t>
      </w:r>
    </w:p>
    <w:p w:rsidR="003337BC" w:rsidP="00514AA8" w:rsidRDefault="003337BC">
      <w:pPr>
        <w:rPr>
          <w:rFonts w:eastAsiaTheme="minorHAnsi"/>
          <w:b/>
          <w:lang w:eastAsia="en-US"/>
        </w:rPr>
      </w:pPr>
    </w:p>
    <w:p w:rsidR="003337BC" w:rsidP="00514AA8" w:rsidRDefault="003337BC">
      <w:pPr>
        <w:rPr>
          <w:rFonts w:eastAsiaTheme="minorHAnsi"/>
          <w:b/>
          <w:lang w:eastAsia="en-US"/>
        </w:rPr>
      </w:pPr>
    </w:p>
    <w:p w:rsidRPr="00514AA8" w:rsidR="00514AA8" w:rsidP="00514AA8" w:rsidRDefault="00904253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A</w:t>
      </w:r>
      <w:r w:rsidR="00C97D67">
        <w:rPr>
          <w:rFonts w:eastAsiaTheme="minorHAnsi"/>
          <w:b/>
          <w:lang w:eastAsia="en-US"/>
        </w:rPr>
        <w:t xml:space="preserve">RTIKEL </w:t>
      </w:r>
      <w:r>
        <w:rPr>
          <w:rFonts w:eastAsiaTheme="minorHAnsi"/>
          <w:b/>
          <w:lang w:eastAsia="en-US"/>
        </w:rPr>
        <w:t>III</w:t>
      </w:r>
    </w:p>
    <w:p w:rsidRPr="00514AA8" w:rsidR="00514AA8" w:rsidP="00514AA8" w:rsidRDefault="00514AA8"/>
    <w:p w:rsidRPr="00514AA8" w:rsidR="00514AA8" w:rsidP="00514AA8" w:rsidRDefault="00514AA8">
      <w:pPr>
        <w:ind w:firstLine="284"/>
      </w:pPr>
      <w:r w:rsidRPr="00514AA8">
        <w:t>Deze wet treedt in werking op een bij koninklijk besluit te bepalen tijdstip</w:t>
      </w:r>
      <w:r w:rsidRPr="00514AA8">
        <w:rPr>
          <w:i/>
        </w:rPr>
        <w:t>.</w:t>
      </w:r>
    </w:p>
    <w:p w:rsidRPr="00514AA8" w:rsidR="00514AA8" w:rsidP="00514AA8" w:rsidRDefault="00514AA8"/>
    <w:p w:rsidRPr="00514AA8" w:rsidR="00514AA8" w:rsidP="00514AA8" w:rsidRDefault="00514AA8">
      <w:pPr>
        <w:ind w:firstLine="284"/>
      </w:pPr>
      <w:r w:rsidRPr="00514AA8">
        <w:t xml:space="preserve">Lasten en bevelen dat deze in het Staatsblad zal worden geplaatst en dat alle ministeries, autoriteiten, colleges en ambtenaren die </w:t>
      </w:r>
      <w:proofErr w:type="gramStart"/>
      <w:r w:rsidRPr="00514AA8">
        <w:t>zulks</w:t>
      </w:r>
      <w:proofErr w:type="gramEnd"/>
      <w:r w:rsidRPr="00514AA8">
        <w:t xml:space="preserve"> aangaat, aan de nauwkeurige uitvoering de hand zullen houden.</w:t>
      </w:r>
    </w:p>
    <w:p w:rsidRPr="00514AA8" w:rsidR="00514AA8" w:rsidP="00514AA8" w:rsidRDefault="00514AA8"/>
    <w:p w:rsidRPr="00514AA8" w:rsidR="00514AA8" w:rsidP="00514AA8" w:rsidRDefault="00514AA8">
      <w:r w:rsidRPr="00514AA8">
        <w:t>Gegeven</w:t>
      </w:r>
    </w:p>
    <w:p w:rsidRPr="00514AA8" w:rsidR="00514AA8" w:rsidP="00514AA8" w:rsidRDefault="00514AA8"/>
    <w:p w:rsidRPr="00514AA8" w:rsidR="00514AA8" w:rsidP="00514AA8" w:rsidRDefault="00514AA8"/>
    <w:p w:rsidRPr="00514AA8" w:rsidR="00514AA8" w:rsidP="00514AA8" w:rsidRDefault="00514AA8"/>
    <w:p w:rsidRPr="00514AA8" w:rsidR="00514AA8" w:rsidP="00514AA8" w:rsidRDefault="00514AA8"/>
    <w:p w:rsidRPr="00514AA8" w:rsidR="00514AA8" w:rsidP="00514AA8" w:rsidRDefault="00514AA8"/>
    <w:p w:rsidRPr="00514AA8" w:rsidR="00514AA8" w:rsidP="00514AA8" w:rsidRDefault="00514AA8"/>
    <w:p w:rsidRPr="00514AA8" w:rsidR="00514AA8" w:rsidP="00514AA8" w:rsidRDefault="00514AA8"/>
    <w:p w:rsidRPr="00514AA8" w:rsidR="00514AA8" w:rsidP="00514AA8" w:rsidRDefault="00514AA8"/>
    <w:p w:rsidRPr="00514AA8" w:rsidR="00514AA8" w:rsidP="00514AA8" w:rsidRDefault="00514AA8"/>
    <w:p w:rsidRPr="00514AA8" w:rsidR="00514AA8" w:rsidP="00514AA8" w:rsidRDefault="00514AA8">
      <w:r w:rsidRPr="00514AA8">
        <w:t>De Minister van Binnenlandse Zaken en Koninkrijksrelaties,</w:t>
      </w:r>
    </w:p>
    <w:sectPr w:rsidRPr="00514AA8" w:rsidR="00514AA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AC" w:rsidRDefault="00A710AC" w:rsidP="00A710AC">
      <w:r>
        <w:separator/>
      </w:r>
    </w:p>
  </w:endnote>
  <w:endnote w:type="continuationSeparator" w:id="0">
    <w:p w:rsidR="00A710AC" w:rsidRDefault="00A710AC" w:rsidP="00A7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C32DBF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3337BC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C32DBF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337BC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3337BC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AC" w:rsidRDefault="00A710AC" w:rsidP="00A710AC">
      <w:r>
        <w:separator/>
      </w:r>
    </w:p>
  </w:footnote>
  <w:footnote w:type="continuationSeparator" w:id="0">
    <w:p w:rsidR="00A710AC" w:rsidRDefault="00A710AC" w:rsidP="00A7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C60A7"/>
    <w:multiLevelType w:val="hybridMultilevel"/>
    <w:tmpl w:val="9FAABA40"/>
    <w:lvl w:ilvl="0" w:tplc="ADA03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AC"/>
    <w:rsid w:val="000035C6"/>
    <w:rsid w:val="000466DE"/>
    <w:rsid w:val="00092CB6"/>
    <w:rsid w:val="000B7B02"/>
    <w:rsid w:val="000D6751"/>
    <w:rsid w:val="0014616C"/>
    <w:rsid w:val="001A34C2"/>
    <w:rsid w:val="001D420A"/>
    <w:rsid w:val="001F4325"/>
    <w:rsid w:val="00263243"/>
    <w:rsid w:val="002A15D0"/>
    <w:rsid w:val="002C52ED"/>
    <w:rsid w:val="002E467A"/>
    <w:rsid w:val="00302D77"/>
    <w:rsid w:val="003277DF"/>
    <w:rsid w:val="003337BC"/>
    <w:rsid w:val="0035786D"/>
    <w:rsid w:val="003A4C2E"/>
    <w:rsid w:val="003A5117"/>
    <w:rsid w:val="003E67DB"/>
    <w:rsid w:val="00433D6E"/>
    <w:rsid w:val="00436D88"/>
    <w:rsid w:val="00470D3E"/>
    <w:rsid w:val="004F4397"/>
    <w:rsid w:val="00514AA8"/>
    <w:rsid w:val="00515C0C"/>
    <w:rsid w:val="0054550C"/>
    <w:rsid w:val="00552BC9"/>
    <w:rsid w:val="005D16A1"/>
    <w:rsid w:val="00642828"/>
    <w:rsid w:val="00646B28"/>
    <w:rsid w:val="00665DC0"/>
    <w:rsid w:val="006765A2"/>
    <w:rsid w:val="006A6BD9"/>
    <w:rsid w:val="00714A8D"/>
    <w:rsid w:val="007454E7"/>
    <w:rsid w:val="008831D5"/>
    <w:rsid w:val="008A03A5"/>
    <w:rsid w:val="008D04F1"/>
    <w:rsid w:val="008F31F9"/>
    <w:rsid w:val="00904253"/>
    <w:rsid w:val="009320E2"/>
    <w:rsid w:val="009A79A4"/>
    <w:rsid w:val="009B5A20"/>
    <w:rsid w:val="009D43D9"/>
    <w:rsid w:val="009E235D"/>
    <w:rsid w:val="009F63A4"/>
    <w:rsid w:val="00A01187"/>
    <w:rsid w:val="00A1066A"/>
    <w:rsid w:val="00A31317"/>
    <w:rsid w:val="00A710AC"/>
    <w:rsid w:val="00AB2725"/>
    <w:rsid w:val="00B45DD3"/>
    <w:rsid w:val="00B63F7A"/>
    <w:rsid w:val="00B65BEA"/>
    <w:rsid w:val="00C2526D"/>
    <w:rsid w:val="00C32DBF"/>
    <w:rsid w:val="00C642CC"/>
    <w:rsid w:val="00C97D67"/>
    <w:rsid w:val="00CF63D1"/>
    <w:rsid w:val="00D701E4"/>
    <w:rsid w:val="00D75A4F"/>
    <w:rsid w:val="00DD6BD0"/>
    <w:rsid w:val="00E12736"/>
    <w:rsid w:val="00E71CBC"/>
    <w:rsid w:val="00EA36AE"/>
    <w:rsid w:val="00EA6B13"/>
    <w:rsid w:val="00ED24EA"/>
    <w:rsid w:val="00EE3E0E"/>
    <w:rsid w:val="00F9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A710A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A710AC"/>
  </w:style>
  <w:style w:type="paragraph" w:styleId="Voettekst">
    <w:name w:val="footer"/>
    <w:basedOn w:val="Standaard"/>
    <w:link w:val="VoettekstChar"/>
    <w:rsid w:val="00A710AC"/>
    <w:pPr>
      <w:tabs>
        <w:tab w:val="center" w:pos="4536"/>
        <w:tab w:val="right" w:pos="9072"/>
      </w:tabs>
    </w:pPr>
    <w:rPr>
      <w:rFonts w:ascii="Verdana" w:hAnsi="Verdana"/>
      <w:sz w:val="20"/>
    </w:rPr>
  </w:style>
  <w:style w:type="character" w:customStyle="1" w:styleId="VoettekstChar">
    <w:name w:val="Voettekst Char"/>
    <w:basedOn w:val="Standaardalinea-lettertype"/>
    <w:link w:val="Voettekst"/>
    <w:rsid w:val="00A710AC"/>
    <w:rPr>
      <w:rFonts w:ascii="Verdana" w:hAnsi="Verdana"/>
      <w:szCs w:val="24"/>
    </w:rPr>
  </w:style>
  <w:style w:type="character" w:styleId="Paginanummer">
    <w:name w:val="page number"/>
    <w:basedOn w:val="Standaardalinea-lettertype"/>
    <w:rsid w:val="00A710AC"/>
  </w:style>
  <w:style w:type="character" w:styleId="Voetnootmarkering">
    <w:name w:val="footnote reference"/>
    <w:basedOn w:val="Standaardalinea-lettertype"/>
    <w:rsid w:val="00A710AC"/>
    <w:rPr>
      <w:vertAlign w:val="superscript"/>
    </w:rPr>
  </w:style>
  <w:style w:type="paragraph" w:styleId="Lijstalinea">
    <w:name w:val="List Paragraph"/>
    <w:basedOn w:val="Standaard"/>
    <w:uiPriority w:val="34"/>
    <w:qFormat/>
    <w:rsid w:val="00904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A710A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A710AC"/>
  </w:style>
  <w:style w:type="paragraph" w:styleId="Voettekst">
    <w:name w:val="footer"/>
    <w:basedOn w:val="Standaard"/>
    <w:link w:val="VoettekstChar"/>
    <w:rsid w:val="00A710AC"/>
    <w:pPr>
      <w:tabs>
        <w:tab w:val="center" w:pos="4536"/>
        <w:tab w:val="right" w:pos="9072"/>
      </w:tabs>
    </w:pPr>
    <w:rPr>
      <w:rFonts w:ascii="Verdana" w:hAnsi="Verdana"/>
      <w:sz w:val="20"/>
    </w:rPr>
  </w:style>
  <w:style w:type="character" w:customStyle="1" w:styleId="VoettekstChar">
    <w:name w:val="Voettekst Char"/>
    <w:basedOn w:val="Standaardalinea-lettertype"/>
    <w:link w:val="Voettekst"/>
    <w:rsid w:val="00A710AC"/>
    <w:rPr>
      <w:rFonts w:ascii="Verdana" w:hAnsi="Verdana"/>
      <w:szCs w:val="24"/>
    </w:rPr>
  </w:style>
  <w:style w:type="character" w:styleId="Paginanummer">
    <w:name w:val="page number"/>
    <w:basedOn w:val="Standaardalinea-lettertype"/>
    <w:rsid w:val="00A710AC"/>
  </w:style>
  <w:style w:type="character" w:styleId="Voetnootmarkering">
    <w:name w:val="footnote reference"/>
    <w:basedOn w:val="Standaardalinea-lettertype"/>
    <w:rsid w:val="00A710AC"/>
    <w:rPr>
      <w:vertAlign w:val="superscript"/>
    </w:rPr>
  </w:style>
  <w:style w:type="paragraph" w:styleId="Lijstalinea">
    <w:name w:val="List Paragraph"/>
    <w:basedOn w:val="Standaard"/>
    <w:uiPriority w:val="34"/>
    <w:qFormat/>
    <w:rsid w:val="00904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442</ap:Words>
  <ap:Characters>2433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2016-11-02T09:33:00.0000000Z</dcterms:created>
  <dcterms:modified xsi:type="dcterms:W3CDTF">2016-11-02T09:33:00.0000000Z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0x010100BA705CA96CECC046A9851038EF58BE4B</vt:lpwstr>
  </property>
</Properties>
</file>