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774F9" w:rsidR="00D774F9" w:rsidP="000D0DF5" w:rsidRDefault="00D774F9">
      <w:pPr>
        <w:tabs>
          <w:tab w:val="left" w:pos="-1440"/>
          <w:tab w:val="left" w:pos="-720"/>
        </w:tabs>
        <w:suppressAutoHyphens/>
        <w:rPr>
          <w:rFonts w:ascii="Times New Roman" w:hAnsi="Times New Roman"/>
        </w:rPr>
      </w:pPr>
      <w:r w:rsidRPr="00D774F9">
        <w:rPr>
          <w:rFonts w:ascii="Times New Roman" w:hAnsi="Times New Roman"/>
        </w:rPr>
        <w:t>De Tweede Kamer der Staten-</w:t>
      </w:r>
      <w:r w:rsidRPr="00D774F9">
        <w:rPr>
          <w:rFonts w:ascii="Times New Roman" w:hAnsi="Times New Roman"/>
        </w:rPr>
        <w:fldChar w:fldCharType="begin"/>
      </w:r>
      <w:r w:rsidRPr="00D774F9">
        <w:rPr>
          <w:rFonts w:ascii="Times New Roman" w:hAnsi="Times New Roman"/>
        </w:rPr>
        <w:instrText xml:space="preserve">PRIVATE </w:instrText>
      </w:r>
      <w:r w:rsidRPr="00D774F9">
        <w:rPr>
          <w:rFonts w:ascii="Times New Roman" w:hAnsi="Times New Roman"/>
        </w:rPr>
        <w:fldChar w:fldCharType="end"/>
      </w:r>
    </w:p>
    <w:p w:rsidRPr="00D774F9" w:rsidR="00D774F9" w:rsidP="000D0DF5" w:rsidRDefault="00D774F9">
      <w:pPr>
        <w:tabs>
          <w:tab w:val="left" w:pos="-1440"/>
          <w:tab w:val="left" w:pos="-720"/>
        </w:tabs>
        <w:suppressAutoHyphens/>
        <w:rPr>
          <w:rFonts w:ascii="Times New Roman" w:hAnsi="Times New Roman"/>
        </w:rPr>
      </w:pPr>
      <w:r w:rsidRPr="00D774F9">
        <w:rPr>
          <w:rFonts w:ascii="Times New Roman" w:hAnsi="Times New Roman"/>
        </w:rPr>
        <w:t>Generaal zendt bijgaand door</w:t>
      </w:r>
    </w:p>
    <w:p w:rsidRPr="00D774F9" w:rsidR="00D774F9" w:rsidP="000D0DF5" w:rsidRDefault="00D774F9">
      <w:pPr>
        <w:tabs>
          <w:tab w:val="left" w:pos="-1440"/>
          <w:tab w:val="left" w:pos="-720"/>
        </w:tabs>
        <w:suppressAutoHyphens/>
        <w:rPr>
          <w:rFonts w:ascii="Times New Roman" w:hAnsi="Times New Roman"/>
        </w:rPr>
      </w:pPr>
      <w:r w:rsidRPr="00D774F9">
        <w:rPr>
          <w:rFonts w:ascii="Times New Roman" w:hAnsi="Times New Roman"/>
        </w:rPr>
        <w:t>haar aangenomen wetsvoorstel</w:t>
      </w:r>
    </w:p>
    <w:p w:rsidRPr="00D774F9" w:rsidR="00D774F9" w:rsidP="000D0DF5" w:rsidRDefault="00D774F9">
      <w:pPr>
        <w:tabs>
          <w:tab w:val="left" w:pos="-1440"/>
          <w:tab w:val="left" w:pos="-720"/>
        </w:tabs>
        <w:suppressAutoHyphens/>
        <w:rPr>
          <w:rFonts w:ascii="Times New Roman" w:hAnsi="Times New Roman"/>
        </w:rPr>
      </w:pPr>
      <w:r w:rsidRPr="00D774F9">
        <w:rPr>
          <w:rFonts w:ascii="Times New Roman" w:hAnsi="Times New Roman"/>
        </w:rPr>
        <w:t>aan de Eerste Kamer.</w:t>
      </w: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r w:rsidRPr="00D774F9">
        <w:rPr>
          <w:rFonts w:ascii="Times New Roman" w:hAnsi="Times New Roman"/>
        </w:rPr>
        <w:t>De Voorzitter,</w:t>
      </w: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tabs>
          <w:tab w:val="left" w:pos="-1440"/>
          <w:tab w:val="left" w:pos="-720"/>
        </w:tabs>
        <w:suppressAutoHyphens/>
        <w:rPr>
          <w:rFonts w:ascii="Times New Roman" w:hAnsi="Times New Roman"/>
        </w:rPr>
      </w:pPr>
    </w:p>
    <w:p w:rsidRPr="00D774F9" w:rsidR="00D774F9" w:rsidP="000D0DF5" w:rsidRDefault="00D774F9">
      <w:pPr>
        <w:rPr>
          <w:rFonts w:ascii="Times New Roman" w:hAnsi="Times New Roman"/>
        </w:rPr>
      </w:pPr>
    </w:p>
    <w:p w:rsidRPr="00D774F9" w:rsidR="00D774F9" w:rsidRDefault="00D774F9">
      <w:pPr>
        <w:rPr>
          <w:rFonts w:ascii="Times New Roman" w:hAnsi="Times New Roman"/>
        </w:rPr>
      </w:pPr>
      <w:r w:rsidRPr="00D774F9">
        <w:rPr>
          <w:rFonts w:ascii="Times New Roman" w:hAnsi="Times New Roman"/>
        </w:rPr>
        <w:t>6 oktober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0672D" w:rsidR="00CB3578" w:rsidTr="00F13442">
        <w:trPr>
          <w:cantSplit/>
        </w:trPr>
        <w:tc>
          <w:tcPr>
            <w:tcW w:w="9142" w:type="dxa"/>
            <w:gridSpan w:val="2"/>
            <w:tcBorders>
              <w:top w:val="nil"/>
              <w:left w:val="nil"/>
              <w:bottom w:val="nil"/>
              <w:right w:val="nil"/>
            </w:tcBorders>
          </w:tcPr>
          <w:p w:rsidRPr="0090672D" w:rsidR="00CB3578" w:rsidRDefault="00CB3578">
            <w:pPr>
              <w:pStyle w:val="Amendement"/>
              <w:jc w:val="right"/>
              <w:rPr>
                <w:rFonts w:ascii="Times New Roman" w:hAnsi="Times New Roman" w:cs="Times New Roman"/>
              </w:rPr>
            </w:pPr>
          </w:p>
        </w:tc>
      </w:tr>
      <w:tr w:rsidRPr="009067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672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672D" w:rsidR="00CB3578" w:rsidRDefault="00CB3578">
            <w:pPr>
              <w:tabs>
                <w:tab w:val="left" w:pos="-1440"/>
                <w:tab w:val="left" w:pos="-720"/>
              </w:tabs>
              <w:suppressAutoHyphens/>
              <w:rPr>
                <w:rFonts w:ascii="Times New Roman" w:hAnsi="Times New Roman"/>
                <w:b/>
                <w:bCs/>
                <w:sz w:val="24"/>
              </w:rPr>
            </w:pPr>
          </w:p>
        </w:tc>
      </w:tr>
      <w:tr w:rsidRPr="0090672D" w:rsidR="00D774F9" w:rsidTr="009A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672D" w:rsidR="00D774F9" w:rsidP="0090672D" w:rsidRDefault="00D774F9">
            <w:pPr>
              <w:rPr>
                <w:rFonts w:ascii="Times New Roman" w:hAnsi="Times New Roman"/>
                <w:b/>
                <w:sz w:val="24"/>
              </w:rPr>
            </w:pPr>
            <w:r w:rsidRPr="0090672D">
              <w:rPr>
                <w:rFonts w:ascii="Times New Roman" w:hAnsi="Times New Roman"/>
                <w:b/>
                <w:sz w:val="24"/>
              </w:rPr>
              <w:t>Wijziging van Boek 7 van het Burgerlijk Wetboek in verband met de uitbreiding van de aansprakelijkheid voor de voldoening van het verschuldigde loon aan de werknemer die arbeid verricht ter uitvoering van een overeenkomst van goederenvervoer over de weg of een overeenkomst tot het doen vervoeren van goederen over de weg</w:t>
            </w:r>
          </w:p>
        </w:tc>
      </w:tr>
      <w:tr w:rsidRPr="009067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672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672D" w:rsidR="00CB3578" w:rsidRDefault="00CB3578">
            <w:pPr>
              <w:pStyle w:val="Amendement"/>
              <w:rPr>
                <w:rFonts w:ascii="Times New Roman" w:hAnsi="Times New Roman" w:cs="Times New Roman"/>
              </w:rPr>
            </w:pPr>
          </w:p>
        </w:tc>
      </w:tr>
      <w:tr w:rsidRPr="009067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672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672D" w:rsidR="00CB3578" w:rsidRDefault="00CB3578">
            <w:pPr>
              <w:pStyle w:val="Amendement"/>
              <w:rPr>
                <w:rFonts w:ascii="Times New Roman" w:hAnsi="Times New Roman" w:cs="Times New Roman"/>
              </w:rPr>
            </w:pPr>
          </w:p>
        </w:tc>
      </w:tr>
      <w:tr w:rsidRPr="0090672D" w:rsidR="00D774F9" w:rsidTr="00237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672D" w:rsidR="00D774F9" w:rsidRDefault="00D774F9">
            <w:pPr>
              <w:pStyle w:val="Amendement"/>
              <w:rPr>
                <w:rFonts w:ascii="Times New Roman" w:hAnsi="Times New Roman" w:cs="Times New Roman"/>
              </w:rPr>
            </w:pPr>
            <w:r w:rsidRPr="0090672D">
              <w:rPr>
                <w:rFonts w:ascii="Times New Roman" w:hAnsi="Times New Roman" w:cs="Times New Roman"/>
              </w:rPr>
              <w:t>VOORSTEL VAN WET</w:t>
            </w:r>
          </w:p>
        </w:tc>
      </w:tr>
      <w:tr w:rsidRPr="0090672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672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0672D" w:rsidR="00CB3578" w:rsidRDefault="00CB3578">
            <w:pPr>
              <w:pStyle w:val="Amendement"/>
              <w:rPr>
                <w:rFonts w:ascii="Times New Roman" w:hAnsi="Times New Roman" w:cs="Times New Roman"/>
              </w:rPr>
            </w:pPr>
          </w:p>
        </w:tc>
      </w:tr>
    </w:tbl>
    <w:p w:rsidRPr="0090672D" w:rsidR="00CB3578" w:rsidP="0090672D" w:rsidRDefault="0090672D">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90672D">
        <w:rPr>
          <w:rFonts w:ascii="Times New Roman" w:hAnsi="Times New Roman"/>
          <w:sz w:val="24"/>
        </w:rPr>
        <w:t>Wij Willem-Alexander, bij de gratie Gods, Koning der Nederlanden, Prins van Oranje-Nassau, enz. enz. enz.</w:t>
      </w:r>
    </w:p>
    <w:p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Allen die deze zullen zien of horen lezen, saluut! doen te weten:</w:t>
      </w:r>
    </w:p>
    <w:p w:rsidRPr="0090672D" w:rsidR="0090672D" w:rsidP="0090672D" w:rsidRDefault="0090672D">
      <w:pPr>
        <w:ind w:firstLine="284"/>
        <w:rPr>
          <w:rFonts w:ascii="Times New Roman" w:hAnsi="Times New Roman"/>
          <w:sz w:val="24"/>
        </w:rPr>
      </w:pPr>
      <w:r w:rsidRPr="0090672D">
        <w:rPr>
          <w:rFonts w:ascii="Times New Roman" w:hAnsi="Times New Roman"/>
          <w:sz w:val="24"/>
        </w:rPr>
        <w:t>Alzo Wij in overweging genomen hebben, dat het wenselijk is enkele wijzigingen aan te brengen in Boek 7 van het Burgerlijk Wetboek in verband met het uitbreiden van de aansprakelijkheid voor de voldoening van het verschuldigde loon aan de werknemer die arbeid verricht ter uitvoering van een overeenkomst van goederenvervoer over de weg of een overeenkomst tot het doen vervoeren van goederen over de weg;</w:t>
      </w:r>
    </w:p>
    <w:p w:rsidRPr="0090672D" w:rsidR="0090672D" w:rsidP="0090672D" w:rsidRDefault="0090672D">
      <w:pPr>
        <w:ind w:firstLine="284"/>
        <w:rPr>
          <w:rFonts w:ascii="Times New Roman" w:hAnsi="Times New Roman"/>
          <w:sz w:val="24"/>
        </w:rPr>
      </w:pPr>
      <w:r w:rsidRPr="0090672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b/>
          <w:sz w:val="24"/>
        </w:rPr>
      </w:pPr>
      <w:r w:rsidRPr="0090672D">
        <w:rPr>
          <w:rFonts w:ascii="Times New Roman" w:hAnsi="Times New Roman"/>
          <w:b/>
          <w:sz w:val="24"/>
        </w:rPr>
        <w:t>ARTIKEL I</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Boek 7 van het Burgerlijk Wetboek wordt als volgt gewijzigd:</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A</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Artikel 616a wordt als volgt gewijzigd:</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1. In het eerste lid wordt “of van aanneming van werk” vervangen door: of een overeenkomst van aanneming van werk.</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2. Aan het eerste lid wordt een zin toegevoegd, luidende: </w:t>
      </w:r>
    </w:p>
    <w:p w:rsidRPr="0090672D" w:rsidR="0090672D" w:rsidP="0090672D" w:rsidRDefault="0090672D">
      <w:pPr>
        <w:ind w:firstLine="284"/>
        <w:rPr>
          <w:rFonts w:ascii="Times New Roman" w:hAnsi="Times New Roman"/>
          <w:sz w:val="24"/>
        </w:rPr>
      </w:pPr>
      <w:r w:rsidRPr="0090672D">
        <w:rPr>
          <w:rFonts w:ascii="Times New Roman" w:hAnsi="Times New Roman"/>
          <w:sz w:val="24"/>
        </w:rPr>
        <w:lastRenderedPageBreak/>
        <w:t>Indien arbeid wordt verricht in dienst van de werkgever ter uitvoering van een overeenkomst van goederenvervoer over de weg of een overeenkomst tot het doen vervoeren van goederen over de weg zijn de werkgever en diens wederpartij hoofdelijk aansprakelijk voor de voldoening van het aan de werknemer verschuldigde loon.</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3. In het tweede lid wordt na “opdrachtgever” ingevoegd: of de wederpartij.</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B</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Artikel 616b wordt als volgt gewijzigd:</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1. Aan het eerste lid worden twee zinnen toegevoegd, luidende:</w:t>
      </w: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Indien arbeid wordt verricht in dienst van de werkgever ter uitvoering van een of meer overeenkomsten van goederenvervoer over de weg of overeenkomsten tot het doen vervoeren van goederen over de weg, zijn, met inachtneming van de leden 2 tot en met 5, de afzender, de opdrachtgever van de expediteur, de expediteur en de vervoerder die niet de vervoerovereenkomst heeft gesloten met de afzender, maar aan wie de vervoerder de uitvoering van het goederenvervoer over de weg heeft toevertrouwd, aansprakelijk voor de voldoening van het door de werkgever aan de werknemer verschuldigde loon. Voor de toepassing van dit artikel en de artikelen 616c tot en met 616e worden de in de vorige zin genoemde partijen aangemerkt als wederpartij. </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2. De aanhef van het tweede lid komt te luiden: </w:t>
      </w:r>
    </w:p>
    <w:p w:rsidRPr="0090672D" w:rsidR="0090672D" w:rsidP="0090672D" w:rsidRDefault="0090672D">
      <w:pPr>
        <w:ind w:firstLine="284"/>
        <w:rPr>
          <w:rFonts w:ascii="Times New Roman" w:hAnsi="Times New Roman"/>
          <w:sz w:val="24"/>
        </w:rPr>
      </w:pPr>
      <w:r w:rsidRPr="0090672D">
        <w:rPr>
          <w:rFonts w:ascii="Times New Roman" w:hAnsi="Times New Roman"/>
          <w:sz w:val="24"/>
        </w:rPr>
        <w:t>2. Een vordering op grond van lid 1 is telkens alleen mogelijk tegen de naast hogere opdrachtgever of de naast hogere wederpartij, indien een vordering op grond van artikel 616a dan wel een vordering tegen de naast lagere opdrachtgever of de naast lagere wederpartij niet is geslaagd doordat de werkgever of diens opdrachtgever onderscheidenlijk de naast lagere opdrachtgever of de wederpartij onderscheidenlijk de naast lagere wederpartij:.</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3. In het tweede lid, onderdeel e, wordt na “opdrachtgever” ingevoegd: of de wederpartij.</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4. In het derde lid wordt na “de opdrachtgever” ingevoegd: of de wederpartij.</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5. De aanhef van het vierde lid komt te luiden:</w:t>
      </w:r>
    </w:p>
    <w:p w:rsidRPr="0090672D" w:rsidR="0090672D" w:rsidP="0090672D" w:rsidRDefault="0090672D">
      <w:pPr>
        <w:ind w:firstLine="284"/>
        <w:rPr>
          <w:rFonts w:ascii="Times New Roman" w:hAnsi="Times New Roman"/>
          <w:sz w:val="24"/>
        </w:rPr>
      </w:pPr>
      <w:r w:rsidRPr="0090672D">
        <w:rPr>
          <w:rFonts w:ascii="Times New Roman" w:hAnsi="Times New Roman"/>
          <w:sz w:val="24"/>
        </w:rPr>
        <w:t>4. In afwijking van de volgorde op grond van lid 2 kan de werknemer de opdrachtgever, of de wederpartij, bedoeld in lid 1, die niet handelt in opdracht van een andere opdrachtgever of wederpartij aansprakelijk stellen voor de voldoening van het loon, bedoeld in lid 1, indien:.</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6. De onderdelen b en c van het vierde lid komen te luiden: </w:t>
      </w:r>
    </w:p>
    <w:p w:rsidRPr="0090672D" w:rsidR="0090672D" w:rsidP="0090672D" w:rsidRDefault="0090672D">
      <w:pPr>
        <w:ind w:firstLine="284"/>
        <w:rPr>
          <w:rFonts w:ascii="Times New Roman" w:hAnsi="Times New Roman"/>
          <w:sz w:val="24"/>
        </w:rPr>
      </w:pPr>
      <w:r w:rsidRPr="0090672D">
        <w:rPr>
          <w:rFonts w:ascii="Times New Roman" w:hAnsi="Times New Roman"/>
          <w:sz w:val="24"/>
        </w:rPr>
        <w:t>b. de werknemer de opdrachtgever of de wederpartij, bedoeld in de aanhef, op schriftelijke of elektronische wijze heeft meegedeeld dat hij een vordering op grond van artikel 616a lid 1 heeft ingesteld of dat hij die niet heeft kunnen instellen vanwege een omstandigheid als bedoeld in lid 2 onderdeel a;</w:t>
      </w:r>
    </w:p>
    <w:p w:rsidRPr="0090672D" w:rsidR="0090672D" w:rsidP="0090672D" w:rsidRDefault="0090672D">
      <w:pPr>
        <w:ind w:firstLine="284"/>
        <w:rPr>
          <w:rFonts w:ascii="Times New Roman" w:hAnsi="Times New Roman"/>
          <w:sz w:val="24"/>
        </w:rPr>
      </w:pPr>
      <w:r w:rsidRPr="0090672D">
        <w:rPr>
          <w:rFonts w:ascii="Times New Roman" w:hAnsi="Times New Roman"/>
          <w:sz w:val="24"/>
        </w:rPr>
        <w:t>c. de vordering, overeenkomstig lid 2, telkens is ingesteld tegen de naast hogere opdrachtgever of de naast hogere wederpartij; en.</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7. Het vijfde lid komt te luiden: </w:t>
      </w: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5. In afwijking van lid 4 onderdeel d kan de werknemer zes maanden na de dag waarop de mededeling, bedoeld in lid 4 onderdeel b, is gedaan, de opdrachtgever of de wederpartij, </w:t>
      </w:r>
      <w:r w:rsidRPr="0090672D">
        <w:rPr>
          <w:rFonts w:ascii="Times New Roman" w:hAnsi="Times New Roman"/>
          <w:sz w:val="24"/>
        </w:rPr>
        <w:lastRenderedPageBreak/>
        <w:t>bedoeld in lid 1, die niet handelt in opdracht van een andere opdrachtgever of wederpartij aansprakelijk stellen voor de voldoening van het loon, bedoeld in lid 1, indien de vordering inhoudt dat gedurende ten minste drie opeenvolgende maanden, minder dan de helft van het verschuldigde loon of minder dan 70 procent van het toepasselijke minimumloon, bedoeld in artikel 7 van de Wet minimumloon en minimumvakantiebijslag, is voldaan.</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C</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Artikel 616c wordt als volgt gewijzigd:</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1. Voor de tekst wordt de aanduiding “1.” geplaatst.</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2. In het eerste lid (nieuw) wordt ‘de arbeidsovereenkomst, de overeenkomst van opdracht of van aanneming van werk’ vervangen door: de arbeidsovereenkomst, de overeenkomst van opdracht, de overeenkomst van aanneming van werk, de overeenkomst van goederenvervoer over de weg of de overeenkomst tot het doen vervoeren van goederen over de weg. </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3. Er wordt een lid toegevoegd, luidende:</w:t>
      </w:r>
    </w:p>
    <w:p w:rsidRPr="0090672D" w:rsidR="0090672D" w:rsidP="0090672D" w:rsidRDefault="0090672D">
      <w:pPr>
        <w:ind w:firstLine="284"/>
        <w:rPr>
          <w:rFonts w:ascii="Times New Roman" w:hAnsi="Times New Roman"/>
          <w:sz w:val="24"/>
        </w:rPr>
      </w:pPr>
      <w:r w:rsidRPr="0090672D">
        <w:rPr>
          <w:rFonts w:ascii="Times New Roman" w:hAnsi="Times New Roman"/>
          <w:sz w:val="24"/>
        </w:rPr>
        <w:t>2. Het eerste lid is niet van toepassing op het goederenvervoer over de weg waarbij de laad- en losplaats buiten Nederland zijn gelegen.</w:t>
      </w:r>
      <w:r w:rsidRPr="0090672D">
        <w:rPr>
          <w:rFonts w:ascii="Times New Roman" w:hAnsi="Times New Roman"/>
          <w:sz w:val="24"/>
        </w:rPr>
        <w:tab/>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D</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In artikel 616d, aanhef en onderdeel b, wordt na “opdrachtgever” telkens ingevoegd: of de wederpartij. </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E</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Artikel 616e wordt als volgt gewijzigd:</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1. In het eerste lid, aanhef, wordt “of werkgever” vervangen door: , werkgever of iedere wederpartij,.</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2. In het eerste lid, onderdeel a, wordt na “gesloten” ingevoegd: of iedere wederpartij.</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3. In het eerste lid, onderdeel b, wordt na “ de opdrachtgever” ingevoegd “”of de wederpartij” en wordt na “andere opdrachtgever” ingevoegd: of wederpartij.</w:t>
      </w: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 xml:space="preserve">4. In het tweede lid wordt “of aannemer” telkens vervangen door: , aannemer of </w:t>
      </w:r>
    </w:p>
    <w:p w:rsidRPr="0090672D" w:rsidR="0090672D" w:rsidP="0090672D" w:rsidRDefault="0090672D">
      <w:pPr>
        <w:rPr>
          <w:rFonts w:ascii="Times New Roman" w:hAnsi="Times New Roman"/>
          <w:sz w:val="24"/>
        </w:rPr>
      </w:pPr>
      <w:r w:rsidRPr="0090672D">
        <w:rPr>
          <w:rFonts w:ascii="Times New Roman" w:hAnsi="Times New Roman"/>
          <w:sz w:val="24"/>
        </w:rPr>
        <w:t>wederpartij.</w:t>
      </w:r>
    </w:p>
    <w:p w:rsidRPr="0090672D" w:rsidR="0090672D" w:rsidP="0090672D" w:rsidRDefault="0090672D">
      <w:pPr>
        <w:rPr>
          <w:rFonts w:ascii="Times New Roman" w:hAnsi="Times New Roman"/>
          <w:b/>
          <w:sz w:val="24"/>
        </w:rPr>
      </w:pPr>
    </w:p>
    <w:p w:rsidRPr="0090672D" w:rsidR="0090672D" w:rsidP="0090672D" w:rsidRDefault="0090672D">
      <w:pPr>
        <w:rPr>
          <w:rFonts w:ascii="Times New Roman" w:hAnsi="Times New Roman"/>
          <w:b/>
          <w:sz w:val="24"/>
        </w:rPr>
      </w:pPr>
    </w:p>
    <w:p w:rsidRPr="0090672D" w:rsidR="0090672D" w:rsidP="0090672D" w:rsidRDefault="0090672D">
      <w:pPr>
        <w:rPr>
          <w:rFonts w:ascii="Times New Roman" w:hAnsi="Times New Roman"/>
          <w:b/>
          <w:sz w:val="24"/>
        </w:rPr>
      </w:pPr>
      <w:r w:rsidRPr="0090672D">
        <w:rPr>
          <w:rFonts w:ascii="Times New Roman" w:hAnsi="Times New Roman"/>
          <w:b/>
          <w:sz w:val="24"/>
        </w:rPr>
        <w:t>ARTIKEL II</w:t>
      </w:r>
    </w:p>
    <w:p w:rsidRPr="0090672D" w:rsidR="0090672D" w:rsidP="0090672D" w:rsidRDefault="0090672D">
      <w:pPr>
        <w:rPr>
          <w:rFonts w:ascii="Times New Roman" w:hAnsi="Times New Roman"/>
          <w:b/>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Deze wet is niet van toepassing ten aanzien van loon dat is verschuldigd over een tijdvak dat ligt voor het tijdstip van inwerkingtreding van artikel I.</w:t>
      </w:r>
    </w:p>
    <w:p w:rsidRPr="0090672D" w:rsidR="0090672D" w:rsidP="0090672D" w:rsidRDefault="0090672D">
      <w:pPr>
        <w:rPr>
          <w:rFonts w:ascii="Times New Roman" w:hAnsi="Times New Roman"/>
          <w:b/>
          <w:sz w:val="24"/>
        </w:rPr>
      </w:pPr>
    </w:p>
    <w:p w:rsidRPr="0090672D" w:rsidR="0090672D" w:rsidP="0090672D" w:rsidRDefault="0090672D">
      <w:pPr>
        <w:rPr>
          <w:rFonts w:ascii="Times New Roman" w:hAnsi="Times New Roman"/>
          <w:b/>
          <w:sz w:val="24"/>
        </w:rPr>
      </w:pPr>
    </w:p>
    <w:p w:rsidRPr="0090672D" w:rsidR="0090672D" w:rsidP="0090672D" w:rsidRDefault="0090672D">
      <w:pPr>
        <w:rPr>
          <w:rFonts w:ascii="Times New Roman" w:hAnsi="Times New Roman"/>
          <w:b/>
          <w:sz w:val="24"/>
        </w:rPr>
      </w:pPr>
      <w:r w:rsidRPr="0090672D">
        <w:rPr>
          <w:rFonts w:ascii="Times New Roman" w:hAnsi="Times New Roman"/>
          <w:b/>
          <w:sz w:val="24"/>
        </w:rPr>
        <w:t>ARTIKEL III</w:t>
      </w:r>
    </w:p>
    <w:p w:rsidRPr="0090672D" w:rsidR="0090672D" w:rsidP="0090672D" w:rsidRDefault="0090672D">
      <w:pPr>
        <w:rPr>
          <w:rFonts w:ascii="Times New Roman" w:hAnsi="Times New Roman"/>
          <w:b/>
          <w:sz w:val="24"/>
        </w:rPr>
      </w:pPr>
    </w:p>
    <w:p w:rsidRPr="0090672D" w:rsidR="0090672D" w:rsidP="0090672D" w:rsidRDefault="0090672D">
      <w:pPr>
        <w:ind w:firstLine="284"/>
        <w:rPr>
          <w:rFonts w:ascii="Times New Roman" w:hAnsi="Times New Roman"/>
          <w:b/>
          <w:sz w:val="24"/>
        </w:rPr>
      </w:pPr>
      <w:r w:rsidRPr="0090672D">
        <w:rPr>
          <w:rFonts w:ascii="Times New Roman" w:hAnsi="Times New Roman"/>
          <w:sz w:val="24"/>
        </w:rPr>
        <w:t xml:space="preserve">Deze wet treedt in werking op een bij koninklijk besluit te bepalen tijdstip. </w:t>
      </w:r>
    </w:p>
    <w:p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ind w:firstLine="284"/>
        <w:rPr>
          <w:rFonts w:ascii="Times New Roman" w:hAnsi="Times New Roman"/>
          <w:sz w:val="24"/>
        </w:rPr>
      </w:pPr>
      <w:r w:rsidRPr="0090672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Gegeven</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b/>
          <w:sz w:val="24"/>
        </w:rPr>
      </w:pPr>
    </w:p>
    <w:p w:rsidRPr="0090672D" w:rsidR="0090672D" w:rsidP="0090672D" w:rsidRDefault="0090672D">
      <w:pPr>
        <w:rPr>
          <w:rFonts w:ascii="Times New Roman" w:hAnsi="Times New Roman"/>
          <w:b/>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De Minister van Sociale Zaken en Werkgelegenheid,</w:t>
      </w: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p>
    <w:p w:rsidRPr="0090672D" w:rsidR="0090672D" w:rsidP="0090672D" w:rsidRDefault="0090672D">
      <w:pPr>
        <w:rPr>
          <w:rFonts w:ascii="Times New Roman" w:hAnsi="Times New Roman"/>
          <w:sz w:val="24"/>
        </w:rPr>
      </w:pPr>
      <w:r w:rsidRPr="0090672D">
        <w:rPr>
          <w:rFonts w:ascii="Times New Roman" w:hAnsi="Times New Roman"/>
          <w:sz w:val="24"/>
        </w:rPr>
        <w:t xml:space="preserve">De Minister van Veiligheid en Justitie, </w:t>
      </w:r>
    </w:p>
    <w:p w:rsidRPr="0090672D" w:rsidR="0090672D" w:rsidP="00A11E73" w:rsidRDefault="0090672D">
      <w:pPr>
        <w:tabs>
          <w:tab w:val="left" w:pos="284"/>
          <w:tab w:val="left" w:pos="567"/>
          <w:tab w:val="left" w:pos="851"/>
        </w:tabs>
        <w:ind w:right="1848"/>
        <w:rPr>
          <w:rFonts w:ascii="Times New Roman" w:hAnsi="Times New Roman"/>
          <w:sz w:val="24"/>
        </w:rPr>
      </w:pPr>
      <w:bookmarkStart w:name="_GoBack" w:id="0"/>
      <w:bookmarkEnd w:id="0"/>
    </w:p>
    <w:sectPr w:rsidRPr="0090672D" w:rsidR="0090672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2D" w:rsidRDefault="0090672D">
      <w:pPr>
        <w:spacing w:line="20" w:lineRule="exact"/>
      </w:pPr>
    </w:p>
  </w:endnote>
  <w:endnote w:type="continuationSeparator" w:id="0">
    <w:p w:rsidR="0090672D" w:rsidRDefault="0090672D">
      <w:pPr>
        <w:pStyle w:val="Amendement"/>
      </w:pPr>
      <w:r>
        <w:rPr>
          <w:b w:val="0"/>
          <w:bCs w:val="0"/>
        </w:rPr>
        <w:t xml:space="preserve"> </w:t>
      </w:r>
    </w:p>
  </w:endnote>
  <w:endnote w:type="continuationNotice" w:id="1">
    <w:p w:rsidR="0090672D" w:rsidRDefault="009067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37D85">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2D" w:rsidRDefault="0090672D">
      <w:pPr>
        <w:pStyle w:val="Amendement"/>
      </w:pPr>
      <w:r>
        <w:rPr>
          <w:b w:val="0"/>
          <w:bCs w:val="0"/>
        </w:rPr>
        <w:separator/>
      </w:r>
    </w:p>
  </w:footnote>
  <w:footnote w:type="continuationSeparator" w:id="0">
    <w:p w:rsidR="0090672D" w:rsidRDefault="00906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23AC"/>
    <w:multiLevelType w:val="hybridMultilevel"/>
    <w:tmpl w:val="E2A436C0"/>
    <w:lvl w:ilvl="0" w:tplc="7AB84228">
      <w:numFmt w:val="bullet"/>
      <w:pStyle w:val="Tekst"/>
      <w:lvlText w:val=""/>
      <w:lvlJc w:val="left"/>
      <w:pPr>
        <w:tabs>
          <w:tab w:val="num" w:pos="440"/>
        </w:tabs>
        <w:ind w:left="440" w:hanging="440"/>
      </w:pPr>
      <w:rPr>
        <w:rFonts w:ascii="Symbol" w:eastAsia="Times New Roman" w:hAnsi="Symbol" w:cs="Times New Roman" w:hint="default"/>
      </w:rPr>
    </w:lvl>
    <w:lvl w:ilvl="1" w:tplc="54FE1F1A" w:tentative="1">
      <w:start w:val="1"/>
      <w:numFmt w:val="bullet"/>
      <w:lvlText w:val="o"/>
      <w:lvlJc w:val="left"/>
      <w:pPr>
        <w:tabs>
          <w:tab w:val="num" w:pos="1440"/>
        </w:tabs>
        <w:ind w:left="1440" w:hanging="360"/>
      </w:pPr>
      <w:rPr>
        <w:rFonts w:ascii="Courier New" w:hAnsi="Courier New" w:hint="default"/>
      </w:rPr>
    </w:lvl>
    <w:lvl w:ilvl="2" w:tplc="7716E4B8" w:tentative="1">
      <w:start w:val="1"/>
      <w:numFmt w:val="bullet"/>
      <w:lvlText w:val=""/>
      <w:lvlJc w:val="left"/>
      <w:pPr>
        <w:tabs>
          <w:tab w:val="num" w:pos="2160"/>
        </w:tabs>
        <w:ind w:left="2160" w:hanging="360"/>
      </w:pPr>
      <w:rPr>
        <w:rFonts w:ascii="Wingdings" w:hAnsi="Wingdings" w:hint="default"/>
      </w:rPr>
    </w:lvl>
    <w:lvl w:ilvl="3" w:tplc="060EAD24" w:tentative="1">
      <w:start w:val="1"/>
      <w:numFmt w:val="bullet"/>
      <w:lvlText w:val=""/>
      <w:lvlJc w:val="left"/>
      <w:pPr>
        <w:tabs>
          <w:tab w:val="num" w:pos="2880"/>
        </w:tabs>
        <w:ind w:left="2880" w:hanging="360"/>
      </w:pPr>
      <w:rPr>
        <w:rFonts w:ascii="Symbol" w:hAnsi="Symbol" w:hint="default"/>
      </w:rPr>
    </w:lvl>
    <w:lvl w:ilvl="4" w:tplc="AD3446FC" w:tentative="1">
      <w:start w:val="1"/>
      <w:numFmt w:val="bullet"/>
      <w:lvlText w:val="o"/>
      <w:lvlJc w:val="left"/>
      <w:pPr>
        <w:tabs>
          <w:tab w:val="num" w:pos="3600"/>
        </w:tabs>
        <w:ind w:left="3600" w:hanging="360"/>
      </w:pPr>
      <w:rPr>
        <w:rFonts w:ascii="Courier New" w:hAnsi="Courier New" w:hint="default"/>
      </w:rPr>
    </w:lvl>
    <w:lvl w:ilvl="5" w:tplc="BAF6F268" w:tentative="1">
      <w:start w:val="1"/>
      <w:numFmt w:val="bullet"/>
      <w:lvlText w:val=""/>
      <w:lvlJc w:val="left"/>
      <w:pPr>
        <w:tabs>
          <w:tab w:val="num" w:pos="4320"/>
        </w:tabs>
        <w:ind w:left="4320" w:hanging="360"/>
      </w:pPr>
      <w:rPr>
        <w:rFonts w:ascii="Wingdings" w:hAnsi="Wingdings" w:hint="default"/>
      </w:rPr>
    </w:lvl>
    <w:lvl w:ilvl="6" w:tplc="3202DA5E" w:tentative="1">
      <w:start w:val="1"/>
      <w:numFmt w:val="bullet"/>
      <w:lvlText w:val=""/>
      <w:lvlJc w:val="left"/>
      <w:pPr>
        <w:tabs>
          <w:tab w:val="num" w:pos="5040"/>
        </w:tabs>
        <w:ind w:left="5040" w:hanging="360"/>
      </w:pPr>
      <w:rPr>
        <w:rFonts w:ascii="Symbol" w:hAnsi="Symbol" w:hint="default"/>
      </w:rPr>
    </w:lvl>
    <w:lvl w:ilvl="7" w:tplc="EF68FE0C" w:tentative="1">
      <w:start w:val="1"/>
      <w:numFmt w:val="bullet"/>
      <w:lvlText w:val="o"/>
      <w:lvlJc w:val="left"/>
      <w:pPr>
        <w:tabs>
          <w:tab w:val="num" w:pos="5760"/>
        </w:tabs>
        <w:ind w:left="5760" w:hanging="360"/>
      </w:pPr>
      <w:rPr>
        <w:rFonts w:ascii="Courier New" w:hAnsi="Courier New" w:hint="default"/>
      </w:rPr>
    </w:lvl>
    <w:lvl w:ilvl="8" w:tplc="D11E23A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2D"/>
    <w:rsid w:val="00012DBE"/>
    <w:rsid w:val="000A1D81"/>
    <w:rsid w:val="00111ED3"/>
    <w:rsid w:val="00150F5E"/>
    <w:rsid w:val="001C190E"/>
    <w:rsid w:val="002168F4"/>
    <w:rsid w:val="002775EE"/>
    <w:rsid w:val="002A727C"/>
    <w:rsid w:val="00537D85"/>
    <w:rsid w:val="005D2707"/>
    <w:rsid w:val="00606255"/>
    <w:rsid w:val="006B607A"/>
    <w:rsid w:val="007D451C"/>
    <w:rsid w:val="00826224"/>
    <w:rsid w:val="0090672D"/>
    <w:rsid w:val="00930A23"/>
    <w:rsid w:val="009C7354"/>
    <w:rsid w:val="009E6D7F"/>
    <w:rsid w:val="00A11E73"/>
    <w:rsid w:val="00A2521E"/>
    <w:rsid w:val="00AE436A"/>
    <w:rsid w:val="00C135B1"/>
    <w:rsid w:val="00C14100"/>
    <w:rsid w:val="00C92DF8"/>
    <w:rsid w:val="00CB3578"/>
    <w:rsid w:val="00D20AFA"/>
    <w:rsid w:val="00D55648"/>
    <w:rsid w:val="00D774F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ekst">
    <w:name w:val="Tekst"/>
    <w:rsid w:val="0090672D"/>
    <w:pPr>
      <w:numPr>
        <w:numId w:val="1"/>
      </w:numPr>
      <w:spacing w:line="300" w:lineRule="exact"/>
    </w:pPr>
    <w:rPr>
      <w:sz w:val="24"/>
    </w:rPr>
  </w:style>
  <w:style w:type="table" w:styleId="Tabelraster">
    <w:name w:val="Table Grid"/>
    <w:basedOn w:val="Standaardtabel"/>
    <w:rsid w:val="0090672D"/>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90672D"/>
    <w:rPr>
      <w:rFonts w:ascii="Verdana" w:hAnsi="Verdana"/>
      <w:szCs w:val="24"/>
    </w:rPr>
  </w:style>
  <w:style w:type="paragraph" w:styleId="Ballontekst">
    <w:name w:val="Balloon Text"/>
    <w:basedOn w:val="Standaard"/>
    <w:link w:val="BallontekstChar"/>
    <w:rsid w:val="0090672D"/>
    <w:rPr>
      <w:rFonts w:ascii="Tahoma" w:hAnsi="Tahoma" w:cs="Tahoma"/>
      <w:sz w:val="16"/>
      <w:szCs w:val="16"/>
    </w:rPr>
  </w:style>
  <w:style w:type="character" w:customStyle="1" w:styleId="BallontekstChar">
    <w:name w:val="Ballontekst Char"/>
    <w:basedOn w:val="Standaardalinea-lettertype"/>
    <w:link w:val="Ballontekst"/>
    <w:rsid w:val="00906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ekst">
    <w:name w:val="Tekst"/>
    <w:rsid w:val="0090672D"/>
    <w:pPr>
      <w:numPr>
        <w:numId w:val="1"/>
      </w:numPr>
      <w:spacing w:line="300" w:lineRule="exact"/>
    </w:pPr>
    <w:rPr>
      <w:sz w:val="24"/>
    </w:rPr>
  </w:style>
  <w:style w:type="table" w:styleId="Tabelraster">
    <w:name w:val="Table Grid"/>
    <w:basedOn w:val="Standaardtabel"/>
    <w:rsid w:val="0090672D"/>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90672D"/>
    <w:rPr>
      <w:rFonts w:ascii="Verdana" w:hAnsi="Verdana"/>
      <w:szCs w:val="24"/>
    </w:rPr>
  </w:style>
  <w:style w:type="paragraph" w:styleId="Ballontekst">
    <w:name w:val="Balloon Text"/>
    <w:basedOn w:val="Standaard"/>
    <w:link w:val="BallontekstChar"/>
    <w:rsid w:val="0090672D"/>
    <w:rPr>
      <w:rFonts w:ascii="Tahoma" w:hAnsi="Tahoma" w:cs="Tahoma"/>
      <w:sz w:val="16"/>
      <w:szCs w:val="16"/>
    </w:rPr>
  </w:style>
  <w:style w:type="character" w:customStyle="1" w:styleId="BallontekstChar">
    <w:name w:val="Ballontekst Char"/>
    <w:basedOn w:val="Standaardalinea-lettertype"/>
    <w:link w:val="Ballontekst"/>
    <w:rsid w:val="00906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1068</ap:Words>
  <ap:Characters>5689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2016-10-06T08:25:00.0000000Z</lastPrinted>
  <dcterms:created xsi:type="dcterms:W3CDTF">2016-10-06T08:35:00.0000000Z</dcterms:created>
  <dcterms:modified xsi:type="dcterms:W3CDTF">2016-10-06T08:35:00.0000000Z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0x010100955A541D13B7D8448587294933BB3B6E</vt:lpwstr>
  </property>
</Properties>
</file>