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270E" w:rsidR="000D39DB" w:rsidP="001D62E9" w:rsidRDefault="00405849">
      <w:pPr>
        <w:pStyle w:val="PlatteTekst"/>
        <w:spacing w:line="240" w:lineRule="auto"/>
        <w:rPr>
          <w:b/>
          <w:sz w:val="20"/>
          <w:szCs w:val="20"/>
          <w:u w:val="single"/>
        </w:rPr>
      </w:pPr>
      <w:r w:rsidRPr="005A4DE9">
        <w:rPr>
          <w:noProof/>
          <w:szCs w:val="18"/>
          <w:lang w:eastAsia="nl-NL"/>
        </w:rPr>
        <mc:AlternateContent>
          <mc:Choice Requires="wps">
            <w:drawing>
              <wp:anchor distT="0" distB="0" distL="114300" distR="114300" simplePos="0" relativeHeight="251661312" behindDoc="0" locked="0" layoutInCell="1" allowOverlap="1" wp14:editId="025F38CB" wp14:anchorId="050A9769">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4D67" w:rsidRDefault="00F04D6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F04D67" w:rsidRDefault="00F04D67"/>
                  </w:txbxContent>
                </v:textbox>
                <w10:wrap anchory="page"/>
              </v:shape>
            </w:pict>
          </mc:Fallback>
        </mc:AlternateContent>
      </w:r>
      <w:r w:rsidRPr="005A4DE9">
        <w:rPr>
          <w:noProof/>
          <w:szCs w:val="18"/>
          <w:lang w:eastAsia="nl-NL"/>
        </w:rPr>
        <mc:AlternateContent>
          <mc:Choice Requires="wps">
            <w:drawing>
              <wp:anchor distT="0" distB="0" distL="114300" distR="114300" simplePos="0" relativeHeight="251660288" behindDoc="0" locked="0" layoutInCell="1" allowOverlap="1" wp14:editId="4EE814BD" wp14:anchorId="1A126637">
                <wp:simplePos x="0" y="0"/>
                <wp:positionH relativeFrom="page">
                  <wp:posOffset>4608830</wp:posOffset>
                </wp:positionH>
                <wp:positionV relativeFrom="page">
                  <wp:posOffset>1955165</wp:posOffset>
                </wp:positionV>
                <wp:extent cx="2080260" cy="698500"/>
                <wp:effectExtent l="0" t="0" r="15240" b="12700"/>
                <wp:wrapNone/>
                <wp:docPr id="9" name="Tekstvak 9"/>
                <wp:cNvGraphicFramePr/>
                <a:graphic xmlns:a="http://schemas.openxmlformats.org/drawingml/2006/main">
                  <a:graphicData uri="http://schemas.microsoft.com/office/word/2010/wordprocessingShape">
                    <wps:wsp>
                      <wps:cNvSpPr txBox="1"/>
                      <wps:spPr>
                        <a:xfrm>
                          <a:off x="0" y="0"/>
                          <a:ext cx="2080260" cy="69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4D67" w:rsidP="00A758A3" w:rsidRDefault="00A758A3">
                            <w:pPr>
                              <w:pStyle w:val="Huisstijl-Afzendgegevens"/>
                              <w:ind w:left="405"/>
                              <w:rPr>
                                <w:szCs w:val="13"/>
                              </w:rPr>
                            </w:pPr>
                            <w:proofErr w:type="spellStart"/>
                            <w:r>
                              <w:rPr>
                                <w:szCs w:val="13"/>
                              </w:rPr>
                              <w:t>A.Mulder</w:t>
                            </w:r>
                            <w:proofErr w:type="spellEnd"/>
                            <w:r>
                              <w:rPr>
                                <w:szCs w:val="13"/>
                              </w:rPr>
                              <w:t>/</w:t>
                            </w:r>
                            <w:proofErr w:type="spellStart"/>
                            <w:r>
                              <w:rPr>
                                <w:szCs w:val="13"/>
                              </w:rPr>
                              <w:t>W.Koolmees</w:t>
                            </w:r>
                            <w:proofErr w:type="spellEnd"/>
                            <w:r w:rsidR="00F04D67">
                              <w:t xml:space="preserve">  </w:t>
                            </w:r>
                          </w:p>
                          <w:p w:rsidRPr="00FE7CDD" w:rsidR="00F04D67" w:rsidRDefault="00F04D67">
                            <w:pPr>
                              <w:pStyle w:val="Huisstijl-Afzendgegevens"/>
                              <w:rPr>
                                <w:szCs w:val="13"/>
                              </w:rPr>
                            </w:pPr>
                            <w:r w:rsidRPr="00FE7CDD">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9pt;margin-top:153.95pt;width:163.8pt;height: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">
                <v:textbox style="mso-fit-shape-to-text:t" inset="0,0,0,0">
                  <w:txbxContent>
                    <w:p w:rsidR="00F04D67" w:rsidP="00A758A3" w:rsidRDefault="00A758A3">
                      <w:pPr>
                        <w:pStyle w:val="Huisstijl-Afzendgegevens"/>
                        <w:ind w:left="405"/>
                        <w:rPr>
                          <w:szCs w:val="13"/>
                        </w:rPr>
                      </w:pPr>
                      <w:proofErr w:type="spellStart"/>
                      <w:r>
                        <w:rPr>
                          <w:szCs w:val="13"/>
                        </w:rPr>
                        <w:t>A.Mulder</w:t>
                      </w:r>
                      <w:proofErr w:type="spellEnd"/>
                      <w:r>
                        <w:rPr>
                          <w:szCs w:val="13"/>
                        </w:rPr>
                        <w:t>/</w:t>
                      </w:r>
                      <w:proofErr w:type="spellStart"/>
                      <w:r>
                        <w:rPr>
                          <w:szCs w:val="13"/>
                        </w:rPr>
                        <w:t>W.Koolmees</w:t>
                      </w:r>
                      <w:proofErr w:type="spellEnd"/>
                      <w:r w:rsidR="00F04D67">
                        <w:t xml:space="preserve">  </w:t>
                      </w:r>
                    </w:p>
                    <w:p w:rsidRPr="00FE7CDD" w:rsidR="00F04D67" w:rsidRDefault="00F04D67">
                      <w:pPr>
                        <w:pStyle w:val="Huisstijl-Afzendgegevens"/>
                        <w:rPr>
                          <w:szCs w:val="13"/>
                        </w:rPr>
                      </w:pPr>
                      <w:r w:rsidRPr="00FE7CDD">
                        <w:t xml:space="preserve"> </w:t>
                      </w:r>
                    </w:p>
                  </w:txbxContent>
                </v:textbox>
                <w10:wrap anchorx="page" anchory="page"/>
              </v:shape>
            </w:pict>
          </mc:Fallback>
        </mc:AlternateContent>
      </w:r>
      <w:r w:rsidRPr="005A4DE9">
        <w:rPr>
          <w:noProof/>
          <w:szCs w:val="18"/>
          <w:lang w:eastAsia="nl-NL"/>
        </w:rPr>
        <mc:AlternateContent>
          <mc:Choice Requires="wps">
            <w:drawing>
              <wp:anchor distT="0" distB="269875" distL="114300" distR="114300" simplePos="0" relativeHeight="251659264" behindDoc="0" locked="0" layoutInCell="1" allowOverlap="1" wp14:editId="4C7071FB" wp14:anchorId="38706F73">
                <wp:simplePos x="0" y="0"/>
                <wp:positionH relativeFrom="page">
                  <wp:posOffset>485775</wp:posOffset>
                </wp:positionH>
                <wp:positionV relativeFrom="page">
                  <wp:posOffset>1933575</wp:posOffset>
                </wp:positionV>
                <wp:extent cx="4048125" cy="123634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1236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4D67" w:rsidRDefault="00F04D67">
                            <w:pPr>
                              <w:pStyle w:val="Huisstijl-Agendatitel"/>
                              <w:tabs>
                                <w:tab w:val="right" w:pos="1344"/>
                              </w:tabs>
                              <w:ind w:hanging="1417"/>
                            </w:pPr>
                            <w:r>
                              <w:tab/>
                              <w:t>Memo</w:t>
                            </w:r>
                            <w:r>
                              <w:tab/>
                            </w:r>
                            <w:r w:rsidR="00C1270E">
                              <w:t>Tussenrapportage</w:t>
                            </w:r>
                            <w:r>
                              <w:t xml:space="preserve"> co-rapporteurs </w:t>
                            </w:r>
                            <w:r w:rsidR="00C1270E">
                              <w:t>MFK</w:t>
                            </w:r>
                          </w:p>
                          <w:p w:rsidR="00F04D67" w:rsidRDefault="00F04D67">
                            <w:pPr>
                              <w:pStyle w:val="Huisstijl-Agendatitel"/>
                            </w:pPr>
                            <w:r>
                              <w:tab/>
                            </w:r>
                            <w:r w:rsidR="00C1270E">
                              <w:t>Overzicht voorstellen en besluitvormingstraject</w:t>
                            </w:r>
                          </w:p>
                          <w:p w:rsidR="00F04D67" w:rsidRDefault="00F04D67">
                            <w:pPr>
                              <w:pStyle w:val="Huisstijl-Agendatitel"/>
                            </w:pPr>
                          </w:p>
                          <w:p w:rsidR="00F04D67" w:rsidRDefault="00C1270E">
                            <w:pPr>
                              <w:pStyle w:val="Huisstijl-Agendagegevens"/>
                            </w:pPr>
                            <w:r>
                              <w:tab/>
                              <w:t>aan</w:t>
                            </w:r>
                            <w:r>
                              <w:tab/>
                              <w:t>de vaste commissie</w:t>
                            </w:r>
                            <w:r w:rsidR="00F04D67">
                              <w:t xml:space="preserve"> voor</w:t>
                            </w:r>
                            <w:r>
                              <w:t xml:space="preserve"> Europese Zaken </w:t>
                            </w:r>
                          </w:p>
                          <w:p w:rsidR="00F04D67" w:rsidRDefault="00F04D67">
                            <w:pPr>
                              <w:pStyle w:val="Huisstijl-Agendagegevens"/>
                            </w:pPr>
                            <w:r>
                              <w:tab/>
                              <w:t>van</w:t>
                            </w:r>
                            <w:r>
                              <w:tab/>
                              <w:t xml:space="preserve">de rapporteurs </w:t>
                            </w:r>
                            <w:r w:rsidR="00C1270E">
                              <w:t>MFK,</w:t>
                            </w:r>
                            <w:r>
                              <w:t xml:space="preserve"> het Lid </w:t>
                            </w:r>
                            <w:r w:rsidR="00C1270E">
                              <w:t xml:space="preserve">Mulder </w:t>
                            </w:r>
                            <w:r>
                              <w:t xml:space="preserve">en het Lid </w:t>
                            </w:r>
                            <w:r w:rsidR="00C1270E">
                              <w:t>Koolmees</w:t>
                            </w:r>
                          </w:p>
                          <w:p w:rsidRPr="00C13A9E" w:rsidR="00F04D67" w:rsidRDefault="00F04D67">
                            <w:pPr>
                              <w:pStyle w:val="Huisstijl-Agendagegevens"/>
                            </w:pPr>
                            <w:r>
                              <w:tab/>
                              <w:t>in afschrift aan</w:t>
                            </w:r>
                            <w:r>
                              <w:tab/>
                            </w:r>
                            <w:r w:rsidR="00C1270E">
                              <w:t>de</w:t>
                            </w:r>
                            <w:r w:rsidR="00B44A40">
                              <w:t xml:space="preserve"> vaste</w:t>
                            </w:r>
                            <w:r w:rsidR="00C1270E">
                              <w:t xml:space="preserve"> commissie</w:t>
                            </w:r>
                            <w:r w:rsidR="00B44A40">
                              <w:t xml:space="preserve"> voor</w:t>
                            </w:r>
                            <w:r w:rsidR="00C1270E">
                              <w:t xml:space="preserve"> Financiën</w:t>
                            </w:r>
                          </w:p>
                          <w:p w:rsidRPr="00C13A9E" w:rsidR="00F04D67" w:rsidRDefault="00F04D67">
                            <w:pPr>
                              <w:pStyle w:val="Huisstijl-AgendagegevensW1"/>
                            </w:pPr>
                            <w:r w:rsidRPr="00C13A9E">
                              <w:tab/>
                              <w:t>datum</w:t>
                            </w:r>
                            <w:r w:rsidRPr="00C13A9E">
                              <w:tab/>
                            </w:r>
                            <w:sdt>
                              <w:sdtPr>
                                <w:alias w:val="Memo Datum"/>
                                <w:tag w:val="Memo_Datum"/>
                                <w:id w:val="-178738616"/>
                                <w:dataBinding w:prefixMappings="xmlns:dg='http://docgen.org/date' " w:xpath="/dg:DocgenData[1]/dg:Memo_Datum[1]" w:storeItemID="{3D6BED7C-4D00-430B-A617-55BE0520206B}"/>
                                <w:date w:fullDate="2016-10-10T00:00:00Z">
                                  <w:dateFormat w:val="d MMMM YYYY"/>
                                  <w:lid w:val="nl-NL"/>
                                  <w:storeMappedDataAs w:val="dateTime"/>
                                  <w:calendar w:val="gregorian"/>
                                </w:date>
                              </w:sdtPr>
                              <w:sdtEndPr/>
                              <w:sdtContent>
                                <w:r w:rsidR="00F2292E">
                                  <w:t>10 oktober 2016</w:t>
                                </w:r>
                              </w:sdtContent>
                            </w:sdt>
                          </w:p>
                          <w:p w:rsidR="00F04D67" w:rsidP="00C1270E" w:rsidRDefault="00F04D67">
                            <w:pPr>
                              <w:pStyle w:val="Huisstijl-Agendagegevens"/>
                            </w:pPr>
                            <w:r w:rsidRPr="00C13A9E">
                              <w:tab/>
                              <w:t>te betrekken bij</w:t>
                            </w:r>
                            <w:r w:rsidRPr="00C13A9E">
                              <w:tab/>
                            </w:r>
                            <w:r w:rsidR="00BF16B1">
                              <w:t>Procedurevergadering commissie Europese Zaken 13 oktober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8.25pt;margin-top:152.25pt;width:318.75pt;height:97.3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">
                <v:textbox style="mso-fit-shape-to-text:t" inset="0,0,0,0">
                  <w:txbxContent>
                    <w:p w:rsidR="00F04D67" w:rsidRDefault="00F04D67">
                      <w:pPr>
                        <w:pStyle w:val="Huisstijl-Agendatitel"/>
                        <w:tabs>
                          <w:tab w:val="right" w:pos="1344"/>
                        </w:tabs>
                        <w:ind w:hanging="1417"/>
                      </w:pPr>
                      <w:r>
                        <w:tab/>
                        <w:t>Memo</w:t>
                      </w:r>
                      <w:r>
                        <w:tab/>
                      </w:r>
                      <w:r w:rsidR="00C1270E">
                        <w:t>Tussenrapportage</w:t>
                      </w:r>
                      <w:r>
                        <w:t xml:space="preserve"> co-rapporteurs </w:t>
                      </w:r>
                      <w:r w:rsidR="00C1270E">
                        <w:t>MFK</w:t>
                      </w:r>
                    </w:p>
                    <w:p w:rsidR="00F04D67" w:rsidRDefault="00F04D67">
                      <w:pPr>
                        <w:pStyle w:val="Huisstijl-Agendatitel"/>
                      </w:pPr>
                      <w:r>
                        <w:tab/>
                      </w:r>
                      <w:r w:rsidR="00C1270E">
                        <w:t>Overzicht voorstellen en besluitvormingstraject</w:t>
                      </w:r>
                    </w:p>
                    <w:p w:rsidR="00F04D67" w:rsidRDefault="00F04D67">
                      <w:pPr>
                        <w:pStyle w:val="Huisstijl-Agendatitel"/>
                      </w:pPr>
                    </w:p>
                    <w:p w:rsidR="00F04D67" w:rsidRDefault="00C1270E">
                      <w:pPr>
                        <w:pStyle w:val="Huisstijl-Agendagegevens"/>
                      </w:pPr>
                      <w:r>
                        <w:tab/>
                        <w:t>aan</w:t>
                      </w:r>
                      <w:r>
                        <w:tab/>
                        <w:t>de vaste commissie</w:t>
                      </w:r>
                      <w:r w:rsidR="00F04D67">
                        <w:t xml:space="preserve"> voor</w:t>
                      </w:r>
                      <w:r>
                        <w:t xml:space="preserve"> Europese Zaken </w:t>
                      </w:r>
                    </w:p>
                    <w:p w:rsidR="00F04D67" w:rsidRDefault="00F04D67">
                      <w:pPr>
                        <w:pStyle w:val="Huisstijl-Agendagegevens"/>
                      </w:pPr>
                      <w:r>
                        <w:tab/>
                        <w:t>van</w:t>
                      </w:r>
                      <w:r>
                        <w:tab/>
                        <w:t xml:space="preserve">de rapporteurs </w:t>
                      </w:r>
                      <w:r w:rsidR="00C1270E">
                        <w:t>MFK,</w:t>
                      </w:r>
                      <w:r>
                        <w:t xml:space="preserve"> het Lid </w:t>
                      </w:r>
                      <w:r w:rsidR="00C1270E">
                        <w:t xml:space="preserve">Mulder </w:t>
                      </w:r>
                      <w:r>
                        <w:t xml:space="preserve">en het Lid </w:t>
                      </w:r>
                      <w:r w:rsidR="00C1270E">
                        <w:t>Koolmees</w:t>
                      </w:r>
                    </w:p>
                    <w:p w:rsidRPr="00C13A9E" w:rsidR="00F04D67" w:rsidRDefault="00F04D67">
                      <w:pPr>
                        <w:pStyle w:val="Huisstijl-Agendagegevens"/>
                      </w:pPr>
                      <w:r>
                        <w:tab/>
                        <w:t>in afschrift aan</w:t>
                      </w:r>
                      <w:r>
                        <w:tab/>
                      </w:r>
                      <w:r w:rsidR="00C1270E">
                        <w:t>de</w:t>
                      </w:r>
                      <w:r w:rsidR="00B44A40">
                        <w:t xml:space="preserve"> vaste</w:t>
                      </w:r>
                      <w:r w:rsidR="00C1270E">
                        <w:t xml:space="preserve"> commissie</w:t>
                      </w:r>
                      <w:r w:rsidR="00B44A40">
                        <w:t xml:space="preserve"> voor</w:t>
                      </w:r>
                      <w:r w:rsidR="00C1270E">
                        <w:t xml:space="preserve"> Financiën</w:t>
                      </w:r>
                    </w:p>
                    <w:p w:rsidRPr="00C13A9E" w:rsidR="00F04D67" w:rsidRDefault="00F04D67">
                      <w:pPr>
                        <w:pStyle w:val="Huisstijl-AgendagegevensW1"/>
                      </w:pPr>
                      <w:r w:rsidRPr="00C13A9E">
                        <w:tab/>
                        <w:t>datum</w:t>
                      </w:r>
                      <w:r w:rsidRPr="00C13A9E">
                        <w:tab/>
                      </w:r>
                      <w:sdt>
                        <w:sdtPr>
                          <w:alias w:val="Memo Datum"/>
                          <w:tag w:val="Memo_Datum"/>
                          <w:id w:val="-178738616"/>
                          <w:dataBinding w:prefixMappings="xmlns:dg='http://docgen.org/date' " w:xpath="/dg:DocgenData[1]/dg:Memo_Datum[1]" w:storeItemID="{3D6BED7C-4D00-430B-A617-55BE0520206B}"/>
                          <w:date w:fullDate="2016-10-10T00:00:00Z">
                            <w:dateFormat w:val="d MMMM YYYY"/>
                            <w:lid w:val="nl-NL"/>
                            <w:storeMappedDataAs w:val="dateTime"/>
                            <w:calendar w:val="gregorian"/>
                          </w:date>
                        </w:sdtPr>
                        <w:sdtEndPr/>
                        <w:sdtContent>
                          <w:r w:rsidR="00F2292E">
                            <w:t>10 oktober 2016</w:t>
                          </w:r>
                        </w:sdtContent>
                      </w:sdt>
                    </w:p>
                    <w:p w:rsidR="00F04D67" w:rsidP="00C1270E" w:rsidRDefault="00F04D67">
                      <w:pPr>
                        <w:pStyle w:val="Huisstijl-Agendagegevens"/>
                      </w:pPr>
                      <w:r w:rsidRPr="00C13A9E">
                        <w:tab/>
                        <w:t>te betrekken bij</w:t>
                      </w:r>
                      <w:r w:rsidRPr="00C13A9E">
                        <w:tab/>
                      </w:r>
                      <w:r w:rsidR="00BF16B1">
                        <w:t>Procedurevergadering commissie Europese Zaken 13 oktober 2016</w:t>
                      </w:r>
                    </w:p>
                  </w:txbxContent>
                </v:textbox>
                <w10:wrap type="topAndBottom" anchorx="page" anchory="page"/>
              </v:shape>
            </w:pict>
          </mc:Fallback>
        </mc:AlternateContent>
      </w:r>
      <w:bookmarkStart w:name="Text1" w:id="0"/>
      <w:r w:rsidRPr="00C1270E" w:rsidR="00EA0108">
        <w:rPr>
          <w:rFonts w:eastAsia="Verdana" w:cs="Verdana"/>
          <w:noProof/>
          <w:color w:val="000000"/>
          <w:sz w:val="20"/>
          <w:szCs w:val="20"/>
          <w:u w:color="000000"/>
          <w:bdr w:val="nil"/>
          <w:lang w:eastAsia="nl-NL"/>
        </w:rPr>
        <w:drawing>
          <wp:anchor distT="152400" distB="152400" distL="152400" distR="152400" simplePos="0" relativeHeight="251669504" behindDoc="1" locked="0" layoutInCell="1" allowOverlap="1" wp14:editId="53970B43" wp14:anchorId="10D196E8">
            <wp:simplePos x="0" y="0"/>
            <wp:positionH relativeFrom="page">
              <wp:posOffset>1232535</wp:posOffset>
            </wp:positionH>
            <wp:positionV relativeFrom="page">
              <wp:posOffset>527050</wp:posOffset>
            </wp:positionV>
            <wp:extent cx="3070800" cy="12384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10">
                      <a:extLst/>
                    </a:blip>
                    <a:stretch>
                      <a:fillRect/>
                    </a:stretch>
                  </pic:blipFill>
                  <pic:spPr>
                    <a:xfrm>
                      <a:off x="0" y="0"/>
                      <a:ext cx="3070800" cy="1238400"/>
                    </a:xfrm>
                    <a:prstGeom prst="rect">
                      <a:avLst/>
                    </a:prstGeom>
                    <a:ln w="12700" cap="flat">
                      <a:noFill/>
                      <a:miter lim="400000"/>
                    </a:ln>
                    <a:effectLst/>
                  </pic:spPr>
                </pic:pic>
              </a:graphicData>
            </a:graphic>
          </wp:anchor>
        </w:drawing>
      </w:r>
      <w:r w:rsidRPr="00C1270E">
        <w:rPr>
          <w:b/>
          <w:sz w:val="20"/>
          <w:szCs w:val="20"/>
          <w:u w:val="single"/>
        </w:rPr>
        <w:t>Aan de leden van de commissie</w:t>
      </w:r>
      <w:bookmarkEnd w:id="0"/>
      <w:r w:rsidRPr="00C1270E" w:rsidR="00C1270E">
        <w:rPr>
          <w:b/>
          <w:sz w:val="20"/>
          <w:szCs w:val="20"/>
          <w:u w:val="single"/>
        </w:rPr>
        <w:t xml:space="preserve"> Europese Zaken</w:t>
      </w:r>
    </w:p>
    <w:p w:rsidRPr="00C1270E" w:rsidR="00405849" w:rsidP="00C1270E" w:rsidRDefault="00E20262">
      <w:pPr>
        <w:spacing w:line="23" w:lineRule="atLeast"/>
        <w:rPr>
          <w:b/>
          <w:sz w:val="20"/>
          <w:szCs w:val="20"/>
          <w:u w:val="single"/>
        </w:rPr>
      </w:pPr>
      <w:r w:rsidRPr="00C1270E">
        <w:rPr>
          <w:b/>
          <w:sz w:val="20"/>
          <w:szCs w:val="20"/>
          <w:u w:val="single"/>
        </w:rPr>
        <w:t xml:space="preserve">In afschrift aan de leden van de commissie </w:t>
      </w:r>
      <w:r w:rsidRPr="00C1270E" w:rsidR="00C1270E">
        <w:rPr>
          <w:b/>
          <w:sz w:val="20"/>
          <w:szCs w:val="20"/>
          <w:u w:val="single"/>
        </w:rPr>
        <w:t>Financiën</w:t>
      </w:r>
    </w:p>
    <w:p w:rsidRPr="00C1270E" w:rsidR="00EA0108" w:rsidP="00C1270E" w:rsidRDefault="00EA0108">
      <w:pPr>
        <w:spacing w:line="23" w:lineRule="atLeast"/>
        <w:rPr>
          <w:b/>
          <w:sz w:val="20"/>
          <w:szCs w:val="20"/>
        </w:rPr>
      </w:pPr>
    </w:p>
    <w:p w:rsidR="00C1270E" w:rsidP="00C1270E" w:rsidRDefault="00316F7E">
      <w:pPr>
        <w:spacing w:line="23" w:lineRule="atLeast"/>
        <w:rPr>
          <w:b/>
          <w:sz w:val="22"/>
          <w:szCs w:val="20"/>
        </w:rPr>
      </w:pPr>
      <w:r>
        <w:rPr>
          <w:b/>
          <w:sz w:val="22"/>
          <w:szCs w:val="20"/>
        </w:rPr>
        <w:t>Aanleiding</w:t>
      </w:r>
    </w:p>
    <w:p w:rsidRPr="00C1270E" w:rsidR="00B47995" w:rsidP="00C1270E" w:rsidRDefault="00B47995">
      <w:pPr>
        <w:spacing w:line="23" w:lineRule="atLeast"/>
        <w:rPr>
          <w:b/>
          <w:sz w:val="22"/>
          <w:szCs w:val="20"/>
        </w:rPr>
      </w:pPr>
    </w:p>
    <w:p w:rsidRPr="00316F7E" w:rsidR="00316F7E" w:rsidP="00316F7E" w:rsidRDefault="00C5400E">
      <w:pPr>
        <w:spacing w:line="23" w:lineRule="atLeast"/>
        <w:rPr>
          <w:sz w:val="20"/>
          <w:szCs w:val="17"/>
        </w:rPr>
      </w:pPr>
      <w:r>
        <w:rPr>
          <w:sz w:val="20"/>
          <w:szCs w:val="20"/>
        </w:rPr>
        <w:t>In</w:t>
      </w:r>
      <w:r w:rsidRPr="00C1270E" w:rsidR="00C1270E">
        <w:rPr>
          <w:sz w:val="20"/>
          <w:szCs w:val="20"/>
        </w:rPr>
        <w:t xml:space="preserve"> de </w:t>
      </w:r>
      <w:hyperlink w:history="1" r:id="rId11">
        <w:r w:rsidRPr="00C1270E" w:rsidR="00C1270E">
          <w:rPr>
            <w:rStyle w:val="Hyperlink"/>
            <w:sz w:val="20"/>
            <w:szCs w:val="20"/>
          </w:rPr>
          <w:t>procedurevergadering</w:t>
        </w:r>
      </w:hyperlink>
      <w:r w:rsidRPr="00C1270E" w:rsidR="00C1270E">
        <w:rPr>
          <w:sz w:val="20"/>
          <w:szCs w:val="20"/>
        </w:rPr>
        <w:t xml:space="preserve"> van de commissie Europese Zaken van 29 september jl. is de </w:t>
      </w:r>
      <w:hyperlink w:history="1" r:id="rId12">
        <w:r w:rsidRPr="00C1270E" w:rsidR="00C1270E">
          <w:rPr>
            <w:rStyle w:val="Hyperlink"/>
            <w:sz w:val="20"/>
            <w:szCs w:val="20"/>
          </w:rPr>
          <w:t>mandaatnotitie</w:t>
        </w:r>
      </w:hyperlink>
      <w:r w:rsidRPr="00C1270E" w:rsidR="00C1270E">
        <w:rPr>
          <w:sz w:val="20"/>
          <w:szCs w:val="20"/>
        </w:rPr>
        <w:t xml:space="preserve"> voor het rapporteurschap ‘Meerjarig Financieel Kader’ vastgesteld. Met de voorliggende notitie geven de co-rapporteurs invulling aan de eerstgenoemde activiteit van hun mandaat, namelijk het in beeld brengen van het  besluitvormingsproces rond de </w:t>
      </w:r>
      <w:proofErr w:type="spellStart"/>
      <w:r w:rsidRPr="00C1270E" w:rsidR="00C1270E">
        <w:rPr>
          <w:sz w:val="20"/>
          <w:szCs w:val="20"/>
        </w:rPr>
        <w:t>mid</w:t>
      </w:r>
      <w:proofErr w:type="spellEnd"/>
      <w:r w:rsidRPr="00C1270E" w:rsidR="00C1270E">
        <w:rPr>
          <w:sz w:val="20"/>
          <w:szCs w:val="20"/>
        </w:rPr>
        <w:t xml:space="preserve">-term review MFK 2014-2020 en (in zoverre reeds bekend) het traject richting het volgende MFK (2021-2027). Hiertoe wordt eerst een beknopt overzicht gegeven  van de onlangs gepubliceerde evaluatie en daaruit voortvloeiende voorstellen. Vervolgens </w:t>
      </w:r>
      <w:r>
        <w:rPr>
          <w:sz w:val="20"/>
          <w:szCs w:val="20"/>
        </w:rPr>
        <w:t>worden de vervolgstappen uiteen</w:t>
      </w:r>
      <w:r w:rsidRPr="00C1270E" w:rsidR="00C1270E">
        <w:rPr>
          <w:sz w:val="20"/>
          <w:szCs w:val="20"/>
        </w:rPr>
        <w:t xml:space="preserve">gezet. </w:t>
      </w:r>
      <w:r w:rsidR="00316F7E">
        <w:rPr>
          <w:sz w:val="20"/>
          <w:szCs w:val="20"/>
        </w:rPr>
        <w:t xml:space="preserve">U  kunt de informatie </w:t>
      </w:r>
      <w:r w:rsidRPr="00316F7E" w:rsidR="00316F7E">
        <w:rPr>
          <w:sz w:val="20"/>
          <w:szCs w:val="18"/>
        </w:rPr>
        <w:t>uit deze notitie desgewenst betrekk</w:t>
      </w:r>
      <w:r>
        <w:rPr>
          <w:sz w:val="20"/>
          <w:szCs w:val="18"/>
        </w:rPr>
        <w:t>en bij uw voorbereiding van de K</w:t>
      </w:r>
      <w:r w:rsidRPr="00316F7E" w:rsidR="00316F7E">
        <w:rPr>
          <w:sz w:val="20"/>
          <w:szCs w:val="18"/>
        </w:rPr>
        <w:t>amerbehandeling van het MFK</w:t>
      </w:r>
      <w:r>
        <w:rPr>
          <w:sz w:val="20"/>
          <w:szCs w:val="18"/>
        </w:rPr>
        <w:t xml:space="preserve">, waaronder de </w:t>
      </w:r>
      <w:proofErr w:type="spellStart"/>
      <w:r>
        <w:rPr>
          <w:sz w:val="20"/>
          <w:szCs w:val="18"/>
        </w:rPr>
        <w:t>algmeen</w:t>
      </w:r>
      <w:proofErr w:type="spellEnd"/>
      <w:r>
        <w:rPr>
          <w:sz w:val="20"/>
          <w:szCs w:val="18"/>
        </w:rPr>
        <w:t xml:space="preserve"> overleggen van de Raad Algemene Zaken op 10 november en </w:t>
      </w:r>
      <w:r w:rsidR="009D64FD">
        <w:rPr>
          <w:sz w:val="20"/>
          <w:szCs w:val="18"/>
        </w:rPr>
        <w:t>1</w:t>
      </w:r>
      <w:r>
        <w:rPr>
          <w:sz w:val="20"/>
          <w:szCs w:val="18"/>
        </w:rPr>
        <w:t xml:space="preserve"> december, en het nog in te plannen AO MFK begin 2017</w:t>
      </w:r>
      <w:r w:rsidR="00316F7E">
        <w:rPr>
          <w:sz w:val="20"/>
          <w:szCs w:val="18"/>
        </w:rPr>
        <w:t xml:space="preserve">. </w:t>
      </w:r>
      <w:r w:rsidRPr="00316F7E" w:rsidR="00316F7E">
        <w:rPr>
          <w:sz w:val="20"/>
          <w:szCs w:val="17"/>
        </w:rPr>
        <w:t xml:space="preserve"> </w:t>
      </w:r>
    </w:p>
    <w:p w:rsidR="00C5400E" w:rsidP="00C1270E" w:rsidRDefault="00C5400E">
      <w:pPr>
        <w:spacing w:line="23" w:lineRule="atLeast"/>
        <w:rPr>
          <w:b/>
          <w:sz w:val="22"/>
          <w:szCs w:val="20"/>
        </w:rPr>
      </w:pPr>
    </w:p>
    <w:p w:rsidR="00C5400E" w:rsidP="00C1270E" w:rsidRDefault="00C5400E">
      <w:pPr>
        <w:spacing w:line="23" w:lineRule="atLeast"/>
        <w:rPr>
          <w:b/>
          <w:sz w:val="22"/>
          <w:szCs w:val="20"/>
        </w:rPr>
      </w:pPr>
      <w:r>
        <w:rPr>
          <w:b/>
          <w:sz w:val="22"/>
          <w:szCs w:val="20"/>
        </w:rPr>
        <w:t>Achtergrond MFK</w:t>
      </w:r>
    </w:p>
    <w:p w:rsidR="00F24818" w:rsidP="00C1270E" w:rsidRDefault="00F24818">
      <w:pPr>
        <w:spacing w:line="23" w:lineRule="atLeast"/>
        <w:rPr>
          <w:b/>
          <w:sz w:val="22"/>
          <w:szCs w:val="20"/>
        </w:rPr>
      </w:pPr>
    </w:p>
    <w:p w:rsidRPr="00F24818" w:rsidR="00F24818" w:rsidP="00F24818" w:rsidRDefault="00F24818">
      <w:pPr>
        <w:pStyle w:val="Normaalweb"/>
        <w:spacing w:after="0"/>
        <w:rPr>
          <w:rFonts w:ascii="Verdana" w:hAnsi="Verdana" w:eastAsia="Calibri"/>
          <w:sz w:val="20"/>
          <w:szCs w:val="20"/>
          <w:lang w:eastAsia="en-US"/>
        </w:rPr>
      </w:pPr>
      <w:r w:rsidRPr="00F24818">
        <w:rPr>
          <w:rFonts w:ascii="Verdana" w:hAnsi="Verdana" w:eastAsia="Calibri"/>
          <w:sz w:val="20"/>
          <w:szCs w:val="20"/>
          <w:lang w:eastAsia="en-US"/>
        </w:rPr>
        <w:t xml:space="preserve">In het meerjarig financieel kader (MFK) worden de maxima vastgelegd voor de jaarlijkse algemene begrotingen van de Europese Unie. Het bepaalt hoeveel de EU jaarlijks, in totaal en voor verschillende activiteitengebieden, mag besteden voor het aangaan van juridisch bindende verplichtingen over een periode van ten minste 5 jaar. De recente </w:t>
      </w:r>
      <w:proofErr w:type="spellStart"/>
      <w:r w:rsidRPr="00F24818">
        <w:rPr>
          <w:rFonts w:ascii="Verdana" w:hAnsi="Verdana" w:eastAsia="Calibri"/>
          <w:sz w:val="20"/>
          <w:szCs w:val="20"/>
          <w:lang w:eastAsia="en-US"/>
        </w:rPr>
        <w:t>MFK's</w:t>
      </w:r>
      <w:proofErr w:type="spellEnd"/>
      <w:r w:rsidRPr="00F24818">
        <w:rPr>
          <w:rFonts w:ascii="Verdana" w:hAnsi="Verdana" w:eastAsia="Calibri"/>
          <w:sz w:val="20"/>
          <w:szCs w:val="20"/>
          <w:lang w:eastAsia="en-US"/>
        </w:rPr>
        <w:t xml:space="preserve"> gingen doorgaans over een periode van 7 jaar. Het MFK is een van de drie componenten van het EU-begrotingsstelsel. De andere twee zijn:</w:t>
      </w:r>
    </w:p>
    <w:p w:rsidRPr="00F24818" w:rsidR="00F24818" w:rsidP="00F24818" w:rsidRDefault="007F3475">
      <w:pPr>
        <w:numPr>
          <w:ilvl w:val="0"/>
          <w:numId w:val="35"/>
        </w:numPr>
        <w:tabs>
          <w:tab w:val="clear" w:pos="720"/>
          <w:tab w:val="num" w:pos="284"/>
        </w:tabs>
        <w:ind w:left="284" w:hanging="142"/>
        <w:rPr>
          <w:sz w:val="20"/>
          <w:szCs w:val="20"/>
        </w:rPr>
      </w:pPr>
      <w:hyperlink w:tooltip="de jaarlijkse EU-begroting, die de geplande uitgaven en inkomsten voor één jaar bevat " w:history="1" r:id="rId13">
        <w:r w:rsidRPr="00F24818" w:rsidR="00F24818">
          <w:rPr>
            <w:sz w:val="20"/>
            <w:szCs w:val="20"/>
          </w:rPr>
          <w:t xml:space="preserve">de jaarlijkse EU-begroting, die de geplande uitgaven en inkomsten voor één jaar bevat </w:t>
        </w:r>
      </w:hyperlink>
    </w:p>
    <w:p w:rsidRPr="00F24818" w:rsidR="00F24818" w:rsidP="00F24818" w:rsidRDefault="007F3475">
      <w:pPr>
        <w:numPr>
          <w:ilvl w:val="0"/>
          <w:numId w:val="35"/>
        </w:numPr>
        <w:tabs>
          <w:tab w:val="clear" w:pos="720"/>
          <w:tab w:val="num" w:pos="284"/>
        </w:tabs>
        <w:ind w:left="284" w:hanging="142"/>
        <w:rPr>
          <w:sz w:val="20"/>
          <w:szCs w:val="20"/>
        </w:rPr>
      </w:pPr>
      <w:hyperlink w:tooltip="de regels inzake eigen middelen, die de inkomsten van de EU bepalen" w:history="1" r:id="rId14">
        <w:r w:rsidRPr="00F24818" w:rsidR="00F24818">
          <w:rPr>
            <w:sz w:val="20"/>
            <w:szCs w:val="20"/>
          </w:rPr>
          <w:t>de regels inzake eigen middelen, die de inkomsten van de EU bepalen</w:t>
        </w:r>
      </w:hyperlink>
      <w:r w:rsidR="00F24818">
        <w:rPr>
          <w:sz w:val="20"/>
          <w:szCs w:val="20"/>
        </w:rPr>
        <w:t>.</w:t>
      </w:r>
      <w:r w:rsidR="00F24818">
        <w:rPr>
          <w:rStyle w:val="Voetnootmarkering"/>
          <w:sz w:val="20"/>
          <w:szCs w:val="20"/>
        </w:rPr>
        <w:footnoteReference w:id="1"/>
      </w:r>
      <w:r w:rsidR="00F24818">
        <w:rPr>
          <w:sz w:val="20"/>
          <w:szCs w:val="20"/>
        </w:rPr>
        <w:t xml:space="preserve"> </w:t>
      </w:r>
    </w:p>
    <w:p w:rsidR="00815542" w:rsidP="00C1270E" w:rsidRDefault="00815542">
      <w:pPr>
        <w:spacing w:line="23" w:lineRule="atLeast"/>
        <w:rPr>
          <w:b/>
          <w:sz w:val="22"/>
          <w:szCs w:val="20"/>
        </w:rPr>
      </w:pPr>
    </w:p>
    <w:p w:rsidR="00C1270E" w:rsidP="00C1270E" w:rsidRDefault="00C1270E">
      <w:pPr>
        <w:spacing w:line="23" w:lineRule="atLeast"/>
        <w:rPr>
          <w:b/>
          <w:sz w:val="22"/>
          <w:szCs w:val="20"/>
        </w:rPr>
      </w:pPr>
      <w:proofErr w:type="spellStart"/>
      <w:r w:rsidRPr="00C1270E">
        <w:rPr>
          <w:b/>
          <w:sz w:val="22"/>
          <w:szCs w:val="20"/>
        </w:rPr>
        <w:lastRenderedPageBreak/>
        <w:t>Mid</w:t>
      </w:r>
      <w:proofErr w:type="spellEnd"/>
      <w:r w:rsidRPr="00C1270E">
        <w:rPr>
          <w:b/>
          <w:sz w:val="22"/>
          <w:szCs w:val="20"/>
        </w:rPr>
        <w:t>-term review</w:t>
      </w:r>
    </w:p>
    <w:p w:rsidRPr="00C1270E" w:rsidR="00B47995" w:rsidP="00C1270E" w:rsidRDefault="00B47995">
      <w:pPr>
        <w:spacing w:line="23" w:lineRule="atLeast"/>
        <w:rPr>
          <w:b/>
          <w:sz w:val="22"/>
          <w:szCs w:val="20"/>
        </w:rPr>
      </w:pPr>
    </w:p>
    <w:p w:rsidRPr="00C1270E" w:rsidR="00C1270E" w:rsidP="00C1270E" w:rsidRDefault="00C1270E">
      <w:pPr>
        <w:spacing w:line="23" w:lineRule="atLeast"/>
        <w:rPr>
          <w:sz w:val="20"/>
          <w:szCs w:val="20"/>
        </w:rPr>
      </w:pPr>
      <w:r w:rsidRPr="00C1270E">
        <w:rPr>
          <w:sz w:val="20"/>
          <w:szCs w:val="20"/>
        </w:rPr>
        <w:t xml:space="preserve">Op 14 september jl. publiceerde de Europese Commissie de resultaten van de </w:t>
      </w:r>
      <w:hyperlink w:history="1" r:id="rId15">
        <w:r w:rsidRPr="00C1270E">
          <w:rPr>
            <w:rStyle w:val="Hyperlink"/>
            <w:sz w:val="20"/>
            <w:szCs w:val="20"/>
          </w:rPr>
          <w:t>tussentijdse evaluatie</w:t>
        </w:r>
      </w:hyperlink>
      <w:r w:rsidRPr="00C1270E">
        <w:rPr>
          <w:sz w:val="20"/>
          <w:szCs w:val="20"/>
        </w:rPr>
        <w:t xml:space="preserve"> van het MFK 2014-2020</w:t>
      </w:r>
      <w:r w:rsidR="00B90695">
        <w:rPr>
          <w:sz w:val="20"/>
          <w:szCs w:val="20"/>
        </w:rPr>
        <w:t>.</w:t>
      </w:r>
      <w:r w:rsidRPr="00C1270E">
        <w:rPr>
          <w:sz w:val="20"/>
          <w:szCs w:val="20"/>
        </w:rPr>
        <w:t xml:space="preserve"> De </w:t>
      </w:r>
      <w:r w:rsidRPr="00FA4D14">
        <w:rPr>
          <w:sz w:val="20"/>
          <w:szCs w:val="20"/>
        </w:rPr>
        <w:t>review</w:t>
      </w:r>
      <w:r w:rsidRPr="00C1270E">
        <w:rPr>
          <w:sz w:val="20"/>
          <w:szCs w:val="20"/>
        </w:rPr>
        <w:t xml:space="preserve"> schetst de stand van de uitvoering van het huidige MFK, de uitdagingen voor de resterende periode, en kondigt ook een aantal nieuwe voorstellen aan.</w:t>
      </w:r>
      <w:r w:rsidR="00791CCF">
        <w:rPr>
          <w:rStyle w:val="Voetnootmarkering"/>
          <w:sz w:val="20"/>
          <w:szCs w:val="20"/>
        </w:rPr>
        <w:footnoteReference w:id="2"/>
      </w:r>
      <w:r w:rsidRPr="00C1270E">
        <w:rPr>
          <w:sz w:val="20"/>
          <w:szCs w:val="20"/>
        </w:rPr>
        <w:t xml:space="preserve">  </w:t>
      </w:r>
    </w:p>
    <w:p w:rsidRPr="00C1270E" w:rsidR="00C1270E" w:rsidP="00C1270E" w:rsidRDefault="00C1270E">
      <w:pPr>
        <w:spacing w:line="23" w:lineRule="atLeast"/>
        <w:rPr>
          <w:sz w:val="20"/>
          <w:szCs w:val="20"/>
        </w:rPr>
      </w:pPr>
    </w:p>
    <w:p w:rsidRPr="00C1270E" w:rsidR="00C1270E" w:rsidP="00C1270E" w:rsidRDefault="00C1270E">
      <w:pPr>
        <w:spacing w:line="23" w:lineRule="atLeast"/>
        <w:rPr>
          <w:sz w:val="20"/>
          <w:szCs w:val="20"/>
        </w:rPr>
      </w:pPr>
      <w:r w:rsidRPr="00C1270E">
        <w:rPr>
          <w:sz w:val="20"/>
          <w:szCs w:val="20"/>
        </w:rPr>
        <w:t>Samengevat schrijft de Commissie dat het huidige MFK in 2013 is vastgesteld tegen de achtergrond van de financiële en economische crisis, waarbij de overheidsfinanciën in veel lidstaten onder druk stonden</w:t>
      </w:r>
      <w:r w:rsidR="00D72CC2">
        <w:rPr>
          <w:sz w:val="20"/>
          <w:szCs w:val="20"/>
        </w:rPr>
        <w:t>. Dientengevolge</w:t>
      </w:r>
      <w:r w:rsidR="007679BA">
        <w:rPr>
          <w:sz w:val="20"/>
          <w:szCs w:val="20"/>
        </w:rPr>
        <w:t xml:space="preserve"> was er ook een (bezuinigings-)</w:t>
      </w:r>
      <w:r w:rsidR="00D72CC2">
        <w:rPr>
          <w:sz w:val="20"/>
          <w:szCs w:val="20"/>
        </w:rPr>
        <w:t xml:space="preserve">doelstelling om het MFK-plafond omlaag te brengen. </w:t>
      </w:r>
      <w:r w:rsidRPr="00C1270E">
        <w:rPr>
          <w:sz w:val="20"/>
          <w:szCs w:val="20"/>
        </w:rPr>
        <w:t xml:space="preserve">De nadruk ligt in de begroting derhalve op EU-investeringen om economische groei en werkgelegenheid een impuls te geven. Hiertoe is onder andere het Europees Fonds voor Strategische Investeringen (EFSI) opgericht. De Commissie betoogt </w:t>
      </w:r>
      <w:r w:rsidR="00FA4D14">
        <w:rPr>
          <w:sz w:val="20"/>
          <w:szCs w:val="20"/>
        </w:rPr>
        <w:t xml:space="preserve">in de evaluatie </w:t>
      </w:r>
      <w:r w:rsidRPr="00C1270E">
        <w:rPr>
          <w:sz w:val="20"/>
          <w:szCs w:val="20"/>
        </w:rPr>
        <w:t xml:space="preserve">dat de resultaten </w:t>
      </w:r>
      <w:r w:rsidR="00D72CC2">
        <w:rPr>
          <w:sz w:val="20"/>
          <w:szCs w:val="20"/>
        </w:rPr>
        <w:t>van de projecten en programma’s die met EU-financiering zijn opgestart tot op heden goed zijn</w:t>
      </w:r>
      <w:r w:rsidRPr="00C1270E">
        <w:rPr>
          <w:sz w:val="20"/>
          <w:szCs w:val="20"/>
        </w:rPr>
        <w:t>, maar dat de voortvarende uitvoering van diverse fondsen en instrumenten een punt van aandacht is.</w:t>
      </w:r>
    </w:p>
    <w:p w:rsidRPr="00C1270E" w:rsidR="00C1270E" w:rsidP="00C1270E" w:rsidRDefault="00C1270E">
      <w:pPr>
        <w:spacing w:line="23" w:lineRule="atLeast"/>
        <w:rPr>
          <w:sz w:val="20"/>
          <w:szCs w:val="20"/>
        </w:rPr>
      </w:pPr>
    </w:p>
    <w:p w:rsidRPr="00C1270E" w:rsidR="00C1270E" w:rsidP="00C1270E" w:rsidRDefault="00D72CC2">
      <w:pPr>
        <w:spacing w:line="23" w:lineRule="atLeast"/>
        <w:rPr>
          <w:sz w:val="20"/>
          <w:szCs w:val="20"/>
        </w:rPr>
      </w:pPr>
      <w:r>
        <w:rPr>
          <w:sz w:val="20"/>
          <w:szCs w:val="20"/>
        </w:rPr>
        <w:t>Ook constateert de Commissie dat d</w:t>
      </w:r>
      <w:r w:rsidRPr="00C1270E" w:rsidR="00C1270E">
        <w:rPr>
          <w:sz w:val="20"/>
          <w:szCs w:val="20"/>
        </w:rPr>
        <w:t xml:space="preserve">e meerjarenbegroting 2014-2020 onvoldoende </w:t>
      </w:r>
      <w:r>
        <w:rPr>
          <w:sz w:val="20"/>
          <w:szCs w:val="20"/>
        </w:rPr>
        <w:t xml:space="preserve">is </w:t>
      </w:r>
      <w:r w:rsidRPr="00C1270E" w:rsidR="00C1270E">
        <w:rPr>
          <w:sz w:val="20"/>
          <w:szCs w:val="20"/>
        </w:rPr>
        <w:t>ingesteld</w:t>
      </w:r>
      <w:r>
        <w:rPr>
          <w:sz w:val="20"/>
          <w:szCs w:val="20"/>
        </w:rPr>
        <w:t xml:space="preserve"> op de financiering van gezamenlijk asiel- en migratiebeleid en de externe veiligheid van de Unie</w:t>
      </w:r>
      <w:r w:rsidRPr="00C1270E" w:rsidR="00C1270E">
        <w:rPr>
          <w:sz w:val="20"/>
          <w:szCs w:val="20"/>
        </w:rPr>
        <w:t xml:space="preserve">. Zij stelt daarom voor om, binnen het huidige MFK, extra financiële middelen hiervoor vrij te maken. Samen met extra investeringen in economische groei en werkgelegenheid gaat het in de periode 2017-2020 om ongeveer €13 miljard (zie ook </w:t>
      </w:r>
      <w:r w:rsidR="007B79C8">
        <w:rPr>
          <w:sz w:val="20"/>
          <w:szCs w:val="20"/>
        </w:rPr>
        <w:t xml:space="preserve">de </w:t>
      </w:r>
      <w:r w:rsidRPr="00C1270E" w:rsidR="00C1270E">
        <w:rPr>
          <w:sz w:val="20"/>
          <w:szCs w:val="20"/>
        </w:rPr>
        <w:t xml:space="preserve">bijlage). Daarnaast wil zij inzetten op meer flexibiliteit in het huidige MFK, om ook tot het einde van de looptijd te kunnen reageren op onvoorziene omstandigheden. </w:t>
      </w:r>
    </w:p>
    <w:p w:rsidRPr="00C1270E" w:rsidR="00C1270E" w:rsidP="00C1270E" w:rsidRDefault="00C1270E">
      <w:pPr>
        <w:spacing w:line="23" w:lineRule="atLeast"/>
        <w:rPr>
          <w:sz w:val="20"/>
          <w:szCs w:val="20"/>
        </w:rPr>
      </w:pPr>
    </w:p>
    <w:p w:rsidRPr="00C1270E" w:rsidR="00C1270E" w:rsidP="00C1270E" w:rsidRDefault="00C1270E">
      <w:pPr>
        <w:spacing w:line="23" w:lineRule="atLeast"/>
        <w:rPr>
          <w:sz w:val="20"/>
          <w:szCs w:val="20"/>
        </w:rPr>
      </w:pPr>
      <w:r w:rsidRPr="00C1270E">
        <w:rPr>
          <w:sz w:val="20"/>
          <w:szCs w:val="20"/>
        </w:rPr>
        <w:t xml:space="preserve">Op basis van de evaluatie doet de Europese Commissie de volgende voorstellen: </w:t>
      </w:r>
    </w:p>
    <w:p w:rsidR="00C1270E" w:rsidP="00C1270E" w:rsidRDefault="00C1270E">
      <w:pPr>
        <w:spacing w:line="23" w:lineRule="atLeast"/>
        <w:rPr>
          <w:sz w:val="20"/>
          <w:szCs w:val="20"/>
        </w:rPr>
      </w:pPr>
    </w:p>
    <w:p w:rsidRPr="00C1270E" w:rsidR="00791CCF" w:rsidP="00C1270E" w:rsidRDefault="00791CCF">
      <w:pPr>
        <w:spacing w:line="23" w:lineRule="atLeast"/>
        <w:rPr>
          <w:sz w:val="20"/>
          <w:szCs w:val="20"/>
        </w:rPr>
      </w:pPr>
    </w:p>
    <w:p w:rsidRPr="00C1270E" w:rsidR="00C1270E" w:rsidP="00C1270E" w:rsidRDefault="00C1270E">
      <w:pPr>
        <w:pStyle w:val="Lijstalinea"/>
        <w:numPr>
          <w:ilvl w:val="0"/>
          <w:numId w:val="29"/>
        </w:numPr>
        <w:spacing w:line="23" w:lineRule="atLeast"/>
        <w:rPr>
          <w:b/>
          <w:sz w:val="20"/>
          <w:szCs w:val="20"/>
        </w:rPr>
      </w:pPr>
      <w:r w:rsidRPr="00C1270E">
        <w:rPr>
          <w:b/>
          <w:sz w:val="20"/>
          <w:szCs w:val="20"/>
        </w:rPr>
        <w:lastRenderedPageBreak/>
        <w:t>Een verordening tot wijziging van het huidige MFK (COM(2016) 604)</w:t>
      </w:r>
    </w:p>
    <w:p w:rsidRPr="00C1270E" w:rsidR="00C1270E" w:rsidP="00C1270E" w:rsidRDefault="00C1270E">
      <w:pPr>
        <w:pStyle w:val="Default"/>
        <w:spacing w:line="23" w:lineRule="atLeast"/>
        <w:ind w:firstLine="360"/>
        <w:rPr>
          <w:sz w:val="20"/>
          <w:szCs w:val="20"/>
        </w:rPr>
      </w:pPr>
      <w:r w:rsidRPr="00C1270E">
        <w:rPr>
          <w:sz w:val="20"/>
          <w:szCs w:val="20"/>
        </w:rPr>
        <w:t>De Commissie stelt voor om</w:t>
      </w:r>
      <w:r w:rsidR="007679BA">
        <w:rPr>
          <w:sz w:val="20"/>
          <w:szCs w:val="20"/>
        </w:rPr>
        <w:t>:</w:t>
      </w:r>
    </w:p>
    <w:p w:rsidRPr="00C1270E" w:rsidR="00C1270E" w:rsidP="00C1270E" w:rsidRDefault="00C1270E">
      <w:pPr>
        <w:pStyle w:val="Default"/>
        <w:numPr>
          <w:ilvl w:val="0"/>
          <w:numId w:val="30"/>
        </w:numPr>
        <w:spacing w:line="23" w:lineRule="atLeast"/>
        <w:rPr>
          <w:sz w:val="20"/>
          <w:szCs w:val="20"/>
        </w:rPr>
      </w:pPr>
      <w:r w:rsidRPr="00C1270E">
        <w:rPr>
          <w:sz w:val="20"/>
          <w:szCs w:val="20"/>
        </w:rPr>
        <w:t>de huidige MFK-verordening te wijzigen om de jaarlijkse maximumbedragen voor de reserve voor noodhulp (artikel 9 MFK) te verhogen;</w:t>
      </w:r>
    </w:p>
    <w:p w:rsidRPr="00C1270E" w:rsidR="00C1270E" w:rsidP="00C1270E" w:rsidRDefault="00C1270E">
      <w:pPr>
        <w:pStyle w:val="Default"/>
        <w:numPr>
          <w:ilvl w:val="0"/>
          <w:numId w:val="30"/>
        </w:numPr>
        <w:spacing w:line="23" w:lineRule="atLeast"/>
        <w:rPr>
          <w:sz w:val="20"/>
          <w:szCs w:val="20"/>
        </w:rPr>
      </w:pPr>
      <w:r w:rsidRPr="00C1270E">
        <w:rPr>
          <w:sz w:val="20"/>
          <w:szCs w:val="20"/>
        </w:rPr>
        <w:t>het flexibiliteitsinstrument (artikel 11 MFK) te verhogen;</w:t>
      </w:r>
    </w:p>
    <w:p w:rsidRPr="00C1270E" w:rsidR="00C1270E" w:rsidP="00C1270E" w:rsidRDefault="00C1270E">
      <w:pPr>
        <w:pStyle w:val="Default"/>
        <w:numPr>
          <w:ilvl w:val="0"/>
          <w:numId w:val="30"/>
        </w:numPr>
        <w:spacing w:line="23" w:lineRule="atLeast"/>
        <w:rPr>
          <w:sz w:val="20"/>
          <w:szCs w:val="20"/>
        </w:rPr>
      </w:pPr>
      <w:r w:rsidRPr="00C1270E">
        <w:rPr>
          <w:sz w:val="20"/>
          <w:szCs w:val="20"/>
        </w:rPr>
        <w:t xml:space="preserve">een nieuw speciaal instrument in te voeren voor het opzetten van een </w:t>
      </w:r>
      <w:r w:rsidRPr="00C1270E">
        <w:rPr>
          <w:i/>
          <w:sz w:val="20"/>
          <w:szCs w:val="20"/>
        </w:rPr>
        <w:t>crisisreserve</w:t>
      </w:r>
      <w:r w:rsidRPr="00C1270E">
        <w:rPr>
          <w:sz w:val="20"/>
          <w:szCs w:val="20"/>
        </w:rPr>
        <w:t xml:space="preserve"> van de Europese Unie, gefinancierd met geannuleerde kredieten uit alle MFK-rubrieken (volgens actuele schattingen € 3 à 4 miljard per jaar). Dit moet de EU in staat stellen om snel te reageren op cris</w:t>
      </w:r>
      <w:r w:rsidR="00576EF3">
        <w:rPr>
          <w:sz w:val="20"/>
          <w:szCs w:val="20"/>
        </w:rPr>
        <w:t>es</w:t>
      </w:r>
      <w:r w:rsidRPr="00C1270E">
        <w:rPr>
          <w:sz w:val="20"/>
          <w:szCs w:val="20"/>
        </w:rPr>
        <w:t xml:space="preserve"> zoals de migratiecrisis, en op gebeurtenissen ‘met ernstige humanitaire of veiligheidsimplicaties’;</w:t>
      </w:r>
    </w:p>
    <w:p w:rsidRPr="00C1270E" w:rsidR="00C1270E" w:rsidP="00C1270E" w:rsidRDefault="00C1270E">
      <w:pPr>
        <w:pStyle w:val="Default"/>
        <w:numPr>
          <w:ilvl w:val="0"/>
          <w:numId w:val="30"/>
        </w:numPr>
        <w:spacing w:line="23" w:lineRule="atLeast"/>
        <w:rPr>
          <w:sz w:val="20"/>
          <w:szCs w:val="20"/>
        </w:rPr>
      </w:pPr>
      <w:r w:rsidRPr="00C1270E">
        <w:rPr>
          <w:sz w:val="20"/>
          <w:szCs w:val="20"/>
        </w:rPr>
        <w:t xml:space="preserve">de beperkingen in tijd en draagwijdte van de overkoepelende marge voor vastleggingen op te heffen (artikel 14 MFK); </w:t>
      </w:r>
    </w:p>
    <w:p w:rsidRPr="00C1270E" w:rsidR="00C1270E" w:rsidP="00C1270E" w:rsidRDefault="00C1270E">
      <w:pPr>
        <w:pStyle w:val="Default"/>
        <w:numPr>
          <w:ilvl w:val="0"/>
          <w:numId w:val="30"/>
        </w:numPr>
        <w:spacing w:line="23" w:lineRule="atLeast"/>
        <w:rPr>
          <w:sz w:val="20"/>
          <w:szCs w:val="20"/>
        </w:rPr>
      </w:pPr>
      <w:r w:rsidRPr="00C1270E">
        <w:rPr>
          <w:sz w:val="20"/>
          <w:szCs w:val="20"/>
        </w:rPr>
        <w:t>de jaarlijkse maxima betreffende de overkoepelende marge voor betalingen voor de periode 2018-2020 (artikel 5.2 MFK) op te heffen, zodat in de laatste jaren van het MFK de grote onbenutte marges voor betalingen in 2016 en 2017 volledig kunnen worden aangesproken mocht dit nodig zijn. Hiermee beoogt de Commissie te zorgen voor ‘specifieke en maximale flexibiliteit’.</w:t>
      </w:r>
    </w:p>
    <w:p w:rsidR="00C1270E" w:rsidP="00C1270E" w:rsidRDefault="00C1270E">
      <w:pPr>
        <w:pStyle w:val="Default"/>
        <w:spacing w:line="23" w:lineRule="atLeast"/>
        <w:ind w:left="1080"/>
        <w:rPr>
          <w:sz w:val="20"/>
          <w:szCs w:val="20"/>
        </w:rPr>
      </w:pPr>
    </w:p>
    <w:p w:rsidRPr="00C1270E" w:rsidR="00C1270E" w:rsidP="00C1270E" w:rsidRDefault="00C1270E">
      <w:pPr>
        <w:pStyle w:val="Lijstalinea"/>
        <w:numPr>
          <w:ilvl w:val="0"/>
          <w:numId w:val="29"/>
        </w:numPr>
        <w:spacing w:line="23" w:lineRule="atLeast"/>
        <w:rPr>
          <w:b/>
          <w:sz w:val="20"/>
          <w:szCs w:val="20"/>
        </w:rPr>
      </w:pPr>
      <w:r w:rsidRPr="00C1270E">
        <w:rPr>
          <w:b/>
          <w:sz w:val="20"/>
          <w:szCs w:val="20"/>
        </w:rPr>
        <w:t>Een verordening voor het financieel reglement van de EU (COM(2016) 605)</w:t>
      </w:r>
    </w:p>
    <w:p w:rsidRPr="00C1270E" w:rsidR="007F22CB" w:rsidP="00FA3B13" w:rsidRDefault="00C1270E">
      <w:pPr>
        <w:spacing w:line="23" w:lineRule="atLeast"/>
        <w:ind w:left="360"/>
        <w:rPr>
          <w:sz w:val="20"/>
          <w:szCs w:val="20"/>
        </w:rPr>
      </w:pPr>
      <w:r w:rsidRPr="00C1270E">
        <w:rPr>
          <w:sz w:val="20"/>
          <w:szCs w:val="20"/>
        </w:rPr>
        <w:t xml:space="preserve">Om de uitvoering van EU-fondsen in de praktijk eenvoudiger te maken, stelt de Commissie voor om de financiële regels (inclusief de sectorale regels) van de EU te herzien. </w:t>
      </w:r>
      <w:r w:rsidRPr="009F2779" w:rsidR="007F22CB">
        <w:rPr>
          <w:sz w:val="20"/>
          <w:szCs w:val="20"/>
        </w:rPr>
        <w:t xml:space="preserve">De </w:t>
      </w:r>
      <w:r w:rsidR="00007613">
        <w:rPr>
          <w:sz w:val="20"/>
          <w:szCs w:val="20"/>
        </w:rPr>
        <w:t>implementatiedatum</w:t>
      </w:r>
      <w:r w:rsidRPr="009F2779" w:rsidR="007F22CB">
        <w:rPr>
          <w:sz w:val="20"/>
          <w:szCs w:val="20"/>
        </w:rPr>
        <w:t xml:space="preserve"> </w:t>
      </w:r>
      <w:r w:rsidR="007F22CB">
        <w:rPr>
          <w:sz w:val="20"/>
          <w:szCs w:val="20"/>
        </w:rPr>
        <w:t xml:space="preserve">van deze verordening </w:t>
      </w:r>
      <w:r w:rsidRPr="009F2779" w:rsidR="007F22CB">
        <w:rPr>
          <w:sz w:val="20"/>
          <w:szCs w:val="20"/>
        </w:rPr>
        <w:t>is 1 januari 2018.</w:t>
      </w:r>
      <w:r w:rsidR="007F22CB">
        <w:rPr>
          <w:rFonts w:asciiTheme="minorHAnsi" w:hAnsiTheme="minorHAnsi"/>
        </w:rPr>
        <w:t xml:space="preserve"> </w:t>
      </w:r>
      <w:r w:rsidRPr="00C1270E" w:rsidR="007F22CB">
        <w:rPr>
          <w:sz w:val="20"/>
          <w:szCs w:val="20"/>
        </w:rPr>
        <w:t xml:space="preserve"> </w:t>
      </w:r>
    </w:p>
    <w:p w:rsidR="007F22CB" w:rsidP="007F22CB" w:rsidRDefault="007F22CB">
      <w:pPr>
        <w:spacing w:line="23" w:lineRule="atLeast"/>
        <w:rPr>
          <w:sz w:val="20"/>
          <w:szCs w:val="20"/>
        </w:rPr>
      </w:pPr>
    </w:p>
    <w:p w:rsidR="007F22CB" w:rsidP="00FA3B13" w:rsidRDefault="00C1270E">
      <w:pPr>
        <w:spacing w:line="23" w:lineRule="atLeast"/>
        <w:ind w:left="360"/>
        <w:rPr>
          <w:sz w:val="20"/>
          <w:szCs w:val="20"/>
        </w:rPr>
      </w:pPr>
      <w:r w:rsidRPr="00C1270E">
        <w:rPr>
          <w:sz w:val="20"/>
          <w:szCs w:val="20"/>
        </w:rPr>
        <w:t xml:space="preserve">De herziening </w:t>
      </w:r>
      <w:r w:rsidR="00FA4D14">
        <w:rPr>
          <w:sz w:val="20"/>
          <w:szCs w:val="20"/>
        </w:rPr>
        <w:t xml:space="preserve">van het Financieel Reglement (FR) </w:t>
      </w:r>
      <w:r w:rsidRPr="007F22CB">
        <w:rPr>
          <w:sz w:val="20"/>
          <w:szCs w:val="20"/>
        </w:rPr>
        <w:t xml:space="preserve">beoogt o.a. vereenvoudigde voorschriften voor de eindontvangers, flexibeler begrotingsbeheer, een efficiënter controlesysteem en minder administratieve lasten. </w:t>
      </w:r>
      <w:r w:rsidRPr="007F22CB" w:rsidR="00576EF3">
        <w:rPr>
          <w:sz w:val="20"/>
          <w:szCs w:val="20"/>
        </w:rPr>
        <w:t>O</w:t>
      </w:r>
      <w:r w:rsidRPr="007F22CB" w:rsidR="007F22CB">
        <w:rPr>
          <w:sz w:val="20"/>
          <w:szCs w:val="20"/>
        </w:rPr>
        <w:t>ok bevat ze een aantal</w:t>
      </w:r>
      <w:r w:rsidRPr="007F22CB" w:rsidR="00576EF3">
        <w:rPr>
          <w:sz w:val="20"/>
          <w:szCs w:val="20"/>
        </w:rPr>
        <w:t xml:space="preserve"> sectorale wijzigingen</w:t>
      </w:r>
      <w:r w:rsidRPr="007F22CB" w:rsidR="007F22CB">
        <w:rPr>
          <w:sz w:val="20"/>
          <w:szCs w:val="20"/>
        </w:rPr>
        <w:t xml:space="preserve"> in andere EU-verordeningen op diverse terreinen (in deel II, ‘amendementen op sectorspecifieke wetgeving’).</w:t>
      </w:r>
      <w:r w:rsidR="00AD25D1">
        <w:rPr>
          <w:rStyle w:val="Voetnootmarkering"/>
          <w:sz w:val="20"/>
          <w:szCs w:val="20"/>
        </w:rPr>
        <w:footnoteReference w:id="3"/>
      </w:r>
      <w:r w:rsidRPr="007F22CB" w:rsidR="007F22CB">
        <w:rPr>
          <w:sz w:val="20"/>
          <w:szCs w:val="20"/>
        </w:rPr>
        <w:t xml:space="preserve"> Deze kunnen </w:t>
      </w:r>
      <w:r w:rsidR="007F22CB">
        <w:rPr>
          <w:sz w:val="20"/>
          <w:szCs w:val="20"/>
        </w:rPr>
        <w:t>bijvoorbeeld</w:t>
      </w:r>
      <w:r w:rsidRPr="007F22CB" w:rsidR="007F22CB">
        <w:rPr>
          <w:sz w:val="20"/>
          <w:szCs w:val="20"/>
        </w:rPr>
        <w:t xml:space="preserve"> betrekking hebben op </w:t>
      </w:r>
      <w:r w:rsidRPr="007F22CB" w:rsidR="0089330F">
        <w:rPr>
          <w:sz w:val="20"/>
          <w:szCs w:val="20"/>
        </w:rPr>
        <w:t>de subsidievoorwaarden</w:t>
      </w:r>
      <w:r w:rsidR="00FA3B13">
        <w:rPr>
          <w:sz w:val="20"/>
          <w:szCs w:val="20"/>
        </w:rPr>
        <w:t xml:space="preserve"> en de verdeling van bevoegdheden tussen de Europese Commissie en lidstaten</w:t>
      </w:r>
      <w:r w:rsidRPr="007F22CB" w:rsidR="00576EF3">
        <w:rPr>
          <w:sz w:val="20"/>
          <w:szCs w:val="20"/>
        </w:rPr>
        <w:t>.</w:t>
      </w:r>
      <w:r w:rsidR="00F66129">
        <w:rPr>
          <w:sz w:val="20"/>
          <w:szCs w:val="20"/>
        </w:rPr>
        <w:t xml:space="preserve"> De impact en reikwijdte van </w:t>
      </w:r>
      <w:r w:rsidR="00F66129">
        <w:rPr>
          <w:sz w:val="20"/>
          <w:szCs w:val="20"/>
        </w:rPr>
        <w:lastRenderedPageBreak/>
        <w:t>de voorstellen</w:t>
      </w:r>
      <w:r w:rsidR="00FA3B13">
        <w:rPr>
          <w:sz w:val="20"/>
          <w:szCs w:val="20"/>
        </w:rPr>
        <w:t xml:space="preserve"> verdienen</w:t>
      </w:r>
      <w:r w:rsidR="00F66129">
        <w:rPr>
          <w:sz w:val="20"/>
          <w:szCs w:val="20"/>
        </w:rPr>
        <w:t xml:space="preserve"> </w:t>
      </w:r>
      <w:r w:rsidR="00FA3B13">
        <w:rPr>
          <w:sz w:val="20"/>
          <w:szCs w:val="20"/>
        </w:rPr>
        <w:t xml:space="preserve">in de komende (onderhandelings-)periode </w:t>
      </w:r>
      <w:r w:rsidR="00F66129">
        <w:rPr>
          <w:sz w:val="20"/>
          <w:szCs w:val="20"/>
        </w:rPr>
        <w:t>nog nadere toelichting.</w:t>
      </w:r>
    </w:p>
    <w:p w:rsidR="007F22CB" w:rsidP="007F22CB" w:rsidRDefault="007F22CB">
      <w:pPr>
        <w:spacing w:line="23" w:lineRule="atLeast"/>
        <w:rPr>
          <w:sz w:val="20"/>
          <w:szCs w:val="20"/>
        </w:rPr>
      </w:pPr>
    </w:p>
    <w:p w:rsidR="00576EF3" w:rsidP="00C1270E" w:rsidRDefault="00C1270E">
      <w:pPr>
        <w:spacing w:line="23" w:lineRule="atLeast"/>
        <w:ind w:left="360"/>
        <w:rPr>
          <w:sz w:val="20"/>
          <w:szCs w:val="20"/>
        </w:rPr>
      </w:pPr>
      <w:r w:rsidRPr="00C1270E">
        <w:rPr>
          <w:sz w:val="20"/>
          <w:szCs w:val="20"/>
        </w:rPr>
        <w:t xml:space="preserve">Zie </w:t>
      </w:r>
      <w:r w:rsidR="007F22CB">
        <w:rPr>
          <w:sz w:val="20"/>
          <w:szCs w:val="20"/>
        </w:rPr>
        <w:t xml:space="preserve">verder </w:t>
      </w:r>
      <w:r w:rsidRPr="00C1270E">
        <w:rPr>
          <w:sz w:val="20"/>
          <w:szCs w:val="20"/>
        </w:rPr>
        <w:t xml:space="preserve">ook de </w:t>
      </w:r>
      <w:hyperlink w:history="1" r:id="rId16">
        <w:r w:rsidRPr="00C1270E">
          <w:rPr>
            <w:rStyle w:val="Hyperlink"/>
            <w:sz w:val="20"/>
            <w:szCs w:val="20"/>
          </w:rPr>
          <w:t>kabinetsreactie op de consultatie</w:t>
        </w:r>
      </w:hyperlink>
      <w:r w:rsidRPr="00C1270E">
        <w:rPr>
          <w:sz w:val="20"/>
          <w:szCs w:val="20"/>
        </w:rPr>
        <w:t xml:space="preserve"> over het </w:t>
      </w:r>
      <w:r w:rsidR="00FA4D14">
        <w:rPr>
          <w:sz w:val="20"/>
          <w:szCs w:val="20"/>
        </w:rPr>
        <w:t>FR</w:t>
      </w:r>
      <w:r w:rsidRPr="00C1270E">
        <w:rPr>
          <w:sz w:val="20"/>
          <w:szCs w:val="20"/>
        </w:rPr>
        <w:t>, die minister Dijsselbloem op 27 juni 2016 naar de Kamer stuurde</w:t>
      </w:r>
      <w:r w:rsidRPr="009F2779">
        <w:rPr>
          <w:sz w:val="20"/>
          <w:szCs w:val="20"/>
        </w:rPr>
        <w:t>.</w:t>
      </w:r>
      <w:r w:rsidR="008D4E1F">
        <w:rPr>
          <w:rStyle w:val="Voetnootmarkering"/>
          <w:sz w:val="20"/>
          <w:szCs w:val="20"/>
        </w:rPr>
        <w:footnoteReference w:id="4"/>
      </w:r>
      <w:r w:rsidRPr="009F2779" w:rsidR="009F2779">
        <w:rPr>
          <w:sz w:val="20"/>
          <w:szCs w:val="20"/>
        </w:rPr>
        <w:t xml:space="preserve"> </w:t>
      </w:r>
      <w:r w:rsidR="007F22CB">
        <w:rPr>
          <w:sz w:val="20"/>
          <w:szCs w:val="20"/>
        </w:rPr>
        <w:t xml:space="preserve">De reactie geeft een eerste inzicht in de positie van het kabinet ten aanzien van dit EU-wetsvoorstel. </w:t>
      </w:r>
    </w:p>
    <w:p w:rsidR="00576EF3" w:rsidP="00C1270E" w:rsidRDefault="00576EF3">
      <w:pPr>
        <w:spacing w:line="23" w:lineRule="atLeast"/>
        <w:ind w:left="360"/>
        <w:rPr>
          <w:sz w:val="20"/>
          <w:szCs w:val="20"/>
        </w:rPr>
      </w:pPr>
    </w:p>
    <w:p w:rsidRPr="00C1270E" w:rsidR="00C1270E" w:rsidP="00C1270E" w:rsidRDefault="000E7CD3">
      <w:pPr>
        <w:pStyle w:val="Lijstalinea"/>
        <w:numPr>
          <w:ilvl w:val="0"/>
          <w:numId w:val="29"/>
        </w:numPr>
        <w:spacing w:line="23" w:lineRule="atLeast"/>
        <w:rPr>
          <w:b/>
          <w:sz w:val="20"/>
          <w:szCs w:val="20"/>
        </w:rPr>
      </w:pPr>
      <w:r>
        <w:rPr>
          <w:b/>
          <w:sz w:val="20"/>
          <w:szCs w:val="20"/>
        </w:rPr>
        <w:t xml:space="preserve">Een wijziging van het </w:t>
      </w:r>
      <w:proofErr w:type="spellStart"/>
      <w:r>
        <w:rPr>
          <w:b/>
          <w:sz w:val="20"/>
          <w:szCs w:val="20"/>
        </w:rPr>
        <w:t>i</w:t>
      </w:r>
      <w:r w:rsidRPr="00C1270E" w:rsidR="00C1270E">
        <w:rPr>
          <w:b/>
          <w:sz w:val="20"/>
          <w:szCs w:val="20"/>
        </w:rPr>
        <w:t>nter</w:t>
      </w:r>
      <w:proofErr w:type="spellEnd"/>
      <w:r w:rsidRPr="00C1270E" w:rsidR="00C1270E">
        <w:rPr>
          <w:b/>
          <w:sz w:val="20"/>
          <w:szCs w:val="20"/>
        </w:rPr>
        <w:t>-institutioneel akkoord voor begrotingsdiscipline (COM(2016) 606)</w:t>
      </w:r>
    </w:p>
    <w:p w:rsidRPr="00C1270E" w:rsidR="00C1270E" w:rsidP="00C1270E" w:rsidRDefault="00C1270E">
      <w:pPr>
        <w:spacing w:line="23" w:lineRule="atLeast"/>
        <w:ind w:left="360"/>
        <w:rPr>
          <w:sz w:val="20"/>
          <w:szCs w:val="20"/>
        </w:rPr>
      </w:pPr>
      <w:r w:rsidRPr="00C1270E">
        <w:rPr>
          <w:sz w:val="20"/>
          <w:szCs w:val="20"/>
        </w:rPr>
        <w:t xml:space="preserve">In samenhang met het voorstel tot wijziging van het huidige MFK stelt de Commissie voor om voor het ‘Inter-institutioneel Akkoord betreffende de samenwerking in begrotingszaken en een goed financieel beheer’ te wijzigen, teneinde de procedure voor het aanspreken van de nieuwe crisisreserve vast te stellen. </w:t>
      </w:r>
    </w:p>
    <w:p w:rsidRPr="00C1270E" w:rsidR="00C1270E" w:rsidP="00C1270E" w:rsidRDefault="00C1270E">
      <w:pPr>
        <w:pStyle w:val="Lijstalinea"/>
        <w:spacing w:line="23" w:lineRule="atLeast"/>
        <w:rPr>
          <w:b/>
          <w:sz w:val="20"/>
          <w:szCs w:val="20"/>
        </w:rPr>
      </w:pPr>
    </w:p>
    <w:p w:rsidRPr="00C1270E" w:rsidR="00C1270E" w:rsidP="00C1270E" w:rsidRDefault="00C1270E">
      <w:pPr>
        <w:pStyle w:val="Lijstalinea"/>
        <w:numPr>
          <w:ilvl w:val="0"/>
          <w:numId w:val="29"/>
        </w:numPr>
        <w:spacing w:line="23" w:lineRule="atLeast"/>
        <w:rPr>
          <w:b/>
          <w:sz w:val="20"/>
          <w:szCs w:val="20"/>
        </w:rPr>
      </w:pPr>
      <w:r w:rsidRPr="00C1270E">
        <w:rPr>
          <w:b/>
          <w:sz w:val="20"/>
          <w:szCs w:val="20"/>
        </w:rPr>
        <w:t>Een besluit inzake de mobilisatie van de ‘</w:t>
      </w:r>
      <w:proofErr w:type="spellStart"/>
      <w:r w:rsidRPr="00C1270E">
        <w:rPr>
          <w:b/>
          <w:sz w:val="20"/>
          <w:szCs w:val="20"/>
        </w:rPr>
        <w:t>contingency</w:t>
      </w:r>
      <w:proofErr w:type="spellEnd"/>
      <w:r w:rsidRPr="00C1270E">
        <w:rPr>
          <w:b/>
          <w:sz w:val="20"/>
          <w:szCs w:val="20"/>
        </w:rPr>
        <w:t xml:space="preserve"> </w:t>
      </w:r>
      <w:proofErr w:type="spellStart"/>
      <w:r w:rsidRPr="00C1270E">
        <w:rPr>
          <w:b/>
          <w:sz w:val="20"/>
          <w:szCs w:val="20"/>
        </w:rPr>
        <w:t>margin</w:t>
      </w:r>
      <w:proofErr w:type="spellEnd"/>
      <w:r w:rsidRPr="00C1270E">
        <w:rPr>
          <w:b/>
          <w:sz w:val="20"/>
          <w:szCs w:val="20"/>
        </w:rPr>
        <w:t>’ (marge voor onvoorziene uitgaven) (COM(2016) 607</w:t>
      </w:r>
      <w:r w:rsidR="00AE4277">
        <w:rPr>
          <w:b/>
          <w:sz w:val="20"/>
          <w:szCs w:val="20"/>
        </w:rPr>
        <w:t>)</w:t>
      </w:r>
    </w:p>
    <w:p w:rsidRPr="00C1270E" w:rsidR="00C1270E" w:rsidP="00C1270E" w:rsidRDefault="00C1270E">
      <w:pPr>
        <w:spacing w:line="23" w:lineRule="atLeast"/>
        <w:ind w:left="360"/>
        <w:rPr>
          <w:sz w:val="20"/>
          <w:szCs w:val="20"/>
        </w:rPr>
      </w:pPr>
      <w:r w:rsidRPr="00C1270E">
        <w:rPr>
          <w:sz w:val="20"/>
          <w:szCs w:val="20"/>
        </w:rPr>
        <w:t>Het betreft een wijziging van het eerdere besluit (EU) 2015/435, door het bedrag dat in 2014 beschikbaar is gesteld te verrekenen met de beschikbare marges onder het betalingsplafond in 2017. Aanvankelijk was dit voorzien voor de periode 2018-2020. Zoals het zich nu echter laat aanzien zal de druk op de betalingsmaxima in die jaren hoog zijn vergeleken met de relatief ruime marge die beschikbaar is voor 2017, zoals vastgelegd in de ontwerpbegroting voor 2017.</w:t>
      </w:r>
    </w:p>
    <w:p w:rsidRPr="00C1270E" w:rsidR="00C1270E" w:rsidP="00C1270E" w:rsidRDefault="00C1270E">
      <w:pPr>
        <w:spacing w:line="23" w:lineRule="atLeast"/>
        <w:rPr>
          <w:b/>
          <w:sz w:val="20"/>
          <w:szCs w:val="20"/>
        </w:rPr>
      </w:pPr>
    </w:p>
    <w:p w:rsidRPr="00C1270E" w:rsidR="00C1270E" w:rsidP="00C1270E" w:rsidRDefault="00C1270E">
      <w:pPr>
        <w:pStyle w:val="Lijstalinea"/>
        <w:numPr>
          <w:ilvl w:val="0"/>
          <w:numId w:val="29"/>
        </w:numPr>
        <w:spacing w:line="23" w:lineRule="atLeast"/>
        <w:rPr>
          <w:b/>
          <w:sz w:val="20"/>
          <w:szCs w:val="20"/>
        </w:rPr>
      </w:pPr>
      <w:r w:rsidRPr="00C1270E">
        <w:rPr>
          <w:b/>
          <w:sz w:val="20"/>
          <w:szCs w:val="20"/>
        </w:rPr>
        <w:t>Sectorale voorstellen</w:t>
      </w:r>
    </w:p>
    <w:p w:rsidRPr="00C1270E" w:rsidR="00C1270E" w:rsidP="00C1270E" w:rsidRDefault="00C1270E">
      <w:pPr>
        <w:spacing w:line="23" w:lineRule="atLeast"/>
        <w:ind w:left="360"/>
        <w:rPr>
          <w:sz w:val="20"/>
          <w:szCs w:val="20"/>
        </w:rPr>
      </w:pPr>
      <w:r w:rsidRPr="00C1270E">
        <w:rPr>
          <w:sz w:val="20"/>
          <w:szCs w:val="20"/>
        </w:rPr>
        <w:t xml:space="preserve">Hieronder vallen drie onderwerpen: </w:t>
      </w:r>
    </w:p>
    <w:p w:rsidRPr="00C1270E" w:rsidR="00C1270E" w:rsidP="00C1270E" w:rsidRDefault="00C1270E">
      <w:pPr>
        <w:pStyle w:val="Lijstalinea"/>
        <w:numPr>
          <w:ilvl w:val="0"/>
          <w:numId w:val="31"/>
        </w:numPr>
        <w:spacing w:line="23" w:lineRule="atLeast"/>
        <w:ind w:left="993" w:hanging="567"/>
        <w:rPr>
          <w:sz w:val="20"/>
          <w:szCs w:val="20"/>
        </w:rPr>
      </w:pPr>
      <w:r w:rsidRPr="00C1270E">
        <w:rPr>
          <w:sz w:val="20"/>
          <w:szCs w:val="20"/>
        </w:rPr>
        <w:t>Een voorstel om de looptijd van het EFSI te verlengen tot en met 2020: COM(2016) 59</w:t>
      </w:r>
      <w:r w:rsidR="00BF57A8">
        <w:rPr>
          <w:sz w:val="20"/>
          <w:szCs w:val="20"/>
        </w:rPr>
        <w:t>7. Dit wordt behandeld door de c</w:t>
      </w:r>
      <w:r w:rsidRPr="00C1270E">
        <w:rPr>
          <w:sz w:val="20"/>
          <w:szCs w:val="20"/>
        </w:rPr>
        <w:t xml:space="preserve">ommissie Financiën. </w:t>
      </w:r>
    </w:p>
    <w:p w:rsidRPr="00C1270E" w:rsidR="00C1270E" w:rsidP="00C1270E" w:rsidRDefault="00C1270E">
      <w:pPr>
        <w:pStyle w:val="Lijstalinea"/>
        <w:numPr>
          <w:ilvl w:val="0"/>
          <w:numId w:val="31"/>
        </w:numPr>
        <w:spacing w:line="23" w:lineRule="atLeast"/>
        <w:ind w:left="993" w:hanging="708"/>
        <w:rPr>
          <w:sz w:val="20"/>
          <w:szCs w:val="20"/>
        </w:rPr>
      </w:pPr>
      <w:r w:rsidRPr="00C1270E">
        <w:rPr>
          <w:sz w:val="20"/>
          <w:szCs w:val="20"/>
        </w:rPr>
        <w:t>Voorstellen in het kader van het externe investeringsplan: COM(2016) 582, COM(2016) 583 en COM(2016) 586.</w:t>
      </w:r>
      <w:r w:rsidR="00BF57A8">
        <w:rPr>
          <w:sz w:val="20"/>
          <w:szCs w:val="20"/>
        </w:rPr>
        <w:t xml:space="preserve"> Deze worden behandeld door de c</w:t>
      </w:r>
      <w:r w:rsidRPr="00C1270E">
        <w:rPr>
          <w:sz w:val="20"/>
          <w:szCs w:val="20"/>
        </w:rPr>
        <w:t xml:space="preserve">ommissie </w:t>
      </w:r>
      <w:proofErr w:type="spellStart"/>
      <w:r w:rsidRPr="00C1270E">
        <w:rPr>
          <w:sz w:val="20"/>
          <w:szCs w:val="20"/>
        </w:rPr>
        <w:t>BuHa</w:t>
      </w:r>
      <w:proofErr w:type="spellEnd"/>
      <w:r w:rsidRPr="00C1270E">
        <w:rPr>
          <w:sz w:val="20"/>
          <w:szCs w:val="20"/>
        </w:rPr>
        <w:t xml:space="preserve"> &amp; OS.  </w:t>
      </w:r>
    </w:p>
    <w:p w:rsidRPr="00C1270E" w:rsidR="00C1270E" w:rsidP="00C1270E" w:rsidRDefault="00C1270E">
      <w:pPr>
        <w:pStyle w:val="Lijstalinea"/>
        <w:numPr>
          <w:ilvl w:val="0"/>
          <w:numId w:val="31"/>
        </w:numPr>
        <w:spacing w:line="23" w:lineRule="atLeast"/>
        <w:ind w:left="993" w:hanging="708"/>
        <w:rPr>
          <w:sz w:val="20"/>
          <w:szCs w:val="20"/>
        </w:rPr>
      </w:pPr>
      <w:r w:rsidRPr="00C1270E">
        <w:rPr>
          <w:sz w:val="20"/>
          <w:szCs w:val="20"/>
        </w:rPr>
        <w:t xml:space="preserve">Een voorstel voor een verordening inzake de bevordering van internetconnectiviteit in lokale gemeenschappen (telecompakket): COM(2016) 589. </w:t>
      </w:r>
      <w:r w:rsidR="00BF57A8">
        <w:rPr>
          <w:sz w:val="20"/>
          <w:szCs w:val="20"/>
        </w:rPr>
        <w:t>Dit wordt behandeld door de commissie EZ.</w:t>
      </w:r>
    </w:p>
    <w:p w:rsidRPr="00C1270E" w:rsidR="00C1270E" w:rsidP="00C1270E" w:rsidRDefault="00C1270E">
      <w:pPr>
        <w:spacing w:line="23" w:lineRule="atLeast"/>
        <w:rPr>
          <w:b/>
          <w:sz w:val="20"/>
          <w:szCs w:val="20"/>
        </w:rPr>
      </w:pPr>
    </w:p>
    <w:p w:rsidRPr="00C1270E" w:rsidR="00C1270E" w:rsidP="00C1270E" w:rsidRDefault="00C1270E">
      <w:pPr>
        <w:spacing w:line="23" w:lineRule="atLeast"/>
        <w:rPr>
          <w:sz w:val="20"/>
          <w:szCs w:val="20"/>
        </w:rPr>
      </w:pPr>
      <w:r w:rsidRPr="00C1270E">
        <w:rPr>
          <w:sz w:val="20"/>
          <w:szCs w:val="20"/>
        </w:rPr>
        <w:t xml:space="preserve">Volgens de Europese Commissie blijkt uit actuele ramingen dat, indien alle voorstellen worden geïmplementeerd, het huidige totale betalingsplafond </w:t>
      </w:r>
      <w:r w:rsidRPr="003A624D">
        <w:rPr>
          <w:i/>
          <w:sz w:val="20"/>
          <w:szCs w:val="20"/>
        </w:rPr>
        <w:t>precies zou volstaan</w:t>
      </w:r>
      <w:r w:rsidRPr="00C1270E">
        <w:rPr>
          <w:sz w:val="20"/>
          <w:szCs w:val="20"/>
        </w:rPr>
        <w:t xml:space="preserve"> om aan de verplichtingen te voldoen. </w:t>
      </w:r>
      <w:r w:rsidR="00576EF3">
        <w:rPr>
          <w:sz w:val="20"/>
          <w:szCs w:val="20"/>
        </w:rPr>
        <w:t xml:space="preserve">Deze aanpak brengt </w:t>
      </w:r>
      <w:r w:rsidR="00576EF3">
        <w:rPr>
          <w:sz w:val="20"/>
          <w:szCs w:val="20"/>
        </w:rPr>
        <w:lastRenderedPageBreak/>
        <w:t>potentieel het risico van overschrijding met zich mee</w:t>
      </w:r>
      <w:r w:rsidR="00B2663D">
        <w:rPr>
          <w:sz w:val="20"/>
          <w:szCs w:val="20"/>
        </w:rPr>
        <w:t xml:space="preserve">, zoals ook gemeld door de minister in zijn </w:t>
      </w:r>
      <w:hyperlink w:history="1" r:id="rId17">
        <w:r w:rsidRPr="00B2663D" w:rsidR="00B2663D">
          <w:rPr>
            <w:rStyle w:val="Hyperlink"/>
            <w:sz w:val="20"/>
            <w:szCs w:val="20"/>
          </w:rPr>
          <w:t>brief aan d</w:t>
        </w:r>
        <w:r w:rsidRPr="00B2663D" w:rsidR="00B2663D">
          <w:rPr>
            <w:rStyle w:val="Hyperlink"/>
            <w:sz w:val="20"/>
            <w:szCs w:val="20"/>
          </w:rPr>
          <w:t>e</w:t>
        </w:r>
        <w:r w:rsidRPr="00B2663D" w:rsidR="00B2663D">
          <w:rPr>
            <w:rStyle w:val="Hyperlink"/>
            <w:sz w:val="20"/>
            <w:szCs w:val="20"/>
          </w:rPr>
          <w:t xml:space="preserve"> Kamer</w:t>
        </w:r>
      </w:hyperlink>
      <w:r w:rsidR="00B2663D">
        <w:rPr>
          <w:sz w:val="20"/>
          <w:szCs w:val="20"/>
        </w:rPr>
        <w:t xml:space="preserve"> van 30 september jl.</w:t>
      </w:r>
      <w:r w:rsidR="00815542">
        <w:rPr>
          <w:rStyle w:val="Voetnootmarkering"/>
          <w:sz w:val="20"/>
          <w:szCs w:val="20"/>
        </w:rPr>
        <w:footnoteReference w:id="5"/>
      </w:r>
      <w:r w:rsidR="00B2663D">
        <w:rPr>
          <w:sz w:val="20"/>
          <w:szCs w:val="20"/>
        </w:rPr>
        <w:t xml:space="preserve"> De minister schrijft dat Nederland en andere ‘netto-betalende lidstaten’ hier tegenstander van zijn. </w:t>
      </w:r>
    </w:p>
    <w:p w:rsidRPr="00C1270E" w:rsidR="00C1270E" w:rsidP="00C1270E" w:rsidRDefault="00C1270E">
      <w:pPr>
        <w:spacing w:line="23" w:lineRule="atLeast"/>
        <w:rPr>
          <w:sz w:val="20"/>
          <w:szCs w:val="20"/>
        </w:rPr>
      </w:pPr>
    </w:p>
    <w:p w:rsidRPr="00C1270E" w:rsidR="00C1270E" w:rsidP="00C1270E" w:rsidRDefault="00C1270E">
      <w:pPr>
        <w:spacing w:line="23" w:lineRule="atLeast"/>
        <w:rPr>
          <w:sz w:val="22"/>
          <w:szCs w:val="20"/>
        </w:rPr>
      </w:pPr>
      <w:r w:rsidRPr="00C1270E">
        <w:rPr>
          <w:b/>
          <w:sz w:val="22"/>
          <w:szCs w:val="20"/>
        </w:rPr>
        <w:t>B</w:t>
      </w:r>
      <w:r>
        <w:rPr>
          <w:b/>
          <w:sz w:val="22"/>
          <w:szCs w:val="20"/>
        </w:rPr>
        <w:t>esluitvormingstraject</w:t>
      </w:r>
    </w:p>
    <w:p w:rsidR="00C1270E" w:rsidP="00C1270E" w:rsidRDefault="00C1270E">
      <w:pPr>
        <w:spacing w:line="23" w:lineRule="atLeast"/>
        <w:rPr>
          <w:i/>
          <w:sz w:val="20"/>
          <w:szCs w:val="20"/>
        </w:rPr>
      </w:pPr>
    </w:p>
    <w:p w:rsidRPr="00C1270E" w:rsidR="00C1270E" w:rsidP="00C1270E" w:rsidRDefault="00C1270E">
      <w:pPr>
        <w:spacing w:line="23" w:lineRule="atLeast"/>
        <w:rPr>
          <w:b/>
          <w:sz w:val="20"/>
          <w:szCs w:val="20"/>
        </w:rPr>
      </w:pPr>
      <w:r w:rsidRPr="00C1270E">
        <w:rPr>
          <w:b/>
          <w:sz w:val="20"/>
          <w:szCs w:val="20"/>
        </w:rPr>
        <w:t>Algemeen</w:t>
      </w:r>
    </w:p>
    <w:p w:rsidRPr="00C1270E" w:rsidR="00C1270E" w:rsidP="00C1270E" w:rsidRDefault="00C1270E">
      <w:pPr>
        <w:spacing w:line="23" w:lineRule="atLeast"/>
        <w:rPr>
          <w:sz w:val="20"/>
          <w:szCs w:val="20"/>
        </w:rPr>
      </w:pPr>
      <w:r w:rsidRPr="00C1270E">
        <w:rPr>
          <w:sz w:val="20"/>
          <w:szCs w:val="20"/>
        </w:rPr>
        <w:t xml:space="preserve">De Raad en het EP zijn de begrotingsautoriteiten in de besluitvorming rondom het MFK. De Europese Commissie heeft het recht van </w:t>
      </w:r>
      <w:r w:rsidR="00FB3784">
        <w:rPr>
          <w:sz w:val="20"/>
          <w:szCs w:val="20"/>
        </w:rPr>
        <w:t>initiatief. Bij zowel eventuele aanpassingen van de huidige MFK-</w:t>
      </w:r>
      <w:proofErr w:type="spellStart"/>
      <w:r w:rsidR="00FB3784">
        <w:rPr>
          <w:sz w:val="20"/>
          <w:szCs w:val="20"/>
        </w:rPr>
        <w:t>vreordening</w:t>
      </w:r>
      <w:proofErr w:type="spellEnd"/>
      <w:r w:rsidR="00FB3784">
        <w:rPr>
          <w:sz w:val="20"/>
          <w:szCs w:val="20"/>
        </w:rPr>
        <w:t xml:space="preserve"> als bij </w:t>
      </w:r>
      <w:r w:rsidRPr="00C1270E">
        <w:rPr>
          <w:sz w:val="20"/>
          <w:szCs w:val="20"/>
        </w:rPr>
        <w:t>de vaststelling voor een nieuw MFK 2021-2027 dient in de Raad op basis van unanimiteit te worden besloten. Bij het vaststellen van de jaarlijkse EU-begroting daarentegen wordt met gekwalificeerde meerderheid besloten.</w:t>
      </w:r>
      <w:r w:rsidRPr="00C1270E">
        <w:rPr>
          <w:rStyle w:val="Voetnootmarkering"/>
          <w:sz w:val="20"/>
          <w:szCs w:val="20"/>
        </w:rPr>
        <w:footnoteReference w:id="6"/>
      </w:r>
      <w:r w:rsidRPr="00C1270E">
        <w:rPr>
          <w:sz w:val="20"/>
          <w:szCs w:val="20"/>
        </w:rPr>
        <w:t xml:space="preserve"> </w:t>
      </w:r>
    </w:p>
    <w:p w:rsidR="00C1270E" w:rsidP="00C1270E" w:rsidRDefault="00C1270E">
      <w:pPr>
        <w:spacing w:line="23" w:lineRule="atLeast"/>
        <w:rPr>
          <w:b/>
          <w:sz w:val="20"/>
          <w:szCs w:val="20"/>
        </w:rPr>
      </w:pPr>
    </w:p>
    <w:p w:rsidR="00954D98" w:rsidP="00C1270E" w:rsidRDefault="00954D98">
      <w:pPr>
        <w:spacing w:line="23" w:lineRule="atLeast"/>
        <w:rPr>
          <w:b/>
          <w:sz w:val="20"/>
          <w:szCs w:val="20"/>
        </w:rPr>
      </w:pPr>
      <w:r>
        <w:rPr>
          <w:b/>
          <w:sz w:val="20"/>
          <w:szCs w:val="20"/>
        </w:rPr>
        <w:t>Huidig MFK (voorstellen uit de tussentijdse evaluatie)</w:t>
      </w:r>
    </w:p>
    <w:p w:rsidRPr="00954D98" w:rsidR="00954D98" w:rsidP="00954D98" w:rsidRDefault="00954D98">
      <w:pPr>
        <w:autoSpaceDE w:val="0"/>
        <w:autoSpaceDN w:val="0"/>
        <w:adjustRightInd w:val="0"/>
        <w:spacing w:line="23" w:lineRule="atLeast"/>
        <w:rPr>
          <w:bCs/>
          <w:i/>
          <w:sz w:val="20"/>
          <w:szCs w:val="20"/>
        </w:rPr>
      </w:pPr>
      <w:r>
        <w:rPr>
          <w:bCs/>
          <w:i/>
          <w:sz w:val="20"/>
          <w:szCs w:val="20"/>
        </w:rPr>
        <w:t>Raad</w:t>
      </w:r>
    </w:p>
    <w:p w:rsidR="00954D98" w:rsidP="00954D98" w:rsidRDefault="00954D98">
      <w:pPr>
        <w:autoSpaceDE w:val="0"/>
        <w:autoSpaceDN w:val="0"/>
        <w:adjustRightInd w:val="0"/>
        <w:spacing w:line="23" w:lineRule="atLeast"/>
        <w:rPr>
          <w:bCs/>
          <w:sz w:val="20"/>
          <w:szCs w:val="20"/>
        </w:rPr>
      </w:pPr>
      <w:r w:rsidRPr="00C1270E">
        <w:rPr>
          <w:bCs/>
          <w:sz w:val="20"/>
          <w:szCs w:val="20"/>
        </w:rPr>
        <w:t xml:space="preserve">Op de Raad Algemene Zaken van 20 september jl. heeft het Slowaaks voorzitterschap van de Raad aangekondigd dat </w:t>
      </w:r>
      <w:r>
        <w:rPr>
          <w:bCs/>
          <w:sz w:val="20"/>
          <w:szCs w:val="20"/>
        </w:rPr>
        <w:t>het</w:t>
      </w:r>
      <w:r w:rsidRPr="00C1270E">
        <w:rPr>
          <w:bCs/>
          <w:sz w:val="20"/>
          <w:szCs w:val="20"/>
        </w:rPr>
        <w:t xml:space="preserve"> streeft naar besluitvorming over de MFK-voorstellen van 14 september jl. vóór het eind van het jaar. Dit is tegelijkertijd met de EU-begroting voor 2017. Daarom staat een discussie over het MFK gepland voor alle RAZ-bijeenkomsten tot het eind van het jaar, dus in oktober, november en december.</w:t>
      </w:r>
      <w:r>
        <w:rPr>
          <w:bCs/>
          <w:sz w:val="20"/>
          <w:szCs w:val="20"/>
        </w:rPr>
        <w:t xml:space="preserve"> Ook zal er een ‘</w:t>
      </w:r>
      <w:proofErr w:type="spellStart"/>
      <w:r>
        <w:rPr>
          <w:bCs/>
          <w:sz w:val="20"/>
          <w:szCs w:val="20"/>
        </w:rPr>
        <w:t>Friends</w:t>
      </w:r>
      <w:proofErr w:type="spellEnd"/>
      <w:r>
        <w:rPr>
          <w:bCs/>
          <w:sz w:val="20"/>
          <w:szCs w:val="20"/>
        </w:rPr>
        <w:t xml:space="preserve"> of </w:t>
      </w:r>
      <w:proofErr w:type="spellStart"/>
      <w:r>
        <w:rPr>
          <w:bCs/>
          <w:sz w:val="20"/>
          <w:szCs w:val="20"/>
        </w:rPr>
        <w:t>the</w:t>
      </w:r>
      <w:proofErr w:type="spellEnd"/>
      <w:r>
        <w:rPr>
          <w:bCs/>
          <w:sz w:val="20"/>
          <w:szCs w:val="20"/>
        </w:rPr>
        <w:t xml:space="preserve"> </w:t>
      </w:r>
      <w:proofErr w:type="spellStart"/>
      <w:r>
        <w:rPr>
          <w:bCs/>
          <w:sz w:val="20"/>
          <w:szCs w:val="20"/>
        </w:rPr>
        <w:t>Presidency</w:t>
      </w:r>
      <w:proofErr w:type="spellEnd"/>
      <w:r>
        <w:rPr>
          <w:bCs/>
          <w:sz w:val="20"/>
          <w:szCs w:val="20"/>
        </w:rPr>
        <w:t>’ groep bijeen worde</w:t>
      </w:r>
      <w:r w:rsidR="006D4A56">
        <w:rPr>
          <w:bCs/>
          <w:sz w:val="20"/>
          <w:szCs w:val="20"/>
        </w:rPr>
        <w:t>n geroepen. Dit is een ad hoc Raadswerkgroep die door het EU-voorzitterschap bijeen kan worden geroepen o</w:t>
      </w:r>
      <w:r w:rsidR="00631A7B">
        <w:rPr>
          <w:bCs/>
          <w:sz w:val="20"/>
          <w:szCs w:val="20"/>
        </w:rPr>
        <w:t xml:space="preserve">ver een specifiek beleidsthema - </w:t>
      </w:r>
      <w:r w:rsidR="006D4A56">
        <w:rPr>
          <w:bCs/>
          <w:sz w:val="20"/>
          <w:szCs w:val="20"/>
        </w:rPr>
        <w:t xml:space="preserve">vaak over een </w:t>
      </w:r>
      <w:proofErr w:type="spellStart"/>
      <w:r w:rsidR="00563060">
        <w:rPr>
          <w:bCs/>
          <w:sz w:val="20"/>
          <w:szCs w:val="20"/>
        </w:rPr>
        <w:t>omvrangrijk</w:t>
      </w:r>
      <w:proofErr w:type="spellEnd"/>
      <w:r w:rsidR="00563060">
        <w:rPr>
          <w:bCs/>
          <w:sz w:val="20"/>
          <w:szCs w:val="20"/>
        </w:rPr>
        <w:t xml:space="preserve"> en </w:t>
      </w:r>
      <w:r w:rsidR="006D4A56">
        <w:rPr>
          <w:bCs/>
          <w:sz w:val="20"/>
          <w:szCs w:val="20"/>
        </w:rPr>
        <w:t>politiek gevoelig onderwerp met multidisciplinaire implicaties</w:t>
      </w:r>
      <w:r w:rsidR="00631A7B">
        <w:rPr>
          <w:bCs/>
          <w:sz w:val="20"/>
          <w:szCs w:val="20"/>
        </w:rPr>
        <w:t xml:space="preserve"> – </w:t>
      </w:r>
      <w:r>
        <w:rPr>
          <w:bCs/>
          <w:sz w:val="20"/>
          <w:szCs w:val="20"/>
        </w:rPr>
        <w:t>waarin alle lidstaten zijn vertegenwoordigd.</w:t>
      </w:r>
      <w:r w:rsidR="00563060">
        <w:rPr>
          <w:bCs/>
          <w:sz w:val="20"/>
          <w:szCs w:val="20"/>
        </w:rPr>
        <w:t xml:space="preserve"> De werkgroep heeft een tijdelijk karakter maar kan verschillende EU-voorzitterschappen bestrijken, afhankelijk van de duur van het onderhandelingstraject. </w:t>
      </w:r>
      <w:r>
        <w:rPr>
          <w:bCs/>
          <w:sz w:val="20"/>
          <w:szCs w:val="20"/>
        </w:rPr>
        <w:t xml:space="preserve"> </w:t>
      </w:r>
      <w:r w:rsidRPr="00C1270E">
        <w:rPr>
          <w:bCs/>
          <w:sz w:val="20"/>
          <w:szCs w:val="20"/>
        </w:rPr>
        <w:t xml:space="preserve"> </w:t>
      </w:r>
    </w:p>
    <w:p w:rsidR="00954D98" w:rsidP="00954D98" w:rsidRDefault="00954D98">
      <w:pPr>
        <w:autoSpaceDE w:val="0"/>
        <w:autoSpaceDN w:val="0"/>
        <w:adjustRightInd w:val="0"/>
        <w:spacing w:line="23" w:lineRule="atLeast"/>
        <w:rPr>
          <w:bCs/>
          <w:sz w:val="20"/>
          <w:szCs w:val="20"/>
        </w:rPr>
      </w:pPr>
    </w:p>
    <w:p w:rsidRPr="00C1270E" w:rsidR="00954D98" w:rsidP="00954D98" w:rsidRDefault="00954D98">
      <w:pPr>
        <w:autoSpaceDE w:val="0"/>
        <w:autoSpaceDN w:val="0"/>
        <w:adjustRightInd w:val="0"/>
        <w:spacing w:line="23" w:lineRule="atLeast"/>
        <w:rPr>
          <w:bCs/>
          <w:sz w:val="20"/>
          <w:szCs w:val="20"/>
        </w:rPr>
      </w:pPr>
      <w:r>
        <w:rPr>
          <w:bCs/>
          <w:sz w:val="20"/>
          <w:szCs w:val="20"/>
        </w:rPr>
        <w:t xml:space="preserve">Specifieke (onderdelen van de) voorstellen, zoals de sectorale voorstellen en </w:t>
      </w:r>
      <w:proofErr w:type="spellStart"/>
      <w:r>
        <w:rPr>
          <w:bCs/>
          <w:sz w:val="20"/>
          <w:szCs w:val="20"/>
        </w:rPr>
        <w:t>sub-onderdelen</w:t>
      </w:r>
      <w:proofErr w:type="spellEnd"/>
      <w:r>
        <w:rPr>
          <w:bCs/>
          <w:sz w:val="20"/>
          <w:szCs w:val="20"/>
        </w:rPr>
        <w:t xml:space="preserve"> van het FR, worden mogelijk in de verschillende </w:t>
      </w:r>
      <w:proofErr w:type="spellStart"/>
      <w:r>
        <w:rPr>
          <w:bCs/>
          <w:sz w:val="20"/>
          <w:szCs w:val="20"/>
        </w:rPr>
        <w:t>vakraden</w:t>
      </w:r>
      <w:proofErr w:type="spellEnd"/>
      <w:r>
        <w:rPr>
          <w:bCs/>
          <w:sz w:val="20"/>
          <w:szCs w:val="20"/>
        </w:rPr>
        <w:t xml:space="preserve"> behandeld. Zo wordt de wijziging van het FR geagendeerd in de Landbouw- en Visserijraad medio oktober. </w:t>
      </w:r>
    </w:p>
    <w:p w:rsidRPr="00954D98" w:rsidR="00954D98" w:rsidP="00954D98" w:rsidRDefault="00954D98">
      <w:pPr>
        <w:spacing w:line="23" w:lineRule="atLeast"/>
        <w:rPr>
          <w:bCs/>
          <w:i/>
          <w:sz w:val="20"/>
          <w:szCs w:val="20"/>
        </w:rPr>
      </w:pPr>
      <w:r w:rsidRPr="00954D98">
        <w:rPr>
          <w:bCs/>
          <w:i/>
          <w:sz w:val="20"/>
          <w:szCs w:val="20"/>
        </w:rPr>
        <w:lastRenderedPageBreak/>
        <w:t>Europees Parlement</w:t>
      </w:r>
    </w:p>
    <w:p w:rsidR="00954D98" w:rsidP="00954D98" w:rsidRDefault="00954D98">
      <w:pPr>
        <w:spacing w:line="23" w:lineRule="atLeast"/>
        <w:rPr>
          <w:sz w:val="20"/>
          <w:szCs w:val="20"/>
        </w:rPr>
      </w:pPr>
      <w:r>
        <w:rPr>
          <w:sz w:val="20"/>
          <w:szCs w:val="20"/>
        </w:rPr>
        <w:t>De</w:t>
      </w:r>
      <w:r w:rsidRPr="00C1270E">
        <w:rPr>
          <w:sz w:val="20"/>
          <w:szCs w:val="20"/>
        </w:rPr>
        <w:t xml:space="preserve"> verordening tot wijziging van het MFK (COM(2016) 604) v</w:t>
      </w:r>
      <w:r w:rsidR="00631A7B">
        <w:rPr>
          <w:sz w:val="20"/>
          <w:szCs w:val="20"/>
        </w:rPr>
        <w:t xml:space="preserve">olgt de ‘bijzondere procedure’, </w:t>
      </w:r>
      <w:r w:rsidRPr="00C1270E">
        <w:rPr>
          <w:sz w:val="20"/>
          <w:szCs w:val="20"/>
        </w:rPr>
        <w:t>in tegenstelling tot de ‘gewone wetgevingsprocedure’. Hierbij heeft het EP g</w:t>
      </w:r>
      <w:r>
        <w:rPr>
          <w:sz w:val="20"/>
          <w:szCs w:val="20"/>
        </w:rPr>
        <w:t xml:space="preserve">een medebeslissingsbevoegdheid maar </w:t>
      </w:r>
      <w:r w:rsidRPr="00C1270E">
        <w:rPr>
          <w:sz w:val="20"/>
          <w:szCs w:val="20"/>
        </w:rPr>
        <w:t>een instemmingsbevoegdheid. Het voorstel voor de herziening van het financieel reglement (COM(2016) 605) volgt wel de gewone</w:t>
      </w:r>
      <w:r>
        <w:rPr>
          <w:sz w:val="20"/>
          <w:szCs w:val="20"/>
        </w:rPr>
        <w:t xml:space="preserve"> wetgevings</w:t>
      </w:r>
      <w:r w:rsidRPr="00C1270E">
        <w:rPr>
          <w:sz w:val="20"/>
          <w:szCs w:val="20"/>
        </w:rPr>
        <w:t>procedure.</w:t>
      </w:r>
      <w:r>
        <w:rPr>
          <w:sz w:val="20"/>
          <w:szCs w:val="20"/>
        </w:rPr>
        <w:t xml:space="preserve"> Desalniettemin mengt het EP zich actief in het debat. Het EP ijvert bovendien voor een wijziging van de MFK-besluitvormingsprocedures opdat het parlement een grotere rol krijgt in de onderhandelingen en bij de uiteindelijke vaststelling van het MFK 2021-2027. Zie ook deze </w:t>
      </w:r>
      <w:hyperlink w:history="1" r:id="rId18">
        <w:r w:rsidRPr="006B172A">
          <w:rPr>
            <w:rStyle w:val="Hyperlink"/>
            <w:sz w:val="20"/>
            <w:szCs w:val="20"/>
          </w:rPr>
          <w:t>briefing</w:t>
        </w:r>
      </w:hyperlink>
      <w:r w:rsidR="00C4216E">
        <w:rPr>
          <w:sz w:val="20"/>
          <w:szCs w:val="20"/>
        </w:rPr>
        <w:t xml:space="preserve"> van de denktank van het EP.</w:t>
      </w:r>
      <w:r w:rsidR="00C4216E">
        <w:rPr>
          <w:rStyle w:val="Voetnootmarkering"/>
          <w:sz w:val="20"/>
          <w:szCs w:val="20"/>
        </w:rPr>
        <w:footnoteReference w:id="7"/>
      </w:r>
    </w:p>
    <w:p w:rsidR="00954D98" w:rsidP="00954D98" w:rsidRDefault="00954D98">
      <w:pPr>
        <w:spacing w:line="23" w:lineRule="atLeast"/>
        <w:rPr>
          <w:sz w:val="20"/>
          <w:szCs w:val="20"/>
        </w:rPr>
      </w:pPr>
    </w:p>
    <w:p w:rsidRPr="00C1270E" w:rsidR="00954D98" w:rsidP="00954D98" w:rsidRDefault="00954D98">
      <w:pPr>
        <w:spacing w:line="23" w:lineRule="atLeast"/>
        <w:rPr>
          <w:sz w:val="20"/>
          <w:szCs w:val="20"/>
        </w:rPr>
      </w:pPr>
      <w:r w:rsidRPr="00C1270E">
        <w:rPr>
          <w:sz w:val="20"/>
          <w:szCs w:val="20"/>
        </w:rPr>
        <w:t xml:space="preserve">Het EP heeft op 6 juli 2016 een </w:t>
      </w:r>
      <w:hyperlink w:history="1" r:id="rId19">
        <w:r w:rsidRPr="00C1270E">
          <w:rPr>
            <w:rStyle w:val="Hyperlink"/>
            <w:sz w:val="20"/>
            <w:szCs w:val="20"/>
          </w:rPr>
          <w:t>rapport</w:t>
        </w:r>
      </w:hyperlink>
      <w:r w:rsidRPr="00C1270E">
        <w:rPr>
          <w:sz w:val="20"/>
          <w:szCs w:val="20"/>
        </w:rPr>
        <w:t xml:space="preserve"> uitgebracht met daarin </w:t>
      </w:r>
      <w:r>
        <w:rPr>
          <w:sz w:val="20"/>
          <w:szCs w:val="20"/>
        </w:rPr>
        <w:t>zijn</w:t>
      </w:r>
      <w:r w:rsidRPr="00C1270E">
        <w:rPr>
          <w:sz w:val="20"/>
          <w:szCs w:val="20"/>
        </w:rPr>
        <w:t xml:space="preserve"> opinie voor de (toen nog te verschijnen) tussentijdse evaluatie.</w:t>
      </w:r>
      <w:r w:rsidR="00925DC8">
        <w:rPr>
          <w:rStyle w:val="Voetnootmarkering"/>
          <w:sz w:val="20"/>
          <w:szCs w:val="20"/>
        </w:rPr>
        <w:footnoteReference w:id="8"/>
      </w:r>
      <w:r w:rsidRPr="00C1270E">
        <w:rPr>
          <w:sz w:val="20"/>
          <w:szCs w:val="20"/>
        </w:rPr>
        <w:t xml:space="preserve"> </w:t>
      </w:r>
    </w:p>
    <w:p w:rsidR="00954D98" w:rsidP="00C1270E" w:rsidRDefault="00954D98">
      <w:pPr>
        <w:spacing w:line="23" w:lineRule="atLeast"/>
        <w:rPr>
          <w:b/>
          <w:sz w:val="20"/>
          <w:szCs w:val="20"/>
        </w:rPr>
      </w:pPr>
    </w:p>
    <w:p w:rsidRPr="00954D98" w:rsidR="00954D98" w:rsidP="00954D98" w:rsidRDefault="00954D98">
      <w:pPr>
        <w:spacing w:line="23" w:lineRule="atLeast"/>
        <w:rPr>
          <w:bCs/>
          <w:i/>
          <w:sz w:val="20"/>
          <w:szCs w:val="20"/>
        </w:rPr>
      </w:pPr>
      <w:r w:rsidRPr="00954D98">
        <w:rPr>
          <w:bCs/>
          <w:i/>
          <w:sz w:val="20"/>
          <w:szCs w:val="20"/>
        </w:rPr>
        <w:t>Kabinet en Kamer</w:t>
      </w:r>
    </w:p>
    <w:p w:rsidR="00954D98" w:rsidP="00954D98" w:rsidRDefault="00954D98">
      <w:pPr>
        <w:spacing w:line="23" w:lineRule="atLeast"/>
        <w:rPr>
          <w:bCs/>
          <w:sz w:val="20"/>
          <w:szCs w:val="20"/>
        </w:rPr>
      </w:pPr>
      <w:r w:rsidRPr="00C1270E">
        <w:rPr>
          <w:bCs/>
          <w:sz w:val="20"/>
          <w:szCs w:val="20"/>
        </w:rPr>
        <w:t xml:space="preserve">In het </w:t>
      </w:r>
      <w:hyperlink w:history="1" r:id="rId20">
        <w:r w:rsidRPr="00C1270E">
          <w:rPr>
            <w:rStyle w:val="Hyperlink"/>
            <w:sz w:val="20"/>
            <w:szCs w:val="20"/>
          </w:rPr>
          <w:t>vers</w:t>
        </w:r>
        <w:r w:rsidRPr="00C1270E">
          <w:rPr>
            <w:rStyle w:val="Hyperlink"/>
            <w:sz w:val="20"/>
            <w:szCs w:val="20"/>
          </w:rPr>
          <w:t>l</w:t>
        </w:r>
        <w:r w:rsidRPr="00C1270E">
          <w:rPr>
            <w:rStyle w:val="Hyperlink"/>
            <w:sz w:val="20"/>
            <w:szCs w:val="20"/>
          </w:rPr>
          <w:t>ag</w:t>
        </w:r>
      </w:hyperlink>
      <w:r w:rsidRPr="00C1270E">
        <w:rPr>
          <w:bCs/>
          <w:sz w:val="20"/>
          <w:szCs w:val="20"/>
        </w:rPr>
        <w:t xml:space="preserve"> naar aanleiding van de conferentie over het MFK die door het Nederlandse EU-voorzitterschap op 28 januari 2016 werd georganiseerd, deed minister Koenders de volgende toezegging: “</w:t>
      </w:r>
      <w:r w:rsidRPr="00C1270E">
        <w:rPr>
          <w:bCs/>
          <w:i/>
          <w:sz w:val="20"/>
          <w:szCs w:val="20"/>
        </w:rPr>
        <w:t>In de aanloop naar de volgende onderhandelingen zal de uiteindelijke Nederlandse [MFK] positie in nauw overleg met uw Kamer worden bepaald.</w:t>
      </w:r>
      <w:r w:rsidRPr="00C1270E">
        <w:rPr>
          <w:bCs/>
          <w:sz w:val="20"/>
          <w:szCs w:val="20"/>
        </w:rPr>
        <w:t>”</w:t>
      </w:r>
      <w:r w:rsidR="002B1983">
        <w:rPr>
          <w:rStyle w:val="Voetnootmarkering"/>
          <w:bCs/>
          <w:sz w:val="20"/>
          <w:szCs w:val="20"/>
        </w:rPr>
        <w:footnoteReference w:id="9"/>
      </w:r>
      <w:r w:rsidRPr="00C1270E">
        <w:rPr>
          <w:bCs/>
          <w:sz w:val="20"/>
          <w:szCs w:val="20"/>
        </w:rPr>
        <w:t xml:space="preserve"> </w:t>
      </w:r>
    </w:p>
    <w:p w:rsidR="00954D98" w:rsidP="00954D98" w:rsidRDefault="00954D98">
      <w:pPr>
        <w:spacing w:line="23" w:lineRule="atLeast"/>
        <w:rPr>
          <w:bCs/>
          <w:sz w:val="20"/>
          <w:szCs w:val="20"/>
        </w:rPr>
      </w:pPr>
    </w:p>
    <w:p w:rsidR="003927B2" w:rsidP="00954D98" w:rsidRDefault="00954D98">
      <w:pPr>
        <w:spacing w:line="23" w:lineRule="atLeast"/>
        <w:rPr>
          <w:sz w:val="20"/>
          <w:szCs w:val="20"/>
        </w:rPr>
      </w:pPr>
      <w:r w:rsidRPr="009F2779">
        <w:rPr>
          <w:bCs/>
          <w:sz w:val="20"/>
          <w:szCs w:val="20"/>
        </w:rPr>
        <w:t xml:space="preserve">In het </w:t>
      </w:r>
      <w:hyperlink w:history="1" r:id="rId21">
        <w:r w:rsidRPr="00E72693">
          <w:rPr>
            <w:rStyle w:val="Hyperlink"/>
            <w:bCs/>
            <w:sz w:val="20"/>
            <w:szCs w:val="20"/>
          </w:rPr>
          <w:t>verslag</w:t>
        </w:r>
      </w:hyperlink>
      <w:r w:rsidRPr="00E72693">
        <w:rPr>
          <w:bCs/>
          <w:sz w:val="20"/>
          <w:szCs w:val="20"/>
        </w:rPr>
        <w:t xml:space="preserve"> naar aanleiding van de Raad Algemene Zaken (RAZ) van 20 september jl. schrijft de minister aan de Kamer </w:t>
      </w:r>
      <w:r w:rsidRPr="00E72693">
        <w:rPr>
          <w:bCs/>
          <w:i/>
          <w:sz w:val="20"/>
          <w:szCs w:val="20"/>
        </w:rPr>
        <w:t xml:space="preserve">“(…) dat er </w:t>
      </w:r>
      <w:r w:rsidRPr="00E72693">
        <w:rPr>
          <w:i/>
          <w:sz w:val="20"/>
          <w:szCs w:val="20"/>
        </w:rPr>
        <w:t>brede consensus bestaat ten aanzien van de door de Commissie gekozen prioriteiten, te weten migratie en interne veiligheid, groei en werkgelegenheid. Ook werd het idee dat er de resterende jaren van het huidige MFK voldoende mogelijkheden moeten zijn om te kunnen reageren op onvoorziene omstandigheden breed gesteund</w:t>
      </w:r>
      <w:r>
        <w:rPr>
          <w:i/>
          <w:sz w:val="20"/>
          <w:szCs w:val="20"/>
        </w:rPr>
        <w:t>.”</w:t>
      </w:r>
      <w:r w:rsidR="008D2228">
        <w:rPr>
          <w:rStyle w:val="Voetnootmarkering"/>
          <w:i/>
          <w:sz w:val="20"/>
          <w:szCs w:val="20"/>
        </w:rPr>
        <w:footnoteReference w:id="10"/>
      </w:r>
      <w:r w:rsidRPr="00E72693">
        <w:rPr>
          <w:i/>
          <w:sz w:val="20"/>
          <w:szCs w:val="20"/>
        </w:rPr>
        <w:t xml:space="preserve"> </w:t>
      </w:r>
      <w:r>
        <w:rPr>
          <w:sz w:val="20"/>
          <w:szCs w:val="20"/>
        </w:rPr>
        <w:t xml:space="preserve">De lidstaten waren het echter oneens over de financiering van de Commissievoorstellen. </w:t>
      </w:r>
    </w:p>
    <w:p w:rsidR="003927B2" w:rsidP="00954D98" w:rsidRDefault="003927B2">
      <w:pPr>
        <w:spacing w:line="23" w:lineRule="atLeast"/>
        <w:rPr>
          <w:sz w:val="20"/>
          <w:szCs w:val="20"/>
        </w:rPr>
      </w:pPr>
    </w:p>
    <w:p w:rsidR="00954D98" w:rsidP="00954D98" w:rsidRDefault="00954D98">
      <w:pPr>
        <w:spacing w:line="23" w:lineRule="atLeast"/>
        <w:rPr>
          <w:sz w:val="20"/>
          <w:szCs w:val="20"/>
        </w:rPr>
      </w:pPr>
      <w:r>
        <w:rPr>
          <w:sz w:val="20"/>
          <w:szCs w:val="20"/>
        </w:rPr>
        <w:t xml:space="preserve">In de eerder genoemde brief d.d. 30 september gaat de minister nader in op dit punt. </w:t>
      </w:r>
      <w:r w:rsidR="00C44DB2">
        <w:rPr>
          <w:sz w:val="20"/>
          <w:szCs w:val="20"/>
        </w:rPr>
        <w:t xml:space="preserve">Reeds sinds de start van het huidige MFK zijn de netto-betalende lidstaten en de Commissie het met elkaar oneens over de financiering van de zogenaamde ‘speciale instrumenten’ (bv. Flexibiliteitsinstrument, </w:t>
      </w:r>
      <w:r w:rsidR="00C44DB2">
        <w:rPr>
          <w:sz w:val="20"/>
          <w:szCs w:val="20"/>
        </w:rPr>
        <w:lastRenderedPageBreak/>
        <w:t xml:space="preserve">Noodhulpreserve). De Commissie wil dat deze buiten de MFK-plafonds worden geplaatst, terwijl Nederland en andere lidstaten willen dat de betalingen er binnen vallen. De </w:t>
      </w:r>
      <w:proofErr w:type="spellStart"/>
      <w:r w:rsidR="00C44DB2">
        <w:rPr>
          <w:sz w:val="20"/>
          <w:szCs w:val="20"/>
        </w:rPr>
        <w:t>minster</w:t>
      </w:r>
      <w:proofErr w:type="spellEnd"/>
      <w:r w:rsidR="00C44DB2">
        <w:rPr>
          <w:sz w:val="20"/>
          <w:szCs w:val="20"/>
        </w:rPr>
        <w:t xml:space="preserve"> schrijft dat de huidige MFK-verordening op dit punt niet duidelijk is. </w:t>
      </w:r>
      <w:r w:rsidR="003927B2">
        <w:rPr>
          <w:sz w:val="20"/>
          <w:szCs w:val="20"/>
        </w:rPr>
        <w:t xml:space="preserve">Voorts zal het kabinet </w:t>
      </w:r>
      <w:r>
        <w:rPr>
          <w:sz w:val="20"/>
          <w:szCs w:val="20"/>
        </w:rPr>
        <w:t>een concrete toelichting aan de Europese Commissie vragen inzake de financiële dekking van de toegenomen investeringen onder het huidige MFK. Het kabinet wil geen definitieve positie innemen over deze voorstellen voordat zij beschikt over deze nadere onderbouwing. Nederland</w:t>
      </w:r>
      <w:r w:rsidR="00631A7B">
        <w:rPr>
          <w:sz w:val="20"/>
          <w:szCs w:val="20"/>
        </w:rPr>
        <w:t xml:space="preserve"> zal zich</w:t>
      </w:r>
      <w:r w:rsidR="003927B2">
        <w:rPr>
          <w:sz w:val="20"/>
          <w:szCs w:val="20"/>
        </w:rPr>
        <w:t xml:space="preserve"> er </w:t>
      </w:r>
      <w:r w:rsidR="00631A7B">
        <w:rPr>
          <w:sz w:val="20"/>
          <w:szCs w:val="20"/>
        </w:rPr>
        <w:t>voor</w:t>
      </w:r>
      <w:r>
        <w:rPr>
          <w:sz w:val="20"/>
          <w:szCs w:val="20"/>
        </w:rPr>
        <w:t xml:space="preserve"> inzetten om een stijging van de afdrachtenraming als gevolg van de MFK-voorstellen te voorkomen</w:t>
      </w:r>
      <w:r w:rsidR="003927B2">
        <w:rPr>
          <w:sz w:val="20"/>
          <w:szCs w:val="20"/>
        </w:rPr>
        <w:t>, aldus de minister</w:t>
      </w:r>
      <w:r>
        <w:rPr>
          <w:sz w:val="20"/>
          <w:szCs w:val="20"/>
        </w:rPr>
        <w:t>.</w:t>
      </w:r>
      <w:r w:rsidR="00FE34E8">
        <w:rPr>
          <w:sz w:val="20"/>
          <w:szCs w:val="20"/>
        </w:rPr>
        <w:t xml:space="preserve"> </w:t>
      </w:r>
      <w:r w:rsidR="003927B2">
        <w:rPr>
          <w:sz w:val="20"/>
          <w:szCs w:val="20"/>
        </w:rPr>
        <w:t xml:space="preserve">De </w:t>
      </w:r>
      <w:r w:rsidR="00FE34E8">
        <w:rPr>
          <w:sz w:val="20"/>
          <w:szCs w:val="20"/>
        </w:rPr>
        <w:t xml:space="preserve">BNC-fiches over de voorstellen </w:t>
      </w:r>
      <w:r w:rsidR="003927B2">
        <w:rPr>
          <w:sz w:val="20"/>
          <w:szCs w:val="20"/>
        </w:rPr>
        <w:t xml:space="preserve">zullen conform de staande informatieafspraken </w:t>
      </w:r>
      <w:r w:rsidR="00FE34E8">
        <w:rPr>
          <w:sz w:val="20"/>
          <w:szCs w:val="20"/>
        </w:rPr>
        <w:t xml:space="preserve">aan de Kamer </w:t>
      </w:r>
      <w:r w:rsidR="003927B2">
        <w:rPr>
          <w:sz w:val="20"/>
          <w:szCs w:val="20"/>
        </w:rPr>
        <w:t>worden gestuurd</w:t>
      </w:r>
      <w:r w:rsidR="00FE34E8">
        <w:rPr>
          <w:sz w:val="20"/>
          <w:szCs w:val="20"/>
        </w:rPr>
        <w:t>.</w:t>
      </w:r>
      <w:r w:rsidR="00631A7B">
        <w:rPr>
          <w:sz w:val="20"/>
          <w:szCs w:val="20"/>
        </w:rPr>
        <w:t xml:space="preserve"> </w:t>
      </w:r>
    </w:p>
    <w:p w:rsidR="00954D98" w:rsidP="00C1270E" w:rsidRDefault="00954D98">
      <w:pPr>
        <w:spacing w:line="23" w:lineRule="atLeast"/>
        <w:rPr>
          <w:b/>
          <w:sz w:val="20"/>
          <w:szCs w:val="20"/>
        </w:rPr>
      </w:pPr>
    </w:p>
    <w:p w:rsidRPr="00C1270E" w:rsidR="00954D98" w:rsidP="00C1270E" w:rsidRDefault="00954D98">
      <w:pPr>
        <w:spacing w:line="23" w:lineRule="atLeast"/>
        <w:rPr>
          <w:b/>
          <w:sz w:val="20"/>
          <w:szCs w:val="20"/>
        </w:rPr>
      </w:pPr>
      <w:r>
        <w:rPr>
          <w:b/>
          <w:sz w:val="20"/>
          <w:szCs w:val="20"/>
        </w:rPr>
        <w:t>MFK 2021-2027</w:t>
      </w:r>
    </w:p>
    <w:p w:rsidR="00C1270E" w:rsidP="00C1270E" w:rsidRDefault="00C1270E">
      <w:pPr>
        <w:spacing w:line="23" w:lineRule="atLeast"/>
        <w:rPr>
          <w:sz w:val="20"/>
          <w:szCs w:val="20"/>
        </w:rPr>
      </w:pPr>
      <w:r w:rsidRPr="00C1270E">
        <w:rPr>
          <w:sz w:val="20"/>
          <w:szCs w:val="20"/>
        </w:rPr>
        <w:t xml:space="preserve">Uiterlijk eind 2017 zal de Europese Commissie een voorstel doen voor het MFK 2021-2027. In de tussentijdse evaluatie geeft de Commissie vast een voorzet voor haar ideeën. Zo schrijft zij: </w:t>
      </w:r>
      <w:r w:rsidRPr="00FD47C1" w:rsidR="00FD47C1">
        <w:rPr>
          <w:i/>
          <w:sz w:val="20"/>
          <w:szCs w:val="20"/>
        </w:rPr>
        <w:t>“</w:t>
      </w:r>
      <w:r w:rsidRPr="00FD47C1">
        <w:rPr>
          <w:i/>
          <w:sz w:val="20"/>
          <w:szCs w:val="20"/>
        </w:rPr>
        <w:t>Er is een groeiende consensus dat de modernisering van de EU-begroting een coherente hervorming van zowel de uitgaven als de financiering  vereist</w:t>
      </w:r>
      <w:r w:rsidRPr="00FD47C1" w:rsidR="00FD47C1">
        <w:rPr>
          <w:i/>
          <w:sz w:val="20"/>
          <w:szCs w:val="20"/>
        </w:rPr>
        <w:t>”</w:t>
      </w:r>
      <w:r w:rsidRPr="00C1270E">
        <w:rPr>
          <w:sz w:val="20"/>
          <w:szCs w:val="20"/>
        </w:rPr>
        <w:t xml:space="preserve"> (p.15). De uitkomsten van de High-Level Group on </w:t>
      </w:r>
      <w:proofErr w:type="spellStart"/>
      <w:r w:rsidRPr="00C1270E">
        <w:rPr>
          <w:sz w:val="20"/>
          <w:szCs w:val="20"/>
        </w:rPr>
        <w:t>Own</w:t>
      </w:r>
      <w:proofErr w:type="spellEnd"/>
      <w:r w:rsidRPr="00C1270E">
        <w:rPr>
          <w:sz w:val="20"/>
          <w:szCs w:val="20"/>
        </w:rPr>
        <w:t xml:space="preserve"> Resources (HLGOR/</w:t>
      </w:r>
      <w:proofErr w:type="spellStart"/>
      <w:r w:rsidRPr="00C1270E">
        <w:rPr>
          <w:sz w:val="20"/>
          <w:szCs w:val="20"/>
        </w:rPr>
        <w:t>Monti</w:t>
      </w:r>
      <w:proofErr w:type="spellEnd"/>
      <w:r w:rsidRPr="00C1270E">
        <w:rPr>
          <w:sz w:val="20"/>
          <w:szCs w:val="20"/>
        </w:rPr>
        <w:t xml:space="preserve"> Group) worden hierbij meegenomen. Het adviesrapport van de HLGOR wordt eind 2016 verwacht. De Commissie merkt tevens op, dat de looptijd van het MFK (zeven jaar) niet goed aansluit bij de zittingsperiode van het EP en de Commissie, die vijf jaar bedraagt. Ook de uitvoering van de EU-fondsen, vooral die in gedeeld beheer (samen met de lidstaten) zouden op één lijn moeten worden gebracht met het MFK. Een ander punt van aandacht voor de Commissie is de juiste balans tussen voorspelbaarheid op de middellange termijn en flexibiliteit in het MFK. In het huidige MFK is ongeveer 80% van de EU-begroting vooraf toegewezen. In het nieuwe MFK zouden meer reserves opzij kunnen worden gezet, die ‘snel binnen en tussen de programma’s kunnen worden vrijgemaakt om zo in te spelen op veranderende behoeften’ (p.16). Tenslotte benadrukt de Europese Commissie de effectiviteit van Europese middelen. Om de doeltreffendheid te optimaliseren denkt zij aan </w:t>
      </w:r>
      <w:r w:rsidRPr="00C1270E">
        <w:rPr>
          <w:i/>
          <w:sz w:val="20"/>
          <w:szCs w:val="20"/>
        </w:rPr>
        <w:t>voorwaardelijkheid</w:t>
      </w:r>
      <w:r w:rsidRPr="00C1270E">
        <w:rPr>
          <w:sz w:val="20"/>
          <w:szCs w:val="20"/>
        </w:rPr>
        <w:t xml:space="preserve"> (financiering afhankelijk maken van nationaal beleid), </w:t>
      </w:r>
      <w:r w:rsidRPr="00C1270E">
        <w:rPr>
          <w:i/>
          <w:sz w:val="20"/>
          <w:szCs w:val="20"/>
        </w:rPr>
        <w:t>hefboomwerking en synergie</w:t>
      </w:r>
      <w:r w:rsidRPr="00C1270E">
        <w:rPr>
          <w:sz w:val="20"/>
          <w:szCs w:val="20"/>
        </w:rPr>
        <w:t xml:space="preserve"> (het aantrekken van aanvullende publieke en particuliere middelen, en meer samenwerking op terreinen waar schaalvoordelen kunnen worden behaald, zoals veiligheid en defensie) en </w:t>
      </w:r>
      <w:r w:rsidRPr="00C1270E">
        <w:rPr>
          <w:i/>
          <w:sz w:val="20"/>
          <w:szCs w:val="20"/>
        </w:rPr>
        <w:t xml:space="preserve">vereenvoudiging </w:t>
      </w:r>
      <w:r w:rsidRPr="00C1270E">
        <w:rPr>
          <w:sz w:val="20"/>
          <w:szCs w:val="20"/>
        </w:rPr>
        <w:t xml:space="preserve">van de vereisten voor programma’s onder gedeeld beheer.   </w:t>
      </w:r>
    </w:p>
    <w:p w:rsidR="000F2492" w:rsidP="00C1270E" w:rsidRDefault="000F2492">
      <w:pPr>
        <w:spacing w:line="23" w:lineRule="atLeast"/>
        <w:rPr>
          <w:sz w:val="20"/>
          <w:szCs w:val="20"/>
        </w:rPr>
      </w:pPr>
    </w:p>
    <w:p w:rsidR="000F2492" w:rsidP="00C1270E" w:rsidRDefault="000F2492">
      <w:pPr>
        <w:spacing w:line="23" w:lineRule="atLeast"/>
        <w:rPr>
          <w:sz w:val="20"/>
          <w:szCs w:val="20"/>
        </w:rPr>
      </w:pPr>
      <w:r>
        <w:rPr>
          <w:sz w:val="20"/>
          <w:szCs w:val="20"/>
        </w:rPr>
        <w:t xml:space="preserve">De discussie over de structuur, duur en financiering van het MFK zal in 2017 van start gaan. Hierbij worden naast de EU-instellingen ook andere belanghebbenden (zoals nationale parlementen) betrokken, maar de precieze invulling hiervan is momenteel nog niet duidelijk. </w:t>
      </w:r>
    </w:p>
    <w:p w:rsidR="00800261" w:rsidP="00C1270E" w:rsidRDefault="00800261">
      <w:pPr>
        <w:spacing w:line="23" w:lineRule="atLeast"/>
        <w:rPr>
          <w:sz w:val="20"/>
          <w:szCs w:val="20"/>
        </w:rPr>
        <w:sectPr w:rsidR="00800261" w:rsidSect="00C1270E">
          <w:headerReference w:type="default" r:id="rId22"/>
          <w:footerReference w:type="default" r:id="rId23"/>
          <w:pgSz w:w="11907" w:h="16840" w:code="9"/>
          <w:pgMar w:top="3255" w:right="1701" w:bottom="1418" w:left="2211" w:header="2370" w:footer="709" w:gutter="0"/>
          <w:cols w:space="708"/>
          <w:docGrid w:type="lines" w:linePitch="284"/>
        </w:sectPr>
      </w:pPr>
      <w:r>
        <w:rPr>
          <w:sz w:val="20"/>
          <w:szCs w:val="20"/>
        </w:rPr>
        <w:lastRenderedPageBreak/>
        <w:t xml:space="preserve">Het EP dringt in haar </w:t>
      </w:r>
      <w:r w:rsidRPr="00C1270E">
        <w:rPr>
          <w:sz w:val="20"/>
          <w:szCs w:val="20"/>
        </w:rPr>
        <w:t xml:space="preserve">genoemde rapport </w:t>
      </w:r>
      <w:r>
        <w:rPr>
          <w:sz w:val="20"/>
          <w:szCs w:val="20"/>
        </w:rPr>
        <w:t xml:space="preserve">van 6 juli jl. </w:t>
      </w:r>
      <w:r w:rsidRPr="00C1270E">
        <w:rPr>
          <w:sz w:val="20"/>
          <w:szCs w:val="20"/>
        </w:rPr>
        <w:t>aan op besluitvorming over het volgende MFK uiterlijk eind  2018, wellicht in verband met de verkiezingen voor het EP in 2019. Tevens schrijft het EP dat het van belang is nationale parlementen en burgers te betrekken bij het besluitvormingsproces, ‘door zo nodig een interinstitutionele, interparlementaire conferentie te organiseren’ (p.19).</w:t>
      </w:r>
    </w:p>
    <w:p w:rsidR="00C35BB6" w:rsidP="00C1270E" w:rsidRDefault="000E7CD3">
      <w:pPr>
        <w:spacing w:line="23" w:lineRule="atLeast"/>
        <w:rPr>
          <w:b/>
          <w:sz w:val="20"/>
          <w:szCs w:val="20"/>
        </w:rPr>
      </w:pPr>
      <w:r>
        <w:rPr>
          <w:b/>
          <w:sz w:val="20"/>
          <w:szCs w:val="20"/>
        </w:rPr>
        <w:lastRenderedPageBreak/>
        <w:t>Bijlage</w:t>
      </w:r>
      <w:r w:rsidRPr="00C1270E" w:rsidR="00C1270E">
        <w:rPr>
          <w:b/>
          <w:sz w:val="20"/>
          <w:szCs w:val="20"/>
        </w:rPr>
        <w:t xml:space="preserve">: </w:t>
      </w:r>
      <w:r w:rsidR="00C35BB6">
        <w:rPr>
          <w:b/>
          <w:sz w:val="20"/>
          <w:szCs w:val="20"/>
        </w:rPr>
        <w:t xml:space="preserve">Financiële gevolgen van de voorstellen uit de </w:t>
      </w:r>
      <w:r w:rsidRPr="00C1270E" w:rsidR="00C1270E">
        <w:rPr>
          <w:b/>
          <w:sz w:val="20"/>
          <w:szCs w:val="20"/>
        </w:rPr>
        <w:t>tussentijdse evaluatie MFK 2014-2020 (COM(2016) 603)</w:t>
      </w:r>
      <w:r w:rsidR="00C35BB6">
        <w:rPr>
          <w:rStyle w:val="Voetnootmarkering"/>
          <w:b/>
          <w:sz w:val="20"/>
          <w:szCs w:val="20"/>
        </w:rPr>
        <w:footnoteReference w:id="11"/>
      </w:r>
    </w:p>
    <w:p w:rsidR="00F374A7" w:rsidP="00C1270E" w:rsidRDefault="00F374A7">
      <w:pPr>
        <w:spacing w:line="23" w:lineRule="atLeast"/>
        <w:rPr>
          <w:b/>
          <w:sz w:val="20"/>
          <w:szCs w:val="20"/>
        </w:rPr>
      </w:pPr>
    </w:p>
    <w:tbl>
      <w:tblPr>
        <w:tblW w:w="89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66"/>
        <w:gridCol w:w="4466"/>
      </w:tblGrid>
      <w:tr w:rsidRPr="00C1270E" w:rsidR="00C1270E" w:rsidTr="00F374A7">
        <w:trPr>
          <w:trHeight w:val="245"/>
        </w:trPr>
        <w:tc>
          <w:tcPr>
            <w:tcW w:w="4466" w:type="dxa"/>
          </w:tcPr>
          <w:p w:rsidRPr="00C1270E" w:rsidR="00C1270E" w:rsidP="00C1270E" w:rsidRDefault="00C1270E">
            <w:pPr>
              <w:autoSpaceDE w:val="0"/>
              <w:autoSpaceDN w:val="0"/>
              <w:adjustRightInd w:val="0"/>
              <w:spacing w:line="23" w:lineRule="atLeast"/>
              <w:rPr>
                <w:rFonts w:cs="Arial"/>
                <w:color w:val="000000"/>
                <w:sz w:val="20"/>
                <w:szCs w:val="20"/>
              </w:rPr>
            </w:pPr>
            <w:r w:rsidRPr="00C1270E">
              <w:rPr>
                <w:b/>
                <w:bCs/>
                <w:color w:val="000000"/>
                <w:sz w:val="20"/>
                <w:szCs w:val="20"/>
              </w:rPr>
              <w:t xml:space="preserve">Voorstellen in het kader van de tussentijdse evaluatie </w:t>
            </w:r>
          </w:p>
        </w:tc>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Miljoen EUR (in lopende prijzen) </w:t>
            </w:r>
          </w:p>
        </w:tc>
      </w:tr>
      <w:tr w:rsidRPr="00C1270E" w:rsidR="00C1270E" w:rsidTr="00F374A7">
        <w:trPr>
          <w:trHeight w:val="1106"/>
        </w:trPr>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Rubriek 1a: </w:t>
            </w:r>
          </w:p>
          <w:p w:rsidRPr="00C1270E" w:rsidR="00C1270E" w:rsidP="00C1270E" w:rsidRDefault="00C1270E">
            <w:pPr>
              <w:pStyle w:val="Lijstalinea"/>
              <w:numPr>
                <w:ilvl w:val="1"/>
                <w:numId w:val="32"/>
              </w:numPr>
              <w:autoSpaceDE w:val="0"/>
              <w:autoSpaceDN w:val="0"/>
              <w:adjustRightInd w:val="0"/>
              <w:spacing w:line="23" w:lineRule="atLeast"/>
              <w:ind w:left="426"/>
              <w:rPr>
                <w:color w:val="000000"/>
                <w:sz w:val="20"/>
                <w:szCs w:val="20"/>
              </w:rPr>
            </w:pPr>
            <w:r w:rsidRPr="00C1270E">
              <w:rPr>
                <w:color w:val="000000"/>
                <w:sz w:val="20"/>
                <w:szCs w:val="20"/>
              </w:rPr>
              <w:t xml:space="preserve">Horizon 2020 </w:t>
            </w:r>
          </w:p>
          <w:p w:rsidRPr="00C1270E" w:rsidR="00C1270E" w:rsidP="00C1270E" w:rsidRDefault="00C1270E">
            <w:pPr>
              <w:pStyle w:val="Lijstalinea"/>
              <w:numPr>
                <w:ilvl w:val="1"/>
                <w:numId w:val="32"/>
              </w:numPr>
              <w:autoSpaceDE w:val="0"/>
              <w:autoSpaceDN w:val="0"/>
              <w:adjustRightInd w:val="0"/>
              <w:spacing w:line="23" w:lineRule="atLeast"/>
              <w:ind w:left="426"/>
              <w:rPr>
                <w:color w:val="000000"/>
                <w:sz w:val="20"/>
                <w:szCs w:val="20"/>
              </w:rPr>
            </w:pPr>
            <w:r w:rsidRPr="00C1270E">
              <w:rPr>
                <w:color w:val="000000"/>
                <w:sz w:val="20"/>
                <w:szCs w:val="20"/>
              </w:rPr>
              <w:t xml:space="preserve">CEF-vervoer </w:t>
            </w:r>
          </w:p>
          <w:p w:rsidRPr="00C1270E" w:rsidR="00C1270E" w:rsidP="00C1270E" w:rsidRDefault="00C1270E">
            <w:pPr>
              <w:pStyle w:val="Lijstalinea"/>
              <w:numPr>
                <w:ilvl w:val="1"/>
                <w:numId w:val="32"/>
              </w:numPr>
              <w:autoSpaceDE w:val="0"/>
              <w:autoSpaceDN w:val="0"/>
              <w:adjustRightInd w:val="0"/>
              <w:spacing w:line="23" w:lineRule="atLeast"/>
              <w:ind w:left="426"/>
              <w:rPr>
                <w:color w:val="000000"/>
                <w:sz w:val="20"/>
                <w:szCs w:val="20"/>
              </w:rPr>
            </w:pPr>
            <w:r w:rsidRPr="00C1270E">
              <w:rPr>
                <w:color w:val="000000"/>
                <w:sz w:val="20"/>
                <w:szCs w:val="20"/>
              </w:rPr>
              <w:t xml:space="preserve">Erasmus+ </w:t>
            </w:r>
          </w:p>
          <w:p w:rsidRPr="00C1270E" w:rsidR="00C1270E" w:rsidP="00C1270E" w:rsidRDefault="00C1270E">
            <w:pPr>
              <w:pStyle w:val="Lijstalinea"/>
              <w:numPr>
                <w:ilvl w:val="1"/>
                <w:numId w:val="32"/>
              </w:numPr>
              <w:autoSpaceDE w:val="0"/>
              <w:autoSpaceDN w:val="0"/>
              <w:adjustRightInd w:val="0"/>
              <w:spacing w:line="23" w:lineRule="atLeast"/>
              <w:ind w:left="426"/>
              <w:rPr>
                <w:color w:val="000000"/>
                <w:sz w:val="20"/>
                <w:szCs w:val="20"/>
              </w:rPr>
            </w:pPr>
            <w:r w:rsidRPr="00C1270E">
              <w:rPr>
                <w:color w:val="000000"/>
                <w:sz w:val="20"/>
                <w:szCs w:val="20"/>
              </w:rPr>
              <w:t xml:space="preserve">Cosme </w:t>
            </w:r>
          </w:p>
          <w:p w:rsidRPr="00C1270E" w:rsidR="00C1270E" w:rsidP="00C1270E" w:rsidRDefault="00C1270E">
            <w:pPr>
              <w:pStyle w:val="Lijstalinea"/>
              <w:numPr>
                <w:ilvl w:val="1"/>
                <w:numId w:val="32"/>
              </w:numPr>
              <w:autoSpaceDE w:val="0"/>
              <w:autoSpaceDN w:val="0"/>
              <w:adjustRightInd w:val="0"/>
              <w:spacing w:line="23" w:lineRule="atLeast"/>
              <w:ind w:left="426"/>
              <w:rPr>
                <w:color w:val="000000"/>
                <w:sz w:val="20"/>
                <w:szCs w:val="20"/>
              </w:rPr>
            </w:pPr>
            <w:r w:rsidRPr="00C1270E">
              <w:rPr>
                <w:color w:val="000000"/>
                <w:sz w:val="20"/>
                <w:szCs w:val="20"/>
              </w:rPr>
              <w:t xml:space="preserve">Verlenging van het EFSI </w:t>
            </w:r>
          </w:p>
          <w:p w:rsidRPr="00C1270E" w:rsidR="00C1270E" w:rsidP="00C1270E" w:rsidRDefault="00C1270E">
            <w:pPr>
              <w:pStyle w:val="Lijstalinea"/>
              <w:numPr>
                <w:ilvl w:val="1"/>
                <w:numId w:val="32"/>
              </w:numPr>
              <w:autoSpaceDE w:val="0"/>
              <w:autoSpaceDN w:val="0"/>
              <w:adjustRightInd w:val="0"/>
              <w:spacing w:line="23" w:lineRule="atLeast"/>
              <w:ind w:left="426"/>
              <w:rPr>
                <w:color w:val="000000"/>
                <w:sz w:val="20"/>
                <w:szCs w:val="20"/>
              </w:rPr>
            </w:pPr>
            <w:r w:rsidRPr="00C1270E">
              <w:rPr>
                <w:color w:val="000000"/>
                <w:sz w:val="20"/>
                <w:szCs w:val="20"/>
              </w:rPr>
              <w:t xml:space="preserve">WIFI4EU </w:t>
            </w:r>
          </w:p>
          <w:p w:rsidRPr="00C1270E" w:rsidR="00C1270E" w:rsidP="00C1270E" w:rsidRDefault="00C1270E">
            <w:pPr>
              <w:autoSpaceDE w:val="0"/>
              <w:autoSpaceDN w:val="0"/>
              <w:adjustRightInd w:val="0"/>
              <w:spacing w:line="23" w:lineRule="atLeast"/>
              <w:rPr>
                <w:color w:val="000000"/>
                <w:sz w:val="20"/>
                <w:szCs w:val="20"/>
              </w:rPr>
            </w:pPr>
          </w:p>
        </w:tc>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1 400 </w:t>
            </w:r>
          </w:p>
          <w:p w:rsidRPr="00C1270E" w:rsidR="00C1270E" w:rsidP="00C1270E" w:rsidRDefault="00C1270E">
            <w:pPr>
              <w:pStyle w:val="Lijstalinea"/>
              <w:numPr>
                <w:ilvl w:val="0"/>
                <w:numId w:val="32"/>
              </w:numPr>
              <w:autoSpaceDE w:val="0"/>
              <w:autoSpaceDN w:val="0"/>
              <w:adjustRightInd w:val="0"/>
              <w:spacing w:line="23" w:lineRule="atLeast"/>
              <w:ind w:left="496"/>
              <w:rPr>
                <w:color w:val="000000"/>
                <w:sz w:val="20"/>
                <w:szCs w:val="20"/>
              </w:rPr>
            </w:pPr>
            <w:r w:rsidRPr="00C1270E">
              <w:rPr>
                <w:color w:val="000000"/>
                <w:sz w:val="20"/>
                <w:szCs w:val="20"/>
              </w:rPr>
              <w:t xml:space="preserve">400 </w:t>
            </w:r>
          </w:p>
          <w:p w:rsidRPr="00C1270E" w:rsidR="00C1270E" w:rsidP="00C1270E" w:rsidRDefault="00C1270E">
            <w:pPr>
              <w:pStyle w:val="Lijstalinea"/>
              <w:numPr>
                <w:ilvl w:val="0"/>
                <w:numId w:val="32"/>
              </w:numPr>
              <w:autoSpaceDE w:val="0"/>
              <w:autoSpaceDN w:val="0"/>
              <w:adjustRightInd w:val="0"/>
              <w:spacing w:line="23" w:lineRule="atLeast"/>
              <w:ind w:left="496"/>
              <w:rPr>
                <w:color w:val="000000"/>
                <w:sz w:val="20"/>
                <w:szCs w:val="20"/>
              </w:rPr>
            </w:pPr>
            <w:r w:rsidRPr="00C1270E">
              <w:rPr>
                <w:color w:val="000000"/>
                <w:sz w:val="20"/>
                <w:szCs w:val="20"/>
              </w:rPr>
              <w:t xml:space="preserve">400 </w:t>
            </w:r>
          </w:p>
          <w:p w:rsidRPr="00C1270E" w:rsidR="00C1270E" w:rsidP="00C1270E" w:rsidRDefault="00C1270E">
            <w:pPr>
              <w:pStyle w:val="Lijstalinea"/>
              <w:numPr>
                <w:ilvl w:val="0"/>
                <w:numId w:val="32"/>
              </w:numPr>
              <w:autoSpaceDE w:val="0"/>
              <w:autoSpaceDN w:val="0"/>
              <w:adjustRightInd w:val="0"/>
              <w:spacing w:line="23" w:lineRule="atLeast"/>
              <w:ind w:left="496"/>
              <w:rPr>
                <w:color w:val="000000"/>
                <w:sz w:val="20"/>
                <w:szCs w:val="20"/>
              </w:rPr>
            </w:pPr>
            <w:r w:rsidRPr="00C1270E">
              <w:rPr>
                <w:color w:val="000000"/>
                <w:sz w:val="20"/>
                <w:szCs w:val="20"/>
              </w:rPr>
              <w:t xml:space="preserve">200 </w:t>
            </w:r>
          </w:p>
          <w:p w:rsidRPr="00C1270E" w:rsidR="00C1270E" w:rsidP="00C1270E" w:rsidRDefault="00C1270E">
            <w:pPr>
              <w:pStyle w:val="Lijstalinea"/>
              <w:numPr>
                <w:ilvl w:val="0"/>
                <w:numId w:val="32"/>
              </w:numPr>
              <w:autoSpaceDE w:val="0"/>
              <w:autoSpaceDN w:val="0"/>
              <w:adjustRightInd w:val="0"/>
              <w:spacing w:line="23" w:lineRule="atLeast"/>
              <w:ind w:left="496"/>
              <w:rPr>
                <w:color w:val="000000"/>
                <w:sz w:val="20"/>
                <w:szCs w:val="20"/>
              </w:rPr>
            </w:pPr>
            <w:r w:rsidRPr="00C1270E">
              <w:rPr>
                <w:color w:val="000000"/>
                <w:sz w:val="20"/>
                <w:szCs w:val="20"/>
              </w:rPr>
              <w:t xml:space="preserve">200 </w:t>
            </w:r>
          </w:p>
          <w:p w:rsidRPr="00C1270E" w:rsidR="00C1270E" w:rsidP="00C1270E" w:rsidRDefault="00C1270E">
            <w:pPr>
              <w:pStyle w:val="Lijstalinea"/>
              <w:numPr>
                <w:ilvl w:val="0"/>
                <w:numId w:val="32"/>
              </w:numPr>
              <w:autoSpaceDE w:val="0"/>
              <w:autoSpaceDN w:val="0"/>
              <w:adjustRightInd w:val="0"/>
              <w:spacing w:line="23" w:lineRule="atLeast"/>
              <w:ind w:left="496"/>
              <w:rPr>
                <w:color w:val="000000"/>
                <w:sz w:val="20"/>
                <w:szCs w:val="20"/>
              </w:rPr>
            </w:pPr>
            <w:r w:rsidRPr="00C1270E">
              <w:rPr>
                <w:color w:val="000000"/>
                <w:sz w:val="20"/>
                <w:szCs w:val="20"/>
              </w:rPr>
              <w:t xml:space="preserve">150 </w:t>
            </w:r>
          </w:p>
          <w:p w:rsidRPr="00C1270E" w:rsidR="00C1270E" w:rsidP="00C1270E" w:rsidRDefault="00C1270E">
            <w:pPr>
              <w:pStyle w:val="Lijstalinea"/>
              <w:numPr>
                <w:ilvl w:val="0"/>
                <w:numId w:val="32"/>
              </w:numPr>
              <w:autoSpaceDE w:val="0"/>
              <w:autoSpaceDN w:val="0"/>
              <w:adjustRightInd w:val="0"/>
              <w:spacing w:line="23" w:lineRule="atLeast"/>
              <w:ind w:left="496"/>
              <w:rPr>
                <w:color w:val="000000"/>
                <w:sz w:val="20"/>
                <w:szCs w:val="20"/>
              </w:rPr>
            </w:pPr>
            <w:r w:rsidRPr="00C1270E">
              <w:rPr>
                <w:color w:val="000000"/>
                <w:sz w:val="20"/>
                <w:szCs w:val="20"/>
              </w:rPr>
              <w:t xml:space="preserve">50 </w:t>
            </w:r>
          </w:p>
          <w:p w:rsidRPr="00C1270E" w:rsidR="00C1270E" w:rsidP="00C1270E" w:rsidRDefault="00C1270E">
            <w:pPr>
              <w:autoSpaceDE w:val="0"/>
              <w:autoSpaceDN w:val="0"/>
              <w:adjustRightInd w:val="0"/>
              <w:spacing w:line="23" w:lineRule="atLeast"/>
              <w:rPr>
                <w:color w:val="000000"/>
                <w:sz w:val="20"/>
                <w:szCs w:val="20"/>
              </w:rPr>
            </w:pPr>
          </w:p>
        </w:tc>
      </w:tr>
      <w:tr w:rsidRPr="00C1270E" w:rsidR="00C1270E" w:rsidTr="00F374A7">
        <w:trPr>
          <w:trHeight w:val="372"/>
        </w:trPr>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Rubriek 1a: </w:t>
            </w:r>
          </w:p>
          <w:p w:rsidRPr="00C1270E" w:rsidR="00C1270E" w:rsidP="00C1270E" w:rsidRDefault="00C1270E">
            <w:pPr>
              <w:pStyle w:val="Lijstalinea"/>
              <w:numPr>
                <w:ilvl w:val="0"/>
                <w:numId w:val="32"/>
              </w:numPr>
              <w:autoSpaceDE w:val="0"/>
              <w:autoSpaceDN w:val="0"/>
              <w:adjustRightInd w:val="0"/>
              <w:spacing w:line="23" w:lineRule="atLeast"/>
              <w:ind w:left="426"/>
              <w:rPr>
                <w:color w:val="000000"/>
                <w:sz w:val="20"/>
                <w:szCs w:val="20"/>
              </w:rPr>
            </w:pPr>
            <w:r w:rsidRPr="00C1270E">
              <w:rPr>
                <w:color w:val="000000"/>
                <w:sz w:val="20"/>
                <w:szCs w:val="20"/>
              </w:rPr>
              <w:t xml:space="preserve">Jongerenwerkgelegenheidsinitiatief </w:t>
            </w:r>
          </w:p>
          <w:p w:rsidRPr="00C1270E" w:rsidR="00C1270E" w:rsidP="00C1270E" w:rsidRDefault="00C1270E">
            <w:pPr>
              <w:autoSpaceDE w:val="0"/>
              <w:autoSpaceDN w:val="0"/>
              <w:adjustRightInd w:val="0"/>
              <w:spacing w:line="23" w:lineRule="atLeast"/>
              <w:rPr>
                <w:color w:val="000000"/>
                <w:sz w:val="20"/>
                <w:szCs w:val="20"/>
              </w:rPr>
            </w:pPr>
          </w:p>
        </w:tc>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1 000 </w:t>
            </w:r>
          </w:p>
          <w:p w:rsidRPr="00C1270E" w:rsidR="00C1270E" w:rsidP="00C1270E" w:rsidRDefault="00C1270E">
            <w:pPr>
              <w:pStyle w:val="Lijstalinea"/>
              <w:numPr>
                <w:ilvl w:val="0"/>
                <w:numId w:val="32"/>
              </w:numPr>
              <w:autoSpaceDE w:val="0"/>
              <w:autoSpaceDN w:val="0"/>
              <w:adjustRightInd w:val="0"/>
              <w:spacing w:line="23" w:lineRule="atLeast"/>
              <w:ind w:left="496"/>
              <w:rPr>
                <w:color w:val="000000"/>
                <w:sz w:val="20"/>
                <w:szCs w:val="20"/>
              </w:rPr>
            </w:pPr>
            <w:r w:rsidRPr="00C1270E">
              <w:rPr>
                <w:color w:val="000000"/>
                <w:sz w:val="20"/>
                <w:szCs w:val="20"/>
              </w:rPr>
              <w:t xml:space="preserve">1 000 </w:t>
            </w:r>
          </w:p>
          <w:p w:rsidRPr="00C1270E" w:rsidR="00C1270E" w:rsidP="00C1270E" w:rsidRDefault="00C1270E">
            <w:pPr>
              <w:autoSpaceDE w:val="0"/>
              <w:autoSpaceDN w:val="0"/>
              <w:adjustRightInd w:val="0"/>
              <w:spacing w:line="23" w:lineRule="atLeast"/>
              <w:rPr>
                <w:color w:val="000000"/>
                <w:sz w:val="20"/>
                <w:szCs w:val="20"/>
              </w:rPr>
            </w:pPr>
          </w:p>
        </w:tc>
      </w:tr>
      <w:tr w:rsidRPr="00C1270E" w:rsidR="00C1270E" w:rsidTr="00F374A7">
        <w:trPr>
          <w:trHeight w:val="777"/>
        </w:trPr>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Rubriek 3: </w:t>
            </w:r>
          </w:p>
          <w:p w:rsidRPr="00C1270E" w:rsidR="00C1270E" w:rsidP="00C1270E" w:rsidRDefault="00C1270E">
            <w:pPr>
              <w:autoSpaceDE w:val="0"/>
              <w:autoSpaceDN w:val="0"/>
              <w:adjustRightInd w:val="0"/>
              <w:spacing w:line="23" w:lineRule="atLeast"/>
              <w:rPr>
                <w:rFonts w:cs="Arial"/>
                <w:color w:val="000000"/>
                <w:sz w:val="20"/>
                <w:szCs w:val="20"/>
              </w:rPr>
            </w:pPr>
            <w:r w:rsidRPr="00C1270E">
              <w:rPr>
                <w:color w:val="000000"/>
                <w:sz w:val="20"/>
                <w:szCs w:val="20"/>
              </w:rPr>
              <w:t xml:space="preserve">Europese grens- en kustwacht, Europol, Europees Agentschap voor asiel, gemeenschappelijk asielstelsel van de Dublinverordening, noodhulp binnen de Unie, </w:t>
            </w:r>
            <w:proofErr w:type="spellStart"/>
            <w:r w:rsidRPr="00C1270E">
              <w:rPr>
                <w:color w:val="000000"/>
                <w:sz w:val="20"/>
                <w:szCs w:val="20"/>
              </w:rPr>
              <w:t>inreis</w:t>
            </w:r>
            <w:proofErr w:type="spellEnd"/>
            <w:r w:rsidRPr="00C1270E">
              <w:rPr>
                <w:color w:val="000000"/>
                <w:sz w:val="20"/>
                <w:szCs w:val="20"/>
              </w:rPr>
              <w:t xml:space="preserve">-/uitreissysteem </w:t>
            </w:r>
          </w:p>
        </w:tc>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2 549 </w:t>
            </w:r>
          </w:p>
        </w:tc>
      </w:tr>
      <w:tr w:rsidRPr="00C1270E" w:rsidR="00C1270E" w:rsidTr="00F374A7">
        <w:trPr>
          <w:trHeight w:val="812"/>
        </w:trPr>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Rubriek 4: </w:t>
            </w:r>
          </w:p>
          <w:p w:rsidRPr="00C1270E" w:rsidR="00C1270E" w:rsidP="00C1270E" w:rsidRDefault="00C1270E">
            <w:pPr>
              <w:pStyle w:val="Lijstalinea"/>
              <w:numPr>
                <w:ilvl w:val="0"/>
                <w:numId w:val="32"/>
              </w:numPr>
              <w:autoSpaceDE w:val="0"/>
              <w:autoSpaceDN w:val="0"/>
              <w:adjustRightInd w:val="0"/>
              <w:spacing w:line="23" w:lineRule="atLeast"/>
              <w:ind w:left="426"/>
              <w:rPr>
                <w:color w:val="000000"/>
                <w:sz w:val="20"/>
                <w:szCs w:val="20"/>
              </w:rPr>
            </w:pPr>
            <w:r w:rsidRPr="00C1270E">
              <w:rPr>
                <w:color w:val="000000"/>
                <w:sz w:val="20"/>
                <w:szCs w:val="20"/>
              </w:rPr>
              <w:t xml:space="preserve">Partnerschapskader </w:t>
            </w:r>
          </w:p>
          <w:p w:rsidRPr="00C1270E" w:rsidR="00C1270E" w:rsidP="00C1270E" w:rsidRDefault="00C1270E">
            <w:pPr>
              <w:pStyle w:val="Lijstalinea"/>
              <w:numPr>
                <w:ilvl w:val="0"/>
                <w:numId w:val="32"/>
              </w:numPr>
              <w:autoSpaceDE w:val="0"/>
              <w:autoSpaceDN w:val="0"/>
              <w:adjustRightInd w:val="0"/>
              <w:spacing w:line="23" w:lineRule="atLeast"/>
              <w:ind w:left="426"/>
              <w:rPr>
                <w:color w:val="000000"/>
                <w:sz w:val="20"/>
                <w:szCs w:val="20"/>
              </w:rPr>
            </w:pPr>
            <w:r w:rsidRPr="00C1270E">
              <w:rPr>
                <w:color w:val="000000"/>
                <w:sz w:val="20"/>
                <w:szCs w:val="20"/>
              </w:rPr>
              <w:t xml:space="preserve">Europees Fonds voor duurzame ontwikkeling </w:t>
            </w:r>
          </w:p>
          <w:p w:rsidRPr="00C1270E" w:rsidR="00C1270E" w:rsidP="00C1270E" w:rsidRDefault="00C1270E">
            <w:pPr>
              <w:pStyle w:val="Lijstalinea"/>
              <w:numPr>
                <w:ilvl w:val="0"/>
                <w:numId w:val="32"/>
              </w:numPr>
              <w:autoSpaceDE w:val="0"/>
              <w:autoSpaceDN w:val="0"/>
              <w:adjustRightInd w:val="0"/>
              <w:spacing w:line="23" w:lineRule="atLeast"/>
              <w:ind w:left="426"/>
              <w:rPr>
                <w:color w:val="000000"/>
                <w:sz w:val="20"/>
                <w:szCs w:val="20"/>
              </w:rPr>
            </w:pPr>
            <w:proofErr w:type="spellStart"/>
            <w:r w:rsidRPr="00C1270E">
              <w:rPr>
                <w:color w:val="000000"/>
                <w:sz w:val="20"/>
                <w:szCs w:val="20"/>
              </w:rPr>
              <w:t>Macrofinanciële</w:t>
            </w:r>
            <w:proofErr w:type="spellEnd"/>
            <w:r w:rsidRPr="00C1270E">
              <w:rPr>
                <w:color w:val="000000"/>
                <w:sz w:val="20"/>
                <w:szCs w:val="20"/>
              </w:rPr>
              <w:t xml:space="preserve"> bijstand </w:t>
            </w:r>
          </w:p>
          <w:p w:rsidRPr="00C1270E" w:rsidR="00C1270E" w:rsidP="00C1270E" w:rsidRDefault="00C1270E">
            <w:pPr>
              <w:pStyle w:val="Lijstalinea"/>
              <w:numPr>
                <w:ilvl w:val="0"/>
                <w:numId w:val="32"/>
              </w:numPr>
              <w:autoSpaceDE w:val="0"/>
              <w:autoSpaceDN w:val="0"/>
              <w:adjustRightInd w:val="0"/>
              <w:spacing w:line="23" w:lineRule="atLeast"/>
              <w:ind w:left="426"/>
              <w:rPr>
                <w:color w:val="000000"/>
                <w:sz w:val="20"/>
                <w:szCs w:val="20"/>
              </w:rPr>
            </w:pPr>
            <w:r w:rsidRPr="00C1270E">
              <w:rPr>
                <w:color w:val="000000"/>
                <w:sz w:val="20"/>
                <w:szCs w:val="20"/>
              </w:rPr>
              <w:t xml:space="preserve">Mandaat voor externe leningen </w:t>
            </w:r>
          </w:p>
          <w:p w:rsidRPr="00C1270E" w:rsidR="00C1270E" w:rsidP="00C1270E" w:rsidRDefault="00C1270E">
            <w:pPr>
              <w:autoSpaceDE w:val="0"/>
              <w:autoSpaceDN w:val="0"/>
              <w:adjustRightInd w:val="0"/>
              <w:spacing w:line="23" w:lineRule="atLeast"/>
              <w:rPr>
                <w:color w:val="000000"/>
                <w:sz w:val="20"/>
                <w:szCs w:val="20"/>
              </w:rPr>
            </w:pPr>
          </w:p>
        </w:tc>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1 385 </w:t>
            </w:r>
          </w:p>
          <w:p w:rsidRPr="00C1270E" w:rsidR="00C1270E" w:rsidP="00C1270E" w:rsidRDefault="00C1270E">
            <w:pPr>
              <w:pStyle w:val="Lijstalinea"/>
              <w:numPr>
                <w:ilvl w:val="0"/>
                <w:numId w:val="32"/>
              </w:numPr>
              <w:autoSpaceDE w:val="0"/>
              <w:autoSpaceDN w:val="0"/>
              <w:adjustRightInd w:val="0"/>
              <w:spacing w:line="23" w:lineRule="atLeast"/>
              <w:ind w:left="496"/>
              <w:rPr>
                <w:color w:val="000000"/>
                <w:sz w:val="20"/>
                <w:szCs w:val="20"/>
              </w:rPr>
            </w:pPr>
            <w:r w:rsidRPr="00C1270E">
              <w:rPr>
                <w:color w:val="000000"/>
                <w:sz w:val="20"/>
                <w:szCs w:val="20"/>
              </w:rPr>
              <w:t xml:space="preserve">750 </w:t>
            </w:r>
          </w:p>
          <w:p w:rsidRPr="00C1270E" w:rsidR="00C1270E" w:rsidP="00C1270E" w:rsidRDefault="00C1270E">
            <w:pPr>
              <w:pStyle w:val="Lijstalinea"/>
              <w:numPr>
                <w:ilvl w:val="0"/>
                <w:numId w:val="32"/>
              </w:numPr>
              <w:autoSpaceDE w:val="0"/>
              <w:autoSpaceDN w:val="0"/>
              <w:adjustRightInd w:val="0"/>
              <w:spacing w:line="23" w:lineRule="atLeast"/>
              <w:ind w:left="496"/>
              <w:rPr>
                <w:color w:val="000000"/>
                <w:sz w:val="20"/>
                <w:szCs w:val="20"/>
              </w:rPr>
            </w:pPr>
            <w:r w:rsidRPr="00C1270E">
              <w:rPr>
                <w:color w:val="000000"/>
                <w:sz w:val="20"/>
                <w:szCs w:val="20"/>
              </w:rPr>
              <w:t xml:space="preserve">250 </w:t>
            </w:r>
          </w:p>
          <w:p w:rsidRPr="00C1270E" w:rsidR="00C1270E" w:rsidP="00C1270E" w:rsidRDefault="00C1270E">
            <w:pPr>
              <w:pStyle w:val="Lijstalinea"/>
              <w:numPr>
                <w:ilvl w:val="0"/>
                <w:numId w:val="32"/>
              </w:numPr>
              <w:autoSpaceDE w:val="0"/>
              <w:autoSpaceDN w:val="0"/>
              <w:adjustRightInd w:val="0"/>
              <w:spacing w:line="23" w:lineRule="atLeast"/>
              <w:ind w:left="496"/>
              <w:rPr>
                <w:color w:val="000000"/>
                <w:sz w:val="20"/>
                <w:szCs w:val="20"/>
              </w:rPr>
            </w:pPr>
            <w:r w:rsidRPr="00C1270E">
              <w:rPr>
                <w:color w:val="000000"/>
                <w:sz w:val="20"/>
                <w:szCs w:val="20"/>
              </w:rPr>
              <w:t xml:space="preserve">270 </w:t>
            </w:r>
          </w:p>
          <w:p w:rsidRPr="00C1270E" w:rsidR="00C1270E" w:rsidP="00C1270E" w:rsidRDefault="00C1270E">
            <w:pPr>
              <w:pStyle w:val="Lijstalinea"/>
              <w:numPr>
                <w:ilvl w:val="0"/>
                <w:numId w:val="32"/>
              </w:numPr>
              <w:autoSpaceDE w:val="0"/>
              <w:autoSpaceDN w:val="0"/>
              <w:adjustRightInd w:val="0"/>
              <w:spacing w:line="23" w:lineRule="atLeast"/>
              <w:ind w:left="496"/>
              <w:rPr>
                <w:color w:val="000000"/>
                <w:sz w:val="20"/>
                <w:szCs w:val="20"/>
              </w:rPr>
            </w:pPr>
            <w:r w:rsidRPr="00C1270E">
              <w:rPr>
                <w:color w:val="000000"/>
                <w:sz w:val="20"/>
                <w:szCs w:val="20"/>
              </w:rPr>
              <w:t xml:space="preserve">115 </w:t>
            </w:r>
          </w:p>
          <w:p w:rsidRPr="00C1270E" w:rsidR="00C1270E" w:rsidP="00C1270E" w:rsidRDefault="00C1270E">
            <w:pPr>
              <w:autoSpaceDE w:val="0"/>
              <w:autoSpaceDN w:val="0"/>
              <w:adjustRightInd w:val="0"/>
              <w:spacing w:line="23" w:lineRule="atLeast"/>
              <w:rPr>
                <w:color w:val="000000"/>
                <w:sz w:val="20"/>
                <w:szCs w:val="20"/>
              </w:rPr>
            </w:pPr>
          </w:p>
        </w:tc>
      </w:tr>
      <w:tr w:rsidRPr="00C1270E" w:rsidR="00C1270E" w:rsidTr="00F374A7">
        <w:trPr>
          <w:trHeight w:val="107"/>
        </w:trPr>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TOTAAL </w:t>
            </w:r>
          </w:p>
        </w:tc>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6 334 </w:t>
            </w:r>
          </w:p>
        </w:tc>
      </w:tr>
      <w:tr w:rsidRPr="00C1270E" w:rsidR="00C1270E" w:rsidTr="00F374A7">
        <w:trPr>
          <w:trHeight w:val="510"/>
        </w:trPr>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Ontwerpbegroting 2017 </w:t>
            </w:r>
          </w:p>
          <w:p w:rsidRPr="00C1270E" w:rsidR="00C1270E" w:rsidP="00C1270E" w:rsidRDefault="00C1270E">
            <w:pPr>
              <w:pStyle w:val="Lijstalinea"/>
              <w:numPr>
                <w:ilvl w:val="0"/>
                <w:numId w:val="32"/>
              </w:numPr>
              <w:autoSpaceDE w:val="0"/>
              <w:autoSpaceDN w:val="0"/>
              <w:adjustRightInd w:val="0"/>
              <w:spacing w:line="23" w:lineRule="atLeast"/>
              <w:ind w:left="426"/>
              <w:rPr>
                <w:rFonts w:cs="Arial"/>
                <w:color w:val="000000"/>
                <w:sz w:val="20"/>
                <w:szCs w:val="20"/>
              </w:rPr>
            </w:pPr>
            <w:r w:rsidRPr="00C1270E">
              <w:rPr>
                <w:color w:val="000000"/>
                <w:sz w:val="20"/>
                <w:szCs w:val="20"/>
              </w:rPr>
              <w:t xml:space="preserve">Extra uitgaven voor migratie (van speciale instrumenten en marges) </w:t>
            </w:r>
          </w:p>
          <w:p w:rsidRPr="00C1270E" w:rsidR="00C1270E" w:rsidP="00C1270E" w:rsidRDefault="00C1270E">
            <w:pPr>
              <w:autoSpaceDE w:val="0"/>
              <w:autoSpaceDN w:val="0"/>
              <w:adjustRightInd w:val="0"/>
              <w:spacing w:line="23" w:lineRule="atLeast"/>
              <w:rPr>
                <w:rFonts w:cs="Arial"/>
                <w:color w:val="000000"/>
                <w:sz w:val="20"/>
                <w:szCs w:val="20"/>
              </w:rPr>
            </w:pPr>
          </w:p>
        </w:tc>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1 822 </w:t>
            </w:r>
          </w:p>
        </w:tc>
      </w:tr>
      <w:tr w:rsidRPr="00C1270E" w:rsidR="00C1270E" w:rsidTr="00F374A7">
        <w:trPr>
          <w:trHeight w:val="1062"/>
        </w:trPr>
        <w:tc>
          <w:tcPr>
            <w:tcW w:w="4466" w:type="dxa"/>
          </w:tcPr>
          <w:p w:rsidRPr="00C1270E" w:rsidR="00C1270E" w:rsidP="00C1270E" w:rsidRDefault="00C1270E">
            <w:pPr>
              <w:autoSpaceDE w:val="0"/>
              <w:autoSpaceDN w:val="0"/>
              <w:adjustRightInd w:val="0"/>
              <w:spacing w:line="23" w:lineRule="atLeast"/>
              <w:rPr>
                <w:rFonts w:cs="Arial"/>
                <w:color w:val="000000"/>
                <w:sz w:val="20"/>
                <w:szCs w:val="20"/>
              </w:rPr>
            </w:pPr>
            <w:r w:rsidRPr="00C1270E">
              <w:rPr>
                <w:b/>
                <w:bCs/>
                <w:color w:val="000000"/>
                <w:sz w:val="20"/>
                <w:szCs w:val="20"/>
              </w:rPr>
              <w:t xml:space="preserve">Technische aanpassing van de middelen voor het cohesiebeleid </w:t>
            </w:r>
          </w:p>
          <w:p w:rsidRPr="00C1270E" w:rsidR="00C1270E" w:rsidP="00C1270E" w:rsidRDefault="00C1270E">
            <w:pPr>
              <w:pStyle w:val="Lijstalinea"/>
              <w:numPr>
                <w:ilvl w:val="0"/>
                <w:numId w:val="32"/>
              </w:numPr>
              <w:autoSpaceDE w:val="0"/>
              <w:autoSpaceDN w:val="0"/>
              <w:adjustRightInd w:val="0"/>
              <w:spacing w:line="23" w:lineRule="atLeast"/>
              <w:ind w:left="426"/>
              <w:rPr>
                <w:rFonts w:cs="Arial"/>
                <w:color w:val="000000"/>
                <w:sz w:val="20"/>
                <w:szCs w:val="20"/>
              </w:rPr>
            </w:pPr>
            <w:r w:rsidRPr="00C1270E">
              <w:rPr>
                <w:color w:val="000000"/>
                <w:sz w:val="20"/>
                <w:szCs w:val="20"/>
              </w:rPr>
              <w:t xml:space="preserve">Om de strijd tegen jongerenwerkloosheid voort te zetten, vluchtelingen te integreren en steun te bieden voor investeringen aan de hand van financiële instrumenten en in combinatie met het EFSI. </w:t>
            </w:r>
          </w:p>
          <w:p w:rsidRPr="00C1270E" w:rsidR="00C1270E" w:rsidP="00C1270E" w:rsidRDefault="00C1270E">
            <w:pPr>
              <w:autoSpaceDE w:val="0"/>
              <w:autoSpaceDN w:val="0"/>
              <w:adjustRightInd w:val="0"/>
              <w:spacing w:line="23" w:lineRule="atLeast"/>
              <w:rPr>
                <w:rFonts w:cs="Arial"/>
                <w:color w:val="000000"/>
                <w:sz w:val="20"/>
                <w:szCs w:val="20"/>
              </w:rPr>
            </w:pPr>
          </w:p>
        </w:tc>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4 642 </w:t>
            </w:r>
          </w:p>
        </w:tc>
      </w:tr>
      <w:tr w:rsidRPr="00C1270E" w:rsidR="00C1270E" w:rsidTr="00F374A7">
        <w:trPr>
          <w:trHeight w:val="107"/>
        </w:trPr>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TOTAAL pakket </w:t>
            </w:r>
            <w:proofErr w:type="spellStart"/>
            <w:r w:rsidRPr="00C1270E">
              <w:rPr>
                <w:b/>
                <w:bCs/>
                <w:color w:val="000000"/>
                <w:sz w:val="20"/>
                <w:szCs w:val="20"/>
              </w:rPr>
              <w:t>i.h.k.v</w:t>
            </w:r>
            <w:proofErr w:type="spellEnd"/>
            <w:r w:rsidRPr="00C1270E">
              <w:rPr>
                <w:b/>
                <w:bCs/>
                <w:color w:val="000000"/>
                <w:sz w:val="20"/>
                <w:szCs w:val="20"/>
              </w:rPr>
              <w:t xml:space="preserve">. tussentijdse evaluatie </w:t>
            </w:r>
          </w:p>
        </w:tc>
        <w:tc>
          <w:tcPr>
            <w:tcW w:w="4466" w:type="dxa"/>
          </w:tcPr>
          <w:p w:rsidRPr="00C1270E" w:rsidR="00C1270E" w:rsidP="00C1270E" w:rsidRDefault="00C1270E">
            <w:pPr>
              <w:autoSpaceDE w:val="0"/>
              <w:autoSpaceDN w:val="0"/>
              <w:adjustRightInd w:val="0"/>
              <w:spacing w:line="23" w:lineRule="atLeast"/>
              <w:rPr>
                <w:color w:val="000000"/>
                <w:sz w:val="20"/>
                <w:szCs w:val="20"/>
              </w:rPr>
            </w:pPr>
            <w:r w:rsidRPr="00C1270E">
              <w:rPr>
                <w:b/>
                <w:bCs/>
                <w:color w:val="000000"/>
                <w:sz w:val="20"/>
                <w:szCs w:val="20"/>
              </w:rPr>
              <w:t xml:space="preserve">12 798 </w:t>
            </w:r>
          </w:p>
        </w:tc>
      </w:tr>
    </w:tbl>
    <w:p w:rsidRPr="00F374A7" w:rsidR="00C1270E" w:rsidP="00F374A7" w:rsidRDefault="00C1270E">
      <w:pPr>
        <w:tabs>
          <w:tab w:val="left" w:pos="1515"/>
        </w:tabs>
        <w:rPr>
          <w:sz w:val="20"/>
          <w:szCs w:val="20"/>
        </w:rPr>
      </w:pPr>
    </w:p>
    <w:sectPr w:rsidRPr="00F374A7" w:rsidR="00C1270E" w:rsidSect="00F374A7">
      <w:pgSz w:w="11907" w:h="16840" w:code="9"/>
      <w:pgMar w:top="2836"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D67" w:rsidRDefault="00F04D67">
      <w:r>
        <w:separator/>
      </w:r>
    </w:p>
  </w:endnote>
  <w:endnote w:type="continuationSeparator" w:id="0">
    <w:p w:rsidR="00F04D67" w:rsidRDefault="00F0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242021" w:usb3="00000000" w:csb0="000001BF" w:csb1="00000000"/>
  </w:font>
  <w:font w:name="FiraSans-Ligh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KBJOP B+ Univers">
    <w:altName w:val="Arial"/>
    <w:panose1 w:val="00000000000000000000"/>
    <w:charset w:val="00"/>
    <w:family w:val="swiss"/>
    <w:notTrueType/>
    <w:pitch w:val="default"/>
    <w:sig w:usb0="00000003" w:usb1="00000000" w:usb2="00000000" w:usb3="00000000" w:csb0="00000001" w:csb1="00000000"/>
  </w:font>
  <w:font w:name="AOKME F+ Univer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134099"/>
      <w:docPartObj>
        <w:docPartGallery w:val="Page Numbers (Bottom of Page)"/>
        <w:docPartUnique/>
      </w:docPartObj>
    </w:sdtPr>
    <w:sdtEndPr/>
    <w:sdtContent>
      <w:p w:rsidR="00F04D67" w:rsidRDefault="00F04D67">
        <w:pPr>
          <w:pStyle w:val="Voettekst"/>
          <w:jc w:val="center"/>
        </w:pPr>
        <w:r>
          <w:fldChar w:fldCharType="begin"/>
        </w:r>
        <w:r>
          <w:instrText>PAGE   \* MERGEFORMAT</w:instrText>
        </w:r>
        <w:r>
          <w:fldChar w:fldCharType="separate"/>
        </w:r>
        <w:r w:rsidR="007F3475">
          <w:rPr>
            <w:noProof/>
          </w:rPr>
          <w:t>9</w:t>
        </w:r>
        <w:r>
          <w:fldChar w:fldCharType="end"/>
        </w:r>
      </w:p>
    </w:sdtContent>
  </w:sdt>
  <w:p w:rsidR="00F04D67" w:rsidRDefault="00F04D6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D67" w:rsidRDefault="00F04D67">
      <w:r>
        <w:separator/>
      </w:r>
    </w:p>
  </w:footnote>
  <w:footnote w:type="continuationSeparator" w:id="0">
    <w:p w:rsidR="00F04D67" w:rsidRDefault="00F04D67">
      <w:r>
        <w:continuationSeparator/>
      </w:r>
    </w:p>
  </w:footnote>
  <w:footnote w:id="1">
    <w:p w:rsidR="00F24818" w:rsidRPr="00F24818" w:rsidRDefault="00F24818" w:rsidP="00F24818">
      <w:pPr>
        <w:rPr>
          <w:sz w:val="20"/>
          <w:szCs w:val="20"/>
        </w:rPr>
      </w:pPr>
      <w:r>
        <w:rPr>
          <w:rStyle w:val="Voetnootmarkering"/>
        </w:rPr>
        <w:footnoteRef/>
      </w:r>
      <w:r>
        <w:t xml:space="preserve"> </w:t>
      </w:r>
      <w:r w:rsidRPr="00F24818">
        <w:rPr>
          <w:sz w:val="16"/>
          <w:szCs w:val="20"/>
        </w:rPr>
        <w:t xml:space="preserve">Raad van de Europese Unie: </w:t>
      </w:r>
      <w:hyperlink r:id="rId1" w:history="1">
        <w:r w:rsidRPr="00F24818">
          <w:rPr>
            <w:rStyle w:val="Hyperlink"/>
            <w:sz w:val="16"/>
            <w:szCs w:val="20"/>
          </w:rPr>
          <w:t>http://www.consilium.europa.eu/nl/policies/multiannual-financial-framework/</w:t>
        </w:r>
      </w:hyperlink>
      <w:r w:rsidR="007F3475">
        <w:rPr>
          <w:rStyle w:val="Hyperlink"/>
          <w:sz w:val="16"/>
          <w:szCs w:val="20"/>
        </w:rPr>
        <w:t>.</w:t>
      </w:r>
      <w:bookmarkStart w:id="1" w:name="_GoBack"/>
      <w:bookmarkEnd w:id="1"/>
    </w:p>
  </w:footnote>
  <w:footnote w:id="2">
    <w:p w:rsidR="00791CCF" w:rsidRPr="004419E6" w:rsidRDefault="00791CCF" w:rsidP="00791CCF">
      <w:pPr>
        <w:rPr>
          <w:sz w:val="16"/>
          <w:szCs w:val="18"/>
        </w:rPr>
      </w:pPr>
      <w:r>
        <w:rPr>
          <w:rStyle w:val="Voetnootmarkering"/>
        </w:rPr>
        <w:footnoteRef/>
      </w:r>
      <w:r>
        <w:t xml:space="preserve"> </w:t>
      </w:r>
      <w:r w:rsidRPr="00C97692">
        <w:rPr>
          <w:sz w:val="16"/>
          <w:szCs w:val="16"/>
        </w:rPr>
        <w:t xml:space="preserve">COM(2016) 603, </w:t>
      </w:r>
      <w:bookmarkStart w:id="2" w:name="top"/>
      <w:r w:rsidRPr="00C97692">
        <w:rPr>
          <w:i/>
          <w:sz w:val="16"/>
          <w:szCs w:val="16"/>
        </w:rPr>
        <w:t xml:space="preserve">Mededeling van de Commissie aan het Europees Parlement en de Raad. </w:t>
      </w:r>
      <w:r w:rsidRPr="00C97692">
        <w:rPr>
          <w:bCs/>
          <w:i/>
          <w:sz w:val="16"/>
          <w:szCs w:val="16"/>
        </w:rPr>
        <w:t>Tussentijdse evaluatie/herziening van het meerjarig financieel kader 2014-2020. Een resultaatgerichte EU-begroting</w:t>
      </w:r>
      <w:bookmarkEnd w:id="2"/>
      <w:r w:rsidRPr="00C97692">
        <w:rPr>
          <w:bCs/>
          <w:i/>
          <w:sz w:val="16"/>
          <w:szCs w:val="16"/>
        </w:rPr>
        <w:t xml:space="preserve">. </w:t>
      </w:r>
      <w:r w:rsidRPr="00C97692">
        <w:rPr>
          <w:bCs/>
          <w:sz w:val="16"/>
          <w:szCs w:val="16"/>
        </w:rPr>
        <w:t>Dit voorstel en de andere voorstellen die in deze</w:t>
      </w:r>
      <w:r>
        <w:rPr>
          <w:bCs/>
          <w:sz w:val="16"/>
          <w:szCs w:val="16"/>
        </w:rPr>
        <w:t xml:space="preserve"> notitie worden besproken, zijn te raadplegen via </w:t>
      </w:r>
      <w:r w:rsidRPr="00C97692">
        <w:rPr>
          <w:bCs/>
          <w:sz w:val="16"/>
          <w:szCs w:val="16"/>
        </w:rPr>
        <w:t xml:space="preserve">de gezamenlijke website van parlementen in de EU: </w:t>
      </w:r>
      <w:hyperlink r:id="rId2" w:history="1">
        <w:r w:rsidRPr="00C97692">
          <w:rPr>
            <w:rStyle w:val="Hyperlink"/>
            <w:bCs/>
            <w:sz w:val="16"/>
            <w:szCs w:val="16"/>
          </w:rPr>
          <w:t>www.ipex.eu</w:t>
        </w:r>
      </w:hyperlink>
      <w:r w:rsidRPr="00C97692">
        <w:rPr>
          <w:bCs/>
          <w:sz w:val="16"/>
          <w:szCs w:val="16"/>
        </w:rPr>
        <w:t xml:space="preserve">. IPEX is </w:t>
      </w:r>
      <w:r>
        <w:rPr>
          <w:bCs/>
          <w:sz w:val="16"/>
          <w:szCs w:val="16"/>
        </w:rPr>
        <w:t>het</w:t>
      </w:r>
      <w:r w:rsidRPr="00C97692">
        <w:rPr>
          <w:bCs/>
          <w:sz w:val="16"/>
          <w:szCs w:val="16"/>
        </w:rPr>
        <w:t xml:space="preserve"> platform voor interparlementaire informatie-uitwisseling en geeft o.a. inzicht in het parlementaire behandeltraject van EU-wetgevingsdossiers.</w:t>
      </w:r>
      <w:r>
        <w:rPr>
          <w:bCs/>
          <w:sz w:val="16"/>
          <w:szCs w:val="16"/>
        </w:rPr>
        <w:t xml:space="preserve"> </w:t>
      </w:r>
      <w:r w:rsidRPr="00FA4D14">
        <w:rPr>
          <w:sz w:val="16"/>
          <w:szCs w:val="18"/>
        </w:rPr>
        <w:t xml:space="preserve">De voorstellen zijn </w:t>
      </w:r>
      <w:r>
        <w:rPr>
          <w:sz w:val="16"/>
          <w:szCs w:val="18"/>
        </w:rPr>
        <w:t xml:space="preserve">ook </w:t>
      </w:r>
      <w:r w:rsidRPr="00FA4D14">
        <w:rPr>
          <w:sz w:val="16"/>
          <w:szCs w:val="18"/>
        </w:rPr>
        <w:t xml:space="preserve">opgenomen in </w:t>
      </w:r>
      <w:proofErr w:type="spellStart"/>
      <w:r w:rsidRPr="00FA4D14">
        <w:rPr>
          <w:sz w:val="16"/>
          <w:szCs w:val="18"/>
        </w:rPr>
        <w:t>Parlis</w:t>
      </w:r>
      <w:proofErr w:type="spellEnd"/>
      <w:r w:rsidRPr="00FA4D14">
        <w:rPr>
          <w:sz w:val="16"/>
          <w:szCs w:val="18"/>
        </w:rPr>
        <w:t xml:space="preserve"> onder deze </w:t>
      </w:r>
      <w:hyperlink r:id="rId3" w:history="1">
        <w:r w:rsidRPr="00FA4D14">
          <w:rPr>
            <w:rStyle w:val="Hyperlink"/>
            <w:sz w:val="16"/>
            <w:szCs w:val="18"/>
          </w:rPr>
          <w:t>link</w:t>
        </w:r>
      </w:hyperlink>
      <w:r w:rsidRPr="00FA4D14">
        <w:rPr>
          <w:sz w:val="16"/>
          <w:szCs w:val="18"/>
        </w:rPr>
        <w:t xml:space="preserve">, met uitzondering van de sectorale voorstellen. Deze zijn ingenomen door de betreffende </w:t>
      </w:r>
      <w:proofErr w:type="spellStart"/>
      <w:r w:rsidRPr="00FA4D14">
        <w:rPr>
          <w:sz w:val="16"/>
          <w:szCs w:val="18"/>
        </w:rPr>
        <w:t>vakcommissie</w:t>
      </w:r>
      <w:proofErr w:type="spellEnd"/>
      <w:r w:rsidRPr="00FA4D14">
        <w:rPr>
          <w:sz w:val="16"/>
          <w:szCs w:val="18"/>
        </w:rPr>
        <w:t xml:space="preserve">. </w:t>
      </w:r>
      <w:r>
        <w:rPr>
          <w:sz w:val="16"/>
          <w:szCs w:val="18"/>
        </w:rPr>
        <w:t>Zie daarnaast ook</w:t>
      </w:r>
      <w:r w:rsidRPr="00FA4D14">
        <w:rPr>
          <w:sz w:val="16"/>
          <w:szCs w:val="18"/>
        </w:rPr>
        <w:t xml:space="preserve"> de website van de </w:t>
      </w:r>
      <w:hyperlink r:id="rId4" w:anchor="com_2016_603" w:history="1">
        <w:r w:rsidRPr="00FA4D14">
          <w:rPr>
            <w:rStyle w:val="Hyperlink"/>
            <w:sz w:val="16"/>
            <w:szCs w:val="18"/>
          </w:rPr>
          <w:t>Europese Commissie.</w:t>
        </w:r>
      </w:hyperlink>
    </w:p>
  </w:footnote>
  <w:footnote w:id="3">
    <w:p w:rsidR="00AD25D1" w:rsidRPr="00FA4D14" w:rsidRDefault="00AD25D1" w:rsidP="00AD25D1">
      <w:pPr>
        <w:pStyle w:val="Voetnoottekst"/>
        <w:rPr>
          <w:sz w:val="16"/>
          <w:szCs w:val="18"/>
        </w:rPr>
      </w:pPr>
      <w:r w:rsidRPr="00FA4D14">
        <w:rPr>
          <w:rStyle w:val="Voetnootmarkering"/>
          <w:sz w:val="16"/>
          <w:szCs w:val="18"/>
        </w:rPr>
        <w:footnoteRef/>
      </w:r>
      <w:r w:rsidRPr="00FA4D14">
        <w:rPr>
          <w:sz w:val="16"/>
          <w:szCs w:val="18"/>
        </w:rPr>
        <w:t xml:space="preserve"> Het gaat </w:t>
      </w:r>
      <w:r w:rsidR="00FA4D14">
        <w:rPr>
          <w:sz w:val="16"/>
          <w:szCs w:val="18"/>
        </w:rPr>
        <w:t xml:space="preserve">onder meer om </w:t>
      </w:r>
      <w:r w:rsidRPr="00FA4D14">
        <w:rPr>
          <w:sz w:val="16"/>
          <w:szCs w:val="18"/>
        </w:rPr>
        <w:t>het</w:t>
      </w:r>
      <w:r w:rsidR="00FA4D14">
        <w:rPr>
          <w:sz w:val="16"/>
          <w:szCs w:val="18"/>
        </w:rPr>
        <w:t xml:space="preserve"> Solidariteitsfonds, </w:t>
      </w:r>
      <w:r w:rsidRPr="00FA4D14">
        <w:rPr>
          <w:sz w:val="16"/>
          <w:szCs w:val="18"/>
        </w:rPr>
        <w:t>het programma voor werkgelegenheid en sociale innovatie</w:t>
      </w:r>
      <w:r w:rsidR="00FA4D14">
        <w:rPr>
          <w:sz w:val="16"/>
          <w:szCs w:val="18"/>
        </w:rPr>
        <w:t xml:space="preserve">, </w:t>
      </w:r>
      <w:r w:rsidRPr="00FA4D14">
        <w:rPr>
          <w:sz w:val="16"/>
          <w:szCs w:val="18"/>
        </w:rPr>
        <w:t>het Europees Fonds voor Regionale Ontwikkeling (EFRO)</w:t>
      </w:r>
      <w:r w:rsidR="00FA4D14">
        <w:rPr>
          <w:sz w:val="16"/>
          <w:szCs w:val="18"/>
        </w:rPr>
        <w:t xml:space="preserve">, </w:t>
      </w:r>
      <w:r w:rsidRPr="00FA4D14">
        <w:rPr>
          <w:sz w:val="16"/>
          <w:szCs w:val="18"/>
        </w:rPr>
        <w:t>de gemeenschappelijke bepalingen voor structuur-, landbouw- en visserijfondsen</w:t>
      </w:r>
      <w:r w:rsidR="00FA4D14">
        <w:rPr>
          <w:sz w:val="16"/>
          <w:szCs w:val="18"/>
        </w:rPr>
        <w:t xml:space="preserve">, </w:t>
      </w:r>
      <w:r w:rsidRPr="00FA4D14">
        <w:rPr>
          <w:sz w:val="16"/>
          <w:szCs w:val="18"/>
        </w:rPr>
        <w:t>het Europees Sociaal Fonds (ESF)</w:t>
      </w:r>
      <w:r w:rsidR="00FA4D14">
        <w:rPr>
          <w:sz w:val="16"/>
          <w:szCs w:val="18"/>
        </w:rPr>
        <w:t xml:space="preserve">, de </w:t>
      </w:r>
      <w:r w:rsidRPr="00FA4D14">
        <w:rPr>
          <w:sz w:val="16"/>
          <w:szCs w:val="18"/>
        </w:rPr>
        <w:t>financiering, beheer en monitoring gemeenschappelijk landbouwbeleid</w:t>
      </w:r>
      <w:r w:rsidR="00FA4D14">
        <w:rPr>
          <w:sz w:val="16"/>
          <w:szCs w:val="18"/>
        </w:rPr>
        <w:t xml:space="preserve">, </w:t>
      </w:r>
      <w:r w:rsidRPr="00FA4D14">
        <w:rPr>
          <w:sz w:val="16"/>
          <w:szCs w:val="18"/>
        </w:rPr>
        <w:t>directe betalingen in het landbouwbeleid</w:t>
      </w:r>
      <w:r w:rsidR="00FA4D14">
        <w:rPr>
          <w:sz w:val="16"/>
          <w:szCs w:val="18"/>
        </w:rPr>
        <w:t xml:space="preserve">, </w:t>
      </w:r>
      <w:r w:rsidRPr="00FA4D14">
        <w:rPr>
          <w:sz w:val="16"/>
          <w:szCs w:val="18"/>
        </w:rPr>
        <w:t xml:space="preserve">het Globaliseringsfonds </w:t>
      </w:r>
      <w:r w:rsidR="00FA4D14">
        <w:rPr>
          <w:sz w:val="16"/>
          <w:szCs w:val="18"/>
        </w:rPr>
        <w:t xml:space="preserve">en </w:t>
      </w:r>
      <w:r w:rsidR="00066C88" w:rsidRPr="00FA4D14">
        <w:rPr>
          <w:sz w:val="16"/>
          <w:szCs w:val="18"/>
        </w:rPr>
        <w:t>de ‘</w:t>
      </w:r>
      <w:proofErr w:type="spellStart"/>
      <w:r w:rsidR="00066C88" w:rsidRPr="00FA4D14">
        <w:rPr>
          <w:sz w:val="16"/>
          <w:szCs w:val="18"/>
        </w:rPr>
        <w:t>Connecting</w:t>
      </w:r>
      <w:proofErr w:type="spellEnd"/>
      <w:r w:rsidR="00066C88" w:rsidRPr="00FA4D14">
        <w:rPr>
          <w:sz w:val="16"/>
          <w:szCs w:val="18"/>
        </w:rPr>
        <w:t xml:space="preserve"> Europe Facility’ voor infrastructuur</w:t>
      </w:r>
      <w:r w:rsidR="00FA4D14">
        <w:rPr>
          <w:sz w:val="16"/>
          <w:szCs w:val="18"/>
        </w:rPr>
        <w:t xml:space="preserve">. </w:t>
      </w:r>
    </w:p>
  </w:footnote>
  <w:footnote w:id="4">
    <w:p w:rsidR="008D4E1F" w:rsidRDefault="008D4E1F">
      <w:pPr>
        <w:pStyle w:val="Voetnoottekst"/>
      </w:pPr>
      <w:r w:rsidRPr="008D4E1F">
        <w:rPr>
          <w:rStyle w:val="Voetnootmarkering"/>
          <w:sz w:val="16"/>
        </w:rPr>
        <w:footnoteRef/>
      </w:r>
      <w:r w:rsidRPr="008D4E1F">
        <w:rPr>
          <w:sz w:val="16"/>
        </w:rPr>
        <w:t xml:space="preserve"> Kamerstukken II, 2015/16, 21501-03, nr. 96</w:t>
      </w:r>
      <w:r>
        <w:rPr>
          <w:sz w:val="16"/>
        </w:rPr>
        <w:t>.</w:t>
      </w:r>
    </w:p>
  </w:footnote>
  <w:footnote w:id="5">
    <w:p w:rsidR="00815542" w:rsidRPr="00815542" w:rsidRDefault="00815542" w:rsidP="00815542">
      <w:pPr>
        <w:pStyle w:val="Voetnoottekst"/>
        <w:rPr>
          <w:sz w:val="16"/>
          <w:szCs w:val="16"/>
        </w:rPr>
      </w:pPr>
      <w:r w:rsidRPr="00815542">
        <w:rPr>
          <w:rStyle w:val="Voetnootmarkering"/>
          <w:sz w:val="16"/>
          <w:szCs w:val="16"/>
          <w:vertAlign w:val="baseline"/>
        </w:rPr>
        <w:footnoteRef/>
      </w:r>
      <w:r w:rsidRPr="00815542">
        <w:rPr>
          <w:rStyle w:val="Voetnootmarkering"/>
          <w:sz w:val="16"/>
          <w:szCs w:val="16"/>
          <w:vertAlign w:val="baseline"/>
        </w:rPr>
        <w:t xml:space="preserve"> Ministerie van Buitenlandse Zaken, 30 september 2016. </w:t>
      </w:r>
      <w:proofErr w:type="spellStart"/>
      <w:r w:rsidRPr="00B90695">
        <w:rPr>
          <w:rStyle w:val="Voetnootmarkering"/>
          <w:i/>
          <w:sz w:val="16"/>
          <w:szCs w:val="16"/>
          <w:vertAlign w:val="baseline"/>
        </w:rPr>
        <w:t>Mid</w:t>
      </w:r>
      <w:proofErr w:type="spellEnd"/>
      <w:r w:rsidRPr="00B90695">
        <w:rPr>
          <w:rStyle w:val="Voetnootmarkering"/>
          <w:i/>
          <w:sz w:val="16"/>
          <w:szCs w:val="16"/>
          <w:vertAlign w:val="baseline"/>
        </w:rPr>
        <w:t>-term review van het Meerjarig Financieel Kader.</w:t>
      </w:r>
      <w:r w:rsidRPr="00815542">
        <w:rPr>
          <w:rStyle w:val="Voetnootmarkering"/>
          <w:sz w:val="16"/>
          <w:szCs w:val="16"/>
          <w:vertAlign w:val="baseline"/>
        </w:rPr>
        <w:t xml:space="preserve"> Referentie: Minbuza-2016.648642. Op het moment van schrijven </w:t>
      </w:r>
      <w:r>
        <w:rPr>
          <w:sz w:val="16"/>
          <w:szCs w:val="16"/>
        </w:rPr>
        <w:t xml:space="preserve">van deze notitie </w:t>
      </w:r>
      <w:r w:rsidRPr="00815542">
        <w:rPr>
          <w:rStyle w:val="Voetnootmarkering"/>
          <w:sz w:val="16"/>
          <w:szCs w:val="16"/>
          <w:vertAlign w:val="baseline"/>
        </w:rPr>
        <w:t>was nog geen kamerstuknummer beschikbaar.</w:t>
      </w:r>
      <w:r w:rsidRPr="00815542">
        <w:rPr>
          <w:sz w:val="16"/>
          <w:szCs w:val="16"/>
        </w:rPr>
        <w:t xml:space="preserve"> </w:t>
      </w:r>
      <w:r w:rsidR="003927B2" w:rsidRPr="003927B2">
        <w:rPr>
          <w:sz w:val="16"/>
        </w:rPr>
        <w:t xml:space="preserve">De brief van de minister is reeds behandeld in het </w:t>
      </w:r>
      <w:r w:rsidR="003927B2" w:rsidRPr="003927B2">
        <w:rPr>
          <w:sz w:val="16"/>
        </w:rPr>
        <w:t>algemeen</w:t>
      </w:r>
      <w:r w:rsidR="003927B2" w:rsidRPr="003927B2">
        <w:rPr>
          <w:rStyle w:val="Hyperlink"/>
          <w:color w:val="auto"/>
          <w:sz w:val="16"/>
          <w:u w:val="none"/>
        </w:rPr>
        <w:t xml:space="preserve"> overleg Raad Algemene Zaken</w:t>
      </w:r>
      <w:r w:rsidR="003927B2" w:rsidRPr="003927B2">
        <w:rPr>
          <w:sz w:val="16"/>
        </w:rPr>
        <w:t xml:space="preserve"> van 5 oktober 2016.   </w:t>
      </w:r>
    </w:p>
  </w:footnote>
  <w:footnote w:id="6">
    <w:p w:rsidR="00C1270E" w:rsidRPr="00954D98" w:rsidRDefault="00C1270E" w:rsidP="00954D98">
      <w:pPr>
        <w:pStyle w:val="Voetnoottekst"/>
        <w:rPr>
          <w:sz w:val="16"/>
          <w:szCs w:val="16"/>
        </w:rPr>
      </w:pPr>
      <w:r w:rsidRPr="00954D98">
        <w:rPr>
          <w:rStyle w:val="Voetnootmarkering"/>
          <w:sz w:val="16"/>
          <w:szCs w:val="16"/>
        </w:rPr>
        <w:footnoteRef/>
      </w:r>
      <w:r w:rsidRPr="00954D98">
        <w:rPr>
          <w:sz w:val="16"/>
          <w:szCs w:val="16"/>
        </w:rPr>
        <w:t xml:space="preserve"> Vergelijk: bij het Eigen Middelenbesluit 2014-2020 is alleen de Raad de begrotingsautoriteit. Net als bij het MFK wordt in de Raad met unanimiteit besloten. De nationale parlementen dienen het Eigen Middelenbesluit te ratificeren en de Europese Commissie is verantwoordelijk voor de inning. </w:t>
      </w:r>
    </w:p>
  </w:footnote>
  <w:footnote w:id="7">
    <w:p w:rsidR="00C4216E" w:rsidRPr="00C4216E" w:rsidRDefault="00C4216E">
      <w:pPr>
        <w:pStyle w:val="Voetnoottekst"/>
        <w:rPr>
          <w:i/>
          <w:lang w:val="en-GB"/>
        </w:rPr>
      </w:pPr>
      <w:r w:rsidRPr="00FB48DD">
        <w:rPr>
          <w:rStyle w:val="Voetnootmarkering"/>
          <w:sz w:val="16"/>
        </w:rPr>
        <w:footnoteRef/>
      </w:r>
      <w:r w:rsidRPr="00FB48DD">
        <w:rPr>
          <w:sz w:val="16"/>
          <w:lang w:val="en-GB"/>
        </w:rPr>
        <w:t xml:space="preserve"> EPRS (2016) </w:t>
      </w:r>
      <w:r w:rsidRPr="00FB48DD">
        <w:rPr>
          <w:i/>
          <w:sz w:val="16"/>
          <w:lang w:val="en-GB"/>
        </w:rPr>
        <w:t xml:space="preserve">Briefing: Mid-term review/revision of the MFF. Key issues at the outset of the debate. </w:t>
      </w:r>
    </w:p>
  </w:footnote>
  <w:footnote w:id="8">
    <w:p w:rsidR="00925DC8" w:rsidRPr="008D2228" w:rsidRDefault="00925DC8">
      <w:pPr>
        <w:pStyle w:val="Voetnoottekst"/>
        <w:rPr>
          <w:sz w:val="16"/>
          <w:szCs w:val="16"/>
        </w:rPr>
      </w:pPr>
      <w:r w:rsidRPr="00925DC8">
        <w:rPr>
          <w:rStyle w:val="Voetnootmarkering"/>
          <w:sz w:val="16"/>
          <w:szCs w:val="16"/>
        </w:rPr>
        <w:footnoteRef/>
      </w:r>
      <w:r w:rsidRPr="00925DC8">
        <w:rPr>
          <w:sz w:val="16"/>
          <w:szCs w:val="16"/>
          <w:lang w:val="en-GB"/>
        </w:rPr>
        <w:t xml:space="preserve"> </w:t>
      </w:r>
      <w:proofErr w:type="spellStart"/>
      <w:r w:rsidRPr="00925DC8">
        <w:rPr>
          <w:sz w:val="16"/>
          <w:szCs w:val="16"/>
          <w:lang w:val="en-GB"/>
        </w:rPr>
        <w:t>Europees</w:t>
      </w:r>
      <w:proofErr w:type="spellEnd"/>
      <w:r w:rsidRPr="00925DC8">
        <w:rPr>
          <w:sz w:val="16"/>
          <w:szCs w:val="16"/>
          <w:lang w:val="en-GB"/>
        </w:rPr>
        <w:t xml:space="preserve"> </w:t>
      </w:r>
      <w:proofErr w:type="spellStart"/>
      <w:r w:rsidRPr="00925DC8">
        <w:rPr>
          <w:sz w:val="16"/>
          <w:szCs w:val="16"/>
          <w:lang w:val="en-GB"/>
        </w:rPr>
        <w:t>Parlement</w:t>
      </w:r>
      <w:proofErr w:type="spellEnd"/>
      <w:r w:rsidRPr="00925DC8">
        <w:rPr>
          <w:sz w:val="16"/>
          <w:szCs w:val="16"/>
          <w:lang w:val="en-GB"/>
        </w:rPr>
        <w:t xml:space="preserve"> (2015), </w:t>
      </w:r>
      <w:r w:rsidRPr="00925DC8">
        <w:rPr>
          <w:rFonts w:cs="Arial"/>
          <w:bCs/>
          <w:i/>
          <w:sz w:val="16"/>
          <w:szCs w:val="16"/>
          <w:lang w:val="en-GB"/>
        </w:rPr>
        <w:t xml:space="preserve">Preparation of the post-electoral revision of the MFF 2014-2020: </w:t>
      </w:r>
      <w:r w:rsidRPr="008D2228">
        <w:rPr>
          <w:rFonts w:cs="Arial"/>
          <w:bCs/>
          <w:i/>
          <w:sz w:val="16"/>
          <w:szCs w:val="16"/>
          <w:lang w:val="en-GB"/>
        </w:rPr>
        <w:t xml:space="preserve">Parliament's input ahead of the Commission's proposal. </w:t>
      </w:r>
      <w:r w:rsidRPr="008D2228">
        <w:rPr>
          <w:rFonts w:cs="Arial"/>
          <w:bCs/>
          <w:sz w:val="16"/>
          <w:szCs w:val="16"/>
        </w:rPr>
        <w:t xml:space="preserve">Referentienummer: </w:t>
      </w:r>
      <w:r w:rsidRPr="008D2228">
        <w:rPr>
          <w:rStyle w:val="basicreference1"/>
          <w:rFonts w:cs="Arial"/>
          <w:b w:val="0"/>
          <w:color w:val="auto"/>
          <w:sz w:val="16"/>
          <w:szCs w:val="16"/>
        </w:rPr>
        <w:t>2015/2353(INI)</w:t>
      </w:r>
      <w:r w:rsidR="0081305E">
        <w:rPr>
          <w:rStyle w:val="basicreference1"/>
          <w:rFonts w:cs="Arial"/>
          <w:b w:val="0"/>
          <w:color w:val="auto"/>
          <w:sz w:val="16"/>
          <w:szCs w:val="16"/>
        </w:rPr>
        <w:t>.</w:t>
      </w:r>
    </w:p>
  </w:footnote>
  <w:footnote w:id="9">
    <w:p w:rsidR="002B1983" w:rsidRPr="008D2228" w:rsidRDefault="002B1983" w:rsidP="008D2228">
      <w:pPr>
        <w:pStyle w:val="Default"/>
        <w:rPr>
          <w:rFonts w:ascii="KBJOP B+ Univers" w:hAnsi="KBJOP B+ Univers" w:cs="KBJOP B+ Univers"/>
          <w:sz w:val="16"/>
          <w:szCs w:val="16"/>
        </w:rPr>
      </w:pPr>
      <w:r w:rsidRPr="008D2228">
        <w:rPr>
          <w:rStyle w:val="Voetnootmarkering"/>
          <w:sz w:val="16"/>
          <w:szCs w:val="16"/>
        </w:rPr>
        <w:footnoteRef/>
      </w:r>
      <w:r w:rsidRPr="008D2228">
        <w:rPr>
          <w:sz w:val="16"/>
          <w:szCs w:val="16"/>
        </w:rPr>
        <w:t xml:space="preserve"> Kamerstuk</w:t>
      </w:r>
      <w:r w:rsidR="00364EFD" w:rsidRPr="008D2228">
        <w:rPr>
          <w:sz w:val="16"/>
          <w:szCs w:val="16"/>
        </w:rPr>
        <w:t>ken II,</w:t>
      </w:r>
      <w:r w:rsidRPr="008D2228">
        <w:rPr>
          <w:sz w:val="16"/>
          <w:szCs w:val="16"/>
        </w:rPr>
        <w:t xml:space="preserve"> 2015/16, 34 139, nr. 11</w:t>
      </w:r>
      <w:r w:rsidR="008D2228">
        <w:rPr>
          <w:sz w:val="16"/>
          <w:szCs w:val="16"/>
        </w:rPr>
        <w:t>.</w:t>
      </w:r>
    </w:p>
  </w:footnote>
  <w:footnote w:id="10">
    <w:p w:rsidR="008D2228" w:rsidRPr="008D2228" w:rsidRDefault="008D2228" w:rsidP="008D2228">
      <w:pPr>
        <w:pStyle w:val="Default"/>
        <w:rPr>
          <w:rFonts w:ascii="AOKME F+ Univers" w:hAnsi="AOKME F+ Univers" w:cs="AOKME F+ Univers"/>
          <w:sz w:val="16"/>
          <w:szCs w:val="16"/>
        </w:rPr>
      </w:pPr>
      <w:r w:rsidRPr="008D2228">
        <w:rPr>
          <w:rStyle w:val="Voetnootmarkering"/>
          <w:sz w:val="16"/>
          <w:szCs w:val="16"/>
        </w:rPr>
        <w:footnoteRef/>
      </w:r>
      <w:r w:rsidRPr="008D2228">
        <w:rPr>
          <w:sz w:val="16"/>
          <w:szCs w:val="16"/>
        </w:rPr>
        <w:t xml:space="preserve"> Kamerstukken II, 2016/17, 21501-02, nr. 1668.</w:t>
      </w:r>
    </w:p>
    <w:p w:rsidR="008D2228" w:rsidRDefault="008D2228" w:rsidP="008D2228">
      <w:pPr>
        <w:pStyle w:val="Voetnoottekst"/>
      </w:pPr>
    </w:p>
  </w:footnote>
  <w:footnote w:id="11">
    <w:p w:rsidR="00C35BB6" w:rsidRPr="00C35BB6" w:rsidRDefault="00C35BB6" w:rsidP="00C35BB6">
      <w:pPr>
        <w:spacing w:line="23" w:lineRule="atLeast"/>
        <w:rPr>
          <w:sz w:val="16"/>
          <w:szCs w:val="16"/>
        </w:rPr>
      </w:pPr>
      <w:r w:rsidRPr="00C35BB6">
        <w:rPr>
          <w:rStyle w:val="Voetnootmarkering"/>
          <w:sz w:val="16"/>
          <w:szCs w:val="16"/>
        </w:rPr>
        <w:footnoteRef/>
      </w:r>
      <w:r w:rsidRPr="00C35BB6">
        <w:rPr>
          <w:sz w:val="16"/>
          <w:szCs w:val="16"/>
        </w:rPr>
        <w:t xml:space="preserve"> Het betreft nieuwe investeringen binnen </w:t>
      </w:r>
      <w:r>
        <w:rPr>
          <w:sz w:val="16"/>
          <w:szCs w:val="16"/>
        </w:rPr>
        <w:t>het actuele uitgavenplafond.</w:t>
      </w:r>
    </w:p>
    <w:p w:rsidR="00C35BB6" w:rsidRDefault="00C35BB6">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67" w:rsidRDefault="00F04D67">
    <w:pPr>
      <w:pStyle w:val="Koptekst"/>
    </w:pPr>
    <w:r>
      <w:rPr>
        <w:noProof/>
        <w:lang w:eastAsia="nl-NL"/>
      </w:rPr>
      <w:drawing>
        <wp:anchor distT="0" distB="0" distL="114300" distR="114300" simplePos="0" relativeHeight="251672064" behindDoc="1" locked="0" layoutInCell="1" allowOverlap="1" wp14:anchorId="52B29824" wp14:editId="28837113">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7AC"/>
    <w:multiLevelType w:val="hybridMultilevel"/>
    <w:tmpl w:val="B74A13B4"/>
    <w:lvl w:ilvl="0" w:tplc="2F7CF4E0">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1">
    <w:nsid w:val="1A032527"/>
    <w:multiLevelType w:val="multilevel"/>
    <w:tmpl w:val="50146636"/>
    <w:lvl w:ilvl="0">
      <w:start w:val="1"/>
      <w:numFmt w:val="decimal"/>
      <w:pStyle w:val="Paragraaf-Huisstijl"/>
      <w:lvlText w:val="%1."/>
      <w:lvlJc w:val="left"/>
      <w:pPr>
        <w:ind w:left="284" w:hanging="284"/>
      </w:pPr>
      <w:rPr>
        <w:rFonts w:cs="Times New Roman" w:hint="default"/>
      </w:rPr>
    </w:lvl>
    <w:lvl w:ilvl="1">
      <w:start w:val="1"/>
      <w:numFmt w:val="decimal"/>
      <w:pStyle w:val="Subparagraaf-Huisstijl"/>
      <w:lvlText w:val="%1.%2"/>
      <w:lvlJc w:val="left"/>
      <w:pPr>
        <w:tabs>
          <w:tab w:val="num" w:pos="340"/>
        </w:tabs>
        <w:ind w:left="340"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pPr>
        <w:ind w:left="340" w:hanging="340"/>
      </w:pPr>
      <w:rPr>
        <w:rFonts w:cs="Times New Roman" w:hint="default"/>
      </w:rPr>
    </w:lvl>
    <w:lvl w:ilvl="4">
      <w:start w:val="1"/>
      <w:numFmt w:val="none"/>
      <w:lvlText w:val="%5"/>
      <w:lvlJc w:val="left"/>
      <w:pPr>
        <w:ind w:left="340" w:hanging="340"/>
      </w:pPr>
      <w:rPr>
        <w:rFonts w:cs="Times New Roman" w:hint="default"/>
      </w:rPr>
    </w:lvl>
    <w:lvl w:ilvl="5">
      <w:start w:val="1"/>
      <w:numFmt w:val="none"/>
      <w:lvlText w:val="%6"/>
      <w:lvlJc w:val="left"/>
      <w:pPr>
        <w:ind w:left="340" w:hanging="340"/>
      </w:pPr>
      <w:rPr>
        <w:rFonts w:cs="Times New Roman" w:hint="default"/>
      </w:rPr>
    </w:lvl>
    <w:lvl w:ilvl="6">
      <w:start w:val="1"/>
      <w:numFmt w:val="none"/>
      <w:lvlText w:val="%7"/>
      <w:lvlJc w:val="left"/>
      <w:pPr>
        <w:ind w:left="340" w:hanging="340"/>
      </w:pPr>
      <w:rPr>
        <w:rFonts w:cs="Times New Roman" w:hint="default"/>
      </w:rPr>
    </w:lvl>
    <w:lvl w:ilvl="7">
      <w:start w:val="1"/>
      <w:numFmt w:val="none"/>
      <w:lvlText w:val="%8"/>
      <w:lvlJc w:val="left"/>
      <w:pPr>
        <w:ind w:left="340" w:hanging="340"/>
      </w:pPr>
      <w:rPr>
        <w:rFonts w:cs="Times New Roman" w:hint="default"/>
      </w:rPr>
    </w:lvl>
    <w:lvl w:ilvl="8">
      <w:start w:val="1"/>
      <w:numFmt w:val="none"/>
      <w:lvlText w:val="%9"/>
      <w:lvlJc w:val="left"/>
      <w:pPr>
        <w:ind w:left="340" w:hanging="340"/>
      </w:pPr>
      <w:rPr>
        <w:rFonts w:cs="Times New Roman" w:hint="default"/>
      </w:rPr>
    </w:lvl>
  </w:abstractNum>
  <w:abstractNum w:abstractNumId="2">
    <w:nsid w:val="1C115F35"/>
    <w:multiLevelType w:val="hybridMultilevel"/>
    <w:tmpl w:val="54ACD0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E4325B2"/>
    <w:multiLevelType w:val="hybridMultilevel"/>
    <w:tmpl w:val="7D0A4840"/>
    <w:lvl w:ilvl="0" w:tplc="250E0F48">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4">
    <w:nsid w:val="2B406075"/>
    <w:multiLevelType w:val="hybridMultilevel"/>
    <w:tmpl w:val="669E4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E8F589F"/>
    <w:multiLevelType w:val="hybridMultilevel"/>
    <w:tmpl w:val="E81C3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044608F"/>
    <w:multiLevelType w:val="hybridMultilevel"/>
    <w:tmpl w:val="00B2E7D8"/>
    <w:lvl w:ilvl="0" w:tplc="0413000F">
      <w:start w:val="1"/>
      <w:numFmt w:val="decimal"/>
      <w:lvlText w:val="%1."/>
      <w:lvlJc w:val="left"/>
      <w:pPr>
        <w:ind w:left="720" w:hanging="360"/>
      </w:pPr>
      <w:rPr>
        <w:rFonts w:hint="default"/>
      </w:rPr>
    </w:lvl>
    <w:lvl w:ilvl="1" w:tplc="E0166BC6">
      <w:numFmt w:val="bullet"/>
      <w:lvlText w:val=""/>
      <w:lvlJc w:val="left"/>
      <w:pPr>
        <w:ind w:left="1440" w:hanging="360"/>
      </w:pPr>
      <w:rPr>
        <w:rFonts w:ascii="Times New Roman" w:eastAsia="Times New Roman"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52E6EE4"/>
    <w:multiLevelType w:val="hybridMultilevel"/>
    <w:tmpl w:val="A74CA1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5F23515"/>
    <w:multiLevelType w:val="hybridMultilevel"/>
    <w:tmpl w:val="63A083CC"/>
    <w:lvl w:ilvl="0" w:tplc="AF3AD2D2">
      <w:start w:val="1"/>
      <w:numFmt w:val="upperLetter"/>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nsid w:val="366D436C"/>
    <w:multiLevelType w:val="hybridMultilevel"/>
    <w:tmpl w:val="8294D1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7A60E84"/>
    <w:multiLevelType w:val="hybridMultilevel"/>
    <w:tmpl w:val="4F060B00"/>
    <w:lvl w:ilvl="0" w:tplc="08F4C3A6">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11">
    <w:nsid w:val="41853F7E"/>
    <w:multiLevelType w:val="hybridMultilevel"/>
    <w:tmpl w:val="848086BA"/>
    <w:lvl w:ilvl="0" w:tplc="2C16C03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80655DC"/>
    <w:multiLevelType w:val="hybridMultilevel"/>
    <w:tmpl w:val="D90096EC"/>
    <w:lvl w:ilvl="0" w:tplc="06FC64F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B22194C"/>
    <w:multiLevelType w:val="hybridMultilevel"/>
    <w:tmpl w:val="6BFE7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C02244B"/>
    <w:multiLevelType w:val="hybridMultilevel"/>
    <w:tmpl w:val="42E47B2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nsid w:val="4EA84475"/>
    <w:multiLevelType w:val="hybridMultilevel"/>
    <w:tmpl w:val="5F7CAA00"/>
    <w:lvl w:ilvl="0" w:tplc="F10AA7D0">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16">
    <w:nsid w:val="4FA11290"/>
    <w:multiLevelType w:val="hybridMultilevel"/>
    <w:tmpl w:val="C6DA2046"/>
    <w:lvl w:ilvl="0" w:tplc="A12469A2">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17">
    <w:nsid w:val="50564C81"/>
    <w:multiLevelType w:val="hybridMultilevel"/>
    <w:tmpl w:val="853CEDEE"/>
    <w:lvl w:ilvl="0" w:tplc="1096C74E">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18">
    <w:nsid w:val="51E80806"/>
    <w:multiLevelType w:val="hybridMultilevel"/>
    <w:tmpl w:val="86120974"/>
    <w:lvl w:ilvl="0" w:tplc="F5F68B5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4E819FC"/>
    <w:multiLevelType w:val="hybridMultilevel"/>
    <w:tmpl w:val="18D8A09C"/>
    <w:lvl w:ilvl="0" w:tplc="4A20264A">
      <w:numFmt w:val="bullet"/>
      <w:lvlText w:val="-"/>
      <w:lvlJc w:val="left"/>
      <w:pPr>
        <w:ind w:left="397" w:hanging="397"/>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B4E081E"/>
    <w:multiLevelType w:val="hybridMultilevel"/>
    <w:tmpl w:val="46C8B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C5D2450"/>
    <w:multiLevelType w:val="hybridMultilevel"/>
    <w:tmpl w:val="A7641A62"/>
    <w:lvl w:ilvl="0" w:tplc="4A20264A">
      <w:numFmt w:val="bullet"/>
      <w:lvlText w:val="-"/>
      <w:lvlJc w:val="left"/>
      <w:pPr>
        <w:ind w:left="397" w:hanging="397"/>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C7F31AE"/>
    <w:multiLevelType w:val="hybridMultilevel"/>
    <w:tmpl w:val="563EF19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E8025DC"/>
    <w:multiLevelType w:val="hybridMultilevel"/>
    <w:tmpl w:val="5574B750"/>
    <w:lvl w:ilvl="0" w:tplc="C23630D2">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24">
    <w:nsid w:val="5F0D4C99"/>
    <w:multiLevelType w:val="hybridMultilevel"/>
    <w:tmpl w:val="F440C258"/>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61E48BA"/>
    <w:multiLevelType w:val="hybridMultilevel"/>
    <w:tmpl w:val="72A0D4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69BD49E4"/>
    <w:multiLevelType w:val="hybridMultilevel"/>
    <w:tmpl w:val="B1F6A42E"/>
    <w:lvl w:ilvl="0" w:tplc="BD808856">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27">
    <w:nsid w:val="6A8E0F7F"/>
    <w:multiLevelType w:val="hybridMultilevel"/>
    <w:tmpl w:val="4B1E2350"/>
    <w:lvl w:ilvl="0" w:tplc="35BE45EE">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nsid w:val="6BF017DA"/>
    <w:multiLevelType w:val="hybridMultilevel"/>
    <w:tmpl w:val="6CD468DC"/>
    <w:lvl w:ilvl="0" w:tplc="8932E1FE">
      <w:start w:val="1"/>
      <w:numFmt w:val="decimal"/>
      <w:lvlText w:val="%1."/>
      <w:lvlJc w:val="left"/>
      <w:pPr>
        <w:ind w:left="415" w:hanging="360"/>
      </w:pPr>
      <w:rPr>
        <w:rFonts w:hint="default"/>
      </w:rPr>
    </w:lvl>
    <w:lvl w:ilvl="1" w:tplc="04130019" w:tentative="1">
      <w:start w:val="1"/>
      <w:numFmt w:val="lowerLetter"/>
      <w:lvlText w:val="%2."/>
      <w:lvlJc w:val="left"/>
      <w:pPr>
        <w:ind w:left="1135" w:hanging="360"/>
      </w:pPr>
    </w:lvl>
    <w:lvl w:ilvl="2" w:tplc="0413001B" w:tentative="1">
      <w:start w:val="1"/>
      <w:numFmt w:val="lowerRoman"/>
      <w:lvlText w:val="%3."/>
      <w:lvlJc w:val="right"/>
      <w:pPr>
        <w:ind w:left="1855" w:hanging="180"/>
      </w:pPr>
    </w:lvl>
    <w:lvl w:ilvl="3" w:tplc="0413000F" w:tentative="1">
      <w:start w:val="1"/>
      <w:numFmt w:val="decimal"/>
      <w:lvlText w:val="%4."/>
      <w:lvlJc w:val="left"/>
      <w:pPr>
        <w:ind w:left="2575" w:hanging="360"/>
      </w:pPr>
    </w:lvl>
    <w:lvl w:ilvl="4" w:tplc="04130019" w:tentative="1">
      <w:start w:val="1"/>
      <w:numFmt w:val="lowerLetter"/>
      <w:lvlText w:val="%5."/>
      <w:lvlJc w:val="left"/>
      <w:pPr>
        <w:ind w:left="3295" w:hanging="360"/>
      </w:pPr>
    </w:lvl>
    <w:lvl w:ilvl="5" w:tplc="0413001B" w:tentative="1">
      <w:start w:val="1"/>
      <w:numFmt w:val="lowerRoman"/>
      <w:lvlText w:val="%6."/>
      <w:lvlJc w:val="right"/>
      <w:pPr>
        <w:ind w:left="4015" w:hanging="180"/>
      </w:pPr>
    </w:lvl>
    <w:lvl w:ilvl="6" w:tplc="0413000F" w:tentative="1">
      <w:start w:val="1"/>
      <w:numFmt w:val="decimal"/>
      <w:lvlText w:val="%7."/>
      <w:lvlJc w:val="left"/>
      <w:pPr>
        <w:ind w:left="4735" w:hanging="360"/>
      </w:pPr>
    </w:lvl>
    <w:lvl w:ilvl="7" w:tplc="04130019" w:tentative="1">
      <w:start w:val="1"/>
      <w:numFmt w:val="lowerLetter"/>
      <w:lvlText w:val="%8."/>
      <w:lvlJc w:val="left"/>
      <w:pPr>
        <w:ind w:left="5455" w:hanging="360"/>
      </w:pPr>
    </w:lvl>
    <w:lvl w:ilvl="8" w:tplc="0413001B" w:tentative="1">
      <w:start w:val="1"/>
      <w:numFmt w:val="lowerRoman"/>
      <w:lvlText w:val="%9."/>
      <w:lvlJc w:val="right"/>
      <w:pPr>
        <w:ind w:left="6175" w:hanging="180"/>
      </w:pPr>
    </w:lvl>
  </w:abstractNum>
  <w:abstractNum w:abstractNumId="29">
    <w:nsid w:val="6BFD06B6"/>
    <w:multiLevelType w:val="hybridMultilevel"/>
    <w:tmpl w:val="721402FC"/>
    <w:lvl w:ilvl="0" w:tplc="4A20264A">
      <w:numFmt w:val="bullet"/>
      <w:lvlText w:val="-"/>
      <w:lvlJc w:val="left"/>
      <w:pPr>
        <w:ind w:left="397" w:hanging="397"/>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DA35F02"/>
    <w:multiLevelType w:val="multilevel"/>
    <w:tmpl w:val="93000A86"/>
    <w:lvl w:ilvl="0">
      <w:start w:val="1"/>
      <w:numFmt w:val="lowerRoman"/>
      <w:lvlText w:val="%1."/>
      <w:lvlJc w:val="right"/>
      <w:pPr>
        <w:tabs>
          <w:tab w:val="num" w:pos="720"/>
        </w:tabs>
        <w:ind w:left="720" w:hanging="360"/>
      </w:pPr>
      <w:rPr>
        <w:rFonts w:hint="default"/>
        <w:sz w:val="14"/>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F81536"/>
    <w:multiLevelType w:val="hybridMultilevel"/>
    <w:tmpl w:val="C6449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EE46F76"/>
    <w:multiLevelType w:val="hybridMultilevel"/>
    <w:tmpl w:val="1BE46F38"/>
    <w:lvl w:ilvl="0" w:tplc="D6D43080">
      <w:start w:val="14"/>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nsid w:val="750926AA"/>
    <w:multiLevelType w:val="hybridMultilevel"/>
    <w:tmpl w:val="0F908484"/>
    <w:lvl w:ilvl="0" w:tplc="170C7BF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78D8481A"/>
    <w:multiLevelType w:val="hybridMultilevel"/>
    <w:tmpl w:val="4D9E0C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9"/>
  </w:num>
  <w:num w:numId="2">
    <w:abstractNumId w:val="18"/>
  </w:num>
  <w:num w:numId="3">
    <w:abstractNumId w:val="11"/>
  </w:num>
  <w:num w:numId="4">
    <w:abstractNumId w:val="24"/>
  </w:num>
  <w:num w:numId="5">
    <w:abstractNumId w:val="2"/>
  </w:num>
  <w:num w:numId="6">
    <w:abstractNumId w:val="19"/>
  </w:num>
  <w:num w:numId="7">
    <w:abstractNumId w:val="9"/>
  </w:num>
  <w:num w:numId="8">
    <w:abstractNumId w:val="21"/>
  </w:num>
  <w:num w:numId="9">
    <w:abstractNumId w:val="5"/>
  </w:num>
  <w:num w:numId="10">
    <w:abstractNumId w:val="4"/>
  </w:num>
  <w:num w:numId="11">
    <w:abstractNumId w:val="31"/>
  </w:num>
  <w:num w:numId="12">
    <w:abstractNumId w:val="20"/>
  </w:num>
  <w:num w:numId="13">
    <w:abstractNumId w:val="25"/>
  </w:num>
  <w:num w:numId="14">
    <w:abstractNumId w:val="7"/>
  </w:num>
  <w:num w:numId="15">
    <w:abstractNumId w:val="33"/>
  </w:num>
  <w:num w:numId="16">
    <w:abstractNumId w:val="1"/>
  </w:num>
  <w:num w:numId="17">
    <w:abstractNumId w:val="13"/>
  </w:num>
  <w:num w:numId="18">
    <w:abstractNumId w:val="23"/>
  </w:num>
  <w:num w:numId="19">
    <w:abstractNumId w:val="17"/>
  </w:num>
  <w:num w:numId="20">
    <w:abstractNumId w:val="16"/>
  </w:num>
  <w:num w:numId="21">
    <w:abstractNumId w:val="26"/>
  </w:num>
  <w:num w:numId="22">
    <w:abstractNumId w:val="3"/>
  </w:num>
  <w:num w:numId="23">
    <w:abstractNumId w:val="0"/>
  </w:num>
  <w:num w:numId="24">
    <w:abstractNumId w:val="10"/>
  </w:num>
  <w:num w:numId="25">
    <w:abstractNumId w:val="15"/>
  </w:num>
  <w:num w:numId="26">
    <w:abstractNumId w:val="28"/>
  </w:num>
  <w:num w:numId="27">
    <w:abstractNumId w:val="34"/>
  </w:num>
  <w:num w:numId="28">
    <w:abstractNumId w:val="8"/>
  </w:num>
  <w:num w:numId="29">
    <w:abstractNumId w:val="6"/>
  </w:num>
  <w:num w:numId="30">
    <w:abstractNumId w:val="12"/>
  </w:num>
  <w:num w:numId="31">
    <w:abstractNumId w:val="27"/>
  </w:num>
  <w:num w:numId="32">
    <w:abstractNumId w:val="22"/>
  </w:num>
  <w:num w:numId="33">
    <w:abstractNumId w:val="32"/>
  </w:num>
  <w:num w:numId="34">
    <w:abstractNumId w:val="14"/>
  </w:num>
  <w:num w:numId="35">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drawingGridHorizontalSpacing w:val="90"/>
  <w:drawingGridVerticalSpacing w:val="142"/>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DB"/>
    <w:rsid w:val="000033E5"/>
    <w:rsid w:val="00007613"/>
    <w:rsid w:val="0001201F"/>
    <w:rsid w:val="00012151"/>
    <w:rsid w:val="0001561F"/>
    <w:rsid w:val="00021664"/>
    <w:rsid w:val="00022CF4"/>
    <w:rsid w:val="00024CB3"/>
    <w:rsid w:val="00030C6E"/>
    <w:rsid w:val="000337AA"/>
    <w:rsid w:val="00036AFB"/>
    <w:rsid w:val="0003765D"/>
    <w:rsid w:val="00041255"/>
    <w:rsid w:val="00041CED"/>
    <w:rsid w:val="00044F16"/>
    <w:rsid w:val="00046619"/>
    <w:rsid w:val="000522CB"/>
    <w:rsid w:val="00052AA7"/>
    <w:rsid w:val="0006193A"/>
    <w:rsid w:val="00063064"/>
    <w:rsid w:val="00063767"/>
    <w:rsid w:val="000647AC"/>
    <w:rsid w:val="00066C88"/>
    <w:rsid w:val="00076842"/>
    <w:rsid w:val="00077D08"/>
    <w:rsid w:val="0008103C"/>
    <w:rsid w:val="00081D45"/>
    <w:rsid w:val="00085B38"/>
    <w:rsid w:val="00086E10"/>
    <w:rsid w:val="0008777A"/>
    <w:rsid w:val="000A140A"/>
    <w:rsid w:val="000A18CF"/>
    <w:rsid w:val="000A211E"/>
    <w:rsid w:val="000A21BD"/>
    <w:rsid w:val="000A60C0"/>
    <w:rsid w:val="000A7D65"/>
    <w:rsid w:val="000B6CC2"/>
    <w:rsid w:val="000B73BE"/>
    <w:rsid w:val="000B790D"/>
    <w:rsid w:val="000C0783"/>
    <w:rsid w:val="000D00AD"/>
    <w:rsid w:val="000D08B3"/>
    <w:rsid w:val="000D1228"/>
    <w:rsid w:val="000D1765"/>
    <w:rsid w:val="000D28D6"/>
    <w:rsid w:val="000D39B8"/>
    <w:rsid w:val="000D39DB"/>
    <w:rsid w:val="000D6BFD"/>
    <w:rsid w:val="000D7A35"/>
    <w:rsid w:val="000E0ED1"/>
    <w:rsid w:val="000E7CD3"/>
    <w:rsid w:val="000F0095"/>
    <w:rsid w:val="000F00F7"/>
    <w:rsid w:val="000F2492"/>
    <w:rsid w:val="00100A53"/>
    <w:rsid w:val="00105C0C"/>
    <w:rsid w:val="00105E1B"/>
    <w:rsid w:val="0011157E"/>
    <w:rsid w:val="001172CB"/>
    <w:rsid w:val="00121458"/>
    <w:rsid w:val="00123A0E"/>
    <w:rsid w:val="00131D07"/>
    <w:rsid w:val="00133E5C"/>
    <w:rsid w:val="001348C0"/>
    <w:rsid w:val="0013611C"/>
    <w:rsid w:val="001425A2"/>
    <w:rsid w:val="00142FB1"/>
    <w:rsid w:val="0015350D"/>
    <w:rsid w:val="00157A79"/>
    <w:rsid w:val="00160423"/>
    <w:rsid w:val="00170401"/>
    <w:rsid w:val="001842E4"/>
    <w:rsid w:val="00185E0D"/>
    <w:rsid w:val="00187B93"/>
    <w:rsid w:val="0019120A"/>
    <w:rsid w:val="001922D1"/>
    <w:rsid w:val="00193A79"/>
    <w:rsid w:val="001B090D"/>
    <w:rsid w:val="001B5C08"/>
    <w:rsid w:val="001C00E9"/>
    <w:rsid w:val="001C04E5"/>
    <w:rsid w:val="001D4185"/>
    <w:rsid w:val="001D62E9"/>
    <w:rsid w:val="001E0683"/>
    <w:rsid w:val="001E524D"/>
    <w:rsid w:val="001F2ABD"/>
    <w:rsid w:val="001F3022"/>
    <w:rsid w:val="001F3E09"/>
    <w:rsid w:val="001F7660"/>
    <w:rsid w:val="0020340A"/>
    <w:rsid w:val="002035DC"/>
    <w:rsid w:val="002039FE"/>
    <w:rsid w:val="00214EC9"/>
    <w:rsid w:val="00215DF9"/>
    <w:rsid w:val="002240D8"/>
    <w:rsid w:val="00226B19"/>
    <w:rsid w:val="00226EC2"/>
    <w:rsid w:val="00230376"/>
    <w:rsid w:val="002343A5"/>
    <w:rsid w:val="00237753"/>
    <w:rsid w:val="00245667"/>
    <w:rsid w:val="002642FC"/>
    <w:rsid w:val="00271594"/>
    <w:rsid w:val="00273CDF"/>
    <w:rsid w:val="00275BD1"/>
    <w:rsid w:val="00275F14"/>
    <w:rsid w:val="00276A98"/>
    <w:rsid w:val="00277DBC"/>
    <w:rsid w:val="00280C0D"/>
    <w:rsid w:val="00281BEC"/>
    <w:rsid w:val="00286646"/>
    <w:rsid w:val="00292D3D"/>
    <w:rsid w:val="002A2B50"/>
    <w:rsid w:val="002A6423"/>
    <w:rsid w:val="002A6F16"/>
    <w:rsid w:val="002B1983"/>
    <w:rsid w:val="002B3BCE"/>
    <w:rsid w:val="002B497A"/>
    <w:rsid w:val="002C4CAF"/>
    <w:rsid w:val="002C7E3A"/>
    <w:rsid w:val="002D12AC"/>
    <w:rsid w:val="002D1612"/>
    <w:rsid w:val="002D288E"/>
    <w:rsid w:val="002D3410"/>
    <w:rsid w:val="002D4F6B"/>
    <w:rsid w:val="002D5755"/>
    <w:rsid w:val="002D6866"/>
    <w:rsid w:val="002E72DB"/>
    <w:rsid w:val="002F18C5"/>
    <w:rsid w:val="002F1FDE"/>
    <w:rsid w:val="00301BAD"/>
    <w:rsid w:val="00304F71"/>
    <w:rsid w:val="00305670"/>
    <w:rsid w:val="00305D7D"/>
    <w:rsid w:val="003126D4"/>
    <w:rsid w:val="00313C5E"/>
    <w:rsid w:val="003163A9"/>
    <w:rsid w:val="00316637"/>
    <w:rsid w:val="00316F7E"/>
    <w:rsid w:val="00320013"/>
    <w:rsid w:val="00323D35"/>
    <w:rsid w:val="003247DE"/>
    <w:rsid w:val="003309AD"/>
    <w:rsid w:val="0033115A"/>
    <w:rsid w:val="003363CE"/>
    <w:rsid w:val="00337BB2"/>
    <w:rsid w:val="00341DFE"/>
    <w:rsid w:val="00345340"/>
    <w:rsid w:val="00346AA8"/>
    <w:rsid w:val="00351733"/>
    <w:rsid w:val="00352778"/>
    <w:rsid w:val="0035424F"/>
    <w:rsid w:val="0035484F"/>
    <w:rsid w:val="00354AD4"/>
    <w:rsid w:val="00356BEF"/>
    <w:rsid w:val="003576EE"/>
    <w:rsid w:val="00364EFD"/>
    <w:rsid w:val="00365647"/>
    <w:rsid w:val="003658D8"/>
    <w:rsid w:val="00366CCA"/>
    <w:rsid w:val="00366F54"/>
    <w:rsid w:val="00367975"/>
    <w:rsid w:val="003705FD"/>
    <w:rsid w:val="00376F19"/>
    <w:rsid w:val="00380735"/>
    <w:rsid w:val="003814ED"/>
    <w:rsid w:val="00381668"/>
    <w:rsid w:val="00382EE9"/>
    <w:rsid w:val="00382F58"/>
    <w:rsid w:val="00384AAF"/>
    <w:rsid w:val="00384CE0"/>
    <w:rsid w:val="00385C4B"/>
    <w:rsid w:val="003923FB"/>
    <w:rsid w:val="003927B2"/>
    <w:rsid w:val="00396643"/>
    <w:rsid w:val="003A13D0"/>
    <w:rsid w:val="003A624D"/>
    <w:rsid w:val="003A62E9"/>
    <w:rsid w:val="003A666A"/>
    <w:rsid w:val="003B4DCB"/>
    <w:rsid w:val="003B773A"/>
    <w:rsid w:val="003C1851"/>
    <w:rsid w:val="003C2841"/>
    <w:rsid w:val="003C3EDC"/>
    <w:rsid w:val="003C5957"/>
    <w:rsid w:val="003C5D96"/>
    <w:rsid w:val="003C5FA4"/>
    <w:rsid w:val="003D0433"/>
    <w:rsid w:val="003D104E"/>
    <w:rsid w:val="003D15CD"/>
    <w:rsid w:val="003D1733"/>
    <w:rsid w:val="003D691A"/>
    <w:rsid w:val="003D7500"/>
    <w:rsid w:val="003E0C91"/>
    <w:rsid w:val="003E1C77"/>
    <w:rsid w:val="003E37B9"/>
    <w:rsid w:val="003E3964"/>
    <w:rsid w:val="003E7681"/>
    <w:rsid w:val="003E76A0"/>
    <w:rsid w:val="003F021A"/>
    <w:rsid w:val="003F2D84"/>
    <w:rsid w:val="003F3485"/>
    <w:rsid w:val="003F5835"/>
    <w:rsid w:val="003F69A2"/>
    <w:rsid w:val="003F6E47"/>
    <w:rsid w:val="003F753D"/>
    <w:rsid w:val="0040271B"/>
    <w:rsid w:val="00405849"/>
    <w:rsid w:val="004207C4"/>
    <w:rsid w:val="004212DC"/>
    <w:rsid w:val="00422EF6"/>
    <w:rsid w:val="00423A30"/>
    <w:rsid w:val="00423DC2"/>
    <w:rsid w:val="00424253"/>
    <w:rsid w:val="004253B2"/>
    <w:rsid w:val="00430629"/>
    <w:rsid w:val="00432508"/>
    <w:rsid w:val="0043333D"/>
    <w:rsid w:val="0043519C"/>
    <w:rsid w:val="004419E6"/>
    <w:rsid w:val="0044438F"/>
    <w:rsid w:val="00445B6F"/>
    <w:rsid w:val="0045714A"/>
    <w:rsid w:val="004578C8"/>
    <w:rsid w:val="0046510C"/>
    <w:rsid w:val="004671FF"/>
    <w:rsid w:val="00475F7D"/>
    <w:rsid w:val="0047698B"/>
    <w:rsid w:val="004805AB"/>
    <w:rsid w:val="00480C20"/>
    <w:rsid w:val="00483534"/>
    <w:rsid w:val="00487272"/>
    <w:rsid w:val="004916DB"/>
    <w:rsid w:val="00492856"/>
    <w:rsid w:val="00493D30"/>
    <w:rsid w:val="00496CD0"/>
    <w:rsid w:val="0049747C"/>
    <w:rsid w:val="004A0604"/>
    <w:rsid w:val="004A45B4"/>
    <w:rsid w:val="004A4B7F"/>
    <w:rsid w:val="004B09D0"/>
    <w:rsid w:val="004B44C1"/>
    <w:rsid w:val="004C23AC"/>
    <w:rsid w:val="004C71AD"/>
    <w:rsid w:val="004D36F1"/>
    <w:rsid w:val="004D44BB"/>
    <w:rsid w:val="004D6215"/>
    <w:rsid w:val="004D67BD"/>
    <w:rsid w:val="004E0C39"/>
    <w:rsid w:val="004E3AFD"/>
    <w:rsid w:val="004E54F4"/>
    <w:rsid w:val="004E72EB"/>
    <w:rsid w:val="004E77AD"/>
    <w:rsid w:val="004F6751"/>
    <w:rsid w:val="004F7393"/>
    <w:rsid w:val="00501600"/>
    <w:rsid w:val="00501A24"/>
    <w:rsid w:val="00501B8B"/>
    <w:rsid w:val="00502BA2"/>
    <w:rsid w:val="00503180"/>
    <w:rsid w:val="005033EF"/>
    <w:rsid w:val="00504ACD"/>
    <w:rsid w:val="00507531"/>
    <w:rsid w:val="00513F96"/>
    <w:rsid w:val="00521541"/>
    <w:rsid w:val="00521B1D"/>
    <w:rsid w:val="005268E0"/>
    <w:rsid w:val="00527700"/>
    <w:rsid w:val="00531B81"/>
    <w:rsid w:val="00531DCB"/>
    <w:rsid w:val="005350AE"/>
    <w:rsid w:val="005359AD"/>
    <w:rsid w:val="00535B1B"/>
    <w:rsid w:val="00541584"/>
    <w:rsid w:val="00545539"/>
    <w:rsid w:val="0055036D"/>
    <w:rsid w:val="00556437"/>
    <w:rsid w:val="00556A98"/>
    <w:rsid w:val="00557B9E"/>
    <w:rsid w:val="0056275F"/>
    <w:rsid w:val="00563060"/>
    <w:rsid w:val="00563BB1"/>
    <w:rsid w:val="00564178"/>
    <w:rsid w:val="00570CD6"/>
    <w:rsid w:val="005719C8"/>
    <w:rsid w:val="00572225"/>
    <w:rsid w:val="00573B34"/>
    <w:rsid w:val="00576EF3"/>
    <w:rsid w:val="00585445"/>
    <w:rsid w:val="005904B2"/>
    <w:rsid w:val="0059348B"/>
    <w:rsid w:val="005968D3"/>
    <w:rsid w:val="005A0F1C"/>
    <w:rsid w:val="005A2A68"/>
    <w:rsid w:val="005A3537"/>
    <w:rsid w:val="005A47A3"/>
    <w:rsid w:val="005A4DE9"/>
    <w:rsid w:val="005A54B0"/>
    <w:rsid w:val="005A587B"/>
    <w:rsid w:val="005A7E97"/>
    <w:rsid w:val="005B20B8"/>
    <w:rsid w:val="005C367D"/>
    <w:rsid w:val="005C5EDA"/>
    <w:rsid w:val="005D0577"/>
    <w:rsid w:val="005D3F7C"/>
    <w:rsid w:val="005D4AE8"/>
    <w:rsid w:val="005E1E0E"/>
    <w:rsid w:val="005E4CCA"/>
    <w:rsid w:val="005E5F98"/>
    <w:rsid w:val="005E61A2"/>
    <w:rsid w:val="005E6DB7"/>
    <w:rsid w:val="005E7110"/>
    <w:rsid w:val="005F16C0"/>
    <w:rsid w:val="005F5474"/>
    <w:rsid w:val="005F5A5D"/>
    <w:rsid w:val="005F5B43"/>
    <w:rsid w:val="0060121B"/>
    <w:rsid w:val="00601690"/>
    <w:rsid w:val="006020E6"/>
    <w:rsid w:val="00605C1C"/>
    <w:rsid w:val="006064F8"/>
    <w:rsid w:val="00607475"/>
    <w:rsid w:val="00610391"/>
    <w:rsid w:val="00610BB2"/>
    <w:rsid w:val="00611521"/>
    <w:rsid w:val="006120AC"/>
    <w:rsid w:val="0062326A"/>
    <w:rsid w:val="00623D7E"/>
    <w:rsid w:val="006244E9"/>
    <w:rsid w:val="006268AE"/>
    <w:rsid w:val="006300D3"/>
    <w:rsid w:val="00631A7B"/>
    <w:rsid w:val="006343E0"/>
    <w:rsid w:val="00635016"/>
    <w:rsid w:val="0063558D"/>
    <w:rsid w:val="00641842"/>
    <w:rsid w:val="0064311A"/>
    <w:rsid w:val="006466A1"/>
    <w:rsid w:val="006501A9"/>
    <w:rsid w:val="00651600"/>
    <w:rsid w:val="00654256"/>
    <w:rsid w:val="00655C7A"/>
    <w:rsid w:val="006560DE"/>
    <w:rsid w:val="006625EE"/>
    <w:rsid w:val="00663912"/>
    <w:rsid w:val="00663EF8"/>
    <w:rsid w:val="00666A9C"/>
    <w:rsid w:val="0066751D"/>
    <w:rsid w:val="0067173A"/>
    <w:rsid w:val="00672601"/>
    <w:rsid w:val="00680438"/>
    <w:rsid w:val="00680718"/>
    <w:rsid w:val="006813CC"/>
    <w:rsid w:val="00682BA9"/>
    <w:rsid w:val="00683CCD"/>
    <w:rsid w:val="00687C77"/>
    <w:rsid w:val="00690420"/>
    <w:rsid w:val="00692C52"/>
    <w:rsid w:val="006932A3"/>
    <w:rsid w:val="00694154"/>
    <w:rsid w:val="006955C7"/>
    <w:rsid w:val="006A4CA8"/>
    <w:rsid w:val="006B07B6"/>
    <w:rsid w:val="006B1135"/>
    <w:rsid w:val="006B16C6"/>
    <w:rsid w:val="006B172A"/>
    <w:rsid w:val="006B1749"/>
    <w:rsid w:val="006B2801"/>
    <w:rsid w:val="006B4CBF"/>
    <w:rsid w:val="006B5BC1"/>
    <w:rsid w:val="006B7934"/>
    <w:rsid w:val="006C7FE6"/>
    <w:rsid w:val="006D4A56"/>
    <w:rsid w:val="006D4F95"/>
    <w:rsid w:val="006D5430"/>
    <w:rsid w:val="006D73FD"/>
    <w:rsid w:val="006E03B1"/>
    <w:rsid w:val="006E0491"/>
    <w:rsid w:val="006E66FD"/>
    <w:rsid w:val="006E6E43"/>
    <w:rsid w:val="006F0D1A"/>
    <w:rsid w:val="006F31BE"/>
    <w:rsid w:val="006F52B8"/>
    <w:rsid w:val="00700E88"/>
    <w:rsid w:val="007048BF"/>
    <w:rsid w:val="00711B91"/>
    <w:rsid w:val="00724A1E"/>
    <w:rsid w:val="007279DD"/>
    <w:rsid w:val="00732288"/>
    <w:rsid w:val="007405EC"/>
    <w:rsid w:val="007409C1"/>
    <w:rsid w:val="00746A64"/>
    <w:rsid w:val="00750077"/>
    <w:rsid w:val="00750905"/>
    <w:rsid w:val="00752C4D"/>
    <w:rsid w:val="00756252"/>
    <w:rsid w:val="00756AFD"/>
    <w:rsid w:val="00763C2E"/>
    <w:rsid w:val="007644A8"/>
    <w:rsid w:val="0076599B"/>
    <w:rsid w:val="00766D17"/>
    <w:rsid w:val="007679BA"/>
    <w:rsid w:val="007728F6"/>
    <w:rsid w:val="0077298B"/>
    <w:rsid w:val="00773E12"/>
    <w:rsid w:val="00775D7F"/>
    <w:rsid w:val="00775EB2"/>
    <w:rsid w:val="00775FE5"/>
    <w:rsid w:val="007777A8"/>
    <w:rsid w:val="00777DD4"/>
    <w:rsid w:val="00780452"/>
    <w:rsid w:val="007824AD"/>
    <w:rsid w:val="00785475"/>
    <w:rsid w:val="00786538"/>
    <w:rsid w:val="007901CA"/>
    <w:rsid w:val="00791CCF"/>
    <w:rsid w:val="00795AB1"/>
    <w:rsid w:val="007A2112"/>
    <w:rsid w:val="007A2142"/>
    <w:rsid w:val="007A2E4B"/>
    <w:rsid w:val="007A37AA"/>
    <w:rsid w:val="007A3844"/>
    <w:rsid w:val="007A4CFA"/>
    <w:rsid w:val="007A5CEF"/>
    <w:rsid w:val="007A6DFD"/>
    <w:rsid w:val="007B32F9"/>
    <w:rsid w:val="007B3B6C"/>
    <w:rsid w:val="007B48EC"/>
    <w:rsid w:val="007B4B7E"/>
    <w:rsid w:val="007B6665"/>
    <w:rsid w:val="007B67DA"/>
    <w:rsid w:val="007B76E0"/>
    <w:rsid w:val="007B79C8"/>
    <w:rsid w:val="007C39A5"/>
    <w:rsid w:val="007C7189"/>
    <w:rsid w:val="007D17FF"/>
    <w:rsid w:val="007D5939"/>
    <w:rsid w:val="007D7AD4"/>
    <w:rsid w:val="007E13F7"/>
    <w:rsid w:val="007E63E3"/>
    <w:rsid w:val="007E6764"/>
    <w:rsid w:val="007E7409"/>
    <w:rsid w:val="007E7B39"/>
    <w:rsid w:val="007F22CB"/>
    <w:rsid w:val="007F3475"/>
    <w:rsid w:val="007F39F7"/>
    <w:rsid w:val="007F72CB"/>
    <w:rsid w:val="007F7CCE"/>
    <w:rsid w:val="00800261"/>
    <w:rsid w:val="008020EC"/>
    <w:rsid w:val="00803CAA"/>
    <w:rsid w:val="00807198"/>
    <w:rsid w:val="00810B81"/>
    <w:rsid w:val="00813009"/>
    <w:rsid w:val="0081305E"/>
    <w:rsid w:val="0081492D"/>
    <w:rsid w:val="00815542"/>
    <w:rsid w:val="00820ED6"/>
    <w:rsid w:val="00821715"/>
    <w:rsid w:val="00824C42"/>
    <w:rsid w:val="00831CE9"/>
    <w:rsid w:val="00835C89"/>
    <w:rsid w:val="00836F75"/>
    <w:rsid w:val="0084084B"/>
    <w:rsid w:val="00842A29"/>
    <w:rsid w:val="00843B2D"/>
    <w:rsid w:val="008458BA"/>
    <w:rsid w:val="00847798"/>
    <w:rsid w:val="00856C58"/>
    <w:rsid w:val="008570ED"/>
    <w:rsid w:val="0086136E"/>
    <w:rsid w:val="008643F0"/>
    <w:rsid w:val="008754D1"/>
    <w:rsid w:val="00882B15"/>
    <w:rsid w:val="00883CF0"/>
    <w:rsid w:val="008844C5"/>
    <w:rsid w:val="0088590A"/>
    <w:rsid w:val="0089176B"/>
    <w:rsid w:val="0089330F"/>
    <w:rsid w:val="008A0025"/>
    <w:rsid w:val="008A1817"/>
    <w:rsid w:val="008A37EF"/>
    <w:rsid w:val="008A62D2"/>
    <w:rsid w:val="008A7206"/>
    <w:rsid w:val="008B07A5"/>
    <w:rsid w:val="008C0071"/>
    <w:rsid w:val="008C3D91"/>
    <w:rsid w:val="008C45E9"/>
    <w:rsid w:val="008C4C3F"/>
    <w:rsid w:val="008C61D8"/>
    <w:rsid w:val="008D1A08"/>
    <w:rsid w:val="008D2228"/>
    <w:rsid w:val="008D4064"/>
    <w:rsid w:val="008D40CB"/>
    <w:rsid w:val="008D4995"/>
    <w:rsid w:val="008D4E1F"/>
    <w:rsid w:val="008D6F18"/>
    <w:rsid w:val="008E093D"/>
    <w:rsid w:val="008E1539"/>
    <w:rsid w:val="008E5299"/>
    <w:rsid w:val="008E57B3"/>
    <w:rsid w:val="008F24D6"/>
    <w:rsid w:val="008F3053"/>
    <w:rsid w:val="008F3116"/>
    <w:rsid w:val="008F4E34"/>
    <w:rsid w:val="009005A2"/>
    <w:rsid w:val="00901026"/>
    <w:rsid w:val="009057CC"/>
    <w:rsid w:val="009062AB"/>
    <w:rsid w:val="009102F8"/>
    <w:rsid w:val="009108AE"/>
    <w:rsid w:val="0092104C"/>
    <w:rsid w:val="00921744"/>
    <w:rsid w:val="0092366B"/>
    <w:rsid w:val="00924A74"/>
    <w:rsid w:val="00925854"/>
    <w:rsid w:val="00925DC8"/>
    <w:rsid w:val="00925E8B"/>
    <w:rsid w:val="00930507"/>
    <w:rsid w:val="00930E0B"/>
    <w:rsid w:val="00931B15"/>
    <w:rsid w:val="009376A9"/>
    <w:rsid w:val="009444DA"/>
    <w:rsid w:val="009465D7"/>
    <w:rsid w:val="00950197"/>
    <w:rsid w:val="00951543"/>
    <w:rsid w:val="00954D98"/>
    <w:rsid w:val="00955BBA"/>
    <w:rsid w:val="00957D01"/>
    <w:rsid w:val="00960587"/>
    <w:rsid w:val="009609C1"/>
    <w:rsid w:val="009664A2"/>
    <w:rsid w:val="00971208"/>
    <w:rsid w:val="009721BB"/>
    <w:rsid w:val="0097431D"/>
    <w:rsid w:val="00974B62"/>
    <w:rsid w:val="009753A8"/>
    <w:rsid w:val="009827E9"/>
    <w:rsid w:val="009862D3"/>
    <w:rsid w:val="00991ED8"/>
    <w:rsid w:val="00993C3B"/>
    <w:rsid w:val="009972CA"/>
    <w:rsid w:val="00997D61"/>
    <w:rsid w:val="009A097C"/>
    <w:rsid w:val="009A1360"/>
    <w:rsid w:val="009A5C37"/>
    <w:rsid w:val="009B1359"/>
    <w:rsid w:val="009C1C9E"/>
    <w:rsid w:val="009C1D2B"/>
    <w:rsid w:val="009C58E6"/>
    <w:rsid w:val="009C5AE6"/>
    <w:rsid w:val="009C7076"/>
    <w:rsid w:val="009D0B86"/>
    <w:rsid w:val="009D27DD"/>
    <w:rsid w:val="009D342D"/>
    <w:rsid w:val="009D41BA"/>
    <w:rsid w:val="009D4F50"/>
    <w:rsid w:val="009D64FD"/>
    <w:rsid w:val="009E0206"/>
    <w:rsid w:val="009E0477"/>
    <w:rsid w:val="009E2012"/>
    <w:rsid w:val="009F1027"/>
    <w:rsid w:val="009F2779"/>
    <w:rsid w:val="009F5819"/>
    <w:rsid w:val="009F60DE"/>
    <w:rsid w:val="009F6B3F"/>
    <w:rsid w:val="009F7D9F"/>
    <w:rsid w:val="00A0059E"/>
    <w:rsid w:val="00A07340"/>
    <w:rsid w:val="00A073FE"/>
    <w:rsid w:val="00A20F33"/>
    <w:rsid w:val="00A20F50"/>
    <w:rsid w:val="00A2428E"/>
    <w:rsid w:val="00A264A8"/>
    <w:rsid w:val="00A26BD3"/>
    <w:rsid w:val="00A26EF2"/>
    <w:rsid w:val="00A27BE9"/>
    <w:rsid w:val="00A30D86"/>
    <w:rsid w:val="00A318D3"/>
    <w:rsid w:val="00A31BCD"/>
    <w:rsid w:val="00A32BE3"/>
    <w:rsid w:val="00A336F7"/>
    <w:rsid w:val="00A37888"/>
    <w:rsid w:val="00A37D4C"/>
    <w:rsid w:val="00A44B73"/>
    <w:rsid w:val="00A4643E"/>
    <w:rsid w:val="00A46865"/>
    <w:rsid w:val="00A46E86"/>
    <w:rsid w:val="00A46EC8"/>
    <w:rsid w:val="00A47ED4"/>
    <w:rsid w:val="00A50180"/>
    <w:rsid w:val="00A5079D"/>
    <w:rsid w:val="00A55583"/>
    <w:rsid w:val="00A56463"/>
    <w:rsid w:val="00A601F5"/>
    <w:rsid w:val="00A65FF9"/>
    <w:rsid w:val="00A66ECF"/>
    <w:rsid w:val="00A758A3"/>
    <w:rsid w:val="00A7653B"/>
    <w:rsid w:val="00A81317"/>
    <w:rsid w:val="00A82F28"/>
    <w:rsid w:val="00A867A0"/>
    <w:rsid w:val="00A9089A"/>
    <w:rsid w:val="00A96CBD"/>
    <w:rsid w:val="00AA4260"/>
    <w:rsid w:val="00AA61D5"/>
    <w:rsid w:val="00AA6225"/>
    <w:rsid w:val="00AB0B7D"/>
    <w:rsid w:val="00AB15E8"/>
    <w:rsid w:val="00AB1644"/>
    <w:rsid w:val="00AB2B9E"/>
    <w:rsid w:val="00AB50B8"/>
    <w:rsid w:val="00AC0DEB"/>
    <w:rsid w:val="00AC2E76"/>
    <w:rsid w:val="00AC7C13"/>
    <w:rsid w:val="00AD08BE"/>
    <w:rsid w:val="00AD25D1"/>
    <w:rsid w:val="00AD392F"/>
    <w:rsid w:val="00AD45CB"/>
    <w:rsid w:val="00AD49F7"/>
    <w:rsid w:val="00AD518F"/>
    <w:rsid w:val="00AE4277"/>
    <w:rsid w:val="00AF07DF"/>
    <w:rsid w:val="00AF6634"/>
    <w:rsid w:val="00B004E8"/>
    <w:rsid w:val="00B008B8"/>
    <w:rsid w:val="00B04958"/>
    <w:rsid w:val="00B06A99"/>
    <w:rsid w:val="00B13B8D"/>
    <w:rsid w:val="00B14760"/>
    <w:rsid w:val="00B16FC7"/>
    <w:rsid w:val="00B179D3"/>
    <w:rsid w:val="00B2134E"/>
    <w:rsid w:val="00B23058"/>
    <w:rsid w:val="00B2663D"/>
    <w:rsid w:val="00B3122B"/>
    <w:rsid w:val="00B36367"/>
    <w:rsid w:val="00B37961"/>
    <w:rsid w:val="00B404C0"/>
    <w:rsid w:val="00B421AC"/>
    <w:rsid w:val="00B44A40"/>
    <w:rsid w:val="00B47995"/>
    <w:rsid w:val="00B5060F"/>
    <w:rsid w:val="00B5132A"/>
    <w:rsid w:val="00B51425"/>
    <w:rsid w:val="00B53CF0"/>
    <w:rsid w:val="00B5406B"/>
    <w:rsid w:val="00B555FE"/>
    <w:rsid w:val="00B5579D"/>
    <w:rsid w:val="00B6186F"/>
    <w:rsid w:val="00B623EB"/>
    <w:rsid w:val="00B73701"/>
    <w:rsid w:val="00B83D23"/>
    <w:rsid w:val="00B86DEA"/>
    <w:rsid w:val="00B90695"/>
    <w:rsid w:val="00B90A02"/>
    <w:rsid w:val="00B91860"/>
    <w:rsid w:val="00B92E5E"/>
    <w:rsid w:val="00B975E1"/>
    <w:rsid w:val="00BA11CA"/>
    <w:rsid w:val="00BA5052"/>
    <w:rsid w:val="00BA6533"/>
    <w:rsid w:val="00BB2B52"/>
    <w:rsid w:val="00BD01A4"/>
    <w:rsid w:val="00BD0ACA"/>
    <w:rsid w:val="00BD0BFC"/>
    <w:rsid w:val="00BD3C32"/>
    <w:rsid w:val="00BD54A5"/>
    <w:rsid w:val="00BD77C3"/>
    <w:rsid w:val="00BE0861"/>
    <w:rsid w:val="00BE2881"/>
    <w:rsid w:val="00BF16B1"/>
    <w:rsid w:val="00BF57A8"/>
    <w:rsid w:val="00C017CC"/>
    <w:rsid w:val="00C03FA8"/>
    <w:rsid w:val="00C04466"/>
    <w:rsid w:val="00C0610A"/>
    <w:rsid w:val="00C1270E"/>
    <w:rsid w:val="00C13208"/>
    <w:rsid w:val="00C136B8"/>
    <w:rsid w:val="00C13A9E"/>
    <w:rsid w:val="00C14D73"/>
    <w:rsid w:val="00C17BE3"/>
    <w:rsid w:val="00C213D1"/>
    <w:rsid w:val="00C21D9B"/>
    <w:rsid w:val="00C228D8"/>
    <w:rsid w:val="00C252DF"/>
    <w:rsid w:val="00C2596F"/>
    <w:rsid w:val="00C32795"/>
    <w:rsid w:val="00C32FA9"/>
    <w:rsid w:val="00C35BB6"/>
    <w:rsid w:val="00C406F0"/>
    <w:rsid w:val="00C4216E"/>
    <w:rsid w:val="00C44DB2"/>
    <w:rsid w:val="00C460FC"/>
    <w:rsid w:val="00C461C4"/>
    <w:rsid w:val="00C516FD"/>
    <w:rsid w:val="00C51BF6"/>
    <w:rsid w:val="00C5400E"/>
    <w:rsid w:val="00C578CB"/>
    <w:rsid w:val="00C57FB5"/>
    <w:rsid w:val="00C600C6"/>
    <w:rsid w:val="00C62FA0"/>
    <w:rsid w:val="00C707A2"/>
    <w:rsid w:val="00C70D5B"/>
    <w:rsid w:val="00C716B5"/>
    <w:rsid w:val="00C72CD5"/>
    <w:rsid w:val="00C72D1F"/>
    <w:rsid w:val="00C90855"/>
    <w:rsid w:val="00C956DB"/>
    <w:rsid w:val="00C97692"/>
    <w:rsid w:val="00CA0C44"/>
    <w:rsid w:val="00CA0F7C"/>
    <w:rsid w:val="00CA14C0"/>
    <w:rsid w:val="00CA3528"/>
    <w:rsid w:val="00CA522A"/>
    <w:rsid w:val="00CA7190"/>
    <w:rsid w:val="00CB2A2E"/>
    <w:rsid w:val="00CB2C74"/>
    <w:rsid w:val="00CB3E71"/>
    <w:rsid w:val="00CB5716"/>
    <w:rsid w:val="00CB65FD"/>
    <w:rsid w:val="00CC1E0C"/>
    <w:rsid w:val="00CC4B38"/>
    <w:rsid w:val="00CC5ABD"/>
    <w:rsid w:val="00CC68DA"/>
    <w:rsid w:val="00CD4FEF"/>
    <w:rsid w:val="00CD5482"/>
    <w:rsid w:val="00CD7B04"/>
    <w:rsid w:val="00CE225D"/>
    <w:rsid w:val="00CE4F66"/>
    <w:rsid w:val="00CE70AD"/>
    <w:rsid w:val="00CF552B"/>
    <w:rsid w:val="00CF640C"/>
    <w:rsid w:val="00D00044"/>
    <w:rsid w:val="00D00D10"/>
    <w:rsid w:val="00D0111F"/>
    <w:rsid w:val="00D0447B"/>
    <w:rsid w:val="00D04A6B"/>
    <w:rsid w:val="00D059DA"/>
    <w:rsid w:val="00D05C73"/>
    <w:rsid w:val="00D1340C"/>
    <w:rsid w:val="00D13C0A"/>
    <w:rsid w:val="00D16B30"/>
    <w:rsid w:val="00D17E31"/>
    <w:rsid w:val="00D21B6F"/>
    <w:rsid w:val="00D22FEC"/>
    <w:rsid w:val="00D3385B"/>
    <w:rsid w:val="00D33E8D"/>
    <w:rsid w:val="00D340D2"/>
    <w:rsid w:val="00D3475A"/>
    <w:rsid w:val="00D34AD4"/>
    <w:rsid w:val="00D37222"/>
    <w:rsid w:val="00D46E21"/>
    <w:rsid w:val="00D4730A"/>
    <w:rsid w:val="00D54112"/>
    <w:rsid w:val="00D54B20"/>
    <w:rsid w:val="00D63A18"/>
    <w:rsid w:val="00D66976"/>
    <w:rsid w:val="00D7223A"/>
    <w:rsid w:val="00D72CC2"/>
    <w:rsid w:val="00D73CBB"/>
    <w:rsid w:val="00D76BC2"/>
    <w:rsid w:val="00D81945"/>
    <w:rsid w:val="00D81F3E"/>
    <w:rsid w:val="00D82AAD"/>
    <w:rsid w:val="00D84905"/>
    <w:rsid w:val="00D84AF1"/>
    <w:rsid w:val="00D86A49"/>
    <w:rsid w:val="00D95C8D"/>
    <w:rsid w:val="00DA03CB"/>
    <w:rsid w:val="00DA3FE1"/>
    <w:rsid w:val="00DA3FEA"/>
    <w:rsid w:val="00DA6621"/>
    <w:rsid w:val="00DB6269"/>
    <w:rsid w:val="00DB6783"/>
    <w:rsid w:val="00DC42FD"/>
    <w:rsid w:val="00DC442D"/>
    <w:rsid w:val="00DC782F"/>
    <w:rsid w:val="00DD1D9A"/>
    <w:rsid w:val="00DD5060"/>
    <w:rsid w:val="00DD5F62"/>
    <w:rsid w:val="00DD7367"/>
    <w:rsid w:val="00DE1A3E"/>
    <w:rsid w:val="00DE2E50"/>
    <w:rsid w:val="00DF1D64"/>
    <w:rsid w:val="00DF2BFB"/>
    <w:rsid w:val="00DF2D26"/>
    <w:rsid w:val="00DF44B4"/>
    <w:rsid w:val="00DF45E7"/>
    <w:rsid w:val="00DF597F"/>
    <w:rsid w:val="00DF6F1E"/>
    <w:rsid w:val="00E001DC"/>
    <w:rsid w:val="00E029DE"/>
    <w:rsid w:val="00E02EF3"/>
    <w:rsid w:val="00E03E66"/>
    <w:rsid w:val="00E20262"/>
    <w:rsid w:val="00E20573"/>
    <w:rsid w:val="00E23FC6"/>
    <w:rsid w:val="00E25605"/>
    <w:rsid w:val="00E25F4B"/>
    <w:rsid w:val="00E34F63"/>
    <w:rsid w:val="00E36228"/>
    <w:rsid w:val="00E40F04"/>
    <w:rsid w:val="00E50664"/>
    <w:rsid w:val="00E511D7"/>
    <w:rsid w:val="00E52D60"/>
    <w:rsid w:val="00E54658"/>
    <w:rsid w:val="00E54AFE"/>
    <w:rsid w:val="00E61180"/>
    <w:rsid w:val="00E61951"/>
    <w:rsid w:val="00E65834"/>
    <w:rsid w:val="00E65A9B"/>
    <w:rsid w:val="00E71D65"/>
    <w:rsid w:val="00E72693"/>
    <w:rsid w:val="00E748FB"/>
    <w:rsid w:val="00E7649A"/>
    <w:rsid w:val="00E80602"/>
    <w:rsid w:val="00E8681E"/>
    <w:rsid w:val="00E92FCB"/>
    <w:rsid w:val="00E93F2C"/>
    <w:rsid w:val="00E95DB4"/>
    <w:rsid w:val="00EA0108"/>
    <w:rsid w:val="00EA1F51"/>
    <w:rsid w:val="00EA3FE4"/>
    <w:rsid w:val="00EA5E14"/>
    <w:rsid w:val="00EB02CC"/>
    <w:rsid w:val="00EB5706"/>
    <w:rsid w:val="00EC2F2C"/>
    <w:rsid w:val="00ED2F10"/>
    <w:rsid w:val="00ED3785"/>
    <w:rsid w:val="00ED47E7"/>
    <w:rsid w:val="00EE2261"/>
    <w:rsid w:val="00EE477C"/>
    <w:rsid w:val="00EE4CBA"/>
    <w:rsid w:val="00EF1E0B"/>
    <w:rsid w:val="00EF4DD1"/>
    <w:rsid w:val="00EF6A66"/>
    <w:rsid w:val="00F01218"/>
    <w:rsid w:val="00F04D67"/>
    <w:rsid w:val="00F06D78"/>
    <w:rsid w:val="00F105F1"/>
    <w:rsid w:val="00F128BC"/>
    <w:rsid w:val="00F14714"/>
    <w:rsid w:val="00F2292E"/>
    <w:rsid w:val="00F24818"/>
    <w:rsid w:val="00F24A3C"/>
    <w:rsid w:val="00F31781"/>
    <w:rsid w:val="00F34EF1"/>
    <w:rsid w:val="00F374A7"/>
    <w:rsid w:val="00F37B15"/>
    <w:rsid w:val="00F45D40"/>
    <w:rsid w:val="00F46185"/>
    <w:rsid w:val="00F475E1"/>
    <w:rsid w:val="00F5306D"/>
    <w:rsid w:val="00F5471A"/>
    <w:rsid w:val="00F66129"/>
    <w:rsid w:val="00F667DA"/>
    <w:rsid w:val="00F70A63"/>
    <w:rsid w:val="00F73949"/>
    <w:rsid w:val="00F754F0"/>
    <w:rsid w:val="00F82A62"/>
    <w:rsid w:val="00F82B70"/>
    <w:rsid w:val="00F83906"/>
    <w:rsid w:val="00F83E87"/>
    <w:rsid w:val="00F84DC0"/>
    <w:rsid w:val="00F857CA"/>
    <w:rsid w:val="00F872AD"/>
    <w:rsid w:val="00F917E3"/>
    <w:rsid w:val="00F92709"/>
    <w:rsid w:val="00F93698"/>
    <w:rsid w:val="00F9476A"/>
    <w:rsid w:val="00F96979"/>
    <w:rsid w:val="00F9748D"/>
    <w:rsid w:val="00FA0BDF"/>
    <w:rsid w:val="00FA3B13"/>
    <w:rsid w:val="00FA4D14"/>
    <w:rsid w:val="00FA5D63"/>
    <w:rsid w:val="00FB2093"/>
    <w:rsid w:val="00FB3784"/>
    <w:rsid w:val="00FB3C4E"/>
    <w:rsid w:val="00FB48DD"/>
    <w:rsid w:val="00FB4C38"/>
    <w:rsid w:val="00FC12E2"/>
    <w:rsid w:val="00FC16C8"/>
    <w:rsid w:val="00FC251F"/>
    <w:rsid w:val="00FD117D"/>
    <w:rsid w:val="00FD273F"/>
    <w:rsid w:val="00FD33DD"/>
    <w:rsid w:val="00FD47C1"/>
    <w:rsid w:val="00FD6BEA"/>
    <w:rsid w:val="00FE34E8"/>
    <w:rsid w:val="00FE604A"/>
    <w:rsid w:val="00FE7CDD"/>
    <w:rsid w:val="00FF26F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nhideWhenUsed/>
    <w:rsid w:val="00304F71"/>
    <w:rPr>
      <w:color w:val="0000FF" w:themeColor="hyperlink"/>
      <w:u w:val="single"/>
    </w:rPr>
  </w:style>
  <w:style w:type="character" w:styleId="GevolgdeHyperlink">
    <w:name w:val="FollowedHyperlink"/>
    <w:basedOn w:val="Standaardalinea-lettertype"/>
    <w:uiPriority w:val="99"/>
    <w:semiHidden/>
    <w:unhideWhenUsed/>
    <w:rsid w:val="003C2841"/>
    <w:rPr>
      <w:color w:val="800080" w:themeColor="followedHyperlink"/>
      <w:u w:val="single"/>
    </w:rPr>
  </w:style>
  <w:style w:type="paragraph" w:customStyle="1" w:styleId="Text1">
    <w:name w:val="Text 1"/>
    <w:basedOn w:val="Standaard"/>
    <w:link w:val="Text1Char"/>
    <w:rsid w:val="00ED2F10"/>
    <w:pPr>
      <w:spacing w:after="240"/>
      <w:ind w:left="482"/>
      <w:jc w:val="both"/>
    </w:pPr>
    <w:rPr>
      <w:rFonts w:ascii="Times New Roman" w:eastAsia="Times New Roman" w:hAnsi="Times New Roman"/>
      <w:sz w:val="24"/>
      <w:szCs w:val="20"/>
      <w:lang w:val="en-GB"/>
    </w:rPr>
  </w:style>
  <w:style w:type="character" w:customStyle="1" w:styleId="Text1Char">
    <w:name w:val="Text 1 Char"/>
    <w:link w:val="Text1"/>
    <w:rsid w:val="00ED2F10"/>
    <w:rPr>
      <w:rFonts w:ascii="Times New Roman" w:eastAsia="Times New Roman" w:hAnsi="Times New Roman"/>
      <w:sz w:val="24"/>
      <w:lang w:val="en-GB" w:eastAsia="en-US"/>
    </w:rPr>
  </w:style>
  <w:style w:type="paragraph" w:styleId="Voetnoottekst">
    <w:name w:val="footnote text"/>
    <w:basedOn w:val="Standaard"/>
    <w:link w:val="VoetnoottekstChar"/>
    <w:unhideWhenUsed/>
    <w:rsid w:val="00AB1644"/>
    <w:rPr>
      <w:sz w:val="20"/>
      <w:szCs w:val="20"/>
    </w:rPr>
  </w:style>
  <w:style w:type="character" w:customStyle="1" w:styleId="VoetnoottekstChar">
    <w:name w:val="Voetnoottekst Char"/>
    <w:basedOn w:val="Standaardalinea-lettertype"/>
    <w:link w:val="Voetnoottekst"/>
    <w:rsid w:val="00AB1644"/>
    <w:rPr>
      <w:rFonts w:ascii="Verdana" w:hAnsi="Verdana"/>
      <w:lang w:eastAsia="en-US"/>
    </w:rPr>
  </w:style>
  <w:style w:type="character" w:styleId="Voetnootmarkering">
    <w:name w:val="footnote reference"/>
    <w:basedOn w:val="Standaardalinea-lettertype"/>
    <w:unhideWhenUsed/>
    <w:rsid w:val="00AB1644"/>
    <w:rPr>
      <w:vertAlign w:val="superscript"/>
    </w:rPr>
  </w:style>
  <w:style w:type="paragraph" w:customStyle="1" w:styleId="Default">
    <w:name w:val="Default"/>
    <w:rsid w:val="007A2E4B"/>
    <w:pPr>
      <w:autoSpaceDE w:val="0"/>
      <w:autoSpaceDN w:val="0"/>
      <w:adjustRightInd w:val="0"/>
    </w:pPr>
    <w:rPr>
      <w:rFonts w:ascii="Verdana" w:hAnsi="Verdana" w:cs="Verdana"/>
      <w:color w:val="000000"/>
      <w:sz w:val="24"/>
      <w:szCs w:val="24"/>
    </w:rPr>
  </w:style>
  <w:style w:type="paragraph" w:customStyle="1" w:styleId="Paragraaf-Huisstijl">
    <w:name w:val="Paragraaf - Huisstijl"/>
    <w:basedOn w:val="Standaard"/>
    <w:next w:val="Standaard"/>
    <w:uiPriority w:val="3"/>
    <w:qFormat/>
    <w:rsid w:val="007D5939"/>
    <w:pPr>
      <w:widowControl w:val="0"/>
      <w:numPr>
        <w:numId w:val="16"/>
      </w:numPr>
      <w:tabs>
        <w:tab w:val="left" w:pos="0"/>
      </w:tabs>
      <w:suppressAutoHyphens/>
      <w:autoSpaceDN w:val="0"/>
      <w:spacing w:before="200" w:line="284" w:lineRule="exact"/>
      <w:textAlignment w:val="baseline"/>
      <w:outlineLvl w:val="0"/>
    </w:pPr>
    <w:rPr>
      <w:rFonts w:eastAsia="DejaVu Sans" w:cs="Lohit Hindi"/>
      <w:b/>
      <w:kern w:val="3"/>
      <w:sz w:val="17"/>
      <w:szCs w:val="24"/>
      <w:lang w:eastAsia="zh-CN" w:bidi="hi-IN"/>
    </w:rPr>
  </w:style>
  <w:style w:type="paragraph" w:customStyle="1" w:styleId="Subparagraaf-Huisstijl">
    <w:name w:val="Subparagraaf - Huisstijl"/>
    <w:basedOn w:val="Paragraaf-Huisstijl"/>
    <w:next w:val="Standaard"/>
    <w:uiPriority w:val="4"/>
    <w:qFormat/>
    <w:rsid w:val="007D5939"/>
    <w:pPr>
      <w:numPr>
        <w:ilvl w:val="1"/>
      </w:numPr>
      <w:outlineLvl w:val="1"/>
    </w:pPr>
    <w:rPr>
      <w:b w:val="0"/>
      <w:i/>
    </w:rPr>
  </w:style>
  <w:style w:type="paragraph" w:styleId="Normaalweb">
    <w:name w:val="Normal (Web)"/>
    <w:basedOn w:val="Standaard"/>
    <w:uiPriority w:val="99"/>
    <w:semiHidden/>
    <w:unhideWhenUsed/>
    <w:rsid w:val="007D5939"/>
    <w:pPr>
      <w:spacing w:after="150"/>
    </w:pPr>
    <w:rPr>
      <w:rFonts w:ascii="FiraSans-Light" w:eastAsia="Times New Roman" w:hAnsi="FiraSans-Light"/>
      <w:sz w:val="24"/>
      <w:szCs w:val="24"/>
      <w:lang w:eastAsia="nl-NL"/>
    </w:rPr>
  </w:style>
  <w:style w:type="character" w:customStyle="1" w:styleId="basicreference1">
    <w:name w:val="basic_reference1"/>
    <w:basedOn w:val="Standaardalinea-lettertype"/>
    <w:rsid w:val="00925DC8"/>
    <w:rPr>
      <w:b/>
      <w:bCs/>
      <w:color w:val="195B92"/>
    </w:rPr>
  </w:style>
  <w:style w:type="character" w:customStyle="1" w:styleId="Huisstijl-GegevenCharChar">
    <w:name w:val="Huisstijl-Gegeven Char Char"/>
    <w:basedOn w:val="Standaardalinea-lettertype"/>
    <w:link w:val="Huisstijl-Gegeven"/>
    <w:rsid w:val="00815542"/>
    <w:rPr>
      <w:noProof/>
      <w:sz w:val="13"/>
      <w:szCs w:val="24"/>
    </w:rPr>
  </w:style>
  <w:style w:type="paragraph" w:customStyle="1" w:styleId="Huisstijl-Gegeven">
    <w:name w:val="Huisstijl-Gegeven"/>
    <w:basedOn w:val="Standaard"/>
    <w:link w:val="Huisstijl-GegevenCharChar"/>
    <w:rsid w:val="00815542"/>
    <w:pPr>
      <w:spacing w:after="92" w:line="180" w:lineRule="exact"/>
    </w:pPr>
    <w:rPr>
      <w:rFonts w:ascii="Calibri" w:hAnsi="Calibri"/>
      <w:noProof/>
      <w:sz w:val="13"/>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nhideWhenUsed/>
    <w:rsid w:val="00304F71"/>
    <w:rPr>
      <w:color w:val="0000FF" w:themeColor="hyperlink"/>
      <w:u w:val="single"/>
    </w:rPr>
  </w:style>
  <w:style w:type="character" w:styleId="GevolgdeHyperlink">
    <w:name w:val="FollowedHyperlink"/>
    <w:basedOn w:val="Standaardalinea-lettertype"/>
    <w:uiPriority w:val="99"/>
    <w:semiHidden/>
    <w:unhideWhenUsed/>
    <w:rsid w:val="003C2841"/>
    <w:rPr>
      <w:color w:val="800080" w:themeColor="followedHyperlink"/>
      <w:u w:val="single"/>
    </w:rPr>
  </w:style>
  <w:style w:type="paragraph" w:customStyle="1" w:styleId="Text1">
    <w:name w:val="Text 1"/>
    <w:basedOn w:val="Standaard"/>
    <w:link w:val="Text1Char"/>
    <w:rsid w:val="00ED2F10"/>
    <w:pPr>
      <w:spacing w:after="240"/>
      <w:ind w:left="482"/>
      <w:jc w:val="both"/>
    </w:pPr>
    <w:rPr>
      <w:rFonts w:ascii="Times New Roman" w:eastAsia="Times New Roman" w:hAnsi="Times New Roman"/>
      <w:sz w:val="24"/>
      <w:szCs w:val="20"/>
      <w:lang w:val="en-GB"/>
    </w:rPr>
  </w:style>
  <w:style w:type="character" w:customStyle="1" w:styleId="Text1Char">
    <w:name w:val="Text 1 Char"/>
    <w:link w:val="Text1"/>
    <w:rsid w:val="00ED2F10"/>
    <w:rPr>
      <w:rFonts w:ascii="Times New Roman" w:eastAsia="Times New Roman" w:hAnsi="Times New Roman"/>
      <w:sz w:val="24"/>
      <w:lang w:val="en-GB" w:eastAsia="en-US"/>
    </w:rPr>
  </w:style>
  <w:style w:type="paragraph" w:styleId="Voetnoottekst">
    <w:name w:val="footnote text"/>
    <w:basedOn w:val="Standaard"/>
    <w:link w:val="VoetnoottekstChar"/>
    <w:unhideWhenUsed/>
    <w:rsid w:val="00AB1644"/>
    <w:rPr>
      <w:sz w:val="20"/>
      <w:szCs w:val="20"/>
    </w:rPr>
  </w:style>
  <w:style w:type="character" w:customStyle="1" w:styleId="VoetnoottekstChar">
    <w:name w:val="Voetnoottekst Char"/>
    <w:basedOn w:val="Standaardalinea-lettertype"/>
    <w:link w:val="Voetnoottekst"/>
    <w:rsid w:val="00AB1644"/>
    <w:rPr>
      <w:rFonts w:ascii="Verdana" w:hAnsi="Verdana"/>
      <w:lang w:eastAsia="en-US"/>
    </w:rPr>
  </w:style>
  <w:style w:type="character" w:styleId="Voetnootmarkering">
    <w:name w:val="footnote reference"/>
    <w:basedOn w:val="Standaardalinea-lettertype"/>
    <w:unhideWhenUsed/>
    <w:rsid w:val="00AB1644"/>
    <w:rPr>
      <w:vertAlign w:val="superscript"/>
    </w:rPr>
  </w:style>
  <w:style w:type="paragraph" w:customStyle="1" w:styleId="Default">
    <w:name w:val="Default"/>
    <w:rsid w:val="007A2E4B"/>
    <w:pPr>
      <w:autoSpaceDE w:val="0"/>
      <w:autoSpaceDN w:val="0"/>
      <w:adjustRightInd w:val="0"/>
    </w:pPr>
    <w:rPr>
      <w:rFonts w:ascii="Verdana" w:hAnsi="Verdana" w:cs="Verdana"/>
      <w:color w:val="000000"/>
      <w:sz w:val="24"/>
      <w:szCs w:val="24"/>
    </w:rPr>
  </w:style>
  <w:style w:type="paragraph" w:customStyle="1" w:styleId="Paragraaf-Huisstijl">
    <w:name w:val="Paragraaf - Huisstijl"/>
    <w:basedOn w:val="Standaard"/>
    <w:next w:val="Standaard"/>
    <w:uiPriority w:val="3"/>
    <w:qFormat/>
    <w:rsid w:val="007D5939"/>
    <w:pPr>
      <w:widowControl w:val="0"/>
      <w:numPr>
        <w:numId w:val="16"/>
      </w:numPr>
      <w:tabs>
        <w:tab w:val="left" w:pos="0"/>
      </w:tabs>
      <w:suppressAutoHyphens/>
      <w:autoSpaceDN w:val="0"/>
      <w:spacing w:before="200" w:line="284" w:lineRule="exact"/>
      <w:textAlignment w:val="baseline"/>
      <w:outlineLvl w:val="0"/>
    </w:pPr>
    <w:rPr>
      <w:rFonts w:eastAsia="DejaVu Sans" w:cs="Lohit Hindi"/>
      <w:b/>
      <w:kern w:val="3"/>
      <w:sz w:val="17"/>
      <w:szCs w:val="24"/>
      <w:lang w:eastAsia="zh-CN" w:bidi="hi-IN"/>
    </w:rPr>
  </w:style>
  <w:style w:type="paragraph" w:customStyle="1" w:styleId="Subparagraaf-Huisstijl">
    <w:name w:val="Subparagraaf - Huisstijl"/>
    <w:basedOn w:val="Paragraaf-Huisstijl"/>
    <w:next w:val="Standaard"/>
    <w:uiPriority w:val="4"/>
    <w:qFormat/>
    <w:rsid w:val="007D5939"/>
    <w:pPr>
      <w:numPr>
        <w:ilvl w:val="1"/>
      </w:numPr>
      <w:outlineLvl w:val="1"/>
    </w:pPr>
    <w:rPr>
      <w:b w:val="0"/>
      <w:i/>
    </w:rPr>
  </w:style>
  <w:style w:type="paragraph" w:styleId="Normaalweb">
    <w:name w:val="Normal (Web)"/>
    <w:basedOn w:val="Standaard"/>
    <w:uiPriority w:val="99"/>
    <w:semiHidden/>
    <w:unhideWhenUsed/>
    <w:rsid w:val="007D5939"/>
    <w:pPr>
      <w:spacing w:after="150"/>
    </w:pPr>
    <w:rPr>
      <w:rFonts w:ascii="FiraSans-Light" w:eastAsia="Times New Roman" w:hAnsi="FiraSans-Light"/>
      <w:sz w:val="24"/>
      <w:szCs w:val="24"/>
      <w:lang w:eastAsia="nl-NL"/>
    </w:rPr>
  </w:style>
  <w:style w:type="character" w:customStyle="1" w:styleId="basicreference1">
    <w:name w:val="basic_reference1"/>
    <w:basedOn w:val="Standaardalinea-lettertype"/>
    <w:rsid w:val="00925DC8"/>
    <w:rPr>
      <w:b/>
      <w:bCs/>
      <w:color w:val="195B92"/>
    </w:rPr>
  </w:style>
  <w:style w:type="character" w:customStyle="1" w:styleId="Huisstijl-GegevenCharChar">
    <w:name w:val="Huisstijl-Gegeven Char Char"/>
    <w:basedOn w:val="Standaardalinea-lettertype"/>
    <w:link w:val="Huisstijl-Gegeven"/>
    <w:rsid w:val="00815542"/>
    <w:rPr>
      <w:noProof/>
      <w:sz w:val="13"/>
      <w:szCs w:val="24"/>
    </w:rPr>
  </w:style>
  <w:style w:type="paragraph" w:customStyle="1" w:styleId="Huisstijl-Gegeven">
    <w:name w:val="Huisstijl-Gegeven"/>
    <w:basedOn w:val="Standaard"/>
    <w:link w:val="Huisstijl-GegevenCharChar"/>
    <w:rsid w:val="00815542"/>
    <w:pPr>
      <w:spacing w:after="92" w:line="180" w:lineRule="exact"/>
    </w:pPr>
    <w:rPr>
      <w:rFonts w:ascii="Calibri" w:hAnsi="Calibri"/>
      <w:noProof/>
      <w:sz w:val="13"/>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7572">
      <w:bodyDiv w:val="1"/>
      <w:marLeft w:val="0"/>
      <w:marRight w:val="0"/>
      <w:marTop w:val="0"/>
      <w:marBottom w:val="0"/>
      <w:divBdr>
        <w:top w:val="none" w:sz="0" w:space="0" w:color="auto"/>
        <w:left w:val="none" w:sz="0" w:space="0" w:color="auto"/>
        <w:bottom w:val="none" w:sz="0" w:space="0" w:color="auto"/>
        <w:right w:val="none" w:sz="0" w:space="0" w:color="auto"/>
      </w:divBdr>
    </w:div>
    <w:div w:id="710230798">
      <w:bodyDiv w:val="1"/>
      <w:marLeft w:val="0"/>
      <w:marRight w:val="0"/>
      <w:marTop w:val="0"/>
      <w:marBottom w:val="0"/>
      <w:divBdr>
        <w:top w:val="none" w:sz="0" w:space="0" w:color="auto"/>
        <w:left w:val="none" w:sz="0" w:space="0" w:color="auto"/>
        <w:bottom w:val="none" w:sz="0" w:space="0" w:color="auto"/>
        <w:right w:val="none" w:sz="0" w:space="0" w:color="auto"/>
      </w:divBdr>
    </w:div>
    <w:div w:id="788669529">
      <w:bodyDiv w:val="1"/>
      <w:marLeft w:val="0"/>
      <w:marRight w:val="0"/>
      <w:marTop w:val="0"/>
      <w:marBottom w:val="0"/>
      <w:divBdr>
        <w:top w:val="none" w:sz="0" w:space="0" w:color="auto"/>
        <w:left w:val="none" w:sz="0" w:space="0" w:color="auto"/>
        <w:bottom w:val="none" w:sz="0" w:space="0" w:color="auto"/>
        <w:right w:val="none" w:sz="0" w:space="0" w:color="auto"/>
      </w:divBdr>
    </w:div>
    <w:div w:id="831064729">
      <w:bodyDiv w:val="1"/>
      <w:marLeft w:val="0"/>
      <w:marRight w:val="0"/>
      <w:marTop w:val="0"/>
      <w:marBottom w:val="0"/>
      <w:divBdr>
        <w:top w:val="none" w:sz="0" w:space="0" w:color="auto"/>
        <w:left w:val="none" w:sz="0" w:space="0" w:color="auto"/>
        <w:bottom w:val="none" w:sz="0" w:space="0" w:color="auto"/>
        <w:right w:val="none" w:sz="0" w:space="0" w:color="auto"/>
      </w:divBdr>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966499857">
      <w:bodyDiv w:val="1"/>
      <w:marLeft w:val="0"/>
      <w:marRight w:val="0"/>
      <w:marTop w:val="0"/>
      <w:marBottom w:val="0"/>
      <w:divBdr>
        <w:top w:val="none" w:sz="0" w:space="0" w:color="auto"/>
        <w:left w:val="none" w:sz="0" w:space="0" w:color="auto"/>
        <w:bottom w:val="none" w:sz="0" w:space="0" w:color="auto"/>
        <w:right w:val="none" w:sz="0" w:space="0" w:color="auto"/>
      </w:divBdr>
    </w:div>
    <w:div w:id="20810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consilium.europa.eu/nl/policies/eu-annual-budget/" TargetMode="External" Id="rId13" /><Relationship Type="http://schemas.openxmlformats.org/officeDocument/2006/relationships/hyperlink" Target="http://www.europarl.europa.eu/RegData/etudes/BRIE/2016/573952/EPRS_BRI(2016)573952_EN.pdf" TargetMode="External" Id="rId18" /><Relationship Type="http://schemas.openxmlformats.org/officeDocument/2006/relationships/numbering" Target="numbering.xml" Id="rId3" /><Relationship Type="http://schemas.openxmlformats.org/officeDocument/2006/relationships/hyperlink" Target="http://parlisweb/parlis/zaak.aspx?id=58d1cffc-de0a-4701-b789-d024cd81ca5a" TargetMode="External" Id="rId21" /><Relationship Type="http://schemas.openxmlformats.org/officeDocument/2006/relationships/webSettings" Target="webSettings.xml" Id="rId7" /><Relationship Type="http://schemas.openxmlformats.org/officeDocument/2006/relationships/hyperlink" Target="http://parlisweb/parlis/zaak.aspx?id=0f2af6da-acd0-419b-a013-acf8fd5bf34b" TargetMode="External" Id="rId12" /><Relationship Type="http://schemas.openxmlformats.org/officeDocument/2006/relationships/hyperlink" Target="http://parlisweb/parlis/zaak.aspx?id=2cd06115-34dc-4979-8bcb-957584e13db3" TargetMode="External" Id="rId17" /><Relationship Type="http://schemas.openxmlformats.org/officeDocument/2006/relationships/theme" Target="theme/theme1.xml" Id="rId25" /><Relationship Type="http://schemas.openxmlformats.org/officeDocument/2006/relationships/hyperlink" Target="http://parlisweb/parlis/document.aspx?id=8889815e-d4a4-4ba1-aaf9-c2fba5cad682&amp;zaak=773c678b-b479-42e7-ab64-1624a176b358" TargetMode="External" Id="rId16" /><Relationship Type="http://schemas.openxmlformats.org/officeDocument/2006/relationships/hyperlink" Target="http://parlisweb/parlis/document.aspx?id=b29d5f4b-034a-48de-b589-3842ba0d59f3" TargetMode="External" Id="rId20" /><Relationship Type="http://schemas.openxmlformats.org/officeDocument/2006/relationships/settings" Target="settings.xml" Id="rId6" /><Relationship Type="http://schemas.openxmlformats.org/officeDocument/2006/relationships/hyperlink" Target="http://parlisweb/parlis/activiteit.aspx?id=5be2d49b-779b-474e-80ac-15903b06ad15" TargetMode="External" Id="rId11" /><Relationship Type="http://schemas.openxmlformats.org/officeDocument/2006/relationships/fontTable" Target="fontTable.xml" Id="rId24" /><Relationship Type="http://schemas.microsoft.com/office/2007/relationships/stylesWithEffects" Target="stylesWithEffects.xml" Id="rId5" /><Relationship Type="http://schemas.openxmlformats.org/officeDocument/2006/relationships/hyperlink" Target="http://europa.eu/rapid/press-release_IP-16-2999_nl.htm" TargetMode="External" Id="rId15" /><Relationship Type="http://schemas.openxmlformats.org/officeDocument/2006/relationships/footer" Target="footer1.xml" Id="rId23" /><Relationship Type="http://schemas.openxmlformats.org/officeDocument/2006/relationships/image" Target="media/image1.png" Id="rId10" /><Relationship Type="http://schemas.openxmlformats.org/officeDocument/2006/relationships/hyperlink" Target="http://www.europarl.europa.eu/oeil/popups/ficheprocedure.do?lang=en&amp;reference=2015/2353(INI)" TargetMode="Externa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http://www.consilium.europa.eu/nl/policies/eu-revenue-own-resources/" TargetMode="External" Id="rId14" /><Relationship Type="http://schemas.openxmlformats.org/officeDocument/2006/relationships/header" Target="header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parlisweb/parlis/document.aspx?id=617b4c29-c21c-4456-a50d-18a9d45378fb&amp;zaak=ee472851-202b-4728-843b-d0de24dcbc6f" TargetMode="External"/><Relationship Id="rId2" Type="http://schemas.openxmlformats.org/officeDocument/2006/relationships/hyperlink" Target="http://www.ipex.eu" TargetMode="External"/><Relationship Id="rId1" Type="http://schemas.openxmlformats.org/officeDocument/2006/relationships/hyperlink" Target="http://www.consilium.europa.eu/nl/policies/multiannual-financial-framework/" TargetMode="External"/><Relationship Id="rId4" Type="http://schemas.openxmlformats.org/officeDocument/2006/relationships/hyperlink" Target="http://ec.europa.eu/budget/mff/figures/index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2309</ap:Words>
  <ap:Characters>14679</ap:Characters>
  <ap:DocSecurity>0</ap:DocSecurity>
  <ap:Lines>122</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2016-03-08T15:54:00.0000000Z</lastPrinted>
  <dcterms:created xsi:type="dcterms:W3CDTF">2016-09-28T12:21:00.0000000Z</dcterms:created>
  <dcterms:modified xsi:type="dcterms:W3CDTF">2016-10-10T09:26:00.0000000Z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0x010100DCB832978710984A80E67350846F0F7B</vt:lpwstr>
  </property>
</Properties>
</file>