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0C2" w:rsidP="00D910C2" w:rsidRDefault="00D910C2">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D910C2" w:rsidP="00D910C2" w:rsidRDefault="00D910C2">
      <w:pPr>
        <w:rPr>
          <w:rFonts w:asciiTheme="minorHAnsi" w:hAnsiTheme="minorHAnsi"/>
          <w:sz w:val="22"/>
          <w:szCs w:val="22"/>
        </w:rPr>
      </w:pPr>
    </w:p>
    <w:p w:rsidRPr="00CB664C" w:rsidR="00D910C2" w:rsidP="00D910C2" w:rsidRDefault="00D910C2">
      <w:pPr>
        <w:rPr>
          <w:rFonts w:asciiTheme="minorHAnsi" w:hAnsiTheme="minorHAnsi"/>
          <w:sz w:val="22"/>
          <w:szCs w:val="22"/>
          <w:u w:val="single"/>
        </w:rPr>
      </w:pPr>
      <w:r w:rsidRPr="00CB664C">
        <w:rPr>
          <w:rFonts w:asciiTheme="minorHAnsi" w:hAnsiTheme="minorHAnsi"/>
          <w:sz w:val="22"/>
          <w:szCs w:val="22"/>
          <w:u w:val="single"/>
        </w:rPr>
        <w:t>Integraal overzicht met nieuw gep</w:t>
      </w:r>
      <w:r>
        <w:rPr>
          <w:rFonts w:asciiTheme="minorHAnsi" w:hAnsiTheme="minorHAnsi"/>
          <w:sz w:val="22"/>
          <w:szCs w:val="22"/>
          <w:u w:val="single"/>
        </w:rPr>
        <w:t>ubliceerde EU-voorstellen t</w:t>
      </w:r>
      <w:r w:rsidRPr="00CB664C">
        <w:rPr>
          <w:rFonts w:asciiTheme="minorHAnsi" w:hAnsiTheme="minorHAnsi"/>
          <w:sz w:val="22"/>
          <w:szCs w:val="22"/>
          <w:u w:val="single"/>
        </w:rPr>
        <w:t xml:space="preserve">/m week </w:t>
      </w:r>
      <w:r>
        <w:rPr>
          <w:rFonts w:asciiTheme="minorHAnsi" w:hAnsiTheme="minorHAnsi"/>
          <w:sz w:val="22"/>
          <w:szCs w:val="22"/>
          <w:u w:val="single"/>
        </w:rPr>
        <w:t>41 (30 september</w:t>
      </w:r>
      <w:r w:rsidRPr="00CB664C">
        <w:rPr>
          <w:rFonts w:asciiTheme="minorHAnsi" w:hAnsiTheme="minorHAnsi"/>
          <w:sz w:val="22"/>
          <w:szCs w:val="22"/>
          <w:u w:val="single"/>
        </w:rPr>
        <w:t xml:space="preserve"> 2016 – </w:t>
      </w:r>
      <w:r>
        <w:rPr>
          <w:rFonts w:asciiTheme="minorHAnsi" w:hAnsiTheme="minorHAnsi"/>
          <w:sz w:val="22"/>
          <w:szCs w:val="22"/>
          <w:u w:val="single"/>
        </w:rPr>
        <w:t>14 oktober</w:t>
      </w:r>
      <w:r w:rsidRPr="00CB664C">
        <w:rPr>
          <w:rFonts w:asciiTheme="minorHAnsi" w:hAnsiTheme="minorHAnsi"/>
          <w:sz w:val="22"/>
          <w:szCs w:val="22"/>
          <w:u w:val="single"/>
        </w:rPr>
        <w:t xml:space="preserve"> 2016) d.d. </w:t>
      </w:r>
      <w:r>
        <w:rPr>
          <w:rFonts w:asciiTheme="minorHAnsi" w:hAnsiTheme="minorHAnsi"/>
          <w:sz w:val="22"/>
          <w:szCs w:val="22"/>
          <w:u w:val="single"/>
        </w:rPr>
        <w:t xml:space="preserve">20 oktober </w:t>
      </w:r>
      <w:r w:rsidRPr="00CB664C">
        <w:rPr>
          <w:rFonts w:asciiTheme="minorHAnsi" w:hAnsiTheme="minorHAnsi"/>
          <w:sz w:val="22"/>
          <w:szCs w:val="22"/>
          <w:u w:val="single"/>
        </w:rPr>
        <w:t>2016.</w:t>
      </w:r>
    </w:p>
    <w:p w:rsidRPr="00CB664C" w:rsidR="00D910C2" w:rsidP="00D910C2" w:rsidRDefault="00D910C2">
      <w:pPr>
        <w:rPr>
          <w:rFonts w:asciiTheme="minorHAnsi" w:hAnsiTheme="minorHAnsi"/>
          <w:sz w:val="22"/>
          <w:szCs w:val="22"/>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953"/>
        <w:gridCol w:w="709"/>
        <w:gridCol w:w="1134"/>
        <w:gridCol w:w="2977"/>
      </w:tblGrid>
      <w:tr w:rsidRPr="00CB664C" w:rsidR="00D910C2" w:rsidTr="00917F7B">
        <w:trPr>
          <w:trHeight w:val="1550"/>
        </w:trPr>
        <w:tc>
          <w:tcPr>
            <w:tcW w:w="1433" w:type="dxa"/>
            <w:shd w:val="clear" w:color="auto" w:fill="auto"/>
            <w:textDirection w:val="btLr"/>
            <w:vAlign w:val="bottom"/>
            <w:hideMark/>
          </w:tcPr>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Publicatie-</w:t>
            </w:r>
          </w:p>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datum</w:t>
            </w:r>
          </w:p>
        </w:tc>
        <w:tc>
          <w:tcPr>
            <w:tcW w:w="709" w:type="dxa"/>
            <w:shd w:val="clear" w:color="auto" w:fill="auto"/>
            <w:textDirection w:val="btLr"/>
            <w:vAlign w:val="bottom"/>
            <w:hideMark/>
          </w:tcPr>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Voortouw</w:t>
            </w:r>
          </w:p>
        </w:tc>
        <w:tc>
          <w:tcPr>
            <w:tcW w:w="1559" w:type="dxa"/>
            <w:shd w:val="clear" w:color="auto" w:fill="auto"/>
            <w:textDirection w:val="btLr"/>
            <w:vAlign w:val="bottom"/>
            <w:hideMark/>
          </w:tcPr>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Soort</w:t>
            </w:r>
          </w:p>
        </w:tc>
        <w:tc>
          <w:tcPr>
            <w:tcW w:w="5953" w:type="dxa"/>
            <w:shd w:val="clear" w:color="auto" w:fill="auto"/>
            <w:textDirection w:val="btLr"/>
            <w:vAlign w:val="bottom"/>
            <w:hideMark/>
          </w:tcPr>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Titel</w:t>
            </w:r>
          </w:p>
        </w:tc>
        <w:tc>
          <w:tcPr>
            <w:tcW w:w="709" w:type="dxa"/>
            <w:shd w:val="clear" w:color="auto" w:fill="auto"/>
            <w:textDirection w:val="btLr"/>
            <w:vAlign w:val="bottom"/>
            <w:hideMark/>
          </w:tcPr>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COM-nummer</w:t>
            </w:r>
          </w:p>
        </w:tc>
        <w:tc>
          <w:tcPr>
            <w:tcW w:w="1134" w:type="dxa"/>
            <w:textDirection w:val="btLr"/>
          </w:tcPr>
          <w:p w:rsidRPr="00CB664C" w:rsidR="00D910C2" w:rsidP="00917F7B" w:rsidRDefault="00D910C2">
            <w:pPr>
              <w:rPr>
                <w:rFonts w:asciiTheme="minorHAnsi" w:hAnsiTheme="minorHAnsi"/>
                <w:b/>
                <w:bCs/>
                <w:color w:val="000000"/>
                <w:sz w:val="22"/>
                <w:szCs w:val="22"/>
              </w:rPr>
            </w:pPr>
          </w:p>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Deadline</w:t>
            </w:r>
          </w:p>
          <w:p w:rsidRPr="00CB664C" w:rsidR="00D910C2" w:rsidP="00917F7B" w:rsidRDefault="00D910C2">
            <w:pPr>
              <w:rPr>
                <w:rFonts w:asciiTheme="minorHAnsi" w:hAnsiTheme="minorHAnsi"/>
                <w:b/>
                <w:bCs/>
                <w:color w:val="000000"/>
                <w:sz w:val="22"/>
                <w:szCs w:val="22"/>
              </w:rPr>
            </w:pPr>
            <w:proofErr w:type="spellStart"/>
            <w:r w:rsidRPr="00CB664C">
              <w:rPr>
                <w:rFonts w:asciiTheme="minorHAnsi" w:hAnsiTheme="minorHAnsi"/>
                <w:b/>
                <w:bCs/>
                <w:color w:val="000000"/>
                <w:sz w:val="22"/>
                <w:szCs w:val="22"/>
              </w:rPr>
              <w:t>Sub.toets</w:t>
            </w:r>
            <w:proofErr w:type="spellEnd"/>
          </w:p>
        </w:tc>
        <w:tc>
          <w:tcPr>
            <w:tcW w:w="2977" w:type="dxa"/>
            <w:shd w:val="clear" w:color="auto" w:fill="auto"/>
            <w:textDirection w:val="btLr"/>
            <w:vAlign w:val="bottom"/>
            <w:hideMark/>
          </w:tcPr>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Opmerking</w:t>
            </w:r>
          </w:p>
        </w:tc>
      </w:tr>
      <w:tr w:rsidRPr="00CB664C" w:rsidR="00D910C2" w:rsidTr="00917F7B">
        <w:trPr>
          <w:trHeight w:val="300"/>
        </w:trPr>
        <w:tc>
          <w:tcPr>
            <w:tcW w:w="1433" w:type="dxa"/>
            <w:tcBorders>
              <w:bottom w:val="single" w:color="auto" w:sz="4" w:space="0"/>
            </w:tcBorders>
            <w:shd w:val="clear" w:color="000000" w:fill="538DD5"/>
            <w:vAlign w:val="bottom"/>
            <w:hideMark/>
          </w:tcPr>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709" w:type="dxa"/>
            <w:tcBorders>
              <w:bottom w:val="single" w:color="auto" w:sz="4" w:space="0"/>
            </w:tcBorders>
            <w:shd w:val="clear" w:color="000000" w:fill="538DD5"/>
            <w:vAlign w:val="bottom"/>
            <w:hideMark/>
          </w:tcPr>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1559" w:type="dxa"/>
            <w:tcBorders>
              <w:bottom w:val="single" w:color="auto" w:sz="4" w:space="0"/>
            </w:tcBorders>
            <w:shd w:val="clear" w:color="000000" w:fill="538DD5"/>
            <w:vAlign w:val="bottom"/>
            <w:hideMark/>
          </w:tcPr>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5953" w:type="dxa"/>
            <w:tcBorders>
              <w:bottom w:val="single" w:color="auto" w:sz="4" w:space="0"/>
            </w:tcBorders>
            <w:shd w:val="clear" w:color="000000" w:fill="538DD5"/>
            <w:vAlign w:val="bottom"/>
            <w:hideMark/>
          </w:tcPr>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709" w:type="dxa"/>
            <w:tcBorders>
              <w:bottom w:val="single" w:color="auto" w:sz="4" w:space="0"/>
            </w:tcBorders>
            <w:shd w:val="clear" w:color="000000" w:fill="538DD5"/>
            <w:vAlign w:val="bottom"/>
            <w:hideMark/>
          </w:tcPr>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1134" w:type="dxa"/>
            <w:tcBorders>
              <w:bottom w:val="single" w:color="auto" w:sz="4" w:space="0"/>
            </w:tcBorders>
            <w:shd w:val="clear" w:color="000000" w:fill="538DD5"/>
          </w:tcPr>
          <w:p w:rsidRPr="00CB664C" w:rsidR="00D910C2" w:rsidP="00917F7B" w:rsidRDefault="00D910C2">
            <w:pPr>
              <w:rPr>
                <w:rFonts w:asciiTheme="minorHAnsi" w:hAnsiTheme="minorHAnsi"/>
                <w:b/>
                <w:bCs/>
                <w:color w:val="000000"/>
                <w:sz w:val="22"/>
                <w:szCs w:val="22"/>
              </w:rPr>
            </w:pPr>
          </w:p>
        </w:tc>
        <w:tc>
          <w:tcPr>
            <w:tcW w:w="2977" w:type="dxa"/>
            <w:tcBorders>
              <w:bottom w:val="single" w:color="auto" w:sz="4" w:space="0"/>
            </w:tcBorders>
            <w:shd w:val="clear" w:color="000000" w:fill="538DD5"/>
            <w:hideMark/>
          </w:tcPr>
          <w:p w:rsidRPr="00CB664C" w:rsidR="00D910C2" w:rsidP="00917F7B" w:rsidRDefault="00D910C2">
            <w:pPr>
              <w:rPr>
                <w:rFonts w:asciiTheme="minorHAnsi" w:hAnsiTheme="minorHAnsi"/>
                <w:b/>
                <w:bCs/>
                <w:color w:val="000000"/>
                <w:sz w:val="22"/>
                <w:szCs w:val="22"/>
              </w:rPr>
            </w:pPr>
            <w:r w:rsidRPr="00CB664C">
              <w:rPr>
                <w:rFonts w:asciiTheme="minorHAnsi" w:hAnsiTheme="minorHAnsi"/>
                <w:b/>
                <w:bCs/>
                <w:color w:val="000000"/>
                <w:sz w:val="22"/>
                <w:szCs w:val="22"/>
              </w:rPr>
              <w:t> </w:t>
            </w:r>
          </w:p>
        </w:tc>
      </w:tr>
      <w:tr w:rsidRPr="00CB664C" w:rsidR="00D910C2" w:rsidTr="00D9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10C2" w:rsidP="00917F7B" w:rsidRDefault="00D910C2">
            <w:pPr>
              <w:rPr>
                <w:rFonts w:asciiTheme="minorHAnsi" w:hAnsiTheme="minorHAnsi"/>
                <w:sz w:val="22"/>
                <w:szCs w:val="22"/>
              </w:rPr>
            </w:pPr>
            <w:r>
              <w:rPr>
                <w:rFonts w:asciiTheme="minorHAnsi" w:hAnsiTheme="minorHAnsi"/>
                <w:sz w:val="22"/>
                <w:szCs w:val="22"/>
              </w:rPr>
              <w:t>30-sep-16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00D910C2" w:rsidP="00917F7B" w:rsidRDefault="00D910C2">
            <w:pPr>
              <w:rPr>
                <w:rFonts w:asciiTheme="minorHAnsi" w:hAnsiTheme="minorHAnsi"/>
                <w:sz w:val="22"/>
                <w:szCs w:val="22"/>
              </w:rPr>
            </w:pPr>
            <w:r>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00D910C2" w:rsidP="00917F7B" w:rsidRDefault="00D910C2">
            <w:pPr>
              <w:rPr>
                <w:rFonts w:asciiTheme="minorHAnsi" w:hAnsiTheme="minorHAnsi"/>
                <w:sz w:val="22"/>
                <w:szCs w:val="22"/>
              </w:rPr>
            </w:pPr>
            <w:r>
              <w:rPr>
                <w:rFonts w:asciiTheme="minorHAnsi" w:hAnsiTheme="minorHAnsi"/>
                <w:sz w:val="22"/>
                <w:szCs w:val="22"/>
              </w:rPr>
              <w:t>Mededeling</w:t>
            </w:r>
          </w:p>
        </w:tc>
        <w:tc>
          <w:tcPr>
            <w:tcW w:w="5953" w:type="dxa"/>
            <w:tcBorders>
              <w:top w:val="single" w:color="auto" w:sz="4" w:space="0"/>
              <w:left w:val="nil"/>
              <w:bottom w:val="single" w:color="auto" w:sz="4" w:space="0"/>
              <w:right w:val="nil"/>
            </w:tcBorders>
            <w:shd w:val="clear" w:color="auto" w:fill="FFFFFF" w:themeFill="background1"/>
            <w:noWrap/>
          </w:tcPr>
          <w:p w:rsidR="00D910C2" w:rsidP="00917F7B" w:rsidRDefault="00D910C2">
            <w:pPr>
              <w:rPr>
                <w:rFonts w:ascii="Calibri" w:hAnsi="Calibri"/>
                <w:color w:val="000000"/>
                <w:sz w:val="22"/>
                <w:szCs w:val="22"/>
              </w:rPr>
            </w:pPr>
            <w:r w:rsidRPr="00D910C2">
              <w:rPr>
                <w:rFonts w:ascii="Calibri" w:hAnsi="Calibri"/>
                <w:color w:val="000000"/>
                <w:sz w:val="22"/>
                <w:szCs w:val="22"/>
              </w:rPr>
              <w:t xml:space="preserve">MEDEDELING VAN DE COMMISSIE AAN HET EUROPEES PARLEMENT overeenkomstig artikel 294, lid 6, van het Verdrag betreffende de werking van de Europese Unie over het standpunt van de Raad over de vaststelling van een Verordening van het Europees Parlement en de Raad houdende wijziging van Verordening (EG) nr. 1342/2008 van de Raad van 18 december 2008 tot vaststelling van een </w:t>
            </w:r>
            <w:proofErr w:type="spellStart"/>
            <w:r w:rsidRPr="00D910C2">
              <w:rPr>
                <w:rFonts w:ascii="Calibri" w:hAnsi="Calibri"/>
                <w:color w:val="000000"/>
                <w:sz w:val="22"/>
                <w:szCs w:val="22"/>
              </w:rPr>
              <w:t>langetermijnplan</w:t>
            </w:r>
            <w:proofErr w:type="spellEnd"/>
            <w:r w:rsidRPr="00D910C2">
              <w:rPr>
                <w:rFonts w:ascii="Calibri" w:hAnsi="Calibri"/>
                <w:color w:val="000000"/>
                <w:sz w:val="22"/>
                <w:szCs w:val="22"/>
              </w:rPr>
              <w:t xml:space="preserve"> voor kabeljauwbestanden en de bevissing van deze bestanden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10C2" w:rsidP="00D910C2" w:rsidRDefault="007C790B">
            <w:pPr>
              <w:rPr>
                <w:rFonts w:ascii="Calibri" w:hAnsi="Calibri"/>
                <w:color w:val="0000FF"/>
                <w:sz w:val="22"/>
                <w:szCs w:val="22"/>
                <w:u w:val="single"/>
              </w:rPr>
            </w:pPr>
            <w:hyperlink w:history="1" r:id="rId8">
              <w:r w:rsidR="00D910C2">
                <w:rPr>
                  <w:rStyle w:val="Hyperlink"/>
                  <w:rFonts w:ascii="Calibri" w:hAnsi="Calibri"/>
                  <w:sz w:val="22"/>
                  <w:szCs w:val="22"/>
                </w:rPr>
                <w:t>647</w:t>
              </w:r>
            </w:hyperlink>
          </w:p>
          <w:p w:rsidR="00D910C2" w:rsidP="00917F7B" w:rsidRDefault="00D910C2">
            <w:pPr>
              <w:rPr>
                <w:rFonts w:ascii="Calibri" w:hAnsi="Calibr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D910C2" w:rsidP="00917F7B" w:rsidRDefault="00D910C2">
            <w:pPr>
              <w:rPr>
                <w:rFonts w:asciiTheme="minorHAnsi" w:hAnsiTheme="minorHAnsi"/>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00D910C2" w:rsidP="00917F7B" w:rsidRDefault="007C790B">
            <w:pPr>
              <w:rPr>
                <w:rFonts w:asciiTheme="minorHAnsi" w:hAnsiTheme="minorHAnsi"/>
                <w:sz w:val="22"/>
                <w:szCs w:val="22"/>
              </w:rPr>
            </w:pPr>
            <w:r>
              <w:rPr>
                <w:rFonts w:asciiTheme="minorHAnsi" w:hAnsiTheme="minorHAnsi"/>
                <w:sz w:val="22"/>
                <w:szCs w:val="22"/>
              </w:rPr>
              <w:t>Voorstel: BNC-fiche afwachten.</w:t>
            </w:r>
            <w:bookmarkStart w:name="_GoBack" w:id="0"/>
            <w:bookmarkEnd w:id="0"/>
          </w:p>
        </w:tc>
      </w:tr>
      <w:tr w:rsidRPr="00CB664C" w:rsidR="00D910C2" w:rsidTr="00D9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10C2" w:rsidP="00917F7B" w:rsidRDefault="00D910C2">
            <w:pPr>
              <w:rPr>
                <w:rFonts w:asciiTheme="minorHAnsi" w:hAnsiTheme="minorHAnsi"/>
                <w:sz w:val="22"/>
                <w:szCs w:val="22"/>
              </w:rPr>
            </w:pPr>
            <w:r>
              <w:rPr>
                <w:rFonts w:asciiTheme="minorHAnsi" w:hAnsiTheme="minorHAnsi"/>
                <w:sz w:val="22"/>
                <w:szCs w:val="22"/>
              </w:rPr>
              <w:t>6-okt-16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00D910C2" w:rsidP="00917F7B" w:rsidRDefault="00D910C2">
            <w:pPr>
              <w:rPr>
                <w:rFonts w:asciiTheme="minorHAnsi" w:hAnsiTheme="minorHAnsi"/>
                <w:sz w:val="22"/>
                <w:szCs w:val="22"/>
              </w:rPr>
            </w:pPr>
            <w:r>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00D910C2" w:rsidP="00917F7B" w:rsidRDefault="00D910C2">
            <w:pPr>
              <w:rPr>
                <w:rFonts w:asciiTheme="minorHAnsi" w:hAnsiTheme="minorHAnsi"/>
                <w:sz w:val="22"/>
                <w:szCs w:val="22"/>
              </w:rPr>
            </w:pPr>
            <w:r>
              <w:rPr>
                <w:rFonts w:asciiTheme="minorHAnsi" w:hAnsiTheme="minorHAnsi"/>
                <w:sz w:val="22"/>
                <w:szCs w:val="22"/>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Pr="000866DD" w:rsidR="00D910C2" w:rsidP="00917F7B" w:rsidRDefault="00D910C2">
            <w:pPr>
              <w:rPr>
                <w:rFonts w:ascii="Calibri" w:hAnsi="Calibri"/>
                <w:color w:val="000000"/>
                <w:sz w:val="22"/>
                <w:szCs w:val="22"/>
              </w:rPr>
            </w:pPr>
            <w:r w:rsidRPr="00D910C2">
              <w:rPr>
                <w:rFonts w:ascii="Calibri" w:hAnsi="Calibri"/>
                <w:color w:val="000000"/>
                <w:sz w:val="22"/>
                <w:szCs w:val="22"/>
              </w:rPr>
              <w:t>Voorstel voor een verordening van de Raad tot vaststelling, voor 2017 en 2018, van de vangstmogelijkheden voor vissersvaartuigen van de Unie voor bepaalde bestanden van diepzeevissen</w:t>
            </w:r>
            <w:r>
              <w:rPr>
                <w:rFonts w:ascii="Calibri" w:hAnsi="Calibri"/>
                <w:color w:val="000000"/>
                <w:sz w:val="22"/>
                <w:szCs w:val="22"/>
              </w:rPr>
              <w: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10C2" w:rsidP="00D910C2" w:rsidRDefault="007C790B">
            <w:pPr>
              <w:rPr>
                <w:rFonts w:ascii="Calibri" w:hAnsi="Calibri"/>
                <w:color w:val="0000FF"/>
                <w:sz w:val="22"/>
                <w:szCs w:val="22"/>
                <w:u w:val="single"/>
              </w:rPr>
            </w:pPr>
            <w:hyperlink w:history="1" r:id="rId9">
              <w:r w:rsidR="00D910C2">
                <w:rPr>
                  <w:rStyle w:val="Hyperlink"/>
                  <w:rFonts w:ascii="Calibri" w:hAnsi="Calibri"/>
                  <w:sz w:val="22"/>
                  <w:szCs w:val="22"/>
                </w:rPr>
                <w:t>643</w:t>
              </w:r>
            </w:hyperlink>
          </w:p>
          <w:p w:rsidR="00D910C2" w:rsidP="00917F7B" w:rsidRDefault="00D910C2">
            <w:pPr>
              <w:rPr>
                <w:rFonts w:ascii="Calibri" w:hAnsi="Calibri"/>
                <w:color w:val="0000FF"/>
                <w:sz w:val="22"/>
                <w:szCs w:val="22"/>
                <w:u w:val="single"/>
              </w:rPr>
            </w:pPr>
          </w:p>
          <w:p w:rsidRPr="000866DD" w:rsidR="00D910C2" w:rsidP="00917F7B" w:rsidRDefault="00D910C2">
            <w:pPr>
              <w:rPr>
                <w:rFonts w:ascii="Calibri" w:hAnsi="Calibr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D910C2" w:rsidP="00917F7B" w:rsidRDefault="00D910C2">
            <w:pPr>
              <w:rPr>
                <w:rFonts w:asciiTheme="minorHAnsi" w:hAnsiTheme="minorHAnsi"/>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00D910C2" w:rsidP="00917F7B" w:rsidRDefault="0013663D">
            <w:pPr>
              <w:rPr>
                <w:rFonts w:asciiTheme="minorHAnsi" w:hAnsiTheme="minorHAnsi"/>
                <w:sz w:val="22"/>
                <w:szCs w:val="22"/>
              </w:rPr>
            </w:pPr>
            <w:r>
              <w:rPr>
                <w:rFonts w:asciiTheme="minorHAnsi" w:hAnsiTheme="minorHAnsi"/>
                <w:sz w:val="22"/>
                <w:szCs w:val="22"/>
              </w:rPr>
              <w:t>Voorstel: BNC-fiche afwachten.</w:t>
            </w:r>
          </w:p>
        </w:tc>
      </w:tr>
      <w:tr w:rsidRPr="00CB664C" w:rsidR="00D910C2" w:rsidTr="00D9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10C2" w:rsidP="00917F7B" w:rsidRDefault="00D910C2">
            <w:pPr>
              <w:rPr>
                <w:rFonts w:asciiTheme="minorHAnsi" w:hAnsiTheme="minorHAnsi"/>
                <w:sz w:val="22"/>
                <w:szCs w:val="22"/>
              </w:rPr>
            </w:pPr>
            <w:r>
              <w:rPr>
                <w:rFonts w:asciiTheme="minorHAnsi" w:hAnsiTheme="minorHAnsi"/>
                <w:sz w:val="22"/>
                <w:szCs w:val="22"/>
              </w:rPr>
              <w:t>6-okt-16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00D910C2" w:rsidP="00917F7B" w:rsidRDefault="00D910C2">
            <w:pPr>
              <w:rPr>
                <w:rFonts w:asciiTheme="minorHAnsi" w:hAnsiTheme="minorHAnsi"/>
                <w:sz w:val="22"/>
                <w:szCs w:val="22"/>
              </w:rPr>
            </w:pPr>
            <w:r>
              <w:rPr>
                <w:rFonts w:asciiTheme="minorHAnsi" w:hAnsiTheme="minorHAnsi"/>
                <w:sz w:val="22"/>
                <w:szCs w:val="22"/>
              </w:rPr>
              <w:t xml:space="preserve">EZ </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00D910C2" w:rsidP="00917F7B" w:rsidRDefault="00D910C2">
            <w:pPr>
              <w:rPr>
                <w:rFonts w:asciiTheme="minorHAnsi" w:hAnsiTheme="minorHAnsi"/>
                <w:sz w:val="22"/>
                <w:szCs w:val="22"/>
              </w:rPr>
            </w:pPr>
            <w:r>
              <w:rPr>
                <w:rFonts w:asciiTheme="minorHAnsi" w:hAnsiTheme="minorHAnsi"/>
                <w:sz w:val="22"/>
                <w:szCs w:val="22"/>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Pr="00D910C2" w:rsidR="00D910C2" w:rsidP="00917F7B" w:rsidRDefault="00D910C2">
            <w:pPr>
              <w:rPr>
                <w:rFonts w:ascii="Calibri" w:hAnsi="Calibri"/>
                <w:color w:val="000000"/>
                <w:sz w:val="22"/>
                <w:szCs w:val="22"/>
              </w:rPr>
            </w:pPr>
            <w:r w:rsidRPr="00D910C2">
              <w:rPr>
                <w:rFonts w:ascii="Calibri" w:hAnsi="Calibri"/>
                <w:color w:val="000000"/>
                <w:sz w:val="22"/>
                <w:szCs w:val="22"/>
              </w:rPr>
              <w:t>Voorstel voor een VERORDENING VAN DE RAAD tot wijziging van Verordening (EU) nr. 1370/2013 houdende maatregelen tot vaststelling van steun en restituties in het kader van de gemeenschappelijke ordening van de markten voor landbouwproducten</w:t>
            </w:r>
            <w:r>
              <w:rPr>
                <w:rFonts w:ascii="Calibri" w:hAnsi="Calibri"/>
                <w:color w:val="000000"/>
                <w:sz w:val="22"/>
                <w:szCs w:val="22"/>
              </w:rPr>
              <w: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10C2" w:rsidP="00D910C2" w:rsidRDefault="007C790B">
            <w:pPr>
              <w:rPr>
                <w:rFonts w:ascii="Calibri" w:hAnsi="Calibri"/>
                <w:color w:val="0000FF"/>
                <w:sz w:val="22"/>
                <w:szCs w:val="22"/>
                <w:u w:val="single"/>
              </w:rPr>
            </w:pPr>
            <w:hyperlink w:history="1" r:id="rId10">
              <w:r w:rsidR="00D910C2">
                <w:rPr>
                  <w:rStyle w:val="Hyperlink"/>
                  <w:rFonts w:ascii="Calibri" w:hAnsi="Calibri"/>
                  <w:sz w:val="22"/>
                  <w:szCs w:val="22"/>
                </w:rPr>
                <w:t>653</w:t>
              </w:r>
            </w:hyperlink>
          </w:p>
          <w:p w:rsidR="00D910C2" w:rsidP="00D910C2" w:rsidRDefault="00D910C2">
            <w:pPr>
              <w:rPr>
                <w:rFonts w:ascii="Calibri" w:hAnsi="Calibr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D910C2" w:rsidP="00917F7B" w:rsidRDefault="00D910C2">
            <w:pPr>
              <w:rPr>
                <w:rFonts w:asciiTheme="minorHAnsi" w:hAnsiTheme="minorHAnsi"/>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00D910C2" w:rsidP="00917F7B" w:rsidRDefault="007C790B">
            <w:pPr>
              <w:rPr>
                <w:rFonts w:asciiTheme="minorHAnsi" w:hAnsiTheme="minorHAnsi"/>
                <w:sz w:val="22"/>
                <w:szCs w:val="22"/>
              </w:rPr>
            </w:pPr>
            <w:r>
              <w:rPr>
                <w:rFonts w:asciiTheme="minorHAnsi" w:hAnsiTheme="minorHAnsi"/>
                <w:sz w:val="22"/>
                <w:szCs w:val="22"/>
              </w:rPr>
              <w:t>Voorstel: V.k.a.</w:t>
            </w:r>
            <w:r>
              <w:t xml:space="preserve"> </w:t>
            </w:r>
            <w:r>
              <w:rPr>
                <w:rFonts w:asciiTheme="minorHAnsi" w:hAnsiTheme="minorHAnsi"/>
                <w:sz w:val="22"/>
                <w:szCs w:val="22"/>
              </w:rPr>
              <w:t>H</w:t>
            </w:r>
            <w:r w:rsidRPr="007C790B">
              <w:rPr>
                <w:rFonts w:asciiTheme="minorHAnsi" w:hAnsiTheme="minorHAnsi"/>
                <w:sz w:val="22"/>
                <w:szCs w:val="22"/>
              </w:rPr>
              <w:t xml:space="preserve">et </w:t>
            </w:r>
            <w:r>
              <w:rPr>
                <w:rFonts w:asciiTheme="minorHAnsi" w:hAnsiTheme="minorHAnsi"/>
                <w:sz w:val="22"/>
                <w:szCs w:val="22"/>
              </w:rPr>
              <w:t xml:space="preserve">Europees </w:t>
            </w:r>
            <w:r w:rsidRPr="007C790B">
              <w:rPr>
                <w:rFonts w:asciiTheme="minorHAnsi" w:hAnsiTheme="minorHAnsi"/>
                <w:sz w:val="22"/>
                <w:szCs w:val="22"/>
              </w:rPr>
              <w:t xml:space="preserve">Hof </w:t>
            </w:r>
            <w:r>
              <w:rPr>
                <w:rFonts w:asciiTheme="minorHAnsi" w:hAnsiTheme="minorHAnsi"/>
                <w:sz w:val="22"/>
                <w:szCs w:val="22"/>
              </w:rPr>
              <w:t xml:space="preserve">heeft </w:t>
            </w:r>
            <w:r w:rsidRPr="007C790B">
              <w:rPr>
                <w:rFonts w:asciiTheme="minorHAnsi" w:hAnsiTheme="minorHAnsi"/>
                <w:sz w:val="22"/>
                <w:szCs w:val="22"/>
              </w:rPr>
              <w:t>de eerder vastge</w:t>
            </w:r>
            <w:r>
              <w:rPr>
                <w:rFonts w:asciiTheme="minorHAnsi" w:hAnsiTheme="minorHAnsi"/>
                <w:sz w:val="22"/>
                <w:szCs w:val="22"/>
              </w:rPr>
              <w:t xml:space="preserve">stelde verordening nietig </w:t>
            </w:r>
            <w:r w:rsidRPr="007C790B">
              <w:rPr>
                <w:rFonts w:asciiTheme="minorHAnsi" w:hAnsiTheme="minorHAnsi"/>
                <w:sz w:val="22"/>
                <w:szCs w:val="22"/>
              </w:rPr>
              <w:t>verklaard, maar de gevolgen voor een periode</w:t>
            </w:r>
            <w:r>
              <w:rPr>
                <w:rFonts w:asciiTheme="minorHAnsi" w:hAnsiTheme="minorHAnsi"/>
                <w:sz w:val="22"/>
                <w:szCs w:val="22"/>
              </w:rPr>
              <w:t xml:space="preserve"> van vijf maanden in stand</w:t>
            </w:r>
            <w:r w:rsidRPr="007C790B">
              <w:rPr>
                <w:rFonts w:asciiTheme="minorHAnsi" w:hAnsiTheme="minorHAnsi"/>
                <w:sz w:val="22"/>
                <w:szCs w:val="22"/>
              </w:rPr>
              <w:t xml:space="preserve"> gehouden. Binnen die termijn moet er volgens de juiste procedure (dus alleen door de Raad) e</w:t>
            </w:r>
            <w:r>
              <w:rPr>
                <w:rFonts w:asciiTheme="minorHAnsi" w:hAnsiTheme="minorHAnsi"/>
                <w:sz w:val="22"/>
                <w:szCs w:val="22"/>
              </w:rPr>
              <w:t>en nieuwe, inhoudelijk</w:t>
            </w:r>
            <w:r w:rsidRPr="007C790B">
              <w:rPr>
                <w:rFonts w:asciiTheme="minorHAnsi" w:hAnsiTheme="minorHAnsi"/>
                <w:sz w:val="22"/>
                <w:szCs w:val="22"/>
              </w:rPr>
              <w:t xml:space="preserve"> identiek </w:t>
            </w:r>
            <w:r w:rsidRPr="007C790B">
              <w:rPr>
                <w:rFonts w:asciiTheme="minorHAnsi" w:hAnsiTheme="minorHAnsi"/>
                <w:sz w:val="22"/>
                <w:szCs w:val="22"/>
              </w:rPr>
              <w:lastRenderedPageBreak/>
              <w:t>aan de vernietigde verordening, worden vastgesteld.</w:t>
            </w:r>
          </w:p>
        </w:tc>
      </w:tr>
      <w:tr w:rsidRPr="00CB664C" w:rsidR="00D910C2" w:rsidTr="0013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10C2" w:rsidP="00917F7B" w:rsidRDefault="00D910C2">
            <w:pPr>
              <w:rPr>
                <w:rFonts w:asciiTheme="minorHAnsi" w:hAnsiTheme="minorHAnsi"/>
                <w:sz w:val="22"/>
                <w:szCs w:val="22"/>
              </w:rPr>
            </w:pPr>
            <w:r>
              <w:rPr>
                <w:rFonts w:asciiTheme="minorHAnsi" w:hAnsiTheme="minorHAnsi"/>
                <w:sz w:val="22"/>
                <w:szCs w:val="22"/>
              </w:rPr>
              <w:lastRenderedPageBreak/>
              <w:t>7-okt-16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00D910C2" w:rsidP="00917F7B" w:rsidRDefault="00D910C2">
            <w:pPr>
              <w:rPr>
                <w:rFonts w:asciiTheme="minorHAnsi" w:hAnsiTheme="minorHAnsi"/>
                <w:sz w:val="22"/>
                <w:szCs w:val="22"/>
              </w:rPr>
            </w:pPr>
            <w:r>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00D910C2" w:rsidP="00917F7B" w:rsidRDefault="00D910C2">
            <w:pPr>
              <w:rPr>
                <w:rFonts w:asciiTheme="minorHAnsi" w:hAnsiTheme="minorHAnsi"/>
                <w:sz w:val="22"/>
                <w:szCs w:val="22"/>
              </w:rPr>
            </w:pPr>
            <w:r>
              <w:rPr>
                <w:rFonts w:asciiTheme="minorHAnsi" w:hAnsiTheme="minorHAnsi"/>
                <w:sz w:val="22"/>
                <w:szCs w:val="22"/>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Pr="00D910C2" w:rsidR="00D910C2" w:rsidP="00917F7B" w:rsidRDefault="00D910C2">
            <w:pPr>
              <w:rPr>
                <w:rFonts w:ascii="Calibri" w:hAnsi="Calibri"/>
                <w:color w:val="000000"/>
                <w:sz w:val="22"/>
                <w:szCs w:val="22"/>
              </w:rPr>
            </w:pPr>
            <w:r w:rsidRPr="00D910C2">
              <w:rPr>
                <w:rFonts w:ascii="Calibri" w:hAnsi="Calibri"/>
                <w:color w:val="000000"/>
                <w:sz w:val="22"/>
                <w:szCs w:val="22"/>
              </w:rPr>
              <w:t>Evaluatie van procedurele en bevoegdheidsaspecten van de EU-concentratiecontrole</w:t>
            </w:r>
            <w:r>
              <w:rPr>
                <w:rFonts w:ascii="Calibri" w:hAnsi="Calibri"/>
                <w:color w:val="000000"/>
                <w:sz w:val="22"/>
                <w:szCs w:val="22"/>
              </w:rPr>
              <w: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910C2" w:rsidP="00D910C2" w:rsidRDefault="00D910C2">
            <w:pPr>
              <w:rPr>
                <w:rFonts w:ascii="Calibri" w:hAnsi="Calibri"/>
                <w:color w:val="0000FF"/>
                <w:sz w:val="22"/>
                <w:szCs w:val="22"/>
                <w:u w:val="single"/>
              </w:rPr>
            </w:pPr>
            <w:r w:rsidRPr="00D910C2">
              <w:rPr>
                <w:rFonts w:ascii="Calibri" w:hAnsi="Calibri"/>
                <w:color w:val="0000FF"/>
                <w:sz w:val="22"/>
                <w:szCs w:val="22"/>
                <w:u w:val="single"/>
              </w:rPr>
              <w:t>OR</w:t>
            </w: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D910C2" w:rsidP="00917F7B" w:rsidRDefault="00D910C2">
            <w:pPr>
              <w:rPr>
                <w:rFonts w:asciiTheme="minorHAnsi" w:hAnsiTheme="minorHAnsi"/>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00D910C2" w:rsidP="0013663D" w:rsidRDefault="0013663D">
            <w:pPr>
              <w:rPr>
                <w:rFonts w:asciiTheme="minorHAnsi" w:hAnsiTheme="minorHAnsi"/>
                <w:sz w:val="22"/>
                <w:szCs w:val="22"/>
              </w:rPr>
            </w:pPr>
            <w:r w:rsidRPr="0013663D">
              <w:rPr>
                <w:rFonts w:asciiTheme="minorHAnsi" w:hAnsiTheme="minorHAnsi"/>
                <w:sz w:val="22"/>
                <w:szCs w:val="22"/>
              </w:rPr>
              <w:t>Deze raadpleging loopt t/m 13 januari 2017. Voorstel: het ministerie verzoeken de Kamer tijdig een conceptreactie te sturen, zodat de Kamer zich hierover nog kan uitspreken voordat de reactie aan de Europese Commissie wordt verzonden.</w:t>
            </w:r>
          </w:p>
        </w:tc>
      </w:tr>
    </w:tbl>
    <w:p w:rsidR="00D910C2" w:rsidP="00D910C2" w:rsidRDefault="00D910C2">
      <w:pPr>
        <w:pStyle w:val="Voetnoottekst"/>
        <w:rPr>
          <w:rFonts w:ascii="Verdana" w:hAnsi="Verdana"/>
          <w:b/>
        </w:rPr>
      </w:pPr>
    </w:p>
    <w:p w:rsidRPr="00A32873" w:rsidR="00D910C2" w:rsidP="00D910C2" w:rsidRDefault="00D910C2">
      <w:pPr>
        <w:pStyle w:val="Voetnoottekst"/>
        <w:rPr>
          <w:rFonts w:ascii="Verdana" w:hAnsi="Verdana"/>
          <w:b/>
        </w:rPr>
      </w:pPr>
      <w:r w:rsidRPr="00A32873">
        <w:rPr>
          <w:rFonts w:ascii="Verdana" w:hAnsi="Verdana"/>
          <w:b/>
        </w:rPr>
        <w:t>Behandelmogelijkheden EU-voorstellen</w:t>
      </w:r>
    </w:p>
    <w:p w:rsidRPr="00A32873" w:rsidR="00D910C2" w:rsidP="00D910C2" w:rsidRDefault="00D910C2">
      <w:pPr>
        <w:pStyle w:val="Voetnoottekst"/>
        <w:rPr>
          <w:rFonts w:ascii="Verdana" w:hAnsi="Verdana"/>
          <w:sz w:val="18"/>
          <w:szCs w:val="18"/>
        </w:rPr>
      </w:pPr>
    </w:p>
    <w:p w:rsidRPr="00A32873" w:rsidR="00D910C2" w:rsidP="00D910C2" w:rsidRDefault="00D910C2">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D910C2" w:rsidP="00D910C2" w:rsidRDefault="00D910C2">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D910C2" w:rsidP="00D910C2" w:rsidRDefault="00D910C2">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D910C2" w:rsidTr="00917F7B">
        <w:tc>
          <w:tcPr>
            <w:tcW w:w="2093" w:type="dxa"/>
          </w:tcPr>
          <w:p w:rsidRPr="002F662A" w:rsidR="00D910C2" w:rsidP="00917F7B" w:rsidRDefault="00D910C2">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D910C2" w:rsidP="00917F7B" w:rsidRDefault="00D910C2">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D910C2" w:rsidP="00917F7B" w:rsidRDefault="00D910C2">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D910C2" w:rsidTr="00917F7B">
        <w:tc>
          <w:tcPr>
            <w:tcW w:w="14142" w:type="dxa"/>
            <w:gridSpan w:val="3"/>
          </w:tcPr>
          <w:p w:rsidR="00D910C2" w:rsidP="00917F7B" w:rsidRDefault="00D910C2">
            <w:pPr>
              <w:pStyle w:val="Voetnoottekst"/>
              <w:rPr>
                <w:rFonts w:ascii="Verdana" w:hAnsi="Verdana"/>
                <w:i/>
                <w:sz w:val="18"/>
                <w:szCs w:val="18"/>
              </w:rPr>
            </w:pPr>
          </w:p>
          <w:p w:rsidRPr="002F662A" w:rsidR="00D910C2" w:rsidP="00917F7B" w:rsidRDefault="00D910C2">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D910C2" w:rsidTr="00917F7B">
        <w:tc>
          <w:tcPr>
            <w:tcW w:w="2093"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D910C2" w:rsidP="00917F7B" w:rsidRDefault="00D910C2">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D910C2" w:rsidP="00917F7B" w:rsidRDefault="00D910C2">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D910C2" w:rsidP="00917F7B" w:rsidRDefault="00D910C2">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D910C2" w:rsidP="00917F7B" w:rsidRDefault="00D910C2">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w:t>
            </w:r>
            <w:r w:rsidRPr="00A32873">
              <w:rPr>
                <w:rFonts w:ascii="Verdana" w:hAnsi="Verdana"/>
                <w:sz w:val="18"/>
                <w:szCs w:val="18"/>
              </w:rPr>
              <w:lastRenderedPageBreak/>
              <w:t>benoemen</w:t>
            </w:r>
            <w:r>
              <w:rPr>
                <w:rFonts w:ascii="Verdana" w:hAnsi="Verdana"/>
                <w:sz w:val="18"/>
                <w:szCs w:val="18"/>
              </w:rPr>
              <w:t>.</w:t>
            </w:r>
          </w:p>
          <w:p w:rsidRPr="00A32873" w:rsidR="00D910C2" w:rsidP="00917F7B" w:rsidRDefault="00D910C2">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D910C2" w:rsidP="00917F7B" w:rsidRDefault="00D910C2">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D910C2" w:rsidP="00917F7B" w:rsidRDefault="00D910C2">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D910C2" w:rsidTr="00917F7B">
        <w:tc>
          <w:tcPr>
            <w:tcW w:w="2093"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lastRenderedPageBreak/>
              <w:t xml:space="preserve">Richtlijn </w:t>
            </w:r>
          </w:p>
        </w:tc>
        <w:tc>
          <w:tcPr>
            <w:tcW w:w="6946"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D910C2" w:rsidP="00917F7B" w:rsidRDefault="00D910C2">
            <w:pPr>
              <w:pStyle w:val="Voetnoottekst"/>
              <w:numPr>
                <w:ilvl w:val="0"/>
                <w:numId w:val="2"/>
              </w:numPr>
              <w:ind w:left="317" w:hanging="283"/>
              <w:rPr>
                <w:rFonts w:ascii="Verdana" w:hAnsi="Verdana"/>
                <w:sz w:val="18"/>
                <w:szCs w:val="18"/>
              </w:rPr>
            </w:pPr>
          </w:p>
        </w:tc>
      </w:tr>
      <w:tr w:rsidRPr="00A32873" w:rsidR="00D910C2" w:rsidTr="00917F7B">
        <w:tc>
          <w:tcPr>
            <w:tcW w:w="2093"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lastRenderedPageBreak/>
              <w:t>(Besluit)</w:t>
            </w:r>
          </w:p>
        </w:tc>
        <w:tc>
          <w:tcPr>
            <w:tcW w:w="6946"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D910C2" w:rsidP="00917F7B" w:rsidRDefault="00D910C2">
            <w:pPr>
              <w:pStyle w:val="Voetnoottekst"/>
              <w:numPr>
                <w:ilvl w:val="0"/>
                <w:numId w:val="2"/>
              </w:numPr>
              <w:ind w:left="317" w:hanging="283"/>
              <w:rPr>
                <w:rFonts w:ascii="Verdana" w:hAnsi="Verdana"/>
                <w:sz w:val="18"/>
                <w:szCs w:val="18"/>
              </w:rPr>
            </w:pPr>
          </w:p>
        </w:tc>
      </w:tr>
      <w:tr w:rsidRPr="00A32873" w:rsidR="00D910C2" w:rsidTr="00917F7B">
        <w:tc>
          <w:tcPr>
            <w:tcW w:w="14142" w:type="dxa"/>
            <w:gridSpan w:val="3"/>
          </w:tcPr>
          <w:p w:rsidRPr="002F662A" w:rsidR="00D910C2" w:rsidP="00917F7B" w:rsidRDefault="00D910C2">
            <w:pPr>
              <w:pStyle w:val="Voetnoottekst"/>
              <w:rPr>
                <w:rFonts w:ascii="Verdana" w:hAnsi="Verdana"/>
                <w:i/>
                <w:sz w:val="18"/>
                <w:szCs w:val="18"/>
              </w:rPr>
            </w:pPr>
            <w:r w:rsidRPr="002F662A">
              <w:rPr>
                <w:rFonts w:ascii="Verdana" w:hAnsi="Verdana"/>
                <w:i/>
                <w:sz w:val="18"/>
                <w:szCs w:val="18"/>
              </w:rPr>
              <w:t>Niet-wetgevende bindende rechtshandelingen</w:t>
            </w:r>
          </w:p>
        </w:tc>
      </w:tr>
      <w:tr w:rsidRPr="00A32873" w:rsidR="00D910C2" w:rsidTr="00917F7B">
        <w:tc>
          <w:tcPr>
            <w:tcW w:w="2093"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w:t>
            </w:r>
            <w:r w:rsidRPr="00A32873">
              <w:rPr>
                <w:rFonts w:ascii="Verdana" w:hAnsi="Verdana"/>
                <w:sz w:val="18"/>
                <w:szCs w:val="18"/>
              </w:rPr>
              <w:lastRenderedPageBreak/>
              <w:t>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D910C2" w:rsidP="00917F7B" w:rsidRDefault="00D910C2">
            <w:pPr>
              <w:pStyle w:val="Voetnoottekst"/>
              <w:numPr>
                <w:ilvl w:val="0"/>
                <w:numId w:val="1"/>
              </w:numPr>
              <w:rPr>
                <w:rFonts w:ascii="Verdana" w:hAnsi="Verdana"/>
                <w:sz w:val="18"/>
                <w:szCs w:val="18"/>
              </w:rPr>
            </w:pPr>
            <w:r>
              <w:rPr>
                <w:rFonts w:ascii="Verdana" w:hAnsi="Verdana"/>
                <w:sz w:val="18"/>
                <w:szCs w:val="18"/>
              </w:rPr>
              <w:lastRenderedPageBreak/>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D910C2" w:rsidP="00917F7B" w:rsidRDefault="00D910C2">
            <w:pPr>
              <w:pStyle w:val="Voetnoottekst"/>
              <w:ind w:left="360"/>
              <w:rPr>
                <w:rFonts w:ascii="Verdana" w:hAnsi="Verdana"/>
                <w:sz w:val="18"/>
                <w:szCs w:val="18"/>
              </w:rPr>
            </w:pPr>
          </w:p>
        </w:tc>
      </w:tr>
      <w:tr w:rsidRPr="00A32873" w:rsidR="00D910C2" w:rsidTr="00917F7B">
        <w:tc>
          <w:tcPr>
            <w:tcW w:w="2093" w:type="dxa"/>
          </w:tcPr>
          <w:p w:rsidRPr="00A32873" w:rsidR="00D910C2" w:rsidP="00917F7B" w:rsidRDefault="00D910C2">
            <w:pPr>
              <w:pStyle w:val="Voetnoottekst"/>
              <w:rPr>
                <w:rFonts w:ascii="Verdana" w:hAnsi="Verdana"/>
                <w:sz w:val="18"/>
                <w:szCs w:val="18"/>
              </w:rPr>
            </w:pPr>
            <w:proofErr w:type="spellStart"/>
            <w:r w:rsidRPr="00A32873">
              <w:rPr>
                <w:rFonts w:ascii="Verdana" w:hAnsi="Verdana"/>
                <w:sz w:val="18"/>
                <w:szCs w:val="18"/>
              </w:rPr>
              <w:lastRenderedPageBreak/>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D910C2" w:rsidP="00917F7B" w:rsidRDefault="00D910C2">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D910C2" w:rsidP="00917F7B" w:rsidRDefault="00D910C2">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D910C2" w:rsidTr="00917F7B">
        <w:tc>
          <w:tcPr>
            <w:tcW w:w="2093"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D910C2" w:rsidP="00917F7B" w:rsidRDefault="00D910C2">
            <w:pPr>
              <w:pStyle w:val="Voetnoottekst"/>
              <w:rPr>
                <w:rFonts w:ascii="Verdana" w:hAnsi="Verdana"/>
                <w:sz w:val="18"/>
                <w:szCs w:val="18"/>
              </w:rPr>
            </w:pPr>
          </w:p>
        </w:tc>
        <w:tc>
          <w:tcPr>
            <w:tcW w:w="5103" w:type="dxa"/>
          </w:tcPr>
          <w:p w:rsidRPr="00A32873" w:rsidR="00D910C2" w:rsidP="00917F7B" w:rsidRDefault="00D910C2">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D910C2" w:rsidP="00917F7B" w:rsidRDefault="00D910C2">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D910C2" w:rsidP="00917F7B" w:rsidRDefault="00D910C2">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D910C2" w:rsidP="00917F7B" w:rsidRDefault="00D910C2">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D910C2" w:rsidP="00917F7B" w:rsidRDefault="00D910C2">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D910C2" w:rsidTr="00917F7B">
        <w:tc>
          <w:tcPr>
            <w:tcW w:w="14142" w:type="dxa"/>
            <w:gridSpan w:val="3"/>
          </w:tcPr>
          <w:p w:rsidRPr="002F662A" w:rsidR="00D910C2" w:rsidP="00917F7B" w:rsidRDefault="00D910C2">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D910C2" w:rsidTr="00917F7B">
        <w:tc>
          <w:tcPr>
            <w:tcW w:w="2093" w:type="dxa"/>
          </w:tcPr>
          <w:p w:rsidR="00D910C2" w:rsidP="00917F7B" w:rsidRDefault="00D910C2">
            <w:pPr>
              <w:pStyle w:val="Voetnoottekst"/>
              <w:rPr>
                <w:rFonts w:ascii="Verdana" w:hAnsi="Verdana"/>
                <w:sz w:val="18"/>
                <w:szCs w:val="18"/>
              </w:rPr>
            </w:pPr>
            <w:r w:rsidRPr="00A32873">
              <w:rPr>
                <w:rFonts w:ascii="Verdana" w:hAnsi="Verdana"/>
                <w:sz w:val="18"/>
                <w:szCs w:val="18"/>
              </w:rPr>
              <w:t>Advies, aanbeveling, mededeling</w:t>
            </w:r>
          </w:p>
          <w:p w:rsidR="00D910C2" w:rsidP="00917F7B" w:rsidRDefault="00D910C2">
            <w:pPr>
              <w:jc w:val="right"/>
            </w:pPr>
          </w:p>
          <w:p w:rsidR="00D910C2" w:rsidP="00917F7B" w:rsidRDefault="00D910C2">
            <w:pPr>
              <w:jc w:val="right"/>
            </w:pPr>
          </w:p>
          <w:p w:rsidR="00D910C2" w:rsidP="00917F7B" w:rsidRDefault="00D910C2">
            <w:pPr>
              <w:jc w:val="right"/>
            </w:pPr>
          </w:p>
          <w:p w:rsidR="00D910C2" w:rsidP="00917F7B" w:rsidRDefault="00D910C2">
            <w:pPr>
              <w:jc w:val="right"/>
            </w:pPr>
          </w:p>
          <w:p w:rsidRPr="00B45904" w:rsidR="00D910C2" w:rsidP="00917F7B" w:rsidRDefault="00D910C2">
            <w:pPr>
              <w:jc w:val="right"/>
            </w:pPr>
          </w:p>
        </w:tc>
        <w:tc>
          <w:tcPr>
            <w:tcW w:w="6946" w:type="dxa"/>
          </w:tcPr>
          <w:p w:rsidRPr="00A32873" w:rsidR="00D910C2" w:rsidP="00917F7B" w:rsidRDefault="00D910C2">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D910C2" w:rsidP="00917F7B" w:rsidRDefault="00D910C2">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D910C2" w:rsidP="00917F7B" w:rsidRDefault="00D910C2">
            <w:pPr>
              <w:pStyle w:val="Voetnoottekst"/>
              <w:rPr>
                <w:rFonts w:ascii="Verdana" w:hAnsi="Verdana"/>
                <w:sz w:val="18"/>
                <w:szCs w:val="18"/>
              </w:rPr>
            </w:pPr>
          </w:p>
          <w:p w:rsidR="00D910C2" w:rsidP="00917F7B" w:rsidRDefault="00D910C2">
            <w:pPr>
              <w:pStyle w:val="Voetnoottekst"/>
              <w:rPr>
                <w:rFonts w:ascii="Verdana" w:hAnsi="Verdana"/>
                <w:sz w:val="18"/>
                <w:szCs w:val="18"/>
              </w:rPr>
            </w:pPr>
          </w:p>
          <w:p w:rsidR="00D910C2" w:rsidP="00917F7B" w:rsidRDefault="00D910C2">
            <w:pPr>
              <w:pStyle w:val="Voetnoottekst"/>
              <w:rPr>
                <w:rFonts w:ascii="Verdana" w:hAnsi="Verdana"/>
                <w:sz w:val="18"/>
                <w:szCs w:val="18"/>
              </w:rPr>
            </w:pPr>
          </w:p>
          <w:p w:rsidR="00D910C2" w:rsidP="00917F7B" w:rsidRDefault="00D910C2">
            <w:pPr>
              <w:pStyle w:val="Voetnoottekst"/>
              <w:rPr>
                <w:rFonts w:ascii="Verdana" w:hAnsi="Verdana"/>
                <w:sz w:val="18"/>
                <w:szCs w:val="18"/>
              </w:rPr>
            </w:pPr>
          </w:p>
          <w:p w:rsidRPr="00A32873" w:rsidR="00D910C2" w:rsidP="00917F7B" w:rsidRDefault="00D910C2">
            <w:pPr>
              <w:pStyle w:val="Voetnoottekst"/>
              <w:rPr>
                <w:rFonts w:ascii="Verdana" w:hAnsi="Verdana"/>
                <w:sz w:val="18"/>
                <w:szCs w:val="18"/>
              </w:rPr>
            </w:pPr>
          </w:p>
        </w:tc>
      </w:tr>
      <w:tr w:rsidRPr="00A32873" w:rsidR="00D910C2" w:rsidTr="00917F7B">
        <w:tc>
          <w:tcPr>
            <w:tcW w:w="14142" w:type="dxa"/>
            <w:gridSpan w:val="3"/>
          </w:tcPr>
          <w:p w:rsidRPr="002F662A" w:rsidR="00D910C2" w:rsidP="00917F7B" w:rsidRDefault="00D910C2">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D910C2" w:rsidTr="00917F7B">
        <w:tc>
          <w:tcPr>
            <w:tcW w:w="2093"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D910C2" w:rsidP="00917F7B" w:rsidRDefault="00D910C2">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w:t>
            </w:r>
            <w:r w:rsidRPr="00A32873">
              <w:rPr>
                <w:rFonts w:ascii="Verdana" w:hAnsi="Verdana" w:cs="Arial"/>
                <w:sz w:val="18"/>
                <w:szCs w:val="18"/>
              </w:rPr>
              <w:lastRenderedPageBreak/>
              <w:t>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D910C2" w:rsidP="00917F7B" w:rsidRDefault="00D910C2">
            <w:pPr>
              <w:pStyle w:val="Voetnoottekst"/>
              <w:numPr>
                <w:ilvl w:val="0"/>
                <w:numId w:val="1"/>
              </w:numPr>
              <w:rPr>
                <w:rFonts w:ascii="Verdana" w:hAnsi="Verdana"/>
                <w:sz w:val="18"/>
                <w:szCs w:val="18"/>
              </w:rPr>
            </w:pPr>
            <w:r>
              <w:rPr>
                <w:rFonts w:ascii="Verdana" w:hAnsi="Verdana"/>
                <w:sz w:val="18"/>
                <w:szCs w:val="18"/>
              </w:rPr>
              <w:lastRenderedPageBreak/>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D910C2" w:rsidP="00917F7B" w:rsidRDefault="00D910C2">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D910C2" w:rsidTr="00917F7B">
        <w:tc>
          <w:tcPr>
            <w:tcW w:w="2093"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lastRenderedPageBreak/>
              <w:t>Groen- en witboek</w:t>
            </w:r>
          </w:p>
        </w:tc>
        <w:tc>
          <w:tcPr>
            <w:tcW w:w="6946"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D910C2" w:rsidP="00917F7B" w:rsidRDefault="00D910C2">
            <w:pPr>
              <w:pStyle w:val="Voetnoottekst"/>
              <w:rPr>
                <w:rFonts w:ascii="Verdana" w:hAnsi="Verdana"/>
                <w:sz w:val="18"/>
                <w:szCs w:val="18"/>
              </w:rPr>
            </w:pPr>
          </w:p>
          <w:p w:rsidRPr="00A32873" w:rsidR="00D910C2" w:rsidP="00917F7B" w:rsidRDefault="00D910C2">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D910C2" w:rsidP="00917F7B" w:rsidRDefault="00D910C2">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D910C2" w:rsidP="00917F7B" w:rsidRDefault="00D910C2">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D910C2" w:rsidP="00917F7B" w:rsidRDefault="00D910C2">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D910C2" w:rsidP="00917F7B" w:rsidRDefault="00D910C2">
            <w:pPr>
              <w:pStyle w:val="Voetnoottekst"/>
              <w:numPr>
                <w:ilvl w:val="0"/>
                <w:numId w:val="1"/>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D910C2" w:rsidTr="00917F7B">
        <w:tc>
          <w:tcPr>
            <w:tcW w:w="2093"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D910C2" w:rsidP="00917F7B" w:rsidRDefault="00D910C2">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D910C2" w:rsidP="00917F7B" w:rsidRDefault="00D910C2">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D910C2" w:rsidP="00917F7B" w:rsidRDefault="00D910C2">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D910C2" w:rsidP="00917F7B" w:rsidRDefault="00D910C2">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D910C2" w:rsidTr="00917F7B">
        <w:tc>
          <w:tcPr>
            <w:tcW w:w="14142" w:type="dxa"/>
            <w:gridSpan w:val="3"/>
          </w:tcPr>
          <w:p w:rsidRPr="002F662A" w:rsidR="00D910C2" w:rsidP="00917F7B" w:rsidRDefault="00D910C2">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D910C2" w:rsidTr="00917F7B">
        <w:tc>
          <w:tcPr>
            <w:tcW w:w="2093"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t xml:space="preserve">Subsidiariteitstoets </w:t>
            </w:r>
          </w:p>
          <w:p w:rsidRPr="00A32873" w:rsidR="00D910C2" w:rsidP="00917F7B" w:rsidRDefault="00D910C2">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D910C2" w:rsidP="00917F7B" w:rsidRDefault="00D910C2">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 xml:space="preserve">is voor de Commissie geldig als 1/3 van de nationale parlementen een voorstel in strijd acht met het </w:t>
            </w:r>
            <w:r w:rsidRPr="00A32873">
              <w:rPr>
                <w:rFonts w:ascii="Verdana" w:hAnsi="Verdana"/>
                <w:sz w:val="18"/>
                <w:szCs w:val="18"/>
              </w:rPr>
              <w:lastRenderedPageBreak/>
              <w:t>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D910C2" w:rsidP="00917F7B" w:rsidRDefault="00D910C2">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D910C2" w:rsidP="00917F7B" w:rsidRDefault="00D910C2">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D910C2" w:rsidP="00917F7B" w:rsidRDefault="00D910C2">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w:t>
            </w:r>
            <w:r w:rsidRPr="00A32873">
              <w:rPr>
                <w:rFonts w:ascii="Verdana" w:hAnsi="Verdana"/>
                <w:sz w:val="18"/>
                <w:szCs w:val="18"/>
              </w:rPr>
              <w:lastRenderedPageBreak/>
              <w:t xml:space="preserve">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D910C2" w:rsidTr="00917F7B">
        <w:tc>
          <w:tcPr>
            <w:tcW w:w="2093" w:type="dxa"/>
          </w:tcPr>
          <w:p w:rsidRPr="00A32873" w:rsidR="00D910C2" w:rsidP="00917F7B" w:rsidRDefault="00D910C2">
            <w:pPr>
              <w:pStyle w:val="Voetnoottekst"/>
              <w:rPr>
                <w:rFonts w:ascii="Verdana" w:hAnsi="Verdana"/>
                <w:sz w:val="18"/>
                <w:szCs w:val="18"/>
              </w:rPr>
            </w:pPr>
            <w:r w:rsidRPr="00A32873">
              <w:rPr>
                <w:rFonts w:ascii="Verdana" w:hAnsi="Verdana"/>
                <w:sz w:val="18"/>
                <w:szCs w:val="18"/>
              </w:rPr>
              <w:lastRenderedPageBreak/>
              <w:t>Behandel-voorbehoud (richting regering)</w:t>
            </w:r>
          </w:p>
        </w:tc>
        <w:tc>
          <w:tcPr>
            <w:tcW w:w="6946" w:type="dxa"/>
          </w:tcPr>
          <w:p w:rsidRPr="00A32873" w:rsidR="00D910C2" w:rsidP="00917F7B" w:rsidRDefault="00D910C2">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D910C2" w:rsidP="00917F7B" w:rsidRDefault="00D910C2">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D910C2" w:rsidP="00917F7B" w:rsidRDefault="00D910C2">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D910C2" w:rsidP="00917F7B" w:rsidRDefault="00D910C2">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D910C2" w:rsidP="00917F7B" w:rsidRDefault="00D910C2">
            <w:pPr>
              <w:pStyle w:val="Voetnoottekst"/>
              <w:rPr>
                <w:rFonts w:ascii="Verdana" w:hAnsi="Verdana"/>
                <w:sz w:val="18"/>
                <w:szCs w:val="18"/>
              </w:rPr>
            </w:pPr>
          </w:p>
        </w:tc>
      </w:tr>
    </w:tbl>
    <w:p w:rsidRPr="00A32873" w:rsidR="00D910C2" w:rsidP="00D910C2" w:rsidRDefault="00D910C2">
      <w:pPr>
        <w:rPr>
          <w:rFonts w:ascii="Verdana" w:hAnsi="Verdana"/>
          <w:sz w:val="18"/>
          <w:szCs w:val="18"/>
        </w:rPr>
      </w:pPr>
    </w:p>
    <w:p w:rsidR="00D910C2" w:rsidP="00D910C2" w:rsidRDefault="00D910C2"/>
    <w:p w:rsidR="00D910C2" w:rsidP="00D910C2" w:rsidRDefault="00D910C2"/>
    <w:p w:rsidR="00D910C2" w:rsidP="00D910C2" w:rsidRDefault="00D910C2"/>
    <w:p w:rsidR="00D910C2" w:rsidP="00D910C2" w:rsidRDefault="00D910C2"/>
    <w:p w:rsidR="0046131B" w:rsidRDefault="0046131B"/>
    <w:sectPr w:rsidR="0046131B" w:rsidSect="00C437DE">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0C2" w:rsidRDefault="00D910C2" w:rsidP="00D910C2">
      <w:r>
        <w:separator/>
      </w:r>
    </w:p>
  </w:endnote>
  <w:endnote w:type="continuationSeparator" w:id="0">
    <w:p w:rsidR="00D910C2" w:rsidRDefault="00D910C2" w:rsidP="00D9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0C2" w:rsidRDefault="00D910C2" w:rsidP="00D910C2">
      <w:r>
        <w:separator/>
      </w:r>
    </w:p>
  </w:footnote>
  <w:footnote w:type="continuationSeparator" w:id="0">
    <w:p w:rsidR="00D910C2" w:rsidRDefault="00D910C2" w:rsidP="00D910C2">
      <w:r>
        <w:continuationSeparator/>
      </w:r>
    </w:p>
  </w:footnote>
  <w:footnote w:id="1">
    <w:p w:rsidR="00D910C2" w:rsidRPr="00B45904" w:rsidRDefault="00D910C2" w:rsidP="00D910C2">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0C2"/>
    <w:rsid w:val="0013663D"/>
    <w:rsid w:val="00433D6E"/>
    <w:rsid w:val="0046131B"/>
    <w:rsid w:val="007C790B"/>
    <w:rsid w:val="009A6527"/>
    <w:rsid w:val="00D910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910C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910C2"/>
    <w:rPr>
      <w:color w:val="0000FF"/>
      <w:u w:val="single"/>
    </w:rPr>
  </w:style>
  <w:style w:type="character" w:styleId="Zwaar">
    <w:name w:val="Strong"/>
    <w:basedOn w:val="Standaardalinea-lettertype"/>
    <w:uiPriority w:val="22"/>
    <w:qFormat/>
    <w:rsid w:val="00D910C2"/>
    <w:rPr>
      <w:b/>
      <w:bCs/>
    </w:rPr>
  </w:style>
  <w:style w:type="paragraph" w:styleId="Voetnoottekst">
    <w:name w:val="footnote text"/>
    <w:basedOn w:val="Standaard"/>
    <w:link w:val="VoetnoottekstChar"/>
    <w:rsid w:val="00D910C2"/>
    <w:rPr>
      <w:sz w:val="20"/>
      <w:szCs w:val="20"/>
    </w:rPr>
  </w:style>
  <w:style w:type="character" w:customStyle="1" w:styleId="VoetnoottekstChar">
    <w:name w:val="Voetnoottekst Char"/>
    <w:basedOn w:val="Standaardalinea-lettertype"/>
    <w:link w:val="Voetnoottekst"/>
    <w:rsid w:val="00D910C2"/>
  </w:style>
  <w:style w:type="table" w:styleId="Tabelraster">
    <w:name w:val="Table Grid"/>
    <w:basedOn w:val="Standaardtabel"/>
    <w:rsid w:val="00D9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910C2"/>
    <w:pPr>
      <w:ind w:left="720"/>
    </w:pPr>
    <w:rPr>
      <w:rFonts w:eastAsiaTheme="minorHAnsi"/>
    </w:rPr>
  </w:style>
  <w:style w:type="character" w:styleId="Voetnootmarkering">
    <w:name w:val="footnote reference"/>
    <w:basedOn w:val="Standaardalinea-lettertype"/>
    <w:uiPriority w:val="99"/>
    <w:rsid w:val="00D910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910C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910C2"/>
    <w:rPr>
      <w:color w:val="0000FF"/>
      <w:u w:val="single"/>
    </w:rPr>
  </w:style>
  <w:style w:type="character" w:styleId="Zwaar">
    <w:name w:val="Strong"/>
    <w:basedOn w:val="Standaardalinea-lettertype"/>
    <w:uiPriority w:val="22"/>
    <w:qFormat/>
    <w:rsid w:val="00D910C2"/>
    <w:rPr>
      <w:b/>
      <w:bCs/>
    </w:rPr>
  </w:style>
  <w:style w:type="paragraph" w:styleId="Voetnoottekst">
    <w:name w:val="footnote text"/>
    <w:basedOn w:val="Standaard"/>
    <w:link w:val="VoetnoottekstChar"/>
    <w:rsid w:val="00D910C2"/>
    <w:rPr>
      <w:sz w:val="20"/>
      <w:szCs w:val="20"/>
    </w:rPr>
  </w:style>
  <w:style w:type="character" w:customStyle="1" w:styleId="VoetnoottekstChar">
    <w:name w:val="Voetnoottekst Char"/>
    <w:basedOn w:val="Standaardalinea-lettertype"/>
    <w:link w:val="Voetnoottekst"/>
    <w:rsid w:val="00D910C2"/>
  </w:style>
  <w:style w:type="table" w:styleId="Tabelraster">
    <w:name w:val="Table Grid"/>
    <w:basedOn w:val="Standaardtabel"/>
    <w:rsid w:val="00D9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910C2"/>
    <w:pPr>
      <w:ind w:left="720"/>
    </w:pPr>
    <w:rPr>
      <w:rFonts w:eastAsiaTheme="minorHAnsi"/>
    </w:rPr>
  </w:style>
  <w:style w:type="character" w:styleId="Voetnootmarkering">
    <w:name w:val="footnote reference"/>
    <w:basedOn w:val="Standaardalinea-lettertype"/>
    <w:uiPriority w:val="99"/>
    <w:rsid w:val="00D91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860306">
      <w:bodyDiv w:val="1"/>
      <w:marLeft w:val="0"/>
      <w:marRight w:val="0"/>
      <w:marTop w:val="0"/>
      <w:marBottom w:val="0"/>
      <w:divBdr>
        <w:top w:val="none" w:sz="0" w:space="0" w:color="auto"/>
        <w:left w:val="none" w:sz="0" w:space="0" w:color="auto"/>
        <w:bottom w:val="none" w:sz="0" w:space="0" w:color="auto"/>
        <w:right w:val="none" w:sz="0" w:space="0" w:color="auto"/>
      </w:divBdr>
    </w:div>
    <w:div w:id="1164391431">
      <w:bodyDiv w:val="1"/>
      <w:marLeft w:val="0"/>
      <w:marRight w:val="0"/>
      <w:marTop w:val="0"/>
      <w:marBottom w:val="0"/>
      <w:divBdr>
        <w:top w:val="none" w:sz="0" w:space="0" w:color="auto"/>
        <w:left w:val="none" w:sz="0" w:space="0" w:color="auto"/>
        <w:bottom w:val="none" w:sz="0" w:space="0" w:color="auto"/>
        <w:right w:val="none" w:sz="0" w:space="0" w:color="auto"/>
      </w:divBdr>
    </w:div>
    <w:div w:id="15879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60647.do"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ec.europa.eu/yourvoice/consultations/index_nl.htm"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webSettings" Target="webSettings.xml" Id="rId5" /><Relationship Type="http://schemas.openxmlformats.org/officeDocument/2006/relationships/hyperlink" Target="http://www.ipex.eu/IPEXL-WEB/dossier/document/COM20160653.do" TargetMode="External" Id="rId10" /><Relationship Type="http://schemas.openxmlformats.org/officeDocument/2006/relationships/settings" Target="settings.xml" Id="rId4" /><Relationship Type="http://schemas.openxmlformats.org/officeDocument/2006/relationships/hyperlink" Target="http://www.ipex.eu/IPEXL-WEB/dossier/document/COM20160643.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2051</ap:Words>
  <ap:Characters>13718</ap:Characters>
  <ap:DocSecurity>0</ap:DocSecurity>
  <ap:Lines>114</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2016-10-20T11:21:00.0000000Z</dcterms:created>
  <dcterms:modified xsi:type="dcterms:W3CDTF">2016-10-21T08:44:00.0000000Z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0x010100246E5F97EFD2AE4A846938773AF7782E</vt:lpwstr>
  </property>
</Properties>
</file>