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c="http://schemas.openxmlformats.org/drawingml/2006/char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56AA" w:rsidP="006D54B0" w:rsidRDefault="001E56AA">
      <w:pPr>
        <w:spacing w:after="0" w:line="276" w:lineRule="auto"/>
        <w:rPr>
          <w:b/>
          <w:sz w:val="24"/>
          <w:szCs w:val="24"/>
          <w:lang w:val="nl-NL"/>
        </w:rPr>
      </w:pPr>
      <w:bookmarkStart w:name="_GoBack" w:id="0"/>
      <w:bookmarkEnd w:id="0"/>
      <w:r>
        <w:rPr>
          <w:b/>
          <w:sz w:val="24"/>
          <w:szCs w:val="24"/>
          <w:lang w:val="nl-NL"/>
        </w:rPr>
        <w:t>Versterken van het internationale verdienvermogen van Nederland</w:t>
      </w:r>
    </w:p>
    <w:p w:rsidRPr="00524ECA" w:rsidR="001E56AA" w:rsidP="006D54B0" w:rsidRDefault="001E56AA">
      <w:pPr>
        <w:spacing w:after="0" w:line="276" w:lineRule="auto"/>
        <w:rPr>
          <w:rFonts w:eastAsia="Calibri"/>
          <w:i/>
          <w:sz w:val="22"/>
          <w:lang w:val="nl-NL"/>
        </w:rPr>
      </w:pPr>
      <w:r>
        <w:rPr>
          <w:rFonts w:eastAsia="Calibri"/>
          <w:i/>
          <w:sz w:val="22"/>
          <w:lang w:val="nl-NL"/>
        </w:rPr>
        <w:t>Moderne</w:t>
      </w:r>
      <w:r w:rsidRPr="00524ECA">
        <w:rPr>
          <w:rFonts w:eastAsia="Calibri"/>
          <w:i/>
          <w:sz w:val="22"/>
          <w:lang w:val="nl-NL"/>
        </w:rPr>
        <w:t xml:space="preserve"> </w:t>
      </w:r>
      <w:r>
        <w:rPr>
          <w:rFonts w:eastAsia="Calibri"/>
          <w:i/>
          <w:sz w:val="22"/>
          <w:lang w:val="nl-NL"/>
        </w:rPr>
        <w:t xml:space="preserve">bilaterale </w:t>
      </w:r>
      <w:r w:rsidRPr="00524ECA">
        <w:rPr>
          <w:rFonts w:eastAsia="Calibri"/>
          <w:i/>
          <w:sz w:val="22"/>
          <w:lang w:val="nl-NL"/>
        </w:rPr>
        <w:t>handels- en investeringsbevordering</w:t>
      </w:r>
    </w:p>
    <w:p w:rsidR="001E56AA" w:rsidP="006D54B0" w:rsidRDefault="001E56AA">
      <w:pPr>
        <w:spacing w:after="0" w:line="276" w:lineRule="auto"/>
        <w:rPr>
          <w:lang w:val="nl-NL"/>
        </w:rPr>
      </w:pPr>
    </w:p>
    <w:p w:rsidR="001E56AA" w:rsidP="006D54B0" w:rsidRDefault="001E56AA">
      <w:pPr>
        <w:spacing w:after="0" w:line="276" w:lineRule="auto"/>
        <w:rPr>
          <w:szCs w:val="18"/>
          <w:lang w:val="nl-NL"/>
        </w:rPr>
      </w:pPr>
      <w:r w:rsidRPr="00FE2547">
        <w:rPr>
          <w:b/>
          <w:lang w:val="nl-NL"/>
        </w:rPr>
        <w:t>Inleiding</w:t>
      </w:r>
      <w:r w:rsidRPr="00FE2547">
        <w:rPr>
          <w:b/>
          <w:lang w:val="nl-NL"/>
        </w:rPr>
        <w:br/>
      </w:r>
      <w:r>
        <w:rPr>
          <w:lang w:val="nl-NL"/>
        </w:rPr>
        <w:t>Nederland dankt een</w:t>
      </w:r>
      <w:r w:rsidRPr="00750442">
        <w:rPr>
          <w:lang w:val="nl-NL"/>
        </w:rPr>
        <w:t xml:space="preserve"> derde van </w:t>
      </w:r>
      <w:r>
        <w:rPr>
          <w:lang w:val="nl-NL"/>
        </w:rPr>
        <w:t>zijn</w:t>
      </w:r>
      <w:r w:rsidRPr="00750442">
        <w:rPr>
          <w:lang w:val="nl-NL"/>
        </w:rPr>
        <w:t xml:space="preserve"> banen en </w:t>
      </w:r>
      <w:r>
        <w:rPr>
          <w:lang w:val="nl-NL"/>
        </w:rPr>
        <w:t xml:space="preserve">zijn </w:t>
      </w:r>
      <w:r w:rsidRPr="00750442">
        <w:rPr>
          <w:lang w:val="nl-NL"/>
        </w:rPr>
        <w:t xml:space="preserve">inkomen aan </w:t>
      </w:r>
      <w:r w:rsidR="006D024C">
        <w:rPr>
          <w:lang w:val="nl-NL"/>
        </w:rPr>
        <w:t xml:space="preserve">internationale </w:t>
      </w:r>
      <w:r w:rsidRPr="00750442">
        <w:rPr>
          <w:lang w:val="nl-NL"/>
        </w:rPr>
        <w:t>hande</w:t>
      </w:r>
      <w:r>
        <w:rPr>
          <w:lang w:val="nl-NL"/>
        </w:rPr>
        <w:t xml:space="preserve">l. </w:t>
      </w:r>
      <w:r w:rsidR="006D024C">
        <w:rPr>
          <w:lang w:val="nl-NL"/>
        </w:rPr>
        <w:t>In de toekomst moet Nederland zijn sterke positie</w:t>
      </w:r>
      <w:r>
        <w:rPr>
          <w:lang w:val="nl-NL"/>
        </w:rPr>
        <w:t xml:space="preserve"> in de wereldeconomie behouden en waar mogelijk uitbouwen</w:t>
      </w:r>
      <w:r w:rsidRPr="00750442">
        <w:rPr>
          <w:lang w:val="nl-NL"/>
        </w:rPr>
        <w:t>.</w:t>
      </w:r>
      <w:r>
        <w:rPr>
          <w:lang w:val="nl-NL"/>
        </w:rPr>
        <w:t xml:space="preserve"> </w:t>
      </w:r>
      <w:r>
        <w:rPr>
          <w:szCs w:val="18"/>
          <w:lang w:val="nl-NL"/>
        </w:rPr>
        <w:t>Onze ambitie is om het</w:t>
      </w:r>
      <w:r w:rsidRPr="00C51DD1">
        <w:rPr>
          <w:szCs w:val="18"/>
          <w:lang w:val="nl-NL"/>
        </w:rPr>
        <w:t xml:space="preserve"> internationale verd</w:t>
      </w:r>
      <w:r>
        <w:rPr>
          <w:szCs w:val="18"/>
          <w:lang w:val="nl-NL"/>
        </w:rPr>
        <w:t xml:space="preserve">ienvermogen van Nederland te versterken en zo </w:t>
      </w:r>
      <w:r w:rsidRPr="00C51DD1">
        <w:rPr>
          <w:szCs w:val="18"/>
          <w:lang w:val="nl-NL"/>
        </w:rPr>
        <w:t>bij te dragen aan welvaart</w:t>
      </w:r>
      <w:r>
        <w:rPr>
          <w:szCs w:val="18"/>
          <w:lang w:val="nl-NL"/>
        </w:rPr>
        <w:t xml:space="preserve"> </w:t>
      </w:r>
      <w:r w:rsidRPr="00C51DD1">
        <w:rPr>
          <w:szCs w:val="18"/>
          <w:lang w:val="nl-NL"/>
        </w:rPr>
        <w:t xml:space="preserve">en </w:t>
      </w:r>
      <w:r w:rsidR="006D024C">
        <w:rPr>
          <w:szCs w:val="18"/>
          <w:lang w:val="nl-NL"/>
        </w:rPr>
        <w:t xml:space="preserve">aan </w:t>
      </w:r>
      <w:r w:rsidRPr="00C51DD1">
        <w:rPr>
          <w:szCs w:val="18"/>
          <w:lang w:val="nl-NL"/>
        </w:rPr>
        <w:t>oplossingen voor maatschappelijke opgaven wereldwijd.</w:t>
      </w:r>
      <w:r>
        <w:rPr>
          <w:szCs w:val="18"/>
          <w:lang w:val="nl-NL"/>
        </w:rPr>
        <w:t xml:space="preserve"> </w:t>
      </w:r>
    </w:p>
    <w:p w:rsidR="001E56AA" w:rsidP="006D54B0" w:rsidRDefault="001E56AA">
      <w:pPr>
        <w:spacing w:after="0" w:line="276" w:lineRule="auto"/>
        <w:rPr>
          <w:szCs w:val="18"/>
          <w:lang w:val="nl-NL"/>
        </w:rPr>
      </w:pPr>
    </w:p>
    <w:p w:rsidR="001E56AA" w:rsidP="006D54B0" w:rsidRDefault="001E56AA">
      <w:pPr>
        <w:spacing w:after="0" w:line="276" w:lineRule="auto"/>
        <w:rPr>
          <w:rFonts w:eastAsia="Calibri"/>
          <w:szCs w:val="18"/>
          <w:lang w:val="nl-NL"/>
        </w:rPr>
      </w:pPr>
      <w:r>
        <w:rPr>
          <w:lang w:val="nl-NL"/>
        </w:rPr>
        <w:t>Traditionele handelspartners zoals de</w:t>
      </w:r>
      <w:r w:rsidRPr="002569D7">
        <w:rPr>
          <w:lang w:val="nl-NL"/>
        </w:rPr>
        <w:t xml:space="preserve"> </w:t>
      </w:r>
      <w:r w:rsidR="006D024C">
        <w:rPr>
          <w:lang w:val="nl-NL"/>
        </w:rPr>
        <w:t xml:space="preserve">lidstaten van de </w:t>
      </w:r>
      <w:r w:rsidRPr="002569D7">
        <w:rPr>
          <w:lang w:val="nl-NL"/>
        </w:rPr>
        <w:t>E</w:t>
      </w:r>
      <w:r w:rsidR="006D024C">
        <w:rPr>
          <w:lang w:val="nl-NL"/>
        </w:rPr>
        <w:t xml:space="preserve">uropese </w:t>
      </w:r>
      <w:r w:rsidRPr="002569D7">
        <w:rPr>
          <w:lang w:val="nl-NL"/>
        </w:rPr>
        <w:t>U</w:t>
      </w:r>
      <w:r w:rsidR="006D024C">
        <w:rPr>
          <w:lang w:val="nl-NL"/>
        </w:rPr>
        <w:t>nie</w:t>
      </w:r>
      <w:r w:rsidRPr="002569D7">
        <w:rPr>
          <w:lang w:val="nl-NL"/>
        </w:rPr>
        <w:t xml:space="preserve">, </w:t>
      </w:r>
      <w:r w:rsidR="006D024C">
        <w:rPr>
          <w:lang w:val="nl-NL"/>
        </w:rPr>
        <w:t xml:space="preserve">de </w:t>
      </w:r>
      <w:r w:rsidRPr="003617B9">
        <w:rPr>
          <w:lang w:val="nl-NL"/>
        </w:rPr>
        <w:t>V</w:t>
      </w:r>
      <w:r w:rsidR="006D024C">
        <w:rPr>
          <w:lang w:val="nl-NL"/>
        </w:rPr>
        <w:t xml:space="preserve">erenigde </w:t>
      </w:r>
      <w:r w:rsidRPr="003617B9">
        <w:rPr>
          <w:lang w:val="nl-NL"/>
        </w:rPr>
        <w:t>S</w:t>
      </w:r>
      <w:r w:rsidR="006D024C">
        <w:rPr>
          <w:lang w:val="nl-NL"/>
        </w:rPr>
        <w:t>taten</w:t>
      </w:r>
      <w:r w:rsidRPr="003617B9">
        <w:rPr>
          <w:lang w:val="nl-NL"/>
        </w:rPr>
        <w:t xml:space="preserve"> en Japan zijn </w:t>
      </w:r>
      <w:r>
        <w:rPr>
          <w:lang w:val="nl-NL"/>
        </w:rPr>
        <w:t xml:space="preserve">nu nog </w:t>
      </w:r>
      <w:r w:rsidRPr="002569D7">
        <w:rPr>
          <w:lang w:val="nl-NL"/>
        </w:rPr>
        <w:t xml:space="preserve">het </w:t>
      </w:r>
      <w:r w:rsidR="00B21F67">
        <w:rPr>
          <w:lang w:val="nl-NL"/>
        </w:rPr>
        <w:t>meest belangrijk</w:t>
      </w:r>
      <w:r w:rsidRPr="002569D7">
        <w:rPr>
          <w:lang w:val="nl-NL"/>
        </w:rPr>
        <w:t xml:space="preserve"> voor </w:t>
      </w:r>
      <w:r>
        <w:rPr>
          <w:lang w:val="nl-NL"/>
        </w:rPr>
        <w:t>Nederland</w:t>
      </w:r>
      <w:r w:rsidRPr="002569D7">
        <w:rPr>
          <w:lang w:val="nl-NL"/>
        </w:rPr>
        <w:t xml:space="preserve">: de </w:t>
      </w:r>
      <w:r w:rsidR="00B21F67">
        <w:rPr>
          <w:lang w:val="nl-NL"/>
        </w:rPr>
        <w:t>EU-landen ontvangen</w:t>
      </w:r>
      <w:r w:rsidRPr="002569D7">
        <w:rPr>
          <w:lang w:val="nl-NL"/>
        </w:rPr>
        <w:t xml:space="preserve"> 7</w:t>
      </w:r>
      <w:r>
        <w:rPr>
          <w:lang w:val="nl-NL"/>
        </w:rPr>
        <w:t>2</w:t>
      </w:r>
      <w:r w:rsidRPr="002569D7">
        <w:rPr>
          <w:lang w:val="nl-NL"/>
        </w:rPr>
        <w:t xml:space="preserve">% van de Nederlandse </w:t>
      </w:r>
      <w:r>
        <w:rPr>
          <w:lang w:val="nl-NL"/>
        </w:rPr>
        <w:t>goederen</w:t>
      </w:r>
      <w:r w:rsidRPr="002569D7">
        <w:rPr>
          <w:lang w:val="nl-NL"/>
        </w:rPr>
        <w:t>export.</w:t>
      </w:r>
      <w:r>
        <w:rPr>
          <w:lang w:val="nl-NL"/>
        </w:rPr>
        <w:t xml:space="preserve"> </w:t>
      </w:r>
      <w:r w:rsidR="006D024C">
        <w:rPr>
          <w:lang w:val="nl-NL"/>
        </w:rPr>
        <w:t xml:space="preserve">Om succesvol te blijven op de internationale markt moet Nederland </w:t>
      </w:r>
      <w:r w:rsidR="00B21F67">
        <w:rPr>
          <w:lang w:val="nl-NL"/>
        </w:rPr>
        <w:t>concurrerend blijven</w:t>
      </w:r>
      <w:r>
        <w:rPr>
          <w:lang w:val="nl-NL"/>
        </w:rPr>
        <w:t xml:space="preserve"> en het marktaandeel vergroten op </w:t>
      </w:r>
      <w:r w:rsidRPr="00B85C10">
        <w:rPr>
          <w:lang w:val="nl-NL"/>
        </w:rPr>
        <w:t>nieuwe groeimarkten</w:t>
      </w:r>
      <w:r>
        <w:rPr>
          <w:lang w:val="nl-NL"/>
        </w:rPr>
        <w:t>. Dat zijn</w:t>
      </w:r>
      <w:r w:rsidRPr="00B85C10">
        <w:rPr>
          <w:lang w:val="nl-NL"/>
        </w:rPr>
        <w:t xml:space="preserve"> </w:t>
      </w:r>
      <w:r>
        <w:rPr>
          <w:lang w:val="nl-NL"/>
        </w:rPr>
        <w:t xml:space="preserve">landen zoals </w:t>
      </w:r>
      <w:r w:rsidRPr="00B85C10">
        <w:rPr>
          <w:lang w:val="nl-NL"/>
        </w:rPr>
        <w:t>India, China, Vietnam, Indonesië, Mexico, Zuid-Afrika, Turk</w:t>
      </w:r>
      <w:r>
        <w:rPr>
          <w:lang w:val="nl-NL"/>
        </w:rPr>
        <w:t>ije</w:t>
      </w:r>
      <w:r w:rsidR="00EB5FAE">
        <w:rPr>
          <w:lang w:val="nl-NL"/>
        </w:rPr>
        <w:t xml:space="preserve"> en</w:t>
      </w:r>
      <w:r w:rsidR="0045318E">
        <w:rPr>
          <w:lang w:val="nl-NL"/>
        </w:rPr>
        <w:t xml:space="preserve"> </w:t>
      </w:r>
      <w:r>
        <w:rPr>
          <w:lang w:val="nl-NL"/>
        </w:rPr>
        <w:t xml:space="preserve">Iran waar voor Nederland veel kansen liggen. Daarnaast is er de noodzaak en bereidheid om te investeren in maatschappelijke uitdagingen, </w:t>
      </w:r>
      <w:r w:rsidRPr="00381215">
        <w:rPr>
          <w:lang w:val="nl-NL"/>
        </w:rPr>
        <w:t>mede ingegeven door de in 2015 gemaakte internationale afspraken over duurzame ontwikkelingsdoelen</w:t>
      </w:r>
      <w:r>
        <w:rPr>
          <w:lang w:val="nl-NL"/>
        </w:rPr>
        <w:t xml:space="preserve">, de zogenoemde </w:t>
      </w:r>
      <w:r w:rsidRPr="00C952CF">
        <w:rPr>
          <w:lang w:val="nl-NL"/>
        </w:rPr>
        <w:t>Global Goals</w:t>
      </w:r>
      <w:r>
        <w:rPr>
          <w:lang w:val="nl-NL"/>
        </w:rPr>
        <w:t>,</w:t>
      </w:r>
      <w:r w:rsidRPr="00381215">
        <w:rPr>
          <w:lang w:val="nl-NL"/>
        </w:rPr>
        <w:t xml:space="preserve"> en </w:t>
      </w:r>
      <w:r>
        <w:rPr>
          <w:lang w:val="nl-NL"/>
        </w:rPr>
        <w:t xml:space="preserve">het </w:t>
      </w:r>
      <w:r w:rsidRPr="00381215">
        <w:rPr>
          <w:lang w:val="nl-NL"/>
        </w:rPr>
        <w:t>klimaat</w:t>
      </w:r>
      <w:r w:rsidR="006D024C">
        <w:rPr>
          <w:lang w:val="nl-NL"/>
        </w:rPr>
        <w:t>akkoord dat in Parijs is gesloten</w:t>
      </w:r>
      <w:r>
        <w:rPr>
          <w:lang w:val="nl-NL"/>
        </w:rPr>
        <w:t xml:space="preserve">. Het bedrijfsleven heeft een grote rol te spelen in innovatieve oplossingen voor problemen als </w:t>
      </w:r>
      <w:r w:rsidRPr="00791CB1">
        <w:rPr>
          <w:lang w:val="nl-NL"/>
        </w:rPr>
        <w:t>voedsel- en w</w:t>
      </w:r>
      <w:r>
        <w:rPr>
          <w:lang w:val="nl-NL"/>
        </w:rPr>
        <w:t xml:space="preserve">atertekorten, energie of verstedelijking. Ook hier ligt voor </w:t>
      </w:r>
      <w:r w:rsidRPr="004D48FC">
        <w:rPr>
          <w:rFonts w:eastAsia="Calibri"/>
          <w:szCs w:val="18"/>
          <w:lang w:val="nl-NL"/>
        </w:rPr>
        <w:t>Nederland</w:t>
      </w:r>
      <w:r>
        <w:rPr>
          <w:rFonts w:eastAsia="Calibri"/>
          <w:szCs w:val="18"/>
          <w:lang w:val="nl-NL"/>
        </w:rPr>
        <w:t>se bedrijven en kennisinstellingen een groeimarkt.</w:t>
      </w:r>
    </w:p>
    <w:p w:rsidR="001E56AA" w:rsidP="006D54B0" w:rsidRDefault="001E56AA">
      <w:pPr>
        <w:spacing w:after="0" w:line="276" w:lineRule="auto"/>
        <w:rPr>
          <w:lang w:val="nl-NL"/>
        </w:rPr>
      </w:pPr>
      <w:r>
        <w:rPr>
          <w:lang w:val="nl-NL"/>
        </w:rPr>
        <w:br/>
      </w:r>
      <w:r w:rsidRPr="003617B9">
        <w:rPr>
          <w:lang w:val="nl-NL"/>
        </w:rPr>
        <w:t>Om</w:t>
      </w:r>
      <w:r w:rsidRPr="00325A6B">
        <w:rPr>
          <w:lang w:val="nl-NL"/>
        </w:rPr>
        <w:t xml:space="preserve"> marktaandeel te behouden </w:t>
      </w:r>
      <w:r>
        <w:rPr>
          <w:lang w:val="nl-NL"/>
        </w:rPr>
        <w:t xml:space="preserve">op traditionele markten </w:t>
      </w:r>
      <w:r w:rsidRPr="00325A6B">
        <w:rPr>
          <w:lang w:val="nl-NL"/>
        </w:rPr>
        <w:t xml:space="preserve">en </w:t>
      </w:r>
      <w:r>
        <w:rPr>
          <w:lang w:val="nl-NL"/>
        </w:rPr>
        <w:t xml:space="preserve">om </w:t>
      </w:r>
      <w:r w:rsidRPr="003617B9">
        <w:rPr>
          <w:lang w:val="nl-NL"/>
        </w:rPr>
        <w:t>nieuwe markten te veroveren</w:t>
      </w:r>
      <w:r w:rsidRPr="003617B9" w:rsidDel="00C62C22">
        <w:rPr>
          <w:lang w:val="nl-NL"/>
        </w:rPr>
        <w:t xml:space="preserve"> </w:t>
      </w:r>
      <w:r w:rsidRPr="003617B9">
        <w:rPr>
          <w:lang w:val="nl-NL"/>
        </w:rPr>
        <w:t xml:space="preserve">moeten Nederlandse bedrijven </w:t>
      </w:r>
      <w:r>
        <w:rPr>
          <w:lang w:val="nl-NL"/>
        </w:rPr>
        <w:t>concurreren</w:t>
      </w:r>
      <w:r w:rsidRPr="003617B9">
        <w:rPr>
          <w:lang w:val="nl-NL"/>
        </w:rPr>
        <w:t xml:space="preserve"> met bedrijven uit steeds meer landen. </w:t>
      </w:r>
      <w:r>
        <w:rPr>
          <w:lang w:val="nl-NL"/>
        </w:rPr>
        <w:t xml:space="preserve">Markten in opkomende en zich ontwikkelende landen zijn vaak moeilijk toegankelijk vanwege de </w:t>
      </w:r>
      <w:r w:rsidRPr="00033A56">
        <w:rPr>
          <w:lang w:val="nl-NL"/>
        </w:rPr>
        <w:t xml:space="preserve">geografische en culturele afstand, een gebrekkig ondernemersklimaat </w:t>
      </w:r>
      <w:r>
        <w:rPr>
          <w:lang w:val="nl-NL"/>
        </w:rPr>
        <w:t>of sterke bemoeienis van lokale overheden. Nederlandse bedrijven in het buitenland doen daarom een groter beroep op ondersteuning vanuit de Nederlandse overheid, die d</w:t>
      </w:r>
      <w:r w:rsidRPr="00B85C10">
        <w:rPr>
          <w:lang w:val="nl-NL"/>
        </w:rPr>
        <w:t xml:space="preserve">aarin </w:t>
      </w:r>
      <w:r>
        <w:rPr>
          <w:lang w:val="nl-NL"/>
        </w:rPr>
        <w:t xml:space="preserve">zelf ook </w:t>
      </w:r>
      <w:r w:rsidRPr="00B85C10">
        <w:rPr>
          <w:lang w:val="nl-NL"/>
        </w:rPr>
        <w:t>geduchte concurrentie tegen</w:t>
      </w:r>
      <w:r>
        <w:rPr>
          <w:lang w:val="nl-NL"/>
        </w:rPr>
        <w:t>komt</w:t>
      </w:r>
      <w:r w:rsidRPr="00B85C10">
        <w:rPr>
          <w:lang w:val="nl-NL"/>
        </w:rPr>
        <w:t xml:space="preserve"> van buitenlandse overheden.</w:t>
      </w:r>
      <w:r w:rsidRPr="00820833">
        <w:rPr>
          <w:lang w:val="nl-NL"/>
        </w:rPr>
        <w:t xml:space="preserve"> </w:t>
      </w:r>
    </w:p>
    <w:p w:rsidR="001E56AA" w:rsidP="006D54B0" w:rsidRDefault="001E56AA">
      <w:pPr>
        <w:spacing w:after="0" w:line="276" w:lineRule="auto"/>
        <w:rPr>
          <w:lang w:val="nl-NL"/>
        </w:rPr>
      </w:pPr>
    </w:p>
    <w:p w:rsidR="001E56AA" w:rsidP="006D54B0" w:rsidRDefault="001E56AA">
      <w:pPr>
        <w:spacing w:after="0" w:line="276" w:lineRule="auto"/>
        <w:rPr>
          <w:rFonts w:eastAsia="Calibri"/>
          <w:szCs w:val="18"/>
          <w:lang w:val="nl-NL"/>
        </w:rPr>
      </w:pPr>
      <w:r w:rsidRPr="00A725D2">
        <w:rPr>
          <w:rFonts w:eastAsia="Calibri"/>
          <w:szCs w:val="18"/>
          <w:lang w:val="nl-NL"/>
        </w:rPr>
        <w:t xml:space="preserve">In deze brief wordt uiteengezet welke stappen </w:t>
      </w:r>
      <w:r>
        <w:rPr>
          <w:rFonts w:eastAsia="Calibri"/>
          <w:szCs w:val="18"/>
          <w:lang w:val="nl-NL"/>
        </w:rPr>
        <w:t xml:space="preserve">zijn gezet om de bilaterale </w:t>
      </w:r>
      <w:r w:rsidRPr="007957B9">
        <w:rPr>
          <w:lang w:val="nl-NL"/>
        </w:rPr>
        <w:t xml:space="preserve">handels- en investeringsbevordering </w:t>
      </w:r>
      <w:r>
        <w:rPr>
          <w:lang w:val="nl-NL"/>
        </w:rPr>
        <w:t>aan te passen aan de eisen van deze tijd</w:t>
      </w:r>
      <w:r>
        <w:rPr>
          <w:rFonts w:eastAsia="Calibri"/>
          <w:szCs w:val="18"/>
          <w:lang w:val="nl-NL"/>
        </w:rPr>
        <w:t xml:space="preserve">. In paragraaf 1 staat toegelicht hoe </w:t>
      </w:r>
      <w:r>
        <w:rPr>
          <w:lang w:val="nl-NL"/>
        </w:rPr>
        <w:t xml:space="preserve">synergie wordt benut tussen </w:t>
      </w:r>
      <w:r w:rsidRPr="00820833">
        <w:rPr>
          <w:lang w:val="nl-NL"/>
        </w:rPr>
        <w:t xml:space="preserve">economische, politieke en ontwikkelingsdoelen </w:t>
      </w:r>
      <w:r>
        <w:rPr>
          <w:lang w:val="nl-NL"/>
        </w:rPr>
        <w:t xml:space="preserve">en </w:t>
      </w:r>
      <w:r w:rsidR="006D024C">
        <w:rPr>
          <w:lang w:val="nl-NL"/>
        </w:rPr>
        <w:t>welke keuzes daarin worden gemaakt</w:t>
      </w:r>
      <w:r>
        <w:rPr>
          <w:lang w:val="nl-NL"/>
        </w:rPr>
        <w:t xml:space="preserve">. Paragraaf 2 zet uiteen hoe </w:t>
      </w:r>
      <w:r w:rsidR="006D024C">
        <w:rPr>
          <w:lang w:val="nl-NL"/>
        </w:rPr>
        <w:t xml:space="preserve">economische </w:t>
      </w:r>
      <w:r>
        <w:rPr>
          <w:lang w:val="nl-NL"/>
        </w:rPr>
        <w:t>missies daar</w:t>
      </w:r>
      <w:r w:rsidR="006D024C">
        <w:rPr>
          <w:lang w:val="nl-NL"/>
        </w:rPr>
        <w:t>bij worden ingezet en hoe deze zijn ingericht.</w:t>
      </w:r>
      <w:r>
        <w:rPr>
          <w:lang w:val="nl-NL"/>
        </w:rPr>
        <w:t xml:space="preserve"> Om nieuwe markten te veroveren is het van belang om markten strategischer en vroegtijdig te bewerken (paragraaf 3). Verdere professionalisering van de samenwerking tussen </w:t>
      </w:r>
      <w:r w:rsidRPr="00820833">
        <w:rPr>
          <w:lang w:val="nl-NL"/>
        </w:rPr>
        <w:t xml:space="preserve">publieke en private </w:t>
      </w:r>
      <w:r>
        <w:rPr>
          <w:lang w:val="nl-NL"/>
        </w:rPr>
        <w:t>dienstverlener</w:t>
      </w:r>
      <w:r w:rsidR="001B1842">
        <w:rPr>
          <w:lang w:val="nl-NL"/>
        </w:rPr>
        <w:t>s</w:t>
      </w:r>
      <w:r>
        <w:rPr>
          <w:lang w:val="nl-NL"/>
        </w:rPr>
        <w:t xml:space="preserve"> </w:t>
      </w:r>
      <w:r w:rsidR="001B1842">
        <w:rPr>
          <w:lang w:val="nl-NL"/>
        </w:rPr>
        <w:t>is</w:t>
      </w:r>
      <w:r>
        <w:rPr>
          <w:lang w:val="nl-NL"/>
        </w:rPr>
        <w:t xml:space="preserve"> essentieel om bedrijven en kennisinstellingen effectief te ondersteunen</w:t>
      </w:r>
      <w:r w:rsidRPr="00820833">
        <w:rPr>
          <w:lang w:val="nl-NL"/>
        </w:rPr>
        <w:t xml:space="preserve"> </w:t>
      </w:r>
      <w:r>
        <w:rPr>
          <w:lang w:val="nl-NL"/>
        </w:rPr>
        <w:t>(paragraaf 4)</w:t>
      </w:r>
      <w:r w:rsidRPr="00820833">
        <w:rPr>
          <w:lang w:val="nl-NL"/>
        </w:rPr>
        <w:t>.</w:t>
      </w:r>
      <w:r w:rsidRPr="00820833" w:rsidDel="00EC508A">
        <w:rPr>
          <w:lang w:val="nl-NL"/>
        </w:rPr>
        <w:t xml:space="preserve"> </w:t>
      </w:r>
      <w:r>
        <w:rPr>
          <w:rFonts w:eastAsia="Calibri"/>
          <w:szCs w:val="18"/>
          <w:lang w:val="nl-NL"/>
        </w:rPr>
        <w:t>Hiermee</w:t>
      </w:r>
      <w:r w:rsidRPr="00A725D2">
        <w:rPr>
          <w:rFonts w:eastAsia="Calibri"/>
          <w:szCs w:val="18"/>
          <w:lang w:val="nl-NL"/>
        </w:rPr>
        <w:t xml:space="preserve"> wordt invulling gegeven aan de volgende toezeggingen:</w:t>
      </w:r>
    </w:p>
    <w:p w:rsidRPr="00A725D2" w:rsidR="001E56AA" w:rsidDel="00C32037" w:rsidP="006D54B0" w:rsidRDefault="001E56AA">
      <w:pPr>
        <w:shd w:val="clear" w:color="auto" w:fill="FFFFFF" w:themeFill="background1"/>
        <w:spacing w:after="0" w:line="276" w:lineRule="auto"/>
        <w:rPr>
          <w:rFonts w:eastAsia="Calibri"/>
          <w:szCs w:val="18"/>
          <w:lang w:val="nl-NL"/>
        </w:rPr>
      </w:pPr>
    </w:p>
    <w:p w:rsidRPr="00FE0D17" w:rsidR="001E56AA" w:rsidP="006D54B0" w:rsidRDefault="001E56AA">
      <w:pPr>
        <w:numPr>
          <w:ilvl w:val="0"/>
          <w:numId w:val="1"/>
        </w:numPr>
        <w:shd w:val="clear" w:color="auto" w:fill="FFFFFF" w:themeFill="background1"/>
        <w:tabs>
          <w:tab w:val="num" w:pos="2160"/>
        </w:tabs>
        <w:spacing w:after="0" w:line="276" w:lineRule="auto"/>
        <w:rPr>
          <w:rFonts w:eastAsia="Calibri"/>
          <w:szCs w:val="18"/>
          <w:lang w:val="nl-NL"/>
        </w:rPr>
      </w:pPr>
      <w:r>
        <w:rPr>
          <w:rFonts w:eastAsia="Calibri"/>
          <w:szCs w:val="18"/>
          <w:lang w:val="nl-NL"/>
        </w:rPr>
        <w:t>t</w:t>
      </w:r>
      <w:r w:rsidRPr="00A725D2">
        <w:rPr>
          <w:rFonts w:eastAsia="Calibri"/>
          <w:szCs w:val="18"/>
          <w:lang w:val="nl-NL"/>
        </w:rPr>
        <w:t xml:space="preserve">oelichting op het afwegingskader voor economische missies </w:t>
      </w:r>
      <w:r w:rsidRPr="00A725D2">
        <w:rPr>
          <w:rFonts w:eastAsia="Calibri"/>
          <w:i/>
          <w:szCs w:val="18"/>
          <w:lang w:val="nl-NL"/>
        </w:rPr>
        <w:t>(AO Economische missies 25-02-2015);</w:t>
      </w:r>
    </w:p>
    <w:p w:rsidRPr="00FE0D17" w:rsidR="001E56AA" w:rsidP="006D54B0" w:rsidRDefault="001E56AA">
      <w:pPr>
        <w:numPr>
          <w:ilvl w:val="0"/>
          <w:numId w:val="1"/>
        </w:numPr>
        <w:shd w:val="clear" w:color="auto" w:fill="FFFFFF" w:themeFill="background1"/>
        <w:spacing w:after="0" w:line="276" w:lineRule="auto"/>
        <w:rPr>
          <w:rFonts w:eastAsia="Calibri"/>
          <w:szCs w:val="18"/>
          <w:lang w:val="nl-NL"/>
        </w:rPr>
      </w:pPr>
      <w:r w:rsidRPr="00FE0D17">
        <w:rPr>
          <w:rFonts w:eastAsia="Calibri"/>
          <w:szCs w:val="18"/>
          <w:lang w:val="nl-NL"/>
        </w:rPr>
        <w:t>toelichting op het agenderen van mensenrechten tijdens economische missies (</w:t>
      </w:r>
      <w:r w:rsidRPr="00FE0D17">
        <w:rPr>
          <w:rFonts w:eastAsia="Calibri"/>
          <w:i/>
          <w:szCs w:val="18"/>
          <w:lang w:val="nl-NL"/>
        </w:rPr>
        <w:t>AO Economische Missies 07-04-2016</w:t>
      </w:r>
      <w:r w:rsidRPr="00FE0D17">
        <w:rPr>
          <w:rFonts w:eastAsia="Calibri"/>
          <w:szCs w:val="18"/>
          <w:lang w:val="nl-NL"/>
        </w:rPr>
        <w:t>);</w:t>
      </w:r>
    </w:p>
    <w:p w:rsidRPr="00A725D2" w:rsidR="001E56AA" w:rsidP="006D54B0" w:rsidRDefault="001E56AA">
      <w:pPr>
        <w:numPr>
          <w:ilvl w:val="0"/>
          <w:numId w:val="1"/>
        </w:numPr>
        <w:shd w:val="clear" w:color="auto" w:fill="FFFFFF" w:themeFill="background1"/>
        <w:spacing w:after="0" w:line="276" w:lineRule="auto"/>
        <w:rPr>
          <w:rFonts w:eastAsia="Calibri"/>
          <w:szCs w:val="18"/>
          <w:lang w:val="nl-NL"/>
        </w:rPr>
      </w:pPr>
      <w:r>
        <w:rPr>
          <w:rFonts w:eastAsia="Calibri"/>
          <w:szCs w:val="18"/>
          <w:lang w:val="nl-NL"/>
        </w:rPr>
        <w:t>r</w:t>
      </w:r>
      <w:r w:rsidRPr="00A725D2">
        <w:rPr>
          <w:rFonts w:eastAsia="Calibri"/>
          <w:szCs w:val="18"/>
          <w:lang w:val="nl-NL"/>
        </w:rPr>
        <w:t xml:space="preserve">apporteren over een onderzoek van de Auditdienst Rijk naar de samenwerking tussen de publieke uitvoerders van economische dienstverlening </w:t>
      </w:r>
      <w:r w:rsidRPr="00A725D2">
        <w:rPr>
          <w:rFonts w:eastAsia="Calibri"/>
          <w:i/>
          <w:szCs w:val="18"/>
          <w:lang w:val="nl-NL"/>
        </w:rPr>
        <w:t>(MvT BHOS begroting 2016-2017)</w:t>
      </w:r>
      <w:r>
        <w:rPr>
          <w:rFonts w:eastAsia="Calibri"/>
          <w:szCs w:val="18"/>
          <w:lang w:val="nl-NL"/>
        </w:rPr>
        <w:t>;</w:t>
      </w:r>
    </w:p>
    <w:p w:rsidRPr="008D5752" w:rsidR="001E56AA" w:rsidP="006D54B0" w:rsidRDefault="001E56AA">
      <w:pPr>
        <w:numPr>
          <w:ilvl w:val="0"/>
          <w:numId w:val="1"/>
        </w:numPr>
        <w:shd w:val="clear" w:color="auto" w:fill="FFFFFF" w:themeFill="background1"/>
        <w:spacing w:after="0" w:line="276" w:lineRule="auto"/>
        <w:rPr>
          <w:rFonts w:eastAsia="Calibri"/>
          <w:szCs w:val="18"/>
          <w:lang w:val="nl-NL"/>
        </w:rPr>
      </w:pPr>
      <w:r w:rsidRPr="00240CDE">
        <w:rPr>
          <w:rFonts w:eastAsia="Calibri"/>
          <w:szCs w:val="18"/>
          <w:lang w:val="nl-NL"/>
        </w:rPr>
        <w:t xml:space="preserve">weergeven van de tussenevaluatie van de pilot betaalde dienstverlening </w:t>
      </w:r>
      <w:r w:rsidRPr="00240CDE">
        <w:rPr>
          <w:rFonts w:eastAsia="Calibri"/>
          <w:i/>
          <w:szCs w:val="18"/>
          <w:lang w:val="nl-NL"/>
        </w:rPr>
        <w:t>(Begrotingsbehandeling BHOS 19-11-2014, AO Economische missies 19-11-2015)</w:t>
      </w:r>
      <w:r>
        <w:rPr>
          <w:rFonts w:eastAsia="Calibri"/>
          <w:i/>
          <w:szCs w:val="18"/>
          <w:lang w:val="nl-NL"/>
        </w:rPr>
        <w:t>;</w:t>
      </w:r>
    </w:p>
    <w:p w:rsidRPr="00FE2547" w:rsidR="001E56AA" w:rsidP="006D54B0" w:rsidRDefault="001E56AA">
      <w:pPr>
        <w:numPr>
          <w:ilvl w:val="0"/>
          <w:numId w:val="1"/>
        </w:numPr>
        <w:shd w:val="clear" w:color="auto" w:fill="FFFFFF" w:themeFill="background1"/>
        <w:spacing w:after="0" w:line="276" w:lineRule="auto"/>
        <w:rPr>
          <w:rFonts w:eastAsia="Calibri"/>
          <w:szCs w:val="18"/>
          <w:lang w:val="nl-NL"/>
        </w:rPr>
      </w:pPr>
      <w:r w:rsidRPr="00FE2547">
        <w:rPr>
          <w:rFonts w:eastAsia="Calibri"/>
          <w:szCs w:val="18"/>
          <w:lang w:val="nl-NL"/>
        </w:rPr>
        <w:t xml:space="preserve">een brief over het verdienvermogen van Nederland </w:t>
      </w:r>
      <w:r w:rsidRPr="00FE2547">
        <w:rPr>
          <w:lang w:val="nl-NL"/>
        </w:rPr>
        <w:t xml:space="preserve">inclusief de verhouding tussen grootbedrijf en MKB </w:t>
      </w:r>
      <w:r>
        <w:rPr>
          <w:lang w:val="nl-NL"/>
        </w:rPr>
        <w:t xml:space="preserve">over de vraag </w:t>
      </w:r>
      <w:r w:rsidRPr="00FE2547">
        <w:rPr>
          <w:lang w:val="nl-NL"/>
        </w:rPr>
        <w:t>waar de verdiensten neerslaan</w:t>
      </w:r>
      <w:r w:rsidRPr="00FE2547">
        <w:rPr>
          <w:rFonts w:eastAsia="Calibri"/>
          <w:szCs w:val="18"/>
          <w:lang w:val="nl-NL"/>
        </w:rPr>
        <w:t xml:space="preserve"> (</w:t>
      </w:r>
      <w:r w:rsidRPr="00532F95">
        <w:rPr>
          <w:rFonts w:eastAsia="Calibri"/>
          <w:i/>
          <w:szCs w:val="18"/>
          <w:lang w:val="nl-NL"/>
        </w:rPr>
        <w:t>AO Bedrijfsleveninstrumentarium 22-06-2016</w:t>
      </w:r>
      <w:r w:rsidRPr="00FE2547">
        <w:rPr>
          <w:rFonts w:eastAsia="Calibri"/>
          <w:szCs w:val="18"/>
          <w:lang w:val="nl-NL"/>
        </w:rPr>
        <w:t>)</w:t>
      </w:r>
      <w:r w:rsidR="00BC0255">
        <w:rPr>
          <w:rFonts w:eastAsia="Calibri"/>
          <w:szCs w:val="18"/>
          <w:lang w:val="nl-NL"/>
        </w:rPr>
        <w:t>;</w:t>
      </w:r>
    </w:p>
    <w:p w:rsidRPr="00352065" w:rsidR="001E56AA" w:rsidP="006D54B0" w:rsidRDefault="00352065">
      <w:pPr>
        <w:pStyle w:val="ListParagraph"/>
        <w:numPr>
          <w:ilvl w:val="0"/>
          <w:numId w:val="1"/>
        </w:numPr>
        <w:spacing w:after="0" w:line="276" w:lineRule="auto"/>
        <w:rPr>
          <w:b/>
          <w:i/>
          <w:lang w:val="nl-NL"/>
        </w:rPr>
      </w:pPr>
      <w:r>
        <w:rPr>
          <w:lang w:val="nl-NL"/>
        </w:rPr>
        <w:t>e</w:t>
      </w:r>
      <w:r w:rsidRPr="00352065">
        <w:rPr>
          <w:lang w:val="nl-NL"/>
        </w:rPr>
        <w:t xml:space="preserve">en brief over economische diplomatie, waarin ook wordt ingegaan op de strategie van de reisagenda en tevens voorbeelden worden opgenomen van demonstratieprojecten en de effecten daarvan </w:t>
      </w:r>
      <w:r w:rsidRPr="002B208C">
        <w:rPr>
          <w:i/>
          <w:lang w:val="nl-NL"/>
        </w:rPr>
        <w:t>(</w:t>
      </w:r>
      <w:r w:rsidRPr="00352065">
        <w:rPr>
          <w:i/>
          <w:lang w:val="nl-NL"/>
        </w:rPr>
        <w:t>AO Bedrijfsleveninstrumentarium 22-06-2016).</w:t>
      </w:r>
    </w:p>
    <w:p w:rsidRPr="00352065" w:rsidR="001E56AA" w:rsidP="006D54B0" w:rsidRDefault="001E56AA">
      <w:pPr>
        <w:spacing w:line="276" w:lineRule="auto"/>
        <w:rPr>
          <w:b/>
          <w:i/>
          <w:lang w:val="nl-NL"/>
        </w:rPr>
      </w:pPr>
    </w:p>
    <w:p w:rsidRPr="00D72867" w:rsidR="001E56AA" w:rsidP="006D54B0" w:rsidRDefault="001E56AA">
      <w:pPr>
        <w:pStyle w:val="ListParagraph"/>
        <w:numPr>
          <w:ilvl w:val="0"/>
          <w:numId w:val="2"/>
        </w:numPr>
        <w:spacing w:line="276" w:lineRule="auto"/>
        <w:rPr>
          <w:b/>
          <w:lang w:val="nl-NL"/>
        </w:rPr>
      </w:pPr>
      <w:r>
        <w:rPr>
          <w:b/>
          <w:lang w:val="nl-NL"/>
        </w:rPr>
        <w:lastRenderedPageBreak/>
        <w:t>Afwegingen bij de inzet van economische diplomatie</w:t>
      </w:r>
    </w:p>
    <w:p w:rsidRPr="00F558DA" w:rsidR="001E56AA" w:rsidP="006D54B0" w:rsidRDefault="001E56AA">
      <w:pPr>
        <w:spacing w:after="0" w:line="276" w:lineRule="auto"/>
        <w:rPr>
          <w:rFonts w:eastAsia="Calibri"/>
          <w:i/>
          <w:szCs w:val="18"/>
          <w:lang w:val="nl-NL"/>
        </w:rPr>
      </w:pPr>
      <w:r>
        <w:rPr>
          <w:rFonts w:eastAsia="Calibri"/>
          <w:i/>
          <w:szCs w:val="18"/>
          <w:lang w:val="nl-NL"/>
        </w:rPr>
        <w:t>Keuzes maken</w:t>
      </w:r>
    </w:p>
    <w:p w:rsidR="001E56AA" w:rsidP="006D54B0" w:rsidRDefault="001E56AA">
      <w:pPr>
        <w:spacing w:after="0" w:line="276" w:lineRule="auto"/>
        <w:rPr>
          <w:rFonts w:eastAsia="Calibri"/>
          <w:szCs w:val="18"/>
          <w:lang w:val="nl-NL"/>
        </w:rPr>
      </w:pPr>
      <w:r>
        <w:rPr>
          <w:rFonts w:eastAsia="Calibri"/>
          <w:szCs w:val="18"/>
          <w:lang w:val="nl-NL"/>
        </w:rPr>
        <w:t xml:space="preserve">Nederland is via het postennetwerk vertegenwoordigd in 140 landen die allemaal een (potentiële) handels- en investeringspartner zijn. </w:t>
      </w:r>
      <w:r w:rsidR="00F62805">
        <w:rPr>
          <w:rFonts w:eastAsia="Calibri"/>
          <w:szCs w:val="18"/>
          <w:lang w:val="nl-NL"/>
        </w:rPr>
        <w:t xml:space="preserve">Wereldwijd kunnen het Nederlandse bedrijfsleven en de kennisinstellingen gebruik maken van de dienstverlening die de overheid aanbiedt om hen te helpen op buitenlandse markten. </w:t>
      </w:r>
      <w:r w:rsidR="002D1EE5">
        <w:rPr>
          <w:rFonts w:eastAsia="Calibri"/>
          <w:szCs w:val="18"/>
          <w:lang w:val="nl-NL"/>
        </w:rPr>
        <w:t>We</w:t>
      </w:r>
      <w:r w:rsidR="00F62805">
        <w:rPr>
          <w:rFonts w:eastAsia="Calibri"/>
          <w:szCs w:val="18"/>
          <w:lang w:val="nl-NL"/>
        </w:rPr>
        <w:t xml:space="preserve"> stellen prioriteiten </w:t>
      </w:r>
      <w:r w:rsidR="00B21F67">
        <w:rPr>
          <w:rFonts w:eastAsia="Calibri"/>
          <w:szCs w:val="18"/>
          <w:lang w:val="nl-NL"/>
        </w:rPr>
        <w:t xml:space="preserve">voor het plegen van extra inspanningen zoals handelsmissies </w:t>
      </w:r>
      <w:r w:rsidR="00F62805">
        <w:rPr>
          <w:rFonts w:eastAsia="Calibri"/>
          <w:szCs w:val="18"/>
          <w:lang w:val="nl-NL"/>
        </w:rPr>
        <w:t>zodat bilaterale economische relaties strategisch worden opgebouwd en onderhouden</w:t>
      </w:r>
      <w:r w:rsidR="002D1EE5">
        <w:rPr>
          <w:rFonts w:eastAsia="Calibri"/>
          <w:szCs w:val="18"/>
          <w:lang w:val="nl-NL"/>
        </w:rPr>
        <w:t>.</w:t>
      </w:r>
    </w:p>
    <w:p w:rsidR="001E56AA" w:rsidP="006D54B0" w:rsidRDefault="001E56AA">
      <w:pPr>
        <w:spacing w:after="0" w:line="276" w:lineRule="auto"/>
        <w:rPr>
          <w:rFonts w:eastAsia="Calibri"/>
          <w:szCs w:val="18"/>
          <w:lang w:val="nl-NL"/>
        </w:rPr>
      </w:pPr>
    </w:p>
    <w:p w:rsidR="001E56AA" w:rsidP="006D54B0" w:rsidRDefault="001E56AA">
      <w:pPr>
        <w:spacing w:after="0" w:line="276" w:lineRule="auto"/>
        <w:rPr>
          <w:rFonts w:eastAsia="Calibri"/>
          <w:lang w:val="nl-NL"/>
        </w:rPr>
      </w:pPr>
      <w:r w:rsidRPr="001D2F96">
        <w:rPr>
          <w:rFonts w:eastAsia="Calibri"/>
          <w:i/>
          <w:szCs w:val="18"/>
          <w:lang w:val="nl-NL"/>
        </w:rPr>
        <w:t>Economische</w:t>
      </w:r>
      <w:r w:rsidR="00F62805">
        <w:rPr>
          <w:rFonts w:eastAsia="Calibri"/>
          <w:i/>
          <w:szCs w:val="18"/>
          <w:lang w:val="nl-NL"/>
        </w:rPr>
        <w:t>, politieke en ontwikkelingsbelangen</w:t>
      </w:r>
      <w:r>
        <w:rPr>
          <w:rFonts w:eastAsia="Calibri"/>
          <w:szCs w:val="18"/>
          <w:lang w:val="nl-NL"/>
        </w:rPr>
        <w:br/>
      </w:r>
      <w:r w:rsidRPr="00381174">
        <w:rPr>
          <w:rFonts w:eastAsia="Calibri"/>
          <w:szCs w:val="18"/>
          <w:lang w:val="nl-NL"/>
        </w:rPr>
        <w:t xml:space="preserve">Keuzes </w:t>
      </w:r>
      <w:r w:rsidR="00F62805">
        <w:rPr>
          <w:rFonts w:eastAsia="Calibri"/>
          <w:szCs w:val="18"/>
          <w:lang w:val="nl-NL"/>
        </w:rPr>
        <w:t xml:space="preserve">voor de inzet van handels- en investeringsbevordering </w:t>
      </w:r>
      <w:r w:rsidRPr="00381174">
        <w:rPr>
          <w:rFonts w:eastAsia="Calibri"/>
          <w:szCs w:val="18"/>
          <w:lang w:val="nl-NL"/>
        </w:rPr>
        <w:t xml:space="preserve">worden </w:t>
      </w:r>
      <w:r w:rsidR="00F62805">
        <w:rPr>
          <w:rFonts w:eastAsia="Calibri"/>
          <w:szCs w:val="18"/>
          <w:lang w:val="nl-NL"/>
        </w:rPr>
        <w:t xml:space="preserve">in de eerste plaats </w:t>
      </w:r>
      <w:r w:rsidRPr="00381174">
        <w:rPr>
          <w:rFonts w:eastAsia="Calibri"/>
          <w:szCs w:val="18"/>
          <w:lang w:val="nl-NL"/>
        </w:rPr>
        <w:t>gemaakt op basis</w:t>
      </w:r>
      <w:r>
        <w:rPr>
          <w:rFonts w:eastAsia="Calibri"/>
          <w:szCs w:val="18"/>
          <w:lang w:val="nl-NL"/>
        </w:rPr>
        <w:t xml:space="preserve"> van</w:t>
      </w:r>
      <w:r w:rsidRPr="00381174">
        <w:rPr>
          <w:rFonts w:eastAsia="Calibri"/>
          <w:szCs w:val="18"/>
          <w:lang w:val="nl-NL"/>
        </w:rPr>
        <w:t xml:space="preserve"> het </w:t>
      </w:r>
      <w:r w:rsidR="00F62805">
        <w:rPr>
          <w:rFonts w:eastAsia="Calibri"/>
          <w:szCs w:val="18"/>
          <w:lang w:val="nl-NL"/>
        </w:rPr>
        <w:t>huidige en toekomst</w:t>
      </w:r>
      <w:r w:rsidR="009C0D2E">
        <w:rPr>
          <w:rFonts w:eastAsia="Calibri"/>
          <w:szCs w:val="18"/>
          <w:lang w:val="nl-NL"/>
        </w:rPr>
        <w:t>ige</w:t>
      </w:r>
      <w:r w:rsidR="00F62805">
        <w:rPr>
          <w:rFonts w:eastAsia="Calibri"/>
          <w:szCs w:val="18"/>
          <w:lang w:val="nl-NL"/>
        </w:rPr>
        <w:t xml:space="preserve"> </w:t>
      </w:r>
      <w:r w:rsidRPr="00381174">
        <w:rPr>
          <w:rFonts w:eastAsia="Calibri"/>
          <w:szCs w:val="18"/>
          <w:lang w:val="nl-NL"/>
        </w:rPr>
        <w:t>economische belang van een markt of sector voor Nederland</w:t>
      </w:r>
      <w:r>
        <w:rPr>
          <w:rFonts w:eastAsia="Calibri"/>
          <w:szCs w:val="18"/>
          <w:lang w:val="nl-NL"/>
        </w:rPr>
        <w:t xml:space="preserve"> en de mate waarin er behoefte is aan economische diplomatie.</w:t>
      </w:r>
      <w:r w:rsidRPr="00B85C10">
        <w:rPr>
          <w:rFonts w:eastAsia="Calibri"/>
          <w:szCs w:val="18"/>
          <w:lang w:val="nl-NL"/>
        </w:rPr>
        <w:t xml:space="preserve"> </w:t>
      </w:r>
      <w:r>
        <w:rPr>
          <w:rFonts w:eastAsia="Calibri"/>
          <w:szCs w:val="18"/>
          <w:lang w:val="nl-NL"/>
        </w:rPr>
        <w:t>Dat gebeurt in samenspraak met</w:t>
      </w:r>
      <w:r w:rsidRPr="00B85C10">
        <w:rPr>
          <w:rFonts w:eastAsia="Calibri"/>
          <w:szCs w:val="18"/>
          <w:lang w:val="nl-NL"/>
        </w:rPr>
        <w:t xml:space="preserve"> bedrijven en kennisinstellingen</w:t>
      </w:r>
      <w:r>
        <w:rPr>
          <w:rFonts w:eastAsia="Calibri"/>
          <w:szCs w:val="18"/>
          <w:lang w:val="nl-NL"/>
        </w:rPr>
        <w:t>,</w:t>
      </w:r>
      <w:r w:rsidRPr="00B85C10">
        <w:rPr>
          <w:rFonts w:eastAsia="Calibri"/>
          <w:szCs w:val="18"/>
          <w:lang w:val="nl-NL"/>
        </w:rPr>
        <w:t xml:space="preserve"> </w:t>
      </w:r>
      <w:r>
        <w:rPr>
          <w:rFonts w:eastAsia="Calibri"/>
          <w:szCs w:val="18"/>
          <w:lang w:val="nl-NL"/>
        </w:rPr>
        <w:t>onder meer</w:t>
      </w:r>
      <w:r w:rsidRPr="00B85C10">
        <w:rPr>
          <w:rFonts w:eastAsia="Calibri"/>
          <w:szCs w:val="18"/>
          <w:lang w:val="nl-NL"/>
        </w:rPr>
        <w:t xml:space="preserve"> via de topsectoren</w:t>
      </w:r>
      <w:r>
        <w:rPr>
          <w:rFonts w:eastAsia="Calibri"/>
          <w:szCs w:val="18"/>
          <w:lang w:val="nl-NL"/>
        </w:rPr>
        <w:t xml:space="preserve"> en met decentrale overheden.</w:t>
      </w:r>
      <w:r w:rsidRPr="00B85C10">
        <w:rPr>
          <w:rFonts w:eastAsia="Calibri"/>
          <w:szCs w:val="18"/>
          <w:lang w:val="nl-NL"/>
        </w:rPr>
        <w:t xml:space="preserve"> </w:t>
      </w:r>
      <w:r w:rsidR="002D1EE5">
        <w:rPr>
          <w:rFonts w:eastAsia="Calibri"/>
          <w:szCs w:val="18"/>
          <w:lang w:val="nl-NL"/>
        </w:rPr>
        <w:t xml:space="preserve">Er </w:t>
      </w:r>
      <w:r w:rsidR="00F62805">
        <w:rPr>
          <w:rFonts w:eastAsia="Calibri"/>
          <w:szCs w:val="18"/>
          <w:lang w:val="nl-NL"/>
        </w:rPr>
        <w:t>wordt gekeken naar hoe de positie van Nederland in waardeketens kan worden versterkt. H</w:t>
      </w:r>
      <w:r w:rsidRPr="00B85C10">
        <w:rPr>
          <w:rFonts w:eastAsia="Calibri"/>
          <w:szCs w:val="18"/>
          <w:lang w:val="nl-NL"/>
        </w:rPr>
        <w:t>et gaat</w:t>
      </w:r>
      <w:r>
        <w:rPr>
          <w:rFonts w:eastAsia="Calibri"/>
          <w:szCs w:val="18"/>
          <w:lang w:val="nl-NL"/>
        </w:rPr>
        <w:t xml:space="preserve"> om </w:t>
      </w:r>
      <w:r w:rsidRPr="00B85C10">
        <w:rPr>
          <w:rFonts w:eastAsia="Calibri"/>
          <w:szCs w:val="18"/>
          <w:lang w:val="nl-NL"/>
        </w:rPr>
        <w:t>export</w:t>
      </w:r>
      <w:r>
        <w:rPr>
          <w:rFonts w:eastAsia="Calibri"/>
          <w:szCs w:val="18"/>
          <w:lang w:val="nl-NL"/>
        </w:rPr>
        <w:t xml:space="preserve">mogelijkheden </w:t>
      </w:r>
      <w:r w:rsidR="00F62805">
        <w:rPr>
          <w:rFonts w:eastAsia="Calibri"/>
          <w:szCs w:val="18"/>
          <w:lang w:val="nl-NL"/>
        </w:rPr>
        <w:t xml:space="preserve">maar ook om </w:t>
      </w:r>
      <w:r w:rsidRPr="00B85C10">
        <w:rPr>
          <w:rFonts w:eastAsia="Calibri"/>
          <w:szCs w:val="18"/>
          <w:lang w:val="nl-NL"/>
        </w:rPr>
        <w:t xml:space="preserve">mogelijkheden voor </w:t>
      </w:r>
      <w:r>
        <w:rPr>
          <w:rFonts w:eastAsia="Calibri"/>
          <w:szCs w:val="18"/>
          <w:lang w:val="nl-NL"/>
        </w:rPr>
        <w:t xml:space="preserve">import, </w:t>
      </w:r>
      <w:r w:rsidRPr="00B85C10">
        <w:rPr>
          <w:rFonts w:eastAsia="Calibri"/>
          <w:szCs w:val="18"/>
          <w:lang w:val="nl-NL"/>
        </w:rPr>
        <w:t xml:space="preserve">internationale </w:t>
      </w:r>
      <w:r>
        <w:rPr>
          <w:rFonts w:eastAsia="Calibri"/>
          <w:szCs w:val="18"/>
          <w:lang w:val="nl-NL"/>
        </w:rPr>
        <w:t>innovatie</w:t>
      </w:r>
      <w:r w:rsidRPr="00B85C10">
        <w:rPr>
          <w:rFonts w:eastAsia="Calibri"/>
          <w:szCs w:val="18"/>
          <w:lang w:val="nl-NL"/>
        </w:rPr>
        <w:t>samenwerking</w:t>
      </w:r>
      <w:r>
        <w:rPr>
          <w:rFonts w:eastAsia="Calibri"/>
          <w:szCs w:val="18"/>
          <w:lang w:val="nl-NL"/>
        </w:rPr>
        <w:t xml:space="preserve">, </w:t>
      </w:r>
      <w:r w:rsidRPr="00B85C10">
        <w:rPr>
          <w:rFonts w:eastAsia="Calibri"/>
          <w:szCs w:val="18"/>
          <w:lang w:val="nl-NL"/>
        </w:rPr>
        <w:t>uitgaande en inkomende investeringen</w:t>
      </w:r>
      <w:r w:rsidR="00F62805">
        <w:rPr>
          <w:rStyle w:val="FootnoteReference"/>
          <w:rFonts w:eastAsia="Calibri"/>
          <w:szCs w:val="18"/>
          <w:lang w:val="nl-NL"/>
        </w:rPr>
        <w:footnoteReference w:id="2"/>
      </w:r>
      <w:r w:rsidRPr="00B85C10">
        <w:rPr>
          <w:rFonts w:eastAsia="Calibri"/>
          <w:szCs w:val="18"/>
          <w:lang w:val="nl-NL"/>
        </w:rPr>
        <w:t>.</w:t>
      </w:r>
      <w:r>
        <w:rPr>
          <w:rFonts w:eastAsia="Calibri"/>
          <w:szCs w:val="18"/>
          <w:lang w:val="nl-NL"/>
        </w:rPr>
        <w:t xml:space="preserve"> Op basis van het economische belang </w:t>
      </w:r>
      <w:r w:rsidR="002D1EE5">
        <w:rPr>
          <w:rFonts w:eastAsia="Calibri"/>
          <w:szCs w:val="18"/>
          <w:lang w:val="nl-NL"/>
        </w:rPr>
        <w:t>wordt een inschatting gemaakt van welke landen het grootste</w:t>
      </w:r>
      <w:r>
        <w:rPr>
          <w:rFonts w:eastAsia="Calibri"/>
          <w:szCs w:val="18"/>
          <w:lang w:val="nl-NL"/>
        </w:rPr>
        <w:t xml:space="preserve"> economisch</w:t>
      </w:r>
      <w:r w:rsidR="002D1EE5">
        <w:rPr>
          <w:rFonts w:eastAsia="Calibri"/>
          <w:szCs w:val="18"/>
          <w:lang w:val="nl-NL"/>
        </w:rPr>
        <w:t>e</w:t>
      </w:r>
      <w:r>
        <w:rPr>
          <w:rFonts w:eastAsia="Calibri"/>
          <w:szCs w:val="18"/>
          <w:lang w:val="nl-NL"/>
        </w:rPr>
        <w:t xml:space="preserve"> potentieel </w:t>
      </w:r>
      <w:r w:rsidR="002D1EE5">
        <w:rPr>
          <w:rFonts w:eastAsia="Calibri"/>
          <w:szCs w:val="18"/>
          <w:lang w:val="nl-NL"/>
        </w:rPr>
        <w:t xml:space="preserve">hebben </w:t>
      </w:r>
      <w:r>
        <w:rPr>
          <w:rFonts w:eastAsia="Calibri"/>
          <w:szCs w:val="18"/>
          <w:lang w:val="nl-NL"/>
        </w:rPr>
        <w:t>voor Nederland</w:t>
      </w:r>
      <w:r w:rsidR="002D1EE5">
        <w:rPr>
          <w:rFonts w:eastAsia="Calibri"/>
          <w:szCs w:val="18"/>
          <w:lang w:val="nl-NL"/>
        </w:rPr>
        <w:t xml:space="preserve">. Dat zijn </w:t>
      </w:r>
      <w:r>
        <w:rPr>
          <w:rFonts w:eastAsia="Calibri"/>
          <w:szCs w:val="18"/>
          <w:lang w:val="nl-NL"/>
        </w:rPr>
        <w:t xml:space="preserve">traditionele handelspartners </w:t>
      </w:r>
      <w:r w:rsidR="002D1EE5">
        <w:rPr>
          <w:rFonts w:eastAsia="Calibri"/>
          <w:szCs w:val="18"/>
          <w:lang w:val="nl-NL"/>
        </w:rPr>
        <w:t>even</w:t>
      </w:r>
      <w:r>
        <w:rPr>
          <w:rFonts w:eastAsia="Calibri"/>
          <w:szCs w:val="18"/>
          <w:lang w:val="nl-NL"/>
        </w:rPr>
        <w:t xml:space="preserve">als een aantal opkomende landen. Hier vallen de zogenoemde handelsrelaties uit de </w:t>
      </w:r>
      <w:r w:rsidR="00EB5FAE">
        <w:rPr>
          <w:rFonts w:eastAsia="Calibri"/>
          <w:szCs w:val="18"/>
          <w:lang w:val="nl-NL"/>
        </w:rPr>
        <w:t>K</w:t>
      </w:r>
      <w:r>
        <w:rPr>
          <w:rFonts w:eastAsia="Calibri"/>
          <w:szCs w:val="18"/>
          <w:lang w:val="nl-NL"/>
        </w:rPr>
        <w:t xml:space="preserve">amerbrief </w:t>
      </w:r>
      <w:r w:rsidRPr="008D610E">
        <w:rPr>
          <w:rFonts w:eastAsia="Calibri"/>
          <w:i/>
          <w:szCs w:val="18"/>
          <w:lang w:val="nl-NL"/>
        </w:rPr>
        <w:t>Wat de wereld verdient</w:t>
      </w:r>
      <w:r>
        <w:rPr>
          <w:rFonts w:eastAsia="Calibri"/>
          <w:i/>
          <w:szCs w:val="18"/>
          <w:lang w:val="nl-NL"/>
        </w:rPr>
        <w:t xml:space="preserve"> </w:t>
      </w:r>
      <w:r w:rsidRPr="00325A6B">
        <w:rPr>
          <w:rFonts w:eastAsia="Calibri"/>
          <w:szCs w:val="18"/>
          <w:lang w:val="nl-NL"/>
        </w:rPr>
        <w:t>onder</w:t>
      </w:r>
      <w:r w:rsidRPr="00325A6B">
        <w:rPr>
          <w:rFonts w:eastAsia="Calibri"/>
          <w:lang w:val="nl-NL"/>
        </w:rPr>
        <w:t>.</w:t>
      </w:r>
      <w:r w:rsidRPr="00325A6B">
        <w:rPr>
          <w:rStyle w:val="FootnoteReference"/>
          <w:rFonts w:eastAsia="Calibri"/>
          <w:lang w:val="nl-NL"/>
        </w:rPr>
        <w:footnoteReference w:id="3"/>
      </w:r>
    </w:p>
    <w:p w:rsidR="001E56AA" w:rsidP="006D54B0" w:rsidRDefault="001E56AA">
      <w:pPr>
        <w:spacing w:after="0" w:line="276" w:lineRule="auto"/>
        <w:rPr>
          <w:rFonts w:eastAsia="Calibri"/>
          <w:szCs w:val="18"/>
          <w:lang w:val="nl-NL"/>
        </w:rPr>
      </w:pPr>
      <w:r>
        <w:rPr>
          <w:rFonts w:eastAsia="Calibri"/>
          <w:szCs w:val="18"/>
          <w:lang w:val="nl-NL"/>
        </w:rPr>
        <w:br/>
      </w:r>
      <w:r w:rsidRPr="00B85C10">
        <w:rPr>
          <w:rFonts w:eastAsia="Calibri"/>
          <w:szCs w:val="18"/>
          <w:lang w:val="nl-NL"/>
        </w:rPr>
        <w:t xml:space="preserve">Naast </w:t>
      </w:r>
      <w:r w:rsidR="002D1EE5">
        <w:rPr>
          <w:rFonts w:eastAsia="Calibri"/>
          <w:szCs w:val="18"/>
          <w:lang w:val="nl-NL"/>
        </w:rPr>
        <w:t xml:space="preserve">de </w:t>
      </w:r>
      <w:r w:rsidRPr="00B85C10">
        <w:rPr>
          <w:rFonts w:eastAsia="Calibri"/>
          <w:szCs w:val="18"/>
          <w:lang w:val="nl-NL"/>
        </w:rPr>
        <w:t>economische</w:t>
      </w:r>
      <w:r>
        <w:rPr>
          <w:rFonts w:eastAsia="Calibri"/>
          <w:szCs w:val="18"/>
          <w:lang w:val="nl-NL"/>
        </w:rPr>
        <w:t xml:space="preserve"> </w:t>
      </w:r>
      <w:r w:rsidR="002D1EE5">
        <w:rPr>
          <w:rFonts w:eastAsia="Calibri"/>
          <w:szCs w:val="18"/>
          <w:lang w:val="nl-NL"/>
        </w:rPr>
        <w:t>agenda</w:t>
      </w:r>
      <w:r w:rsidRPr="00B85C10" w:rsidR="002D1EE5">
        <w:rPr>
          <w:rFonts w:eastAsia="Calibri"/>
          <w:szCs w:val="18"/>
          <w:lang w:val="nl-NL"/>
        </w:rPr>
        <w:t xml:space="preserve"> </w:t>
      </w:r>
      <w:r w:rsidRPr="00B85C10">
        <w:rPr>
          <w:rFonts w:eastAsia="Calibri"/>
          <w:szCs w:val="18"/>
          <w:lang w:val="nl-NL"/>
        </w:rPr>
        <w:t xml:space="preserve">wegen </w:t>
      </w:r>
      <w:r w:rsidR="002D1EE5">
        <w:rPr>
          <w:rFonts w:eastAsia="Calibri"/>
          <w:szCs w:val="18"/>
          <w:lang w:val="nl-NL"/>
        </w:rPr>
        <w:t>de politieke- en ontwikkelingsagenda</w:t>
      </w:r>
      <w:r w:rsidRPr="00B85C10" w:rsidR="002D1EE5">
        <w:rPr>
          <w:rFonts w:eastAsia="Calibri"/>
          <w:szCs w:val="18"/>
          <w:lang w:val="nl-NL"/>
        </w:rPr>
        <w:t xml:space="preserve"> </w:t>
      </w:r>
      <w:r w:rsidRPr="00B85C10">
        <w:rPr>
          <w:rFonts w:eastAsia="Calibri"/>
          <w:szCs w:val="18"/>
          <w:lang w:val="nl-NL"/>
        </w:rPr>
        <w:t xml:space="preserve">mee bij de inzet van instrumenten. Een markt kan in economische zin </w:t>
      </w:r>
      <w:r w:rsidR="001C7AAE">
        <w:rPr>
          <w:rFonts w:eastAsia="Calibri"/>
          <w:szCs w:val="18"/>
          <w:lang w:val="nl-NL"/>
        </w:rPr>
        <w:t>nog van beperkt belang zijn voor de Nederlandse economie als geheel,</w:t>
      </w:r>
      <w:r w:rsidRPr="00B85C10">
        <w:rPr>
          <w:rFonts w:eastAsia="Calibri"/>
          <w:szCs w:val="18"/>
          <w:lang w:val="nl-NL"/>
        </w:rPr>
        <w:t xml:space="preserve"> maar met </w:t>
      </w:r>
      <w:r w:rsidR="001C7AAE">
        <w:rPr>
          <w:rFonts w:eastAsia="Calibri"/>
          <w:szCs w:val="18"/>
          <w:lang w:val="nl-NL"/>
        </w:rPr>
        <w:t xml:space="preserve">een aantal </w:t>
      </w:r>
      <w:r w:rsidRPr="00B85C10">
        <w:rPr>
          <w:rFonts w:eastAsia="Calibri"/>
          <w:szCs w:val="18"/>
          <w:lang w:val="nl-NL"/>
        </w:rPr>
        <w:t xml:space="preserve">geïnteresseerde bedrijven kan </w:t>
      </w:r>
      <w:r w:rsidR="001C7AAE">
        <w:rPr>
          <w:rFonts w:eastAsia="Calibri"/>
          <w:szCs w:val="18"/>
          <w:lang w:val="nl-NL"/>
        </w:rPr>
        <w:t xml:space="preserve">niettemin </w:t>
      </w:r>
      <w:r w:rsidRPr="00B85C10">
        <w:rPr>
          <w:rFonts w:eastAsia="Calibri"/>
          <w:szCs w:val="18"/>
          <w:lang w:val="nl-NL"/>
        </w:rPr>
        <w:t xml:space="preserve">een </w:t>
      </w:r>
      <w:r w:rsidR="001C7AAE">
        <w:rPr>
          <w:rFonts w:eastAsia="Calibri"/>
          <w:szCs w:val="18"/>
          <w:lang w:val="nl-NL"/>
        </w:rPr>
        <w:t>belangrijke</w:t>
      </w:r>
      <w:r w:rsidRPr="00B85C10" w:rsidR="001C7AAE">
        <w:rPr>
          <w:rFonts w:eastAsia="Calibri"/>
          <w:szCs w:val="18"/>
          <w:lang w:val="nl-NL"/>
        </w:rPr>
        <w:t xml:space="preserve"> </w:t>
      </w:r>
      <w:r w:rsidRPr="00B85C10">
        <w:rPr>
          <w:rFonts w:eastAsia="Calibri"/>
          <w:szCs w:val="18"/>
          <w:lang w:val="nl-NL"/>
        </w:rPr>
        <w:t xml:space="preserve">bijdrage geleverd worden aan ontwikkeling. </w:t>
      </w:r>
      <w:r>
        <w:rPr>
          <w:rFonts w:eastAsia="Calibri"/>
          <w:szCs w:val="18"/>
          <w:lang w:val="nl-NL"/>
        </w:rPr>
        <w:t>Zo zijn economische missies naar Burundi, Rwanda</w:t>
      </w:r>
      <w:r w:rsidR="00D56623">
        <w:rPr>
          <w:rFonts w:eastAsia="Calibri"/>
          <w:szCs w:val="18"/>
          <w:lang w:val="nl-NL"/>
        </w:rPr>
        <w:t>,</w:t>
      </w:r>
      <w:r>
        <w:rPr>
          <w:rFonts w:eastAsia="Calibri"/>
          <w:szCs w:val="18"/>
          <w:lang w:val="nl-NL"/>
        </w:rPr>
        <w:t xml:space="preserve"> en de Palestijnse Gebieden georganiseerd, landen waarmee Nederland een hulprelatie heeft.</w:t>
      </w:r>
      <w:r w:rsidRPr="00325A6B">
        <w:rPr>
          <w:rStyle w:val="FootnoteReference"/>
          <w:rFonts w:eastAsia="Calibri"/>
          <w:szCs w:val="18"/>
          <w:lang w:val="nl-NL"/>
        </w:rPr>
        <w:footnoteReference w:id="4"/>
      </w:r>
      <w:r>
        <w:rPr>
          <w:rFonts w:eastAsia="Calibri"/>
          <w:szCs w:val="18"/>
          <w:lang w:val="nl-NL"/>
        </w:rPr>
        <w:t xml:space="preserve"> Een ander voorbeeld is de </w:t>
      </w:r>
      <w:r w:rsidRPr="00B85C10">
        <w:rPr>
          <w:rFonts w:eastAsia="Calibri"/>
          <w:szCs w:val="18"/>
          <w:lang w:val="nl-NL"/>
        </w:rPr>
        <w:t xml:space="preserve">economische missie naar Sierra Leone, </w:t>
      </w:r>
      <w:r w:rsidRPr="00F01E84">
        <w:rPr>
          <w:rFonts w:eastAsia="Calibri"/>
          <w:szCs w:val="18"/>
          <w:lang w:val="nl-NL"/>
        </w:rPr>
        <w:t>Liberia en Guinee</w:t>
      </w:r>
      <w:r>
        <w:rPr>
          <w:rFonts w:eastAsia="Calibri"/>
          <w:szCs w:val="18"/>
          <w:lang w:val="nl-NL"/>
        </w:rPr>
        <w:t xml:space="preserve"> die k</w:t>
      </w:r>
      <w:r w:rsidRPr="00B85C10">
        <w:rPr>
          <w:rFonts w:eastAsia="Calibri"/>
          <w:szCs w:val="18"/>
          <w:lang w:val="nl-NL"/>
        </w:rPr>
        <w:t xml:space="preserve">ort na de Ebola-crisis </w:t>
      </w:r>
      <w:r>
        <w:rPr>
          <w:rFonts w:eastAsia="Calibri"/>
          <w:szCs w:val="18"/>
          <w:lang w:val="nl-NL"/>
        </w:rPr>
        <w:t xml:space="preserve">is georganiseerd </w:t>
      </w:r>
      <w:r w:rsidRPr="00F01E84">
        <w:rPr>
          <w:rFonts w:eastAsia="Calibri"/>
          <w:szCs w:val="18"/>
          <w:lang w:val="nl-NL"/>
        </w:rPr>
        <w:t>om bij te dragen aan het economisch herstel in deze landen.</w:t>
      </w:r>
      <w:r>
        <w:rPr>
          <w:rFonts w:eastAsia="Calibri"/>
          <w:szCs w:val="18"/>
          <w:lang w:val="nl-NL"/>
        </w:rPr>
        <w:t xml:space="preserve"> Landen</w:t>
      </w:r>
      <w:r w:rsidRPr="00F01E84">
        <w:rPr>
          <w:rFonts w:eastAsia="Calibri"/>
          <w:szCs w:val="18"/>
          <w:lang w:val="nl-NL"/>
        </w:rPr>
        <w:t xml:space="preserve"> waar</w:t>
      </w:r>
      <w:r>
        <w:rPr>
          <w:rFonts w:eastAsia="Calibri"/>
          <w:szCs w:val="18"/>
          <w:lang w:val="nl-NL"/>
        </w:rPr>
        <w:t>mee</w:t>
      </w:r>
      <w:r w:rsidRPr="00F01E84">
        <w:rPr>
          <w:rFonts w:eastAsia="Calibri"/>
          <w:szCs w:val="18"/>
          <w:lang w:val="nl-NL"/>
        </w:rPr>
        <w:t xml:space="preserve"> </w:t>
      </w:r>
      <w:r>
        <w:rPr>
          <w:rFonts w:eastAsia="Calibri"/>
          <w:szCs w:val="18"/>
          <w:lang w:val="nl-NL"/>
        </w:rPr>
        <w:t>we een</w:t>
      </w:r>
      <w:r w:rsidRPr="00F01E84">
        <w:rPr>
          <w:rFonts w:eastAsia="Calibri"/>
          <w:szCs w:val="18"/>
          <w:lang w:val="nl-NL"/>
        </w:rPr>
        <w:t xml:space="preserve"> zogenoemde overgangsrelatie</w:t>
      </w:r>
      <w:r>
        <w:rPr>
          <w:rFonts w:eastAsia="Calibri"/>
          <w:szCs w:val="18"/>
          <w:lang w:val="nl-NL"/>
        </w:rPr>
        <w:t xml:space="preserve"> hebben krijgen</w:t>
      </w:r>
      <w:r w:rsidRPr="00F01E84">
        <w:rPr>
          <w:rFonts w:eastAsia="Calibri"/>
          <w:szCs w:val="18"/>
          <w:lang w:val="nl-NL"/>
        </w:rPr>
        <w:t xml:space="preserve"> speciale aandacht</w:t>
      </w:r>
      <w:r>
        <w:rPr>
          <w:rFonts w:eastAsia="Calibri"/>
          <w:szCs w:val="18"/>
          <w:lang w:val="nl-NL"/>
        </w:rPr>
        <w:t xml:space="preserve"> in de bilaterale handels- en investeringsbevordering.</w:t>
      </w:r>
      <w:r w:rsidRPr="00325A6B">
        <w:rPr>
          <w:rStyle w:val="FootnoteReference"/>
          <w:rFonts w:eastAsia="Calibri"/>
          <w:lang w:val="nl-NL"/>
        </w:rPr>
        <w:footnoteReference w:id="5"/>
      </w:r>
      <w:r>
        <w:rPr>
          <w:rFonts w:eastAsia="Calibri"/>
          <w:szCs w:val="18"/>
          <w:lang w:val="nl-NL"/>
        </w:rPr>
        <w:t xml:space="preserve"> Hier is optimaal synergie gecreëerd tussen de instrumenten voor private sectorontwikkeling en de instrumenten voor handels- en investeringsbevordering. </w:t>
      </w:r>
    </w:p>
    <w:p w:rsidRPr="00380821" w:rsidR="001E56AA" w:rsidP="006D54B0" w:rsidRDefault="001E56AA">
      <w:pPr>
        <w:spacing w:after="0" w:line="276" w:lineRule="auto"/>
        <w:rPr>
          <w:rFonts w:eastAsia="Calibri"/>
          <w:szCs w:val="18"/>
          <w:lang w:val="nl-NL"/>
        </w:rPr>
      </w:pPr>
    </w:p>
    <w:p w:rsidR="001E56AA" w:rsidP="006D54B0" w:rsidRDefault="001E56AA">
      <w:pPr>
        <w:spacing w:after="0" w:line="276" w:lineRule="auto"/>
        <w:rPr>
          <w:rFonts w:eastAsia="Calibri"/>
          <w:i/>
          <w:szCs w:val="18"/>
          <w:lang w:val="nl-NL"/>
        </w:rPr>
      </w:pPr>
      <w:r>
        <w:rPr>
          <w:rFonts w:eastAsia="Calibri"/>
          <w:i/>
          <w:szCs w:val="18"/>
          <w:lang w:val="nl-NL"/>
        </w:rPr>
        <w:t>I</w:t>
      </w:r>
      <w:r w:rsidRPr="006542ED">
        <w:rPr>
          <w:rFonts w:eastAsia="Calibri"/>
          <w:i/>
          <w:szCs w:val="18"/>
          <w:lang w:val="nl-NL"/>
        </w:rPr>
        <w:t xml:space="preserve">nternationaal maatschappelijk verantwoord ondernemen </w:t>
      </w:r>
      <w:r>
        <w:rPr>
          <w:rFonts w:eastAsia="Calibri"/>
          <w:i/>
          <w:szCs w:val="18"/>
          <w:lang w:val="nl-NL"/>
        </w:rPr>
        <w:t xml:space="preserve">(IMVO) en mensenrechten </w:t>
      </w:r>
    </w:p>
    <w:p w:rsidR="001E56AA" w:rsidP="006D54B0" w:rsidRDefault="001E56AA">
      <w:pPr>
        <w:spacing w:after="0" w:line="276" w:lineRule="auto"/>
        <w:rPr>
          <w:rFonts w:eastAsia="Calibri"/>
          <w:szCs w:val="18"/>
          <w:lang w:val="nl-NL"/>
        </w:rPr>
      </w:pPr>
      <w:r>
        <w:rPr>
          <w:rFonts w:eastAsia="Calibri"/>
          <w:szCs w:val="18"/>
          <w:lang w:val="nl-NL"/>
        </w:rPr>
        <w:t>Maatschappelijk verantwoord ondernemen en respect voor mensenrechten zijn, ongeacht of buitenlandse contacten nu politiek of economisch van aard zijn</w:t>
      </w:r>
      <w:r w:rsidR="00407B05">
        <w:rPr>
          <w:rFonts w:eastAsia="Calibri"/>
          <w:szCs w:val="18"/>
          <w:lang w:val="nl-NL"/>
        </w:rPr>
        <w:t>,</w:t>
      </w:r>
      <w:r>
        <w:rPr>
          <w:rFonts w:eastAsia="Calibri"/>
          <w:szCs w:val="18"/>
          <w:lang w:val="nl-NL"/>
        </w:rPr>
        <w:t xml:space="preserve"> een vast onderdeel van de economische diplomatie. Een handelsrelatie biedt vaak juist</w:t>
      </w:r>
      <w:r w:rsidRPr="00162A21">
        <w:rPr>
          <w:rFonts w:eastAsia="Calibri"/>
          <w:szCs w:val="18"/>
          <w:lang w:val="nl-NL"/>
        </w:rPr>
        <w:t xml:space="preserve"> </w:t>
      </w:r>
      <w:r>
        <w:rPr>
          <w:rFonts w:eastAsia="Calibri"/>
          <w:szCs w:val="18"/>
          <w:lang w:val="nl-NL"/>
        </w:rPr>
        <w:t>ruimte om politiek gevoelige zaken zoals mensenrechten aan te kaarten en het belang van IMVO wereldwijd uit te dragen.</w:t>
      </w:r>
    </w:p>
    <w:p w:rsidR="001E56AA" w:rsidP="006D54B0" w:rsidRDefault="001E56AA">
      <w:pPr>
        <w:spacing w:after="0" w:line="276" w:lineRule="auto"/>
        <w:rPr>
          <w:rFonts w:eastAsia="Calibri"/>
          <w:szCs w:val="18"/>
          <w:lang w:val="nl-NL"/>
        </w:rPr>
      </w:pPr>
    </w:p>
    <w:p w:rsidR="001E56AA" w:rsidP="006D54B0" w:rsidRDefault="001E56AA">
      <w:pPr>
        <w:spacing w:after="0" w:line="276" w:lineRule="auto"/>
        <w:rPr>
          <w:rFonts w:eastAsia="Calibri"/>
          <w:szCs w:val="18"/>
          <w:lang w:val="nl-NL"/>
        </w:rPr>
      </w:pPr>
      <w:r>
        <w:rPr>
          <w:rFonts w:eastAsia="Calibri"/>
          <w:szCs w:val="18"/>
          <w:lang w:val="nl-NL"/>
        </w:rPr>
        <w:t>B</w:t>
      </w:r>
      <w:r w:rsidRPr="002910C1">
        <w:rPr>
          <w:rFonts w:eastAsia="Calibri"/>
          <w:szCs w:val="18"/>
          <w:lang w:val="nl-NL"/>
        </w:rPr>
        <w:t xml:space="preserve">edrijven </w:t>
      </w:r>
      <w:r>
        <w:rPr>
          <w:rFonts w:eastAsia="Calibri"/>
          <w:szCs w:val="18"/>
          <w:lang w:val="nl-NL"/>
        </w:rPr>
        <w:t xml:space="preserve">die een beroep doen op de Nederlandse overheid worden geacht </w:t>
      </w:r>
      <w:r w:rsidRPr="007957B9">
        <w:rPr>
          <w:rFonts w:eastAsia="Calibri"/>
          <w:szCs w:val="18"/>
          <w:lang w:val="nl-NL"/>
        </w:rPr>
        <w:t xml:space="preserve">goede ambassadeurs </w:t>
      </w:r>
      <w:r>
        <w:rPr>
          <w:rFonts w:eastAsia="Calibri"/>
          <w:szCs w:val="18"/>
          <w:lang w:val="nl-NL"/>
        </w:rPr>
        <w:t xml:space="preserve">van IMVO in het buitenland te </w:t>
      </w:r>
      <w:r w:rsidRPr="007957B9">
        <w:rPr>
          <w:rFonts w:eastAsia="Calibri"/>
          <w:szCs w:val="18"/>
          <w:lang w:val="nl-NL"/>
        </w:rPr>
        <w:t xml:space="preserve">zijn </w:t>
      </w:r>
      <w:r>
        <w:rPr>
          <w:rFonts w:eastAsia="Calibri"/>
          <w:szCs w:val="18"/>
          <w:lang w:val="nl-NL"/>
        </w:rPr>
        <w:t>en</w:t>
      </w:r>
      <w:r w:rsidRPr="002910C1">
        <w:rPr>
          <w:rFonts w:eastAsia="Calibri"/>
          <w:szCs w:val="18"/>
          <w:lang w:val="nl-NL"/>
        </w:rPr>
        <w:t xml:space="preserve"> de OESO-richtlijnen</w:t>
      </w:r>
      <w:r>
        <w:rPr>
          <w:rFonts w:eastAsia="Calibri"/>
          <w:szCs w:val="18"/>
          <w:lang w:val="nl-NL"/>
        </w:rPr>
        <w:t xml:space="preserve"> voor multinationale ondernemingen</w:t>
      </w:r>
      <w:r w:rsidRPr="002910C1">
        <w:rPr>
          <w:rFonts w:eastAsia="Calibri"/>
          <w:szCs w:val="18"/>
          <w:lang w:val="nl-NL"/>
        </w:rPr>
        <w:t xml:space="preserve"> </w:t>
      </w:r>
      <w:r>
        <w:rPr>
          <w:rFonts w:eastAsia="Calibri"/>
          <w:szCs w:val="18"/>
          <w:lang w:val="nl-NL"/>
        </w:rPr>
        <w:t xml:space="preserve">na te leven, waarin de </w:t>
      </w:r>
      <w:r w:rsidRPr="006542ED">
        <w:rPr>
          <w:rFonts w:eastAsia="Calibri"/>
          <w:i/>
          <w:szCs w:val="18"/>
          <w:lang w:val="nl-NL"/>
        </w:rPr>
        <w:t>UN Guiding Principles on Business and Human Rights</w:t>
      </w:r>
      <w:r>
        <w:rPr>
          <w:rFonts w:eastAsia="Calibri"/>
          <w:szCs w:val="18"/>
          <w:lang w:val="nl-NL"/>
        </w:rPr>
        <w:t xml:space="preserve"> zijn opgenomen.</w:t>
      </w:r>
      <w:r w:rsidRPr="007957B9">
        <w:rPr>
          <w:rFonts w:eastAsia="Calibri"/>
          <w:szCs w:val="18"/>
          <w:lang w:val="nl-NL"/>
        </w:rPr>
        <w:t xml:space="preserve"> </w:t>
      </w:r>
      <w:r w:rsidRPr="009209BD">
        <w:rPr>
          <w:rFonts w:eastAsia="Calibri"/>
          <w:szCs w:val="18"/>
          <w:lang w:val="nl-NL"/>
        </w:rPr>
        <w:t xml:space="preserve">IMVO is de weg om risico’s in </w:t>
      </w:r>
      <w:r>
        <w:rPr>
          <w:rFonts w:eastAsia="Calibri"/>
          <w:szCs w:val="18"/>
          <w:lang w:val="nl-NL"/>
        </w:rPr>
        <w:t>mondiale</w:t>
      </w:r>
      <w:r w:rsidRPr="009209BD">
        <w:rPr>
          <w:rFonts w:eastAsia="Calibri"/>
          <w:szCs w:val="18"/>
          <w:lang w:val="nl-NL"/>
        </w:rPr>
        <w:t xml:space="preserve"> waardeketen</w:t>
      </w:r>
      <w:r>
        <w:rPr>
          <w:rFonts w:eastAsia="Calibri"/>
          <w:szCs w:val="18"/>
          <w:lang w:val="nl-NL"/>
        </w:rPr>
        <w:t>s</w:t>
      </w:r>
      <w:r w:rsidRPr="009209BD">
        <w:rPr>
          <w:rFonts w:eastAsia="Calibri"/>
          <w:szCs w:val="18"/>
          <w:lang w:val="nl-NL"/>
        </w:rPr>
        <w:t xml:space="preserve"> </w:t>
      </w:r>
      <w:r w:rsidR="009968BC">
        <w:rPr>
          <w:rFonts w:eastAsia="Calibri"/>
          <w:szCs w:val="18"/>
          <w:lang w:val="nl-NL"/>
        </w:rPr>
        <w:t xml:space="preserve">te verminderen </w:t>
      </w:r>
      <w:r>
        <w:rPr>
          <w:rFonts w:eastAsia="Calibri"/>
          <w:szCs w:val="18"/>
          <w:lang w:val="nl-NL"/>
        </w:rPr>
        <w:t xml:space="preserve">en </w:t>
      </w:r>
      <w:r w:rsidRPr="009209BD">
        <w:rPr>
          <w:rFonts w:eastAsia="Calibri"/>
          <w:szCs w:val="18"/>
          <w:lang w:val="nl-NL"/>
        </w:rPr>
        <w:t xml:space="preserve">deuren </w:t>
      </w:r>
      <w:r>
        <w:rPr>
          <w:rFonts w:eastAsia="Calibri"/>
          <w:szCs w:val="18"/>
          <w:lang w:val="nl-NL"/>
        </w:rPr>
        <w:t xml:space="preserve">te openen naar </w:t>
      </w:r>
      <w:r w:rsidRPr="009209BD">
        <w:rPr>
          <w:rFonts w:eastAsia="Calibri"/>
          <w:szCs w:val="18"/>
          <w:lang w:val="nl-NL"/>
        </w:rPr>
        <w:t xml:space="preserve">moeilijke markten waar opdrachtgevers </w:t>
      </w:r>
      <w:r w:rsidR="005F1711">
        <w:rPr>
          <w:rFonts w:eastAsia="Calibri"/>
          <w:szCs w:val="18"/>
          <w:lang w:val="nl-NL"/>
        </w:rPr>
        <w:t>kiezen</w:t>
      </w:r>
      <w:r w:rsidRPr="009209BD" w:rsidR="005F1711">
        <w:rPr>
          <w:rFonts w:eastAsia="Calibri"/>
          <w:szCs w:val="18"/>
          <w:lang w:val="nl-NL"/>
        </w:rPr>
        <w:t xml:space="preserve"> </w:t>
      </w:r>
      <w:r w:rsidRPr="009209BD">
        <w:rPr>
          <w:rFonts w:eastAsia="Calibri"/>
          <w:szCs w:val="18"/>
          <w:lang w:val="nl-NL"/>
        </w:rPr>
        <w:t xml:space="preserve">voor een betrouwbare partij. </w:t>
      </w:r>
      <w:r>
        <w:rPr>
          <w:rFonts w:eastAsia="Calibri"/>
          <w:szCs w:val="18"/>
          <w:lang w:val="nl-NL"/>
        </w:rPr>
        <w:t xml:space="preserve">De Nederlandse overheid ondersteunt bedrijven hierin, onder andere met een convenantenaanpak die uniek is in de wereld. </w:t>
      </w:r>
      <w:r w:rsidR="0014080F">
        <w:rPr>
          <w:rFonts w:eastAsia="Calibri"/>
          <w:szCs w:val="18"/>
          <w:lang w:val="nl-NL"/>
        </w:rPr>
        <w:t>We s</w:t>
      </w:r>
      <w:r w:rsidR="004C46E7">
        <w:rPr>
          <w:rFonts w:eastAsia="Calibri"/>
          <w:szCs w:val="18"/>
          <w:lang w:val="nl-NL"/>
        </w:rPr>
        <w:t>luiten IMVO-</w:t>
      </w:r>
      <w:r w:rsidR="004C46E7">
        <w:rPr>
          <w:rFonts w:eastAsia="Calibri"/>
          <w:szCs w:val="18"/>
          <w:lang w:val="nl-NL"/>
        </w:rPr>
        <w:lastRenderedPageBreak/>
        <w:t>convenanten met</w:t>
      </w:r>
      <w:r>
        <w:rPr>
          <w:rFonts w:eastAsia="Calibri"/>
          <w:szCs w:val="18"/>
          <w:lang w:val="nl-NL"/>
        </w:rPr>
        <w:t xml:space="preserve"> </w:t>
      </w:r>
      <w:r w:rsidRPr="00EB4130">
        <w:rPr>
          <w:rFonts w:eastAsia="Calibri"/>
          <w:szCs w:val="18"/>
          <w:lang w:val="nl-NL"/>
        </w:rPr>
        <w:t xml:space="preserve">sectoren met een verhoogde </w:t>
      </w:r>
      <w:r w:rsidRPr="009968BC">
        <w:rPr>
          <w:rFonts w:eastAsia="Calibri"/>
          <w:szCs w:val="18"/>
          <w:lang w:val="nl-NL"/>
        </w:rPr>
        <w:t xml:space="preserve">kans </w:t>
      </w:r>
      <w:r w:rsidRPr="009968BC" w:rsidR="0014080F">
        <w:rPr>
          <w:rFonts w:eastAsia="Calibri"/>
          <w:szCs w:val="18"/>
          <w:lang w:val="nl-NL"/>
        </w:rPr>
        <w:t>op misstanden in</w:t>
      </w:r>
      <w:r w:rsidR="0014080F">
        <w:rPr>
          <w:rFonts w:eastAsia="Calibri"/>
          <w:szCs w:val="18"/>
          <w:lang w:val="nl-NL"/>
        </w:rPr>
        <w:t xml:space="preserve"> de keten</w:t>
      </w:r>
      <w:r w:rsidR="006D54B0">
        <w:rPr>
          <w:rFonts w:eastAsia="Calibri"/>
          <w:szCs w:val="18"/>
          <w:lang w:val="nl-NL"/>
        </w:rPr>
        <w:t>.</w:t>
      </w:r>
      <w:r w:rsidRPr="00325A6B" w:rsidR="006D54B0">
        <w:rPr>
          <w:rStyle w:val="FootnoteReference"/>
          <w:rFonts w:eastAsia="Calibri"/>
          <w:lang w:val="nl-NL"/>
        </w:rPr>
        <w:footnoteReference w:id="6"/>
      </w:r>
      <w:r>
        <w:rPr>
          <w:rFonts w:eastAsia="Calibri"/>
          <w:szCs w:val="18"/>
          <w:lang w:val="nl-NL"/>
        </w:rPr>
        <w:t xml:space="preserve"> Nederlandse b</w:t>
      </w:r>
      <w:r w:rsidRPr="00935CB7">
        <w:rPr>
          <w:rFonts w:eastAsia="Calibri"/>
          <w:szCs w:val="18"/>
          <w:lang w:val="nl-NL"/>
        </w:rPr>
        <w:t>edrijven</w:t>
      </w:r>
      <w:r>
        <w:rPr>
          <w:rFonts w:eastAsia="Calibri"/>
          <w:szCs w:val="18"/>
          <w:lang w:val="nl-NL"/>
        </w:rPr>
        <w:t xml:space="preserve"> hebben</w:t>
      </w:r>
      <w:r w:rsidRPr="00935CB7">
        <w:rPr>
          <w:rFonts w:eastAsia="Calibri"/>
          <w:szCs w:val="18"/>
          <w:lang w:val="nl-NL"/>
        </w:rPr>
        <w:t xml:space="preserve"> in samenwerking met maatschappelijke organisaties, vakbonden en overheden sociale- en milieurisico’s in mondiale waardeketens in kaart gebracht en </w:t>
      </w:r>
      <w:r>
        <w:rPr>
          <w:rFonts w:eastAsia="Calibri"/>
          <w:szCs w:val="18"/>
          <w:lang w:val="nl-NL"/>
        </w:rPr>
        <w:t>er</w:t>
      </w:r>
      <w:r w:rsidRPr="00935CB7">
        <w:rPr>
          <w:rFonts w:eastAsia="Calibri"/>
          <w:szCs w:val="18"/>
          <w:lang w:val="nl-NL"/>
        </w:rPr>
        <w:t xml:space="preserve"> worden vergaande afspraken per sector gemaakt om </w:t>
      </w:r>
      <w:r w:rsidR="007A4439">
        <w:rPr>
          <w:rFonts w:eastAsia="Calibri"/>
          <w:szCs w:val="18"/>
          <w:lang w:val="nl-NL"/>
        </w:rPr>
        <w:t>misstanden in de keten terug te dringen</w:t>
      </w:r>
      <w:r w:rsidRPr="00935CB7">
        <w:rPr>
          <w:rFonts w:eastAsia="Calibri"/>
          <w:szCs w:val="18"/>
          <w:lang w:val="nl-NL"/>
        </w:rPr>
        <w:t xml:space="preserve">. </w:t>
      </w:r>
      <w:r w:rsidR="004A7A29">
        <w:rPr>
          <w:rFonts w:eastAsia="Calibri"/>
          <w:szCs w:val="18"/>
          <w:lang w:val="nl-NL"/>
        </w:rPr>
        <w:t xml:space="preserve">Begin juli werd </w:t>
      </w:r>
      <w:r w:rsidRPr="004A7A29" w:rsidR="004A7A29">
        <w:rPr>
          <w:rFonts w:eastAsia="Calibri"/>
          <w:szCs w:val="18"/>
          <w:lang w:val="nl-NL"/>
        </w:rPr>
        <w:t xml:space="preserve">het </w:t>
      </w:r>
      <w:r w:rsidR="004E4F6D">
        <w:rPr>
          <w:rFonts w:eastAsia="Calibri"/>
          <w:szCs w:val="18"/>
          <w:lang w:val="nl-NL"/>
        </w:rPr>
        <w:t xml:space="preserve">eerste </w:t>
      </w:r>
      <w:r w:rsidRPr="004A7A29" w:rsidR="004A7A29">
        <w:rPr>
          <w:rFonts w:eastAsia="Calibri"/>
          <w:szCs w:val="18"/>
          <w:lang w:val="nl-NL"/>
        </w:rPr>
        <w:t>convenant Duurzame Kleding en Textiel</w:t>
      </w:r>
      <w:r w:rsidRPr="004C46E7" w:rsidR="004A7A29">
        <w:rPr>
          <w:rFonts w:eastAsia="Calibri"/>
          <w:szCs w:val="18"/>
          <w:lang w:val="nl-NL"/>
        </w:rPr>
        <w:t xml:space="preserve"> </w:t>
      </w:r>
      <w:r w:rsidR="004A7A29">
        <w:rPr>
          <w:rFonts w:eastAsia="Calibri"/>
          <w:szCs w:val="18"/>
          <w:lang w:val="nl-NL"/>
        </w:rPr>
        <w:t xml:space="preserve">getekend. </w:t>
      </w:r>
      <w:r w:rsidR="004E4F6D">
        <w:rPr>
          <w:rFonts w:eastAsia="Calibri"/>
          <w:szCs w:val="18"/>
          <w:lang w:val="nl-NL"/>
        </w:rPr>
        <w:t>Medio 2017 zullen er n</w:t>
      </w:r>
      <w:r w:rsidRPr="009968BC" w:rsidR="009968BC">
        <w:rPr>
          <w:rFonts w:eastAsia="Calibri"/>
          <w:szCs w:val="18"/>
          <w:lang w:val="nl-NL"/>
        </w:rPr>
        <w:t>aar verwachting tien I</w:t>
      </w:r>
      <w:r w:rsidR="004E4F6D">
        <w:rPr>
          <w:rFonts w:eastAsia="Calibri"/>
          <w:szCs w:val="18"/>
          <w:lang w:val="nl-NL"/>
        </w:rPr>
        <w:t>MVO-convenanten zijn afgesloten</w:t>
      </w:r>
      <w:r w:rsidR="00B70467">
        <w:rPr>
          <w:rFonts w:eastAsia="Calibri"/>
          <w:szCs w:val="18"/>
          <w:lang w:val="nl-NL"/>
        </w:rPr>
        <w:t>, de overige zullen</w:t>
      </w:r>
      <w:r w:rsidR="00912935">
        <w:rPr>
          <w:rFonts w:eastAsia="Calibri"/>
          <w:szCs w:val="18"/>
          <w:lang w:val="nl-NL"/>
        </w:rPr>
        <w:t xml:space="preserve"> zich</w:t>
      </w:r>
      <w:r w:rsidR="004E4F6D">
        <w:rPr>
          <w:rFonts w:eastAsia="Calibri"/>
          <w:szCs w:val="18"/>
          <w:lang w:val="nl-NL"/>
        </w:rPr>
        <w:t xml:space="preserve"> in het eindstadium van de onderhandelingen bevinden.</w:t>
      </w:r>
      <w:r w:rsidRPr="004C46E7" w:rsidDel="009968BC" w:rsidR="004E4F6D">
        <w:rPr>
          <w:rFonts w:eastAsia="Calibri"/>
          <w:szCs w:val="18"/>
          <w:lang w:val="nl-NL"/>
        </w:rPr>
        <w:t xml:space="preserve"> </w:t>
      </w:r>
    </w:p>
    <w:p w:rsidR="001E56AA" w:rsidP="006D54B0" w:rsidRDefault="001E56AA">
      <w:pPr>
        <w:spacing w:after="0" w:line="276" w:lineRule="auto"/>
        <w:rPr>
          <w:rFonts w:eastAsia="Calibri"/>
          <w:i/>
          <w:lang w:val="nl-NL"/>
        </w:rPr>
      </w:pPr>
    </w:p>
    <w:tbl>
      <w:tblPr>
        <w:tblStyle w:val="TableGrid1"/>
        <w:tblpPr w:leftFromText="141" w:rightFromText="141" w:vertAnchor="page" w:horzAnchor="margin" w:tblpY="1039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D9D9D9" w:themeFill="background1" w:themeFillShade="D9"/>
        <w:tblCellMar>
          <w:left w:w="70" w:type="dxa"/>
          <w:right w:w="70" w:type="dxa"/>
        </w:tblCellMar>
        <w:tblLook w:val="04A0" w:firstRow="1" w:lastRow="0" w:firstColumn="1" w:lastColumn="0" w:noHBand="0" w:noVBand="1"/>
      </w:tblPr>
      <w:tblGrid>
        <w:gridCol w:w="9445"/>
      </w:tblGrid>
      <w:tr w:rsidRPr="00A57B90" w:rsidR="001E56AA" w:rsidTr="00DF12EC">
        <w:trPr>
          <w:trHeight w:val="3261"/>
        </w:trPr>
        <w:tc>
          <w:tcPr>
            <w:tcW w:w="9445" w:type="dxa"/>
            <w:shd w:val="clear" w:color="auto" w:fill="D9D9D9" w:themeFill="background1" w:themeFillShade="D9"/>
          </w:tcPr>
          <w:p w:rsidRPr="00B85C10" w:rsidR="001E56AA" w:rsidP="006D54B0" w:rsidRDefault="001E56AA">
            <w:pPr>
              <w:shd w:val="clear" w:color="auto" w:fill="D9D9D9" w:themeFill="background1" w:themeFillShade="D9"/>
              <w:spacing w:line="276" w:lineRule="auto"/>
              <w:rPr>
                <w:rFonts w:eastAsia="Calibri"/>
                <w:b/>
                <w:sz w:val="16"/>
                <w:szCs w:val="18"/>
                <w:lang w:val="nl-NL" w:eastAsia="en-US"/>
              </w:rPr>
            </w:pPr>
            <w:r w:rsidRPr="00B85C10">
              <w:rPr>
                <w:rFonts w:eastAsia="Calibri"/>
                <w:b/>
                <w:sz w:val="16"/>
                <w:szCs w:val="18"/>
                <w:lang w:val="nl-NL" w:eastAsia="en-US"/>
              </w:rPr>
              <w:t xml:space="preserve">Aantal </w:t>
            </w:r>
            <w:r>
              <w:rPr>
                <w:rFonts w:eastAsia="Calibri"/>
                <w:b/>
                <w:sz w:val="16"/>
                <w:szCs w:val="18"/>
                <w:lang w:val="nl-NL" w:eastAsia="en-US"/>
              </w:rPr>
              <w:t xml:space="preserve">economische </w:t>
            </w:r>
            <w:r w:rsidRPr="00B85C10">
              <w:rPr>
                <w:rFonts w:eastAsia="Calibri"/>
                <w:b/>
                <w:sz w:val="16"/>
                <w:szCs w:val="18"/>
                <w:lang w:val="nl-NL" w:eastAsia="en-US"/>
              </w:rPr>
              <w:t xml:space="preserve">missies van het </w:t>
            </w:r>
            <w:r w:rsidRPr="00B85C10">
              <w:rPr>
                <w:rFonts w:eastAsia="Calibri"/>
                <w:b/>
                <w:sz w:val="16"/>
                <w:lang w:val="nl-NL" w:eastAsia="en-US"/>
              </w:rPr>
              <w:t>kabinet</w:t>
            </w:r>
          </w:p>
          <w:p w:rsidRPr="00B85C10" w:rsidR="001E56AA" w:rsidP="006D54B0" w:rsidRDefault="001E56AA">
            <w:pPr>
              <w:shd w:val="clear" w:color="auto" w:fill="D9D9D9" w:themeFill="background1" w:themeFillShade="D9"/>
              <w:spacing w:after="200" w:line="276" w:lineRule="auto"/>
              <w:rPr>
                <w:rFonts w:eastAsia="Calibri"/>
                <w:i/>
                <w:sz w:val="16"/>
                <w:szCs w:val="18"/>
                <w:lang w:val="nl-NL" w:eastAsia="en-US"/>
              </w:rPr>
            </w:pPr>
            <w:r w:rsidRPr="00B85C10">
              <w:rPr>
                <w:rFonts w:eastAsia="Calibri"/>
                <w:i/>
                <w:sz w:val="16"/>
                <w:szCs w:val="18"/>
                <w:lang w:val="nl-NL" w:eastAsia="en-US"/>
              </w:rPr>
              <w:t>naar regio en naar type markt (november 2012</w:t>
            </w:r>
            <w:r>
              <w:rPr>
                <w:rFonts w:eastAsia="Calibri"/>
                <w:i/>
                <w:sz w:val="16"/>
                <w:szCs w:val="18"/>
                <w:lang w:val="nl-NL" w:eastAsia="en-US"/>
              </w:rPr>
              <w:t xml:space="preserve"> t/m juni 2016</w:t>
            </w:r>
            <w:r w:rsidRPr="00B85C10">
              <w:rPr>
                <w:rFonts w:eastAsia="Calibri"/>
                <w:i/>
                <w:sz w:val="16"/>
                <w:szCs w:val="18"/>
                <w:lang w:val="nl-NL" w:eastAsia="en-US"/>
              </w:rPr>
              <w:t>)</w:t>
            </w:r>
          </w:p>
          <w:p w:rsidRPr="00B85C10" w:rsidR="001E56AA" w:rsidP="006D54B0" w:rsidRDefault="001E56AA">
            <w:pPr>
              <w:shd w:val="clear" w:color="auto" w:fill="D9D9D9" w:themeFill="background1" w:themeFillShade="D9"/>
              <w:spacing w:after="200" w:line="276" w:lineRule="auto"/>
              <w:rPr>
                <w:rFonts w:eastAsia="Calibri"/>
                <w:sz w:val="16"/>
                <w:szCs w:val="18"/>
                <w:lang w:val="nl-NL" w:eastAsia="en-US"/>
              </w:rPr>
            </w:pPr>
            <w:r w:rsidRPr="00E86357">
              <w:rPr>
                <w:noProof/>
                <w:sz w:val="16"/>
                <w:lang w:val="nl-NL"/>
              </w:rPr>
              <w:drawing>
                <wp:inline distT="0" distB="0" distL="0" distR="0" wp14:anchorId="6CE79726" wp14:editId="0B9E77A8">
                  <wp:extent cx="2686050" cy="160655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Pr>
                <w:noProof/>
                <w:lang w:val="nl-NL"/>
              </w:rPr>
              <w:drawing>
                <wp:inline distT="0" distB="0" distL="0" distR="0" wp14:anchorId="59611C41" wp14:editId="7D85DA9A">
                  <wp:extent cx="2635250" cy="1536700"/>
                  <wp:effectExtent l="0" t="0" r="0" b="63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bl>
    <w:p w:rsidR="001E56AA" w:rsidP="006D54B0" w:rsidRDefault="001E56AA">
      <w:pPr>
        <w:spacing w:after="0" w:line="276" w:lineRule="auto"/>
        <w:rPr>
          <w:rFonts w:eastAsia="Calibri"/>
          <w:szCs w:val="18"/>
          <w:lang w:val="nl-NL"/>
        </w:rPr>
      </w:pPr>
      <w:r>
        <w:rPr>
          <w:rFonts w:eastAsia="Calibri"/>
          <w:szCs w:val="18"/>
          <w:lang w:val="nl-NL"/>
        </w:rPr>
        <w:t>De bevordering van mensenrechten is onderdeel van IMVO en één van de pijlers van het Nederlands buitenlandbeleid</w:t>
      </w:r>
      <w:r w:rsidRPr="002A6637">
        <w:rPr>
          <w:rFonts w:eastAsia="Calibri"/>
          <w:szCs w:val="18"/>
          <w:lang w:val="nl-NL"/>
        </w:rPr>
        <w:t xml:space="preserve">. </w:t>
      </w:r>
      <w:r>
        <w:rPr>
          <w:rFonts w:eastAsia="Calibri"/>
          <w:szCs w:val="18"/>
          <w:lang w:val="nl-NL"/>
        </w:rPr>
        <w:t>Het kabinet is daarbij van mening dat ook het ondernemingsklimaat van een land gebaat is bij een goed functionerende en pluralistische rechtsstaat waarin fundamentele vrijheden gewaarborgd zijn. Om</w:t>
      </w:r>
      <w:r w:rsidRPr="00950FFD">
        <w:rPr>
          <w:rFonts w:eastAsia="Calibri"/>
          <w:szCs w:val="18"/>
          <w:lang w:val="nl-NL"/>
        </w:rPr>
        <w:t xml:space="preserve"> mensenrechtenschendingen door bedrijven, rechtstreeks of in productieketens te voorkomen</w:t>
      </w:r>
      <w:r w:rsidR="00FC246C">
        <w:rPr>
          <w:rFonts w:eastAsia="Calibri"/>
          <w:szCs w:val="18"/>
          <w:lang w:val="nl-NL"/>
        </w:rPr>
        <w:t>,</w:t>
      </w:r>
      <w:r w:rsidRPr="00950FFD">
        <w:rPr>
          <w:rFonts w:eastAsia="Calibri"/>
          <w:szCs w:val="18"/>
          <w:lang w:val="nl-NL"/>
        </w:rPr>
        <w:t xml:space="preserve"> </w:t>
      </w:r>
      <w:r>
        <w:rPr>
          <w:rFonts w:eastAsia="Calibri"/>
          <w:szCs w:val="18"/>
          <w:lang w:val="nl-NL"/>
        </w:rPr>
        <w:t xml:space="preserve">is in 2013 het </w:t>
      </w:r>
      <w:r w:rsidRPr="002A6637">
        <w:rPr>
          <w:rFonts w:eastAsia="Calibri"/>
          <w:szCs w:val="18"/>
          <w:lang w:val="nl-NL"/>
        </w:rPr>
        <w:t>Nationaal Actieplan Bedrijfsleven en Mensenrechten</w:t>
      </w:r>
      <w:r>
        <w:rPr>
          <w:rFonts w:eastAsia="Calibri"/>
          <w:szCs w:val="18"/>
          <w:lang w:val="nl-NL"/>
        </w:rPr>
        <w:t xml:space="preserve"> opgesteld, waarin de </w:t>
      </w:r>
      <w:r w:rsidRPr="00950FFD">
        <w:rPr>
          <w:rFonts w:eastAsia="Calibri"/>
          <w:i/>
          <w:szCs w:val="18"/>
          <w:lang w:val="nl-NL"/>
        </w:rPr>
        <w:t>UN Guiding Principles on Business and Human Rights</w:t>
      </w:r>
      <w:r>
        <w:rPr>
          <w:rFonts w:eastAsia="Calibri"/>
          <w:i/>
          <w:szCs w:val="18"/>
          <w:lang w:val="nl-NL"/>
        </w:rPr>
        <w:t xml:space="preserve"> </w:t>
      </w:r>
      <w:r>
        <w:rPr>
          <w:rFonts w:eastAsia="Calibri"/>
          <w:szCs w:val="18"/>
          <w:lang w:val="nl-NL"/>
        </w:rPr>
        <w:t>geoperationaliseerd zijn</w:t>
      </w:r>
      <w:r w:rsidRPr="00950FFD">
        <w:rPr>
          <w:rFonts w:eastAsia="Calibri"/>
          <w:szCs w:val="18"/>
          <w:lang w:val="nl-NL"/>
        </w:rPr>
        <w:t xml:space="preserve">. </w:t>
      </w:r>
      <w:r w:rsidRPr="002A6637">
        <w:rPr>
          <w:rFonts w:eastAsia="Calibri"/>
          <w:szCs w:val="18"/>
          <w:lang w:val="nl-NL"/>
        </w:rPr>
        <w:t xml:space="preserve">Per land en per situatie wordt </w:t>
      </w:r>
      <w:r w:rsidR="008419B0">
        <w:rPr>
          <w:rFonts w:eastAsia="Calibri"/>
          <w:szCs w:val="18"/>
          <w:lang w:val="nl-NL"/>
        </w:rPr>
        <w:t>bezien</w:t>
      </w:r>
      <w:r w:rsidRPr="002A6637">
        <w:rPr>
          <w:rFonts w:eastAsia="Calibri"/>
          <w:szCs w:val="18"/>
          <w:lang w:val="nl-NL"/>
        </w:rPr>
        <w:t xml:space="preserve"> hoe misstanden op het gebied van mensenrechten het beste onder de aandacht </w:t>
      </w:r>
      <w:r w:rsidR="008419B0">
        <w:rPr>
          <w:rFonts w:eastAsia="Calibri"/>
          <w:szCs w:val="18"/>
          <w:lang w:val="nl-NL"/>
        </w:rPr>
        <w:t>kunnen worden gebrach</w:t>
      </w:r>
      <w:r w:rsidRPr="002A6637">
        <w:rPr>
          <w:rFonts w:eastAsia="Calibri"/>
          <w:szCs w:val="18"/>
          <w:lang w:val="nl-NL"/>
        </w:rPr>
        <w:t>t. Economische missies bieden een platform en creëren momentum om mensenrechten op het hoogste niveau te bespreken</w:t>
      </w:r>
      <w:r>
        <w:rPr>
          <w:rFonts w:eastAsia="Calibri"/>
          <w:szCs w:val="18"/>
          <w:lang w:val="nl-NL"/>
        </w:rPr>
        <w:t>, vooral voor mensenrechtenkwesties die voor het bedrijfsleven relevant zijn, zoals arbeidsomstandigheden en vakbondsvrijheid. Maar ook bredere mensenrechtenkwesties worden</w:t>
      </w:r>
      <w:r w:rsidR="0082509C">
        <w:rPr>
          <w:rFonts w:eastAsia="Calibri"/>
          <w:szCs w:val="18"/>
          <w:lang w:val="nl-NL"/>
        </w:rPr>
        <w:t xml:space="preserve"> tijdens economische missies</w:t>
      </w:r>
      <w:r>
        <w:rPr>
          <w:rFonts w:eastAsia="Calibri"/>
          <w:szCs w:val="18"/>
          <w:lang w:val="nl-NL"/>
        </w:rPr>
        <w:t xml:space="preserve"> aangekaart zoals vrijheid van meningsuiting of gelijke rechten voor </w:t>
      </w:r>
      <w:r w:rsidR="000267D7">
        <w:rPr>
          <w:rFonts w:eastAsia="Calibri"/>
          <w:szCs w:val="18"/>
          <w:lang w:val="nl-NL"/>
        </w:rPr>
        <w:t>l</w:t>
      </w:r>
      <w:r w:rsidRPr="0097217D" w:rsidR="0097217D">
        <w:rPr>
          <w:rFonts w:eastAsia="Calibri"/>
          <w:szCs w:val="18"/>
          <w:lang w:val="nl-NL"/>
        </w:rPr>
        <w:t>esbiennes, homoseksuelen, biseksuelen of transgenders</w:t>
      </w:r>
      <w:r w:rsidR="0097217D">
        <w:rPr>
          <w:rFonts w:eastAsia="Calibri"/>
          <w:szCs w:val="18"/>
          <w:lang w:val="nl-NL"/>
        </w:rPr>
        <w:t>.</w:t>
      </w:r>
      <w:r>
        <w:rPr>
          <w:rFonts w:eastAsia="Calibri"/>
          <w:szCs w:val="18"/>
          <w:lang w:val="nl-NL"/>
        </w:rPr>
        <w:t xml:space="preserve"> </w:t>
      </w:r>
    </w:p>
    <w:p w:rsidRPr="009839F7" w:rsidR="001E56AA" w:rsidP="006D54B0" w:rsidRDefault="001E56AA">
      <w:pPr>
        <w:spacing w:after="0" w:line="276" w:lineRule="auto"/>
        <w:rPr>
          <w:rFonts w:eastAsia="Calibri"/>
          <w:lang w:val="nl-NL"/>
        </w:rPr>
      </w:pPr>
    </w:p>
    <w:p w:rsidRPr="009839F7" w:rsidR="001E56AA" w:rsidP="006D54B0" w:rsidRDefault="001E56AA">
      <w:pPr>
        <w:spacing w:after="0" w:line="276" w:lineRule="auto"/>
        <w:rPr>
          <w:rFonts w:eastAsia="Calibri"/>
          <w:b/>
          <w:i/>
          <w:lang w:val="nl-NL"/>
        </w:rPr>
      </w:pPr>
      <w:r w:rsidRPr="009839F7">
        <w:rPr>
          <w:rFonts w:eastAsia="Calibri"/>
          <w:b/>
          <w:lang w:val="nl-NL"/>
        </w:rPr>
        <w:t xml:space="preserve">2. </w:t>
      </w:r>
      <w:r>
        <w:rPr>
          <w:rFonts w:eastAsia="Calibri"/>
          <w:b/>
          <w:szCs w:val="18"/>
          <w:lang w:val="nl-NL"/>
        </w:rPr>
        <w:t>I</w:t>
      </w:r>
      <w:r w:rsidRPr="009839F7">
        <w:rPr>
          <w:rFonts w:eastAsia="Calibri"/>
          <w:b/>
          <w:lang w:val="nl-NL"/>
        </w:rPr>
        <w:t>nzet van economische missies</w:t>
      </w:r>
    </w:p>
    <w:p w:rsidR="001E56AA" w:rsidP="006D54B0" w:rsidRDefault="001E56AA">
      <w:pPr>
        <w:spacing w:after="0" w:line="276" w:lineRule="auto"/>
        <w:rPr>
          <w:rFonts w:eastAsia="Calibri"/>
          <w:i/>
          <w:szCs w:val="18"/>
          <w:lang w:val="nl-NL"/>
        </w:rPr>
      </w:pPr>
    </w:p>
    <w:p w:rsidR="001E56AA" w:rsidP="006D54B0" w:rsidRDefault="001E56AA">
      <w:pPr>
        <w:spacing w:after="0" w:line="276" w:lineRule="auto"/>
        <w:rPr>
          <w:rFonts w:eastAsia="Calibri"/>
          <w:szCs w:val="18"/>
          <w:lang w:val="nl-NL"/>
        </w:rPr>
      </w:pPr>
      <w:r>
        <w:rPr>
          <w:rFonts w:eastAsia="Calibri"/>
          <w:i/>
          <w:szCs w:val="18"/>
          <w:lang w:val="nl-NL"/>
        </w:rPr>
        <w:t>Strategische Reisagenda</w:t>
      </w:r>
      <w:r>
        <w:rPr>
          <w:rFonts w:eastAsia="Calibri"/>
          <w:szCs w:val="18"/>
          <w:lang w:val="nl-NL"/>
        </w:rPr>
        <w:br/>
        <w:t xml:space="preserve">Om reizen goed op elkaar af te stemmen en </w:t>
      </w:r>
      <w:r w:rsidRPr="00726D83">
        <w:rPr>
          <w:rFonts w:eastAsia="Calibri"/>
          <w:szCs w:val="18"/>
          <w:lang w:val="nl-NL"/>
        </w:rPr>
        <w:t xml:space="preserve">een logische opvolging </w:t>
      </w:r>
      <w:r>
        <w:rPr>
          <w:rFonts w:eastAsia="Calibri"/>
          <w:szCs w:val="18"/>
          <w:lang w:val="nl-NL"/>
        </w:rPr>
        <w:t xml:space="preserve">te </w:t>
      </w:r>
      <w:r w:rsidRPr="00726D83">
        <w:rPr>
          <w:rFonts w:eastAsia="Calibri"/>
          <w:szCs w:val="18"/>
          <w:lang w:val="nl-NL"/>
        </w:rPr>
        <w:t>geven</w:t>
      </w:r>
      <w:r>
        <w:rPr>
          <w:rFonts w:eastAsia="Calibri"/>
          <w:szCs w:val="18"/>
          <w:lang w:val="nl-NL"/>
        </w:rPr>
        <w:t xml:space="preserve"> is de Strategische Reisagenda opgesteld: de </w:t>
      </w:r>
      <w:r w:rsidRPr="00726D83">
        <w:rPr>
          <w:rFonts w:eastAsia="Calibri"/>
          <w:szCs w:val="18"/>
          <w:lang w:val="nl-NL"/>
        </w:rPr>
        <w:t xml:space="preserve">uitgaande en inkomende bezoeken van leden </w:t>
      </w:r>
      <w:r>
        <w:rPr>
          <w:rFonts w:eastAsia="Calibri"/>
          <w:szCs w:val="18"/>
          <w:lang w:val="nl-NL"/>
        </w:rPr>
        <w:t xml:space="preserve">van het </w:t>
      </w:r>
      <w:r w:rsidRPr="00726D83">
        <w:rPr>
          <w:rFonts w:eastAsia="Calibri"/>
          <w:szCs w:val="18"/>
          <w:lang w:val="nl-NL"/>
        </w:rPr>
        <w:t xml:space="preserve">kabinet, </w:t>
      </w:r>
      <w:r>
        <w:rPr>
          <w:rFonts w:eastAsia="Calibri"/>
          <w:szCs w:val="18"/>
          <w:lang w:val="nl-NL"/>
        </w:rPr>
        <w:t xml:space="preserve">het </w:t>
      </w:r>
      <w:r w:rsidRPr="00726D83">
        <w:rPr>
          <w:rFonts w:eastAsia="Calibri"/>
          <w:szCs w:val="18"/>
          <w:lang w:val="nl-NL"/>
        </w:rPr>
        <w:t>Koninklijk Huis</w:t>
      </w:r>
      <w:r>
        <w:rPr>
          <w:rFonts w:eastAsia="Calibri"/>
          <w:szCs w:val="18"/>
          <w:lang w:val="nl-NL"/>
        </w:rPr>
        <w:t>,</w:t>
      </w:r>
      <w:r w:rsidRPr="00726D83">
        <w:rPr>
          <w:rFonts w:eastAsia="Calibri"/>
          <w:szCs w:val="18"/>
          <w:lang w:val="nl-NL"/>
        </w:rPr>
        <w:t xml:space="preserve"> bewindspersonen </w:t>
      </w:r>
      <w:r>
        <w:rPr>
          <w:rFonts w:eastAsia="Calibri"/>
          <w:szCs w:val="18"/>
          <w:lang w:val="nl-NL"/>
        </w:rPr>
        <w:t xml:space="preserve">van de </w:t>
      </w:r>
      <w:r w:rsidRPr="00726D83">
        <w:rPr>
          <w:rFonts w:eastAsia="Calibri"/>
          <w:szCs w:val="18"/>
          <w:lang w:val="nl-NL"/>
        </w:rPr>
        <w:t>Caribische landen van het Koninkrijk en decentrale overheden</w:t>
      </w:r>
      <w:r w:rsidRPr="00726D83" w:rsidDel="00D9330A">
        <w:rPr>
          <w:rFonts w:eastAsia="Calibri"/>
          <w:szCs w:val="18"/>
          <w:lang w:val="nl-NL"/>
        </w:rPr>
        <w:t>.</w:t>
      </w:r>
      <w:r>
        <w:rPr>
          <w:rFonts w:eastAsia="Calibri"/>
          <w:szCs w:val="18"/>
          <w:lang w:val="nl-NL"/>
        </w:rPr>
        <w:t xml:space="preserve"> De economische programma-onderdelen komen tot stand in samenspraak met de</w:t>
      </w:r>
      <w:r w:rsidRPr="00726D83">
        <w:rPr>
          <w:rFonts w:eastAsia="Calibri"/>
          <w:szCs w:val="18"/>
          <w:lang w:val="nl-NL"/>
        </w:rPr>
        <w:t xml:space="preserve"> </w:t>
      </w:r>
      <w:r>
        <w:rPr>
          <w:rFonts w:eastAsia="Calibri"/>
          <w:szCs w:val="18"/>
          <w:lang w:val="nl-NL"/>
        </w:rPr>
        <w:t xml:space="preserve">topsectoren. </w:t>
      </w:r>
      <w:r w:rsidR="004C46E7">
        <w:rPr>
          <w:rFonts w:eastAsia="Calibri"/>
          <w:szCs w:val="18"/>
          <w:lang w:val="nl-NL"/>
        </w:rPr>
        <w:t xml:space="preserve">De reisagenda reflecteert de prioriteiten van het kabinet op het gebied van economie, politiek en ontwikkeling en de afwegingen die daarin gemaakt worden. </w:t>
      </w:r>
      <w:r>
        <w:rPr>
          <w:rFonts w:eastAsia="Calibri"/>
          <w:szCs w:val="18"/>
          <w:lang w:val="nl-NL"/>
        </w:rPr>
        <w:t xml:space="preserve">De </w:t>
      </w:r>
      <w:r w:rsidR="004C46E7">
        <w:rPr>
          <w:rFonts w:eastAsia="Calibri"/>
          <w:szCs w:val="18"/>
          <w:lang w:val="nl-NL"/>
        </w:rPr>
        <w:t xml:space="preserve">evenwichtige verdeling in de </w:t>
      </w:r>
      <w:r>
        <w:rPr>
          <w:rFonts w:eastAsia="Calibri"/>
          <w:szCs w:val="18"/>
          <w:lang w:val="nl-NL"/>
        </w:rPr>
        <w:t>bestemmingen van de economische reizen</w:t>
      </w:r>
      <w:r w:rsidR="004C46E7">
        <w:rPr>
          <w:rFonts w:eastAsia="Calibri"/>
          <w:szCs w:val="18"/>
          <w:lang w:val="nl-NL"/>
        </w:rPr>
        <w:t>, zoals weergegeven in de figuur,</w:t>
      </w:r>
      <w:r>
        <w:rPr>
          <w:rFonts w:eastAsia="Calibri"/>
          <w:szCs w:val="18"/>
          <w:lang w:val="nl-NL"/>
        </w:rPr>
        <w:t xml:space="preserve"> is een afspiegeling </w:t>
      </w:r>
      <w:r w:rsidR="004C46E7">
        <w:rPr>
          <w:rFonts w:eastAsia="Calibri"/>
          <w:szCs w:val="18"/>
          <w:lang w:val="nl-NL"/>
        </w:rPr>
        <w:t xml:space="preserve">van de benadering van dit kabinet: relaties onderhouden met belangrijke partners </w:t>
      </w:r>
      <w:r w:rsidR="00F54596">
        <w:rPr>
          <w:rFonts w:eastAsia="Calibri"/>
          <w:szCs w:val="18"/>
          <w:lang w:val="nl-NL"/>
        </w:rPr>
        <w:t>en</w:t>
      </w:r>
      <w:r w:rsidR="004C46E7">
        <w:rPr>
          <w:rFonts w:eastAsia="Calibri"/>
          <w:szCs w:val="18"/>
          <w:lang w:val="nl-NL"/>
        </w:rPr>
        <w:t xml:space="preserve"> tegelijkertijd de banden intensiveren met opkomende en ontwikkelende markten. </w:t>
      </w:r>
      <w:r>
        <w:rPr>
          <w:rFonts w:eastAsia="Calibri"/>
          <w:szCs w:val="18"/>
          <w:lang w:val="nl-NL"/>
        </w:rPr>
        <w:t xml:space="preserve">De </w:t>
      </w:r>
      <w:r w:rsidRPr="00BB296F">
        <w:rPr>
          <w:rFonts w:eastAsia="Calibri"/>
          <w:szCs w:val="18"/>
          <w:lang w:val="nl-NL"/>
        </w:rPr>
        <w:t xml:space="preserve">bewindspersonen </w:t>
      </w:r>
      <w:r>
        <w:rPr>
          <w:rFonts w:eastAsia="Calibri"/>
          <w:szCs w:val="18"/>
          <w:lang w:val="nl-NL"/>
        </w:rPr>
        <w:t xml:space="preserve">bezochten tot en met </w:t>
      </w:r>
      <w:r w:rsidR="00E71ECD">
        <w:rPr>
          <w:rFonts w:eastAsia="Calibri"/>
          <w:szCs w:val="18"/>
          <w:lang w:val="nl-NL"/>
        </w:rPr>
        <w:t xml:space="preserve">juni 2016 </w:t>
      </w:r>
      <w:r w:rsidR="004C46E7">
        <w:rPr>
          <w:rFonts w:eastAsia="Calibri"/>
          <w:szCs w:val="18"/>
          <w:lang w:val="nl-NL"/>
        </w:rPr>
        <w:t>in totaal</w:t>
      </w:r>
      <w:r w:rsidRPr="00BB296F">
        <w:rPr>
          <w:rFonts w:eastAsia="Calibri"/>
          <w:szCs w:val="18"/>
          <w:lang w:val="nl-NL"/>
        </w:rPr>
        <w:t xml:space="preserve"> </w:t>
      </w:r>
      <w:r w:rsidR="009211F6">
        <w:rPr>
          <w:rFonts w:eastAsia="Calibri"/>
          <w:szCs w:val="18"/>
          <w:lang w:val="nl-NL"/>
        </w:rPr>
        <w:t>107</w:t>
      </w:r>
      <w:r w:rsidRPr="00BB296F">
        <w:rPr>
          <w:rFonts w:eastAsia="Calibri"/>
          <w:szCs w:val="18"/>
          <w:lang w:val="nl-NL"/>
        </w:rPr>
        <w:t xml:space="preserve"> landen tijdens </w:t>
      </w:r>
      <w:r w:rsidR="009211F6">
        <w:rPr>
          <w:rFonts w:eastAsia="Calibri"/>
          <w:szCs w:val="18"/>
          <w:lang w:val="nl-NL"/>
        </w:rPr>
        <w:t>9</w:t>
      </w:r>
      <w:r>
        <w:rPr>
          <w:rFonts w:eastAsia="Calibri"/>
          <w:szCs w:val="18"/>
          <w:lang w:val="nl-NL"/>
        </w:rPr>
        <w:t>2</w:t>
      </w:r>
      <w:r w:rsidRPr="00BB296F">
        <w:rPr>
          <w:rFonts w:eastAsia="Calibri"/>
          <w:szCs w:val="18"/>
          <w:lang w:val="nl-NL"/>
        </w:rPr>
        <w:t xml:space="preserve"> reizen. Niet eerder </w:t>
      </w:r>
      <w:r>
        <w:rPr>
          <w:rFonts w:eastAsia="Calibri"/>
          <w:szCs w:val="18"/>
          <w:lang w:val="nl-NL"/>
        </w:rPr>
        <w:t>werd</w:t>
      </w:r>
      <w:r w:rsidRPr="00BB296F">
        <w:rPr>
          <w:rFonts w:eastAsia="Calibri"/>
          <w:szCs w:val="18"/>
          <w:lang w:val="nl-NL"/>
        </w:rPr>
        <w:t xml:space="preserve"> er zoveel gereisd als in deze kabinetsperiode. Landen als China en de VS waar de economische belangen van Nederland het grootst zijn, </w:t>
      </w:r>
      <w:r>
        <w:rPr>
          <w:rFonts w:eastAsia="Calibri"/>
          <w:szCs w:val="18"/>
          <w:lang w:val="nl-NL"/>
        </w:rPr>
        <w:t>zijn</w:t>
      </w:r>
      <w:r w:rsidRPr="00BB296F">
        <w:rPr>
          <w:rFonts w:eastAsia="Calibri"/>
          <w:szCs w:val="18"/>
          <w:lang w:val="nl-NL"/>
        </w:rPr>
        <w:t xml:space="preserve"> meermalen bezocht.</w:t>
      </w:r>
      <w:r w:rsidRPr="0030427A">
        <w:rPr>
          <w:rFonts w:eastAsia="Calibri"/>
          <w:szCs w:val="18"/>
          <w:lang w:val="nl-NL"/>
        </w:rPr>
        <w:t xml:space="preserve"> </w:t>
      </w:r>
      <w:r>
        <w:rPr>
          <w:rFonts w:eastAsia="Calibri"/>
          <w:szCs w:val="18"/>
          <w:lang w:val="nl-NL"/>
        </w:rPr>
        <w:t xml:space="preserve">In de bijlage is de halfjaarsrapportage opgenomen van de missies die tussen januari 2016 en juni 2016 zijn ondernomen. </w:t>
      </w:r>
    </w:p>
    <w:p w:rsidRPr="00B85C10" w:rsidR="004C46E7" w:rsidP="006D54B0" w:rsidRDefault="004C46E7">
      <w:pPr>
        <w:spacing w:after="0" w:line="276" w:lineRule="auto"/>
        <w:rPr>
          <w:rFonts w:eastAsia="Calibri"/>
          <w:szCs w:val="18"/>
          <w:lang w:val="nl-NL"/>
        </w:rPr>
      </w:pPr>
    </w:p>
    <w:p w:rsidR="001E56AA" w:rsidP="006D54B0" w:rsidRDefault="001E56AA">
      <w:pPr>
        <w:spacing w:line="276" w:lineRule="auto"/>
        <w:rPr>
          <w:lang w:val="nl-NL"/>
        </w:rPr>
      </w:pPr>
      <w:r w:rsidRPr="002678D1">
        <w:rPr>
          <w:i/>
          <w:iCs/>
          <w:lang w:val="nl-NL"/>
        </w:rPr>
        <w:t>Economische missies nieuwe stijl</w:t>
      </w:r>
      <w:r w:rsidRPr="002678D1">
        <w:rPr>
          <w:i/>
          <w:iCs/>
          <w:lang w:val="nl-NL"/>
        </w:rPr>
        <w:br/>
      </w:r>
      <w:r>
        <w:rPr>
          <w:lang w:val="nl-NL"/>
        </w:rPr>
        <w:t xml:space="preserve">De opzet van </w:t>
      </w:r>
      <w:r w:rsidRPr="006542ED">
        <w:rPr>
          <w:lang w:val="nl-NL"/>
        </w:rPr>
        <w:t>economische missies</w:t>
      </w:r>
      <w:r>
        <w:rPr>
          <w:lang w:val="nl-NL"/>
        </w:rPr>
        <w:t xml:space="preserve"> is in deze kabinetsperiode veranderd en past bij de brede bilaterale relaties die Nederland nastreeft. Voorheen waren economische missies vooral gericht op exportpromotie; verkoop van Nederlandse producten en diensten in het buitenland. Missies waren geslaagd als er verkoopcontracten werden getekend. Nu ligt de nadruk op samenwerking </w:t>
      </w:r>
      <w:r w:rsidR="00F745BE">
        <w:rPr>
          <w:lang w:val="nl-NL"/>
        </w:rPr>
        <w:t xml:space="preserve">voor meerdere jaren </w:t>
      </w:r>
      <w:r>
        <w:rPr>
          <w:lang w:val="nl-NL"/>
        </w:rPr>
        <w:t>op het gebied van economie</w:t>
      </w:r>
      <w:r w:rsidR="00050CA7">
        <w:rPr>
          <w:lang w:val="nl-NL"/>
        </w:rPr>
        <w:t>,</w:t>
      </w:r>
      <w:r w:rsidR="007A755E">
        <w:rPr>
          <w:lang w:val="nl-NL"/>
        </w:rPr>
        <w:t xml:space="preserve"> </w:t>
      </w:r>
      <w:r>
        <w:rPr>
          <w:lang w:val="nl-NL"/>
        </w:rPr>
        <w:t>innovatie</w:t>
      </w:r>
      <w:r w:rsidR="00050CA7">
        <w:rPr>
          <w:lang w:val="nl-NL"/>
        </w:rPr>
        <w:t xml:space="preserve"> en ontwikkeling en </w:t>
      </w:r>
      <w:r w:rsidR="00BE6434">
        <w:rPr>
          <w:lang w:val="nl-NL"/>
        </w:rPr>
        <w:t xml:space="preserve">is </w:t>
      </w:r>
      <w:r w:rsidR="00A210D1">
        <w:rPr>
          <w:lang w:val="nl-NL"/>
        </w:rPr>
        <w:t xml:space="preserve">er </w:t>
      </w:r>
      <w:r w:rsidR="00BE6434">
        <w:rPr>
          <w:lang w:val="nl-NL"/>
        </w:rPr>
        <w:t>ruim aandacht voor politieke</w:t>
      </w:r>
      <w:r w:rsidR="00DA0102">
        <w:rPr>
          <w:lang w:val="nl-NL"/>
        </w:rPr>
        <w:t xml:space="preserve"> en maatschappelijke onderwerpen. </w:t>
      </w:r>
    </w:p>
    <w:p w:rsidR="00041EA0" w:rsidP="006D54B0" w:rsidRDefault="001E56AA">
      <w:pPr>
        <w:spacing w:after="0" w:line="276" w:lineRule="auto"/>
        <w:rPr>
          <w:i/>
          <w:lang w:val="nl-NL"/>
        </w:rPr>
      </w:pPr>
      <w:r w:rsidRPr="006542ED">
        <w:rPr>
          <w:lang w:val="nl-NL"/>
        </w:rPr>
        <w:t xml:space="preserve">De economische missie naar Cuba </w:t>
      </w:r>
      <w:r>
        <w:rPr>
          <w:lang w:val="nl-NL"/>
        </w:rPr>
        <w:t>is een</w:t>
      </w:r>
      <w:r w:rsidRPr="006542ED">
        <w:rPr>
          <w:lang w:val="nl-NL"/>
        </w:rPr>
        <w:t xml:space="preserve"> goed voorbeeld van</w:t>
      </w:r>
      <w:r>
        <w:rPr>
          <w:lang w:val="nl-NL"/>
        </w:rPr>
        <w:t xml:space="preserve"> een missie ‘nieuwe stijl’</w:t>
      </w:r>
      <w:r w:rsidRPr="006542ED">
        <w:rPr>
          <w:lang w:val="nl-NL"/>
        </w:rPr>
        <w:t xml:space="preserve">. Nederland </w:t>
      </w:r>
      <w:r>
        <w:rPr>
          <w:lang w:val="nl-NL"/>
        </w:rPr>
        <w:t>was over de</w:t>
      </w:r>
      <w:r w:rsidRPr="006542ED">
        <w:rPr>
          <w:lang w:val="nl-NL"/>
        </w:rPr>
        <w:t xml:space="preserve"> volle breedte vertegenwoordigd. Naast bedrijven en kennisinstellingen uit Nederland en andere delen van het Koninkrijk reisden maatschappelijke organisaties mee zoals het Wereld Natuurfonds (WNF) </w:t>
      </w:r>
      <w:r>
        <w:rPr>
          <w:lang w:val="nl-NL"/>
        </w:rPr>
        <w:t>en culture</w:t>
      </w:r>
      <w:r w:rsidR="00A210D1">
        <w:rPr>
          <w:lang w:val="nl-NL"/>
        </w:rPr>
        <w:t>le</w:t>
      </w:r>
      <w:r>
        <w:rPr>
          <w:lang w:val="nl-NL"/>
        </w:rPr>
        <w:t xml:space="preserve"> en sportorganisaties, zoals het </w:t>
      </w:r>
      <w:r w:rsidRPr="006542ED">
        <w:rPr>
          <w:lang w:val="nl-NL"/>
        </w:rPr>
        <w:t xml:space="preserve">Nederlandse honkbalteam, Feyenoord en vertegenwoordigers van het Residentieorkest. </w:t>
      </w:r>
      <w:r>
        <w:rPr>
          <w:lang w:val="nl-NL"/>
        </w:rPr>
        <w:t xml:space="preserve">Belangrijk onderdeel van de missie was de promotie van </w:t>
      </w:r>
      <w:r w:rsidRPr="006542ED">
        <w:rPr>
          <w:lang w:val="nl-NL"/>
        </w:rPr>
        <w:t>maatschappelijk verantwoord ondernemen, waaronder mensenrechten</w:t>
      </w:r>
      <w:r>
        <w:rPr>
          <w:lang w:val="nl-NL"/>
        </w:rPr>
        <w:t>. Op dit terrein is in Cuba,</w:t>
      </w:r>
      <w:r w:rsidRPr="006542ED">
        <w:rPr>
          <w:lang w:val="nl-NL"/>
        </w:rPr>
        <w:t xml:space="preserve"> vooral als het gaat om de vrijheid van meningsuiting</w:t>
      </w:r>
      <w:r>
        <w:rPr>
          <w:lang w:val="nl-NL"/>
        </w:rPr>
        <w:t>,</w:t>
      </w:r>
      <w:r w:rsidRPr="006542ED">
        <w:rPr>
          <w:lang w:val="nl-NL"/>
        </w:rPr>
        <w:t xml:space="preserve"> nog veel te winnen. Minister Ploumen </w:t>
      </w:r>
      <w:r>
        <w:rPr>
          <w:lang w:val="nl-NL"/>
        </w:rPr>
        <w:t xml:space="preserve">heeft tijdens het bezoek gesprekken </w:t>
      </w:r>
      <w:r w:rsidR="00D672FA">
        <w:rPr>
          <w:lang w:val="nl-NL"/>
        </w:rPr>
        <w:t xml:space="preserve">gevoerd </w:t>
      </w:r>
      <w:r>
        <w:rPr>
          <w:lang w:val="nl-NL"/>
        </w:rPr>
        <w:t xml:space="preserve">met de </w:t>
      </w:r>
      <w:r w:rsidRPr="006542ED">
        <w:rPr>
          <w:lang w:val="nl-NL"/>
        </w:rPr>
        <w:t>Cubaanse regering</w:t>
      </w:r>
      <w:r>
        <w:rPr>
          <w:lang w:val="nl-NL"/>
        </w:rPr>
        <w:t xml:space="preserve"> en sprak</w:t>
      </w:r>
      <w:r w:rsidRPr="006542ED">
        <w:rPr>
          <w:lang w:val="nl-NL"/>
        </w:rPr>
        <w:t xml:space="preserve"> onder andere </w:t>
      </w:r>
      <w:r>
        <w:rPr>
          <w:lang w:val="nl-NL"/>
        </w:rPr>
        <w:t>ook</w:t>
      </w:r>
      <w:r w:rsidRPr="006542ED">
        <w:rPr>
          <w:lang w:val="nl-NL"/>
        </w:rPr>
        <w:t xml:space="preserve"> met Mariela Castro, directeur van het Nationaal Centrum voor Seksuele Voorlichting, met journalisten en met vrouwelijke ondernemers over voor hen belangrijke thema’s.</w:t>
      </w:r>
      <w:r>
        <w:rPr>
          <w:lang w:val="nl-NL"/>
        </w:rPr>
        <w:t xml:space="preserve"> Tijdens de missie zijn niet alleen contracten met bedrijven getekend, maar ook waardevolle eerste contacten gelegd tussen</w:t>
      </w:r>
      <w:r w:rsidRPr="002345B7">
        <w:rPr>
          <w:lang w:val="nl-NL"/>
        </w:rPr>
        <w:t xml:space="preserve"> meereizende bedrijven uit de sectoren (maritieme) logistiek, agrifood en duurzame energie. Met de Cubaanse regering is afgesproken om op deze gebieden </w:t>
      </w:r>
      <w:r>
        <w:rPr>
          <w:lang w:val="nl-NL"/>
        </w:rPr>
        <w:t>samen</w:t>
      </w:r>
      <w:r w:rsidRPr="002345B7">
        <w:rPr>
          <w:lang w:val="nl-NL"/>
        </w:rPr>
        <w:t xml:space="preserve"> actieplannen te formuleren.</w:t>
      </w:r>
      <w:r>
        <w:rPr>
          <w:lang w:val="nl-NL"/>
        </w:rPr>
        <w:t xml:space="preserve"> </w:t>
      </w:r>
      <w:r w:rsidRPr="002345B7">
        <w:rPr>
          <w:lang w:val="nl-NL"/>
        </w:rPr>
        <w:t xml:space="preserve">Ook zette het </w:t>
      </w:r>
      <w:r>
        <w:rPr>
          <w:lang w:val="nl-NL"/>
        </w:rPr>
        <w:t>WNF</w:t>
      </w:r>
      <w:r w:rsidRPr="002345B7">
        <w:rPr>
          <w:lang w:val="nl-NL"/>
        </w:rPr>
        <w:t xml:space="preserve"> </w:t>
      </w:r>
      <w:r>
        <w:rPr>
          <w:lang w:val="nl-NL"/>
        </w:rPr>
        <w:t>een</w:t>
      </w:r>
      <w:r w:rsidRPr="002345B7">
        <w:rPr>
          <w:lang w:val="nl-NL"/>
        </w:rPr>
        <w:t xml:space="preserve"> handtekening onder een samenwerkingsakkoord om bedreigde vissen te beschermen en ecologisch verantwoord toerisme te bevorderen. </w:t>
      </w:r>
      <w:r w:rsidR="007A755E">
        <w:rPr>
          <w:lang w:val="nl-NL"/>
        </w:rPr>
        <w:t xml:space="preserve">Van 15 tot 17 september 2016 </w:t>
      </w:r>
      <w:r w:rsidR="00D672FA">
        <w:rPr>
          <w:lang w:val="nl-NL"/>
        </w:rPr>
        <w:t xml:space="preserve">heeft </w:t>
      </w:r>
      <w:r w:rsidR="007A755E">
        <w:rPr>
          <w:lang w:val="nl-NL"/>
        </w:rPr>
        <w:t>de Cubaanse minister voor handel en investeringen</w:t>
      </w:r>
      <w:r w:rsidR="007C35BF">
        <w:rPr>
          <w:lang w:val="nl-NL"/>
        </w:rPr>
        <w:t>,</w:t>
      </w:r>
      <w:r w:rsidR="007A755E">
        <w:rPr>
          <w:lang w:val="nl-NL"/>
        </w:rPr>
        <w:t xml:space="preserve"> </w:t>
      </w:r>
      <w:r w:rsidRPr="007A755E" w:rsidR="007A755E">
        <w:rPr>
          <w:lang w:val="nl-NL"/>
        </w:rPr>
        <w:t>Rodrigo Malmierca</w:t>
      </w:r>
      <w:r w:rsidR="007C35BF">
        <w:rPr>
          <w:lang w:val="nl-NL"/>
        </w:rPr>
        <w:t>,</w:t>
      </w:r>
      <w:r w:rsidR="007A755E">
        <w:rPr>
          <w:lang w:val="nl-NL"/>
        </w:rPr>
        <w:t xml:space="preserve"> een tegenbezoek aan Nederland </w:t>
      </w:r>
      <w:r w:rsidR="00D672FA">
        <w:rPr>
          <w:lang w:val="nl-NL"/>
        </w:rPr>
        <w:t xml:space="preserve">gebracht </w:t>
      </w:r>
      <w:r w:rsidR="007A755E">
        <w:rPr>
          <w:lang w:val="nl-NL"/>
        </w:rPr>
        <w:t>om de relatie verder te verdiepen.</w:t>
      </w:r>
      <w:r w:rsidRPr="00041EA0" w:rsidR="00041EA0">
        <w:rPr>
          <w:i/>
          <w:lang w:val="nl-NL"/>
        </w:rPr>
        <w:t xml:space="preserve"> </w:t>
      </w:r>
    </w:p>
    <w:p w:rsidR="00041EA0" w:rsidP="006D54B0" w:rsidRDefault="00041EA0">
      <w:pPr>
        <w:spacing w:after="0" w:line="276" w:lineRule="auto"/>
        <w:rPr>
          <w:i/>
          <w:lang w:val="nl-NL"/>
        </w:rPr>
      </w:pPr>
    </w:p>
    <w:p w:rsidRPr="00251E3A" w:rsidR="00041EA0" w:rsidP="006D54B0" w:rsidRDefault="00041EA0">
      <w:pPr>
        <w:spacing w:after="0" w:line="276" w:lineRule="auto"/>
        <w:rPr>
          <w:i/>
          <w:lang w:val="nl-NL"/>
        </w:rPr>
      </w:pPr>
      <w:r w:rsidRPr="00251E3A">
        <w:rPr>
          <w:i/>
          <w:lang w:val="nl-NL"/>
        </w:rPr>
        <w:t>Een programmati</w:t>
      </w:r>
      <w:r>
        <w:rPr>
          <w:i/>
          <w:lang w:val="nl-NL"/>
        </w:rPr>
        <w:t>s</w:t>
      </w:r>
      <w:r w:rsidRPr="00251E3A">
        <w:rPr>
          <w:i/>
          <w:lang w:val="nl-NL"/>
        </w:rPr>
        <w:t>che meerjarige aanpak</w:t>
      </w:r>
    </w:p>
    <w:p w:rsidR="00041EA0" w:rsidP="006D54B0" w:rsidRDefault="00041EA0">
      <w:pPr>
        <w:spacing w:after="0" w:line="276" w:lineRule="auto"/>
        <w:rPr>
          <w:lang w:val="nl-NL"/>
        </w:rPr>
      </w:pPr>
      <w:r>
        <w:rPr>
          <w:lang w:val="nl-NL"/>
        </w:rPr>
        <w:t xml:space="preserve">Met de missies ‘nieuwe stijl’ presenteert Nederland zich naast handelspartner steeds meer als partner in onderzoek, </w:t>
      </w:r>
      <w:r w:rsidRPr="00C96B17">
        <w:rPr>
          <w:lang w:val="nl-NL"/>
        </w:rPr>
        <w:t>innovatie</w:t>
      </w:r>
      <w:r>
        <w:rPr>
          <w:lang w:val="nl-NL"/>
        </w:rPr>
        <w:t xml:space="preserve"> en </w:t>
      </w:r>
      <w:r w:rsidRPr="00C96B17">
        <w:rPr>
          <w:lang w:val="nl-NL"/>
        </w:rPr>
        <w:t>duurzame ontwikkeling.</w:t>
      </w:r>
      <w:r w:rsidRPr="00C51DD1" w:rsidDel="001350E4">
        <w:rPr>
          <w:szCs w:val="18"/>
          <w:lang w:val="nl-NL"/>
        </w:rPr>
        <w:t xml:space="preserve"> </w:t>
      </w:r>
      <w:r>
        <w:rPr>
          <w:szCs w:val="18"/>
          <w:lang w:val="nl-NL"/>
        </w:rPr>
        <w:t>Daarvoor volstaan ad hoc contacten niet</w:t>
      </w:r>
      <w:r w:rsidR="004F2D6B">
        <w:rPr>
          <w:szCs w:val="18"/>
          <w:lang w:val="nl-NL"/>
        </w:rPr>
        <w:t>. Er</w:t>
      </w:r>
      <w:r>
        <w:rPr>
          <w:szCs w:val="18"/>
          <w:lang w:val="nl-NL"/>
        </w:rPr>
        <w:t xml:space="preserve"> moet strategisch geïnvesteerd worden in bilaterale economische relaties</w:t>
      </w:r>
      <w:r w:rsidR="00551943">
        <w:rPr>
          <w:szCs w:val="18"/>
          <w:lang w:val="nl-NL"/>
        </w:rPr>
        <w:t xml:space="preserve"> en meer focus worden aangebracht</w:t>
      </w:r>
      <w:r>
        <w:rPr>
          <w:szCs w:val="18"/>
          <w:lang w:val="nl-NL"/>
        </w:rPr>
        <w:t xml:space="preserve">. Veelal is </w:t>
      </w:r>
      <w:r w:rsidRPr="00CE3DD9">
        <w:rPr>
          <w:lang w:val="nl-NL"/>
        </w:rPr>
        <w:t>een pro</w:t>
      </w:r>
      <w:r>
        <w:rPr>
          <w:lang w:val="nl-NL"/>
        </w:rPr>
        <w:t xml:space="preserve">grammatische </w:t>
      </w:r>
      <w:r w:rsidRPr="00CE3DD9">
        <w:rPr>
          <w:lang w:val="nl-NL"/>
        </w:rPr>
        <w:t>en meerjarige aanpak vereist</w:t>
      </w:r>
      <w:r>
        <w:rPr>
          <w:lang w:val="nl-NL"/>
        </w:rPr>
        <w:t xml:space="preserve"> waarbij partnerschappen worden gesmeed tussen overheden, bedrijven en </w:t>
      </w:r>
      <w:r w:rsidRPr="00CE3DD9">
        <w:rPr>
          <w:lang w:val="nl-NL"/>
        </w:rPr>
        <w:t>kennisinstellingen</w:t>
      </w:r>
      <w:r>
        <w:rPr>
          <w:lang w:val="nl-NL"/>
        </w:rPr>
        <w:t xml:space="preserve"> over grenzen van landen en sectoren</w:t>
      </w:r>
      <w:r w:rsidR="00551943">
        <w:rPr>
          <w:lang w:val="nl-NL"/>
        </w:rPr>
        <w:t xml:space="preserve"> </w:t>
      </w:r>
      <w:r w:rsidR="004F2D6B">
        <w:rPr>
          <w:lang w:val="nl-NL"/>
        </w:rPr>
        <w:t xml:space="preserve">heen </w:t>
      </w:r>
      <w:r w:rsidR="00551943">
        <w:rPr>
          <w:lang w:val="nl-NL"/>
        </w:rPr>
        <w:t xml:space="preserve">rondom specifieke thema’s zoals water en energie. </w:t>
      </w:r>
      <w:r>
        <w:rPr>
          <w:lang w:val="nl-NL"/>
        </w:rPr>
        <w:t>Bijvoorbeeld om in te kunnen spelen op de vraag naar oplossingen voor concrete problemen</w:t>
      </w:r>
      <w:r w:rsidR="00551943">
        <w:rPr>
          <w:lang w:val="nl-NL"/>
        </w:rPr>
        <w:t xml:space="preserve"> die </w:t>
      </w:r>
      <w:r w:rsidR="00BE6434">
        <w:rPr>
          <w:lang w:val="nl-NL"/>
        </w:rPr>
        <w:t xml:space="preserve">zich </w:t>
      </w:r>
      <w:r w:rsidR="00551943">
        <w:rPr>
          <w:lang w:val="nl-NL"/>
        </w:rPr>
        <w:t xml:space="preserve">op deze terreinen in een land </w:t>
      </w:r>
      <w:r w:rsidR="00BE6434">
        <w:rPr>
          <w:lang w:val="nl-NL"/>
        </w:rPr>
        <w:t>voordoen</w:t>
      </w:r>
      <w:r>
        <w:rPr>
          <w:lang w:val="nl-NL"/>
        </w:rPr>
        <w:t xml:space="preserve">. </w:t>
      </w:r>
      <w:r w:rsidR="004F2D6B">
        <w:rPr>
          <w:lang w:val="nl-NL"/>
        </w:rPr>
        <w:t>De organisatie van uitgaande en inkomende thematische missies kunnen onderdeel uitmaken van deze aanpak.</w:t>
      </w:r>
      <w:r>
        <w:rPr>
          <w:lang w:val="nl-NL"/>
        </w:rPr>
        <w:t xml:space="preserve"> Vaak duurt het wel even - in sommige gevallen jaren- voordat een latente vraag of behoefte zich vertaald in concrete business cases.</w:t>
      </w:r>
    </w:p>
    <w:p w:rsidR="00041EA0" w:rsidP="006D54B0" w:rsidRDefault="00041EA0">
      <w:pPr>
        <w:spacing w:after="0" w:line="276" w:lineRule="auto"/>
        <w:rPr>
          <w:lang w:val="nl-NL"/>
        </w:rPr>
      </w:pPr>
    </w:p>
    <w:p w:rsidR="001E56AA" w:rsidP="006D54B0" w:rsidRDefault="001E56AA">
      <w:pPr>
        <w:pStyle w:val="ListParagraph"/>
        <w:numPr>
          <w:ilvl w:val="0"/>
          <w:numId w:val="3"/>
        </w:numPr>
        <w:tabs>
          <w:tab w:val="left" w:pos="2970"/>
        </w:tabs>
        <w:spacing w:after="0" w:line="276" w:lineRule="auto"/>
        <w:rPr>
          <w:b/>
          <w:lang w:val="nl-NL"/>
        </w:rPr>
      </w:pPr>
      <w:r>
        <w:rPr>
          <w:b/>
          <w:lang w:val="nl-NL"/>
        </w:rPr>
        <w:t>Kansen pakken op nieuwe groeimarkten</w:t>
      </w:r>
    </w:p>
    <w:p w:rsidR="001E56AA" w:rsidDel="001350E4" w:rsidP="006D54B0" w:rsidRDefault="001E56AA">
      <w:pPr>
        <w:spacing w:after="0" w:line="276" w:lineRule="auto"/>
        <w:rPr>
          <w:b/>
          <w:lang w:val="nl-NL"/>
        </w:rPr>
      </w:pPr>
    </w:p>
    <w:p w:rsidR="001E56AA" w:rsidP="006D54B0" w:rsidRDefault="001E56AA">
      <w:pPr>
        <w:spacing w:after="0" w:line="276" w:lineRule="auto"/>
        <w:rPr>
          <w:szCs w:val="18"/>
          <w:lang w:val="nl-NL"/>
        </w:rPr>
      </w:pPr>
      <w:r>
        <w:rPr>
          <w:i/>
          <w:szCs w:val="18"/>
          <w:lang w:val="nl-NL"/>
        </w:rPr>
        <w:t>V</w:t>
      </w:r>
      <w:r w:rsidRPr="009839F7">
        <w:rPr>
          <w:i/>
          <w:szCs w:val="18"/>
          <w:lang w:val="nl-NL"/>
        </w:rPr>
        <w:t xml:space="preserve">roegtijdig </w:t>
      </w:r>
      <w:r>
        <w:rPr>
          <w:i/>
          <w:szCs w:val="18"/>
          <w:lang w:val="nl-NL"/>
        </w:rPr>
        <w:t>kansen signaleren</w:t>
      </w:r>
      <w:r w:rsidRPr="009839F7">
        <w:rPr>
          <w:i/>
          <w:szCs w:val="18"/>
          <w:lang w:val="nl-NL"/>
        </w:rPr>
        <w:br/>
      </w:r>
      <w:r>
        <w:rPr>
          <w:szCs w:val="18"/>
          <w:lang w:val="nl-NL"/>
        </w:rPr>
        <w:t xml:space="preserve">Om groeimarkten te kunnen veroveren is het van belang om economische kansen vroegtijdig te signaleren. Het postennet en onze relaties met internationale financiële instellingen zoals de Wereldbank spelen hierin een belangrijke rol. Ook is de samenwerking tussen </w:t>
      </w:r>
      <w:r w:rsidRPr="00377CA7">
        <w:rPr>
          <w:szCs w:val="18"/>
          <w:lang w:val="nl-NL"/>
        </w:rPr>
        <w:t>de Nederlandse Financierings-Maatschappij voor Ontwikkelingslanden (FMO) en de Rijksdienst voor Ondernemend Nederland (RVO.nl) op het gebied van projectidentificatie versterkt</w:t>
      </w:r>
      <w:r>
        <w:rPr>
          <w:szCs w:val="18"/>
          <w:lang w:val="nl-NL"/>
        </w:rPr>
        <w:t>. M</w:t>
      </w:r>
      <w:r w:rsidRPr="00377CA7">
        <w:rPr>
          <w:szCs w:val="18"/>
          <w:lang w:val="nl-NL"/>
        </w:rPr>
        <w:t xml:space="preserve">ede op verzoek van de topsectoren </w:t>
      </w:r>
      <w:r>
        <w:rPr>
          <w:szCs w:val="18"/>
          <w:lang w:val="nl-NL"/>
        </w:rPr>
        <w:t xml:space="preserve">zijn er </w:t>
      </w:r>
      <w:r w:rsidRPr="00377CA7">
        <w:rPr>
          <w:szCs w:val="18"/>
          <w:lang w:val="nl-NL"/>
        </w:rPr>
        <w:t xml:space="preserve">vijf Regional Business Developers (RBD’ers) aangesteld in Noord-Europa (The Nordics/Baltics), de Golf-regio, Zuidoost-Azië (ASEAN), West-Afrika (ECOWAS) en Latijns-Amerika (Pacific Alliance) en is een Watergezant </w:t>
      </w:r>
      <w:r>
        <w:rPr>
          <w:szCs w:val="18"/>
          <w:lang w:val="nl-NL"/>
        </w:rPr>
        <w:t>actief</w:t>
      </w:r>
      <w:r w:rsidRPr="00377CA7">
        <w:rPr>
          <w:szCs w:val="18"/>
          <w:lang w:val="nl-NL"/>
        </w:rPr>
        <w:t xml:space="preserve"> voor de Nederlandse watersector.</w:t>
      </w:r>
      <w:r>
        <w:rPr>
          <w:szCs w:val="18"/>
          <w:lang w:val="nl-NL"/>
        </w:rPr>
        <w:t xml:space="preserve"> Hierdoor zijn Nederlandse bedrijven eerder betrokken bij mogelijke projecten in het buitenland.</w:t>
      </w:r>
    </w:p>
    <w:p w:rsidR="001E56AA" w:rsidP="006D54B0" w:rsidRDefault="001E56AA">
      <w:pPr>
        <w:spacing w:after="0" w:line="276" w:lineRule="auto"/>
        <w:rPr>
          <w:szCs w:val="18"/>
          <w:lang w:val="nl-NL"/>
        </w:rPr>
      </w:pPr>
    </w:p>
    <w:p w:rsidR="001E56AA" w:rsidP="006D54B0" w:rsidRDefault="001E56AA">
      <w:pPr>
        <w:spacing w:after="0" w:line="276" w:lineRule="auto"/>
        <w:rPr>
          <w:szCs w:val="18"/>
          <w:lang w:val="nl-NL"/>
        </w:rPr>
      </w:pPr>
      <w:r w:rsidRPr="00377CA7">
        <w:rPr>
          <w:szCs w:val="18"/>
          <w:lang w:val="nl-NL"/>
        </w:rPr>
        <w:t xml:space="preserve">Nederland </w:t>
      </w:r>
      <w:r>
        <w:rPr>
          <w:szCs w:val="18"/>
          <w:lang w:val="nl-NL"/>
        </w:rPr>
        <w:t>spant</w:t>
      </w:r>
      <w:r w:rsidRPr="00377CA7">
        <w:rPr>
          <w:szCs w:val="18"/>
          <w:lang w:val="nl-NL"/>
        </w:rPr>
        <w:t xml:space="preserve"> zich</w:t>
      </w:r>
      <w:r>
        <w:rPr>
          <w:szCs w:val="18"/>
          <w:lang w:val="nl-NL"/>
        </w:rPr>
        <w:t xml:space="preserve"> bijvoorbeeld vanuit de overheid en het bedrijfsleven</w:t>
      </w:r>
      <w:r w:rsidRPr="00377CA7">
        <w:rPr>
          <w:szCs w:val="18"/>
          <w:lang w:val="nl-NL"/>
        </w:rPr>
        <w:t xml:space="preserve"> in om een goede positie te verwerven in de </w:t>
      </w:r>
      <w:r>
        <w:rPr>
          <w:szCs w:val="18"/>
          <w:lang w:val="nl-NL"/>
        </w:rPr>
        <w:t>recent</w:t>
      </w:r>
      <w:r w:rsidRPr="00377CA7">
        <w:rPr>
          <w:szCs w:val="18"/>
          <w:lang w:val="nl-NL"/>
        </w:rPr>
        <w:t xml:space="preserve"> geliberaliseerde energiesector in Mexico. Nederlandse partijen zien kansen om hun kennis en kunde in te zetten om Mexico te ondersteunen om onder andere diepzeebronnen te exploreren. Daarbij vraagt de Mexicaanse overheid om assistentie op het gebied van duurzaamheid en ontwikkeling in de energiesector en kijkt daarvoor naar Nederland. De Nederlandse overheid, bedrijfsleven en de kennisinstellingen werken nu samen aan een programma om vraag en aanbod op deze terreinen te verbinden. Er is een Energiediplomaat aangesteld om het project in goede banen te leiden. Naar aanleiding van een eerste handelsmissie in 2015 is een vierjarige samenwerking met Mexico uitgewerkt. Inmiddels zijn de eerste contracten getekend.</w:t>
      </w:r>
      <w:r>
        <w:rPr>
          <w:szCs w:val="18"/>
          <w:lang w:val="nl-NL"/>
        </w:rPr>
        <w:t xml:space="preserve"> In Japan hebben Nederlandse bedrijven toegang gekregen tot de groeiende markt voor cybersecurity, nadat Nederlandse kennisinstellingen </w:t>
      </w:r>
      <w:r w:rsidRPr="00377CA7">
        <w:rPr>
          <w:szCs w:val="18"/>
          <w:lang w:val="nl-NL"/>
        </w:rPr>
        <w:t xml:space="preserve">met hulp van de ambassade eerste stappen </w:t>
      </w:r>
      <w:r>
        <w:rPr>
          <w:szCs w:val="18"/>
          <w:lang w:val="nl-NL"/>
        </w:rPr>
        <w:t xml:space="preserve">hadden </w:t>
      </w:r>
      <w:r w:rsidRPr="00377CA7">
        <w:rPr>
          <w:szCs w:val="18"/>
          <w:lang w:val="nl-NL"/>
        </w:rPr>
        <w:t xml:space="preserve">gezet om innovatiesamenwerking aan te gaan op dit onderwerp. </w:t>
      </w:r>
    </w:p>
    <w:p w:rsidR="001E56AA" w:rsidP="006D54B0" w:rsidRDefault="001E56AA">
      <w:pPr>
        <w:spacing w:after="0" w:line="276" w:lineRule="auto"/>
        <w:rPr>
          <w:i/>
          <w:szCs w:val="18"/>
          <w:lang w:val="nl-NL"/>
        </w:rPr>
      </w:pPr>
    </w:p>
    <w:p w:rsidR="001E56AA" w:rsidP="006D54B0" w:rsidRDefault="001E56AA">
      <w:pPr>
        <w:spacing w:after="0" w:line="276" w:lineRule="auto"/>
        <w:rPr>
          <w:szCs w:val="18"/>
          <w:lang w:val="nl-NL"/>
        </w:rPr>
      </w:pPr>
      <w:r>
        <w:rPr>
          <w:i/>
          <w:szCs w:val="18"/>
          <w:lang w:val="nl-NL"/>
        </w:rPr>
        <w:t>Smeden van partnerschappen</w:t>
      </w:r>
      <w:r>
        <w:rPr>
          <w:i/>
          <w:szCs w:val="18"/>
          <w:lang w:val="nl-NL"/>
        </w:rPr>
        <w:br/>
      </w:r>
      <w:r>
        <w:rPr>
          <w:szCs w:val="18"/>
          <w:lang w:val="nl-NL"/>
        </w:rPr>
        <w:t xml:space="preserve">Nederland heeft veel in huis om op groeimarkten succesvol te kunnen zijn. </w:t>
      </w:r>
      <w:r w:rsidRPr="005A4AFC">
        <w:rPr>
          <w:szCs w:val="18"/>
          <w:lang w:val="nl-NL"/>
        </w:rPr>
        <w:t>Er is veel vraag in de wereld naar de kennis en kunde die we hebben opgebouwd in onze strijd tegen het water en in het realiseren van duurzame voedselproductie, maar bijvoorbeeld ook in de energie</w:t>
      </w:r>
      <w:r w:rsidR="00E107AE">
        <w:rPr>
          <w:szCs w:val="18"/>
          <w:lang w:val="nl-NL"/>
        </w:rPr>
        <w:t>sector</w:t>
      </w:r>
      <w:r w:rsidRPr="005A4AFC">
        <w:rPr>
          <w:szCs w:val="18"/>
          <w:lang w:val="nl-NL"/>
        </w:rPr>
        <w:t xml:space="preserve"> en </w:t>
      </w:r>
      <w:r w:rsidR="00E107AE">
        <w:rPr>
          <w:szCs w:val="18"/>
          <w:lang w:val="nl-NL"/>
        </w:rPr>
        <w:t>op onderwerpen zoals</w:t>
      </w:r>
      <w:r w:rsidRPr="005A4AFC" w:rsidR="00E107AE">
        <w:rPr>
          <w:szCs w:val="18"/>
          <w:lang w:val="nl-NL"/>
        </w:rPr>
        <w:t xml:space="preserve"> </w:t>
      </w:r>
      <w:r>
        <w:rPr>
          <w:szCs w:val="18"/>
          <w:lang w:val="nl-NL"/>
        </w:rPr>
        <w:t>cybersecurity</w:t>
      </w:r>
      <w:r w:rsidRPr="005A4AFC">
        <w:rPr>
          <w:szCs w:val="18"/>
          <w:lang w:val="nl-NL"/>
        </w:rPr>
        <w:t>.</w:t>
      </w:r>
      <w:r>
        <w:rPr>
          <w:szCs w:val="18"/>
          <w:lang w:val="nl-NL"/>
        </w:rPr>
        <w:t xml:space="preserve"> Vooral in opkomende en zich ontwikkelende markten ontbreekt het aan capaciteit om eigenstandig het hoofd te bieden aan maatschappelijke uitdagingen. Toegang tot deze groeimarkten is echter niet vanzelfsprekend. Daarvoor is veelal een lange adem nodig alsmede partnerschappen tussen overheden, bedrijven en kennisinstellingen. Hier helpt onze</w:t>
      </w:r>
      <w:r w:rsidRPr="00376B38">
        <w:rPr>
          <w:szCs w:val="18"/>
          <w:lang w:val="nl-NL"/>
        </w:rPr>
        <w:t xml:space="preserve"> jarenlange ervaring met publiek-private samenwerking</w:t>
      </w:r>
      <w:r>
        <w:rPr>
          <w:szCs w:val="18"/>
          <w:lang w:val="nl-NL"/>
        </w:rPr>
        <w:t xml:space="preserve">. En hier helpen onze jarenlange hulprelaties met </w:t>
      </w:r>
      <w:r w:rsidRPr="00376B38">
        <w:rPr>
          <w:szCs w:val="18"/>
          <w:lang w:val="nl-NL"/>
        </w:rPr>
        <w:t xml:space="preserve">lokale partners in </w:t>
      </w:r>
      <w:r>
        <w:rPr>
          <w:szCs w:val="18"/>
          <w:lang w:val="nl-NL"/>
        </w:rPr>
        <w:t>opkomende en zich ontwikkelende markten</w:t>
      </w:r>
      <w:r w:rsidRPr="00376B38">
        <w:rPr>
          <w:szCs w:val="18"/>
          <w:lang w:val="nl-NL"/>
        </w:rPr>
        <w:t>.</w:t>
      </w:r>
      <w:r>
        <w:rPr>
          <w:szCs w:val="18"/>
          <w:lang w:val="nl-NL"/>
        </w:rPr>
        <w:t xml:space="preserve"> </w:t>
      </w:r>
    </w:p>
    <w:p w:rsidR="001E56AA" w:rsidP="006D54B0" w:rsidRDefault="001E56AA">
      <w:pPr>
        <w:spacing w:after="0" w:line="276" w:lineRule="auto"/>
        <w:rPr>
          <w:szCs w:val="18"/>
          <w:lang w:val="nl-NL"/>
        </w:rPr>
      </w:pPr>
    </w:p>
    <w:p w:rsidR="001E56AA" w:rsidP="006D54B0" w:rsidRDefault="001E56AA">
      <w:pPr>
        <w:spacing w:after="0" w:line="276" w:lineRule="auto"/>
        <w:rPr>
          <w:szCs w:val="18"/>
          <w:lang w:val="nl-NL"/>
        </w:rPr>
      </w:pPr>
      <w:r>
        <w:rPr>
          <w:szCs w:val="18"/>
          <w:lang w:val="nl-NL"/>
        </w:rPr>
        <w:t xml:space="preserve">De Nederlandse overheid ondersteunt bedrijven en kennisinstellingen bij het leggen van de noodzakelijke verbindingen in Nederland en daarbuiten. </w:t>
      </w:r>
      <w:r w:rsidR="00E107AE">
        <w:rPr>
          <w:szCs w:val="18"/>
          <w:lang w:val="nl-NL"/>
        </w:rPr>
        <w:t>Het</w:t>
      </w:r>
      <w:r w:rsidRPr="00986FDB">
        <w:rPr>
          <w:szCs w:val="18"/>
          <w:lang w:val="nl-NL"/>
        </w:rPr>
        <w:t xml:space="preserve"> instrument Partners in International Business (PIB) </w:t>
      </w:r>
      <w:r w:rsidR="00E107AE">
        <w:rPr>
          <w:szCs w:val="18"/>
          <w:lang w:val="nl-NL"/>
        </w:rPr>
        <w:t>is</w:t>
      </w:r>
      <w:r w:rsidRPr="00986FDB" w:rsidR="00E107AE">
        <w:rPr>
          <w:szCs w:val="18"/>
          <w:lang w:val="nl-NL"/>
        </w:rPr>
        <w:t xml:space="preserve"> </w:t>
      </w:r>
      <w:r w:rsidRPr="00986FDB">
        <w:rPr>
          <w:szCs w:val="18"/>
          <w:lang w:val="nl-NL"/>
        </w:rPr>
        <w:t xml:space="preserve">bedoeld om samenwerkingsverbanden van Nederlandse bedrijven en kennisinstellingen te ondersteunen bij hun internationale ambities. </w:t>
      </w:r>
      <w:r w:rsidR="00E107AE">
        <w:rPr>
          <w:szCs w:val="18"/>
          <w:lang w:val="nl-NL"/>
        </w:rPr>
        <w:t>H</w:t>
      </w:r>
      <w:r w:rsidRPr="00986FDB">
        <w:rPr>
          <w:szCs w:val="18"/>
          <w:lang w:val="nl-NL"/>
        </w:rPr>
        <w:t>et succes van de publiek-private partnerschappen</w:t>
      </w:r>
      <w:r>
        <w:rPr>
          <w:szCs w:val="18"/>
          <w:lang w:val="nl-NL"/>
        </w:rPr>
        <w:t>,</w:t>
      </w:r>
      <w:r w:rsidR="00F17E79">
        <w:rPr>
          <w:szCs w:val="18"/>
          <w:lang w:val="nl-NL"/>
        </w:rPr>
        <w:t xml:space="preserve"> </w:t>
      </w:r>
      <w:r w:rsidRPr="00986FDB">
        <w:rPr>
          <w:szCs w:val="18"/>
          <w:lang w:val="nl-NL"/>
        </w:rPr>
        <w:t>die via het Fonds Duurzaam Water (FDW) en de Faciliteit Duurzaam Ondernemen en Voedselzekerheid (FDOV) zijn gesmeed</w:t>
      </w:r>
      <w:r>
        <w:rPr>
          <w:szCs w:val="18"/>
          <w:lang w:val="nl-NL"/>
        </w:rPr>
        <w:t>,</w:t>
      </w:r>
      <w:r w:rsidRPr="00986FDB">
        <w:rPr>
          <w:szCs w:val="18"/>
          <w:lang w:val="nl-NL"/>
        </w:rPr>
        <w:t xml:space="preserve"> toont aan dat dit een succesvolle manier van werken is. </w:t>
      </w:r>
      <w:r w:rsidR="00E107AE">
        <w:rPr>
          <w:szCs w:val="18"/>
          <w:lang w:val="nl-NL"/>
        </w:rPr>
        <w:t>H</w:t>
      </w:r>
      <w:r w:rsidRPr="00986FDB">
        <w:rPr>
          <w:szCs w:val="18"/>
          <w:lang w:val="nl-NL"/>
        </w:rPr>
        <w:t>et bedrijf Agrico</w:t>
      </w:r>
      <w:r w:rsidR="00E107AE">
        <w:rPr>
          <w:szCs w:val="18"/>
          <w:lang w:val="nl-NL"/>
        </w:rPr>
        <w:t xml:space="preserve"> heeft</w:t>
      </w:r>
      <w:r w:rsidRPr="00986FDB">
        <w:rPr>
          <w:szCs w:val="18"/>
          <w:lang w:val="nl-NL"/>
        </w:rPr>
        <w:t xml:space="preserve"> in samenwerking met ngo’s en de Nederlandse ambassade in Nairobi een nieuw aardappelras in Kenia geïntroduceerd. Dankzij de introductie van dit nieuwe ras hebben boeren in Kenia een betere oogst en is de voedselproductie in Kenia aanzienlijk gestegen. Agrico’s sterke lokale netwerk van kleine boeren en vooral boerinnen, is een belangrijke sleutel tot dit succes gebleken.</w:t>
      </w:r>
      <w:r w:rsidRPr="009839F7">
        <w:rPr>
          <w:lang w:val="nl-NL"/>
        </w:rPr>
        <w:t xml:space="preserve"> </w:t>
      </w:r>
      <w:r w:rsidRPr="00986FDB">
        <w:rPr>
          <w:szCs w:val="18"/>
          <w:lang w:val="nl-NL"/>
        </w:rPr>
        <w:t xml:space="preserve">In 2015 is Develop2Build (D2B) geïntroduceerd. Met dit instrument worden </w:t>
      </w:r>
      <w:r>
        <w:rPr>
          <w:szCs w:val="18"/>
          <w:lang w:val="nl-NL"/>
        </w:rPr>
        <w:t xml:space="preserve">lokale </w:t>
      </w:r>
      <w:r w:rsidRPr="00986FDB">
        <w:rPr>
          <w:szCs w:val="18"/>
          <w:lang w:val="nl-NL"/>
        </w:rPr>
        <w:t>overheden ondersteund op het gebied van infrastructuur in de sectoren water, voedselzekerheid, klimaat en seksuele en reproductieve gezondheidszorg en rechten. Bedrijven die willen bijdragen aan de totstandkoming van publieke infrastructuur in zich ontwikkelende landen, kunnen in aanmerking komen voor een financiële bijdrage vanuit het instrument Development Related Infrastructure Investment Vehicle (DRIVE).</w:t>
      </w:r>
      <w:r>
        <w:rPr>
          <w:szCs w:val="18"/>
          <w:lang w:val="nl-NL"/>
        </w:rPr>
        <w:t xml:space="preserve"> Ook de </w:t>
      </w:r>
      <w:r w:rsidRPr="00A25DA2">
        <w:rPr>
          <w:szCs w:val="18"/>
          <w:lang w:val="nl-NL"/>
        </w:rPr>
        <w:t>Nederlandse Financierings-Maatschappij voor Ontwikkelingslanden (FMO)</w:t>
      </w:r>
      <w:r>
        <w:rPr>
          <w:szCs w:val="18"/>
          <w:lang w:val="nl-NL"/>
        </w:rPr>
        <w:t xml:space="preserve"> ondersteunt het Nederlandse bedrijfsleven dat in opkomende markten wil investeren met financiering en </w:t>
      </w:r>
      <w:r w:rsidRPr="00A25DA2">
        <w:rPr>
          <w:szCs w:val="18"/>
          <w:lang w:val="nl-NL"/>
        </w:rPr>
        <w:t xml:space="preserve">structurering </w:t>
      </w:r>
      <w:r>
        <w:rPr>
          <w:szCs w:val="18"/>
          <w:lang w:val="nl-NL"/>
        </w:rPr>
        <w:t>of verdere</w:t>
      </w:r>
      <w:r w:rsidRPr="00A25DA2">
        <w:rPr>
          <w:szCs w:val="18"/>
          <w:lang w:val="nl-NL"/>
        </w:rPr>
        <w:t xml:space="preserve"> uitwerking van proposities</w:t>
      </w:r>
      <w:r>
        <w:rPr>
          <w:szCs w:val="18"/>
          <w:lang w:val="nl-NL"/>
        </w:rPr>
        <w:t>. Daarbij neemt FMO zelf een grotere rol in het initiëren van projecten die anders niet van de grond komen, om clusters van Nederlandse bedrijven te laten investeren in opkomende markten.</w:t>
      </w:r>
    </w:p>
    <w:p w:rsidR="001E56AA" w:rsidP="006D54B0" w:rsidRDefault="001E56AA">
      <w:pPr>
        <w:spacing w:after="0" w:line="276" w:lineRule="auto"/>
        <w:rPr>
          <w:szCs w:val="18"/>
          <w:lang w:val="nl-NL"/>
        </w:rPr>
      </w:pPr>
    </w:p>
    <w:p w:rsidRPr="009839F7" w:rsidR="001E56AA" w:rsidP="006D54B0" w:rsidRDefault="001E56AA">
      <w:pPr>
        <w:spacing w:after="0" w:line="276" w:lineRule="auto"/>
        <w:rPr>
          <w:lang w:val="nl-NL"/>
        </w:rPr>
      </w:pPr>
      <w:r w:rsidRPr="009839F7">
        <w:rPr>
          <w:i/>
          <w:lang w:val="nl-NL"/>
        </w:rPr>
        <w:t>Global Goals en topsectoren</w:t>
      </w:r>
      <w:r w:rsidRPr="009839F7">
        <w:rPr>
          <w:i/>
          <w:lang w:val="nl-NL"/>
        </w:rPr>
        <w:br/>
      </w:r>
      <w:r>
        <w:rPr>
          <w:szCs w:val="18"/>
          <w:lang w:val="nl-NL"/>
        </w:rPr>
        <w:t>Steeds vaker wordt een meerjarige programmatische aanpak in de</w:t>
      </w:r>
      <w:r w:rsidRPr="009839F7">
        <w:rPr>
          <w:lang w:val="nl-NL"/>
        </w:rPr>
        <w:t xml:space="preserve"> economische diplomatie</w:t>
      </w:r>
      <w:r>
        <w:rPr>
          <w:lang w:val="nl-NL"/>
        </w:rPr>
        <w:t xml:space="preserve"> gehanteerd om wereldwijd successen te boeken</w:t>
      </w:r>
      <w:r w:rsidRPr="009839F7">
        <w:rPr>
          <w:lang w:val="nl-NL"/>
        </w:rPr>
        <w:t xml:space="preserve">. Er liggen nog veel mogelijkheden </w:t>
      </w:r>
      <w:r>
        <w:rPr>
          <w:szCs w:val="18"/>
          <w:lang w:val="nl-NL"/>
        </w:rPr>
        <w:t xml:space="preserve">wanneer </w:t>
      </w:r>
      <w:r w:rsidRPr="009839F7">
        <w:rPr>
          <w:lang w:val="nl-NL"/>
        </w:rPr>
        <w:t>Nederlandse kennis en kunde</w:t>
      </w:r>
      <w:r>
        <w:rPr>
          <w:lang w:val="nl-NL"/>
        </w:rPr>
        <w:t xml:space="preserve"> </w:t>
      </w:r>
      <w:r>
        <w:rPr>
          <w:szCs w:val="18"/>
          <w:lang w:val="nl-NL"/>
        </w:rPr>
        <w:t>expliciet gekoppeld wordt</w:t>
      </w:r>
      <w:r w:rsidRPr="009839F7">
        <w:rPr>
          <w:szCs w:val="18"/>
          <w:lang w:val="nl-NL"/>
        </w:rPr>
        <w:t xml:space="preserve"> </w:t>
      </w:r>
      <w:r w:rsidRPr="009839F7">
        <w:rPr>
          <w:lang w:val="nl-NL"/>
        </w:rPr>
        <w:t xml:space="preserve">aan de </w:t>
      </w:r>
      <w:r>
        <w:rPr>
          <w:lang w:val="nl-NL"/>
        </w:rPr>
        <w:t>Global</w:t>
      </w:r>
      <w:r w:rsidRPr="009839F7">
        <w:rPr>
          <w:lang w:val="nl-NL"/>
        </w:rPr>
        <w:t xml:space="preserve"> Goals. Zo zullen de topsectoren de krachten rondom wereldwijde maatschappelijke uitdagingen verder bundelen en inzetten op terreinen waar Nederland echt verschil kan maken. Daartoe worden de internationaliseringsagenda’s van de topsectoren verbreed en zal naast aandacht voor exportbevordering, meer nadruk worden gelegd op innovatiesamenwerking en het aantrekken van buitenlandse kenniswerkers en investeringen die de </w:t>
      </w:r>
      <w:r w:rsidRPr="009839F7">
        <w:rPr>
          <w:szCs w:val="18"/>
          <w:lang w:val="nl-NL"/>
        </w:rPr>
        <w:t>topsector</w:t>
      </w:r>
      <w:r w:rsidRPr="009839F7">
        <w:rPr>
          <w:lang w:val="nl-NL"/>
        </w:rPr>
        <w:t xml:space="preserve"> kunnen versterken. Nederland heeft </w:t>
      </w:r>
      <w:r w:rsidDel="000575BB">
        <w:rPr>
          <w:lang w:val="nl-NL"/>
        </w:rPr>
        <w:t xml:space="preserve">immers </w:t>
      </w:r>
      <w:r w:rsidRPr="009839F7">
        <w:rPr>
          <w:lang w:val="nl-NL"/>
        </w:rPr>
        <w:t xml:space="preserve">ook zelf buitenlandse kennis en partijen nodig om tot nieuwe baanbrekende innovaties te komen om zijn positie wereldwijd te versterken. </w:t>
      </w:r>
    </w:p>
    <w:p w:rsidR="001E56AA" w:rsidP="006D54B0" w:rsidRDefault="001E56AA">
      <w:pPr>
        <w:spacing w:after="0" w:line="276" w:lineRule="auto"/>
        <w:rPr>
          <w:lang w:val="nl-NL"/>
        </w:rPr>
      </w:pPr>
    </w:p>
    <w:p w:rsidRPr="00D72867" w:rsidR="001E56AA" w:rsidP="006D54B0" w:rsidRDefault="001E56AA">
      <w:pPr>
        <w:tabs>
          <w:tab w:val="left" w:pos="2970"/>
        </w:tabs>
        <w:spacing w:after="0" w:line="276" w:lineRule="auto"/>
        <w:rPr>
          <w:b/>
          <w:lang w:val="nl-NL"/>
        </w:rPr>
      </w:pPr>
      <w:r>
        <w:rPr>
          <w:b/>
          <w:lang w:val="nl-NL"/>
        </w:rPr>
        <w:t>4. H</w:t>
      </w:r>
      <w:r w:rsidRPr="00D72867">
        <w:rPr>
          <w:b/>
          <w:lang w:val="nl-NL"/>
        </w:rPr>
        <w:t xml:space="preserve">et versterken van de publiek-private samenwerking </w:t>
      </w:r>
      <w:r>
        <w:rPr>
          <w:b/>
          <w:lang w:val="nl-NL"/>
        </w:rPr>
        <w:t>tussen dienstverleners</w:t>
      </w:r>
    </w:p>
    <w:p w:rsidR="00285F6D" w:rsidP="00285F6D" w:rsidRDefault="00285F6D">
      <w:pPr>
        <w:spacing w:after="0" w:line="276" w:lineRule="auto"/>
        <w:rPr>
          <w:lang w:val="nl-NL"/>
        </w:rPr>
      </w:pPr>
      <w:r w:rsidRPr="007C69C6">
        <w:rPr>
          <w:szCs w:val="18"/>
          <w:lang w:val="nl-NL"/>
        </w:rPr>
        <w:t xml:space="preserve">In de afgelopen jaren </w:t>
      </w:r>
      <w:r>
        <w:rPr>
          <w:szCs w:val="18"/>
          <w:lang w:val="nl-NL"/>
        </w:rPr>
        <w:t>is</w:t>
      </w:r>
      <w:r w:rsidRPr="007C69C6">
        <w:rPr>
          <w:szCs w:val="18"/>
          <w:lang w:val="nl-NL"/>
        </w:rPr>
        <w:t xml:space="preserve"> de samenwerking tussen </w:t>
      </w:r>
      <w:r>
        <w:rPr>
          <w:szCs w:val="18"/>
          <w:lang w:val="nl-NL"/>
        </w:rPr>
        <w:t>de</w:t>
      </w:r>
      <w:r w:rsidRPr="007C69C6">
        <w:rPr>
          <w:szCs w:val="18"/>
          <w:lang w:val="nl-NL"/>
        </w:rPr>
        <w:t xml:space="preserve"> </w:t>
      </w:r>
      <w:r w:rsidRPr="00A72B59">
        <w:rPr>
          <w:lang w:val="nl-NL"/>
        </w:rPr>
        <w:t>publieke</w:t>
      </w:r>
      <w:r w:rsidRPr="007C69C6">
        <w:rPr>
          <w:szCs w:val="18"/>
          <w:lang w:val="nl-NL"/>
        </w:rPr>
        <w:t xml:space="preserve"> organisaties die verantwoordelijk zijn voor de economische dienstverlening - de </w:t>
      </w:r>
      <w:r w:rsidRPr="007C69C6">
        <w:rPr>
          <w:rFonts w:eastAsia="Calibri"/>
          <w:szCs w:val="18"/>
          <w:lang w:val="nl-NL"/>
        </w:rPr>
        <w:t>ministeries van Buitenlandse Zaken en Economische Zaken, het postennet en RVO.nl –</w:t>
      </w:r>
      <w:r>
        <w:rPr>
          <w:rFonts w:eastAsia="Calibri"/>
          <w:szCs w:val="18"/>
          <w:lang w:val="nl-NL"/>
        </w:rPr>
        <w:t xml:space="preserve"> </w:t>
      </w:r>
      <w:r w:rsidRPr="007C69C6">
        <w:rPr>
          <w:rFonts w:eastAsia="Calibri"/>
          <w:szCs w:val="18"/>
          <w:lang w:val="nl-NL"/>
        </w:rPr>
        <w:t xml:space="preserve">verbeterd </w:t>
      </w:r>
      <w:r>
        <w:rPr>
          <w:rFonts w:eastAsia="Calibri"/>
          <w:szCs w:val="18"/>
          <w:lang w:val="nl-NL"/>
        </w:rPr>
        <w:t xml:space="preserve">met onder meer de vernieuwing van het zogenoemde concordaat </w:t>
      </w:r>
      <w:r w:rsidRPr="007C69C6">
        <w:rPr>
          <w:rFonts w:eastAsia="Calibri"/>
          <w:szCs w:val="18"/>
          <w:lang w:val="nl-NL"/>
        </w:rPr>
        <w:t>en de introductie van One</w:t>
      </w:r>
      <w:r>
        <w:rPr>
          <w:rFonts w:eastAsia="Calibri"/>
          <w:szCs w:val="18"/>
          <w:lang w:val="nl-NL"/>
        </w:rPr>
        <w:t xml:space="preserve"> T</w:t>
      </w:r>
      <w:r w:rsidRPr="007C69C6">
        <w:rPr>
          <w:rFonts w:eastAsia="Calibri"/>
          <w:szCs w:val="18"/>
          <w:lang w:val="nl-NL"/>
        </w:rPr>
        <w:t>eam op de posten</w:t>
      </w:r>
      <w:r>
        <w:rPr>
          <w:rStyle w:val="FootnoteReference"/>
          <w:rFonts w:eastAsia="Calibri"/>
          <w:szCs w:val="18"/>
          <w:lang w:val="nl-NL"/>
        </w:rPr>
        <w:footnoteReference w:id="7"/>
      </w:r>
      <w:r>
        <w:rPr>
          <w:lang w:val="nl-NL"/>
        </w:rPr>
        <w:t>.</w:t>
      </w:r>
      <w:r>
        <w:rPr>
          <w:vertAlign w:val="superscript"/>
          <w:lang w:val="nl-NL"/>
        </w:rPr>
        <w:t xml:space="preserve"> </w:t>
      </w:r>
      <w:r>
        <w:rPr>
          <w:lang w:val="nl-NL"/>
        </w:rPr>
        <w:t xml:space="preserve">In het concordaat </w:t>
      </w:r>
      <w:r>
        <w:rPr>
          <w:rFonts w:eastAsia="Calibri"/>
          <w:szCs w:val="18"/>
          <w:lang w:val="nl-NL"/>
        </w:rPr>
        <w:t xml:space="preserve">wordt de samenwerking </w:t>
      </w:r>
      <w:r w:rsidRPr="00FE5213">
        <w:rPr>
          <w:rFonts w:eastAsia="Calibri"/>
          <w:szCs w:val="18"/>
          <w:lang w:val="nl-NL"/>
        </w:rPr>
        <w:t xml:space="preserve">tussen de </w:t>
      </w:r>
      <w:r>
        <w:rPr>
          <w:rFonts w:eastAsia="Calibri"/>
          <w:szCs w:val="18"/>
          <w:lang w:val="nl-NL"/>
        </w:rPr>
        <w:t xml:space="preserve">medewerkers van de </w:t>
      </w:r>
      <w:r w:rsidRPr="00FE5213">
        <w:rPr>
          <w:rFonts w:eastAsia="Calibri"/>
          <w:szCs w:val="18"/>
          <w:lang w:val="nl-NL"/>
        </w:rPr>
        <w:t xml:space="preserve">ministeries van Buitenlandse Zaken en Economische Zaken </w:t>
      </w:r>
      <w:r>
        <w:rPr>
          <w:rFonts w:eastAsia="Calibri"/>
          <w:szCs w:val="18"/>
          <w:lang w:val="nl-NL"/>
        </w:rPr>
        <w:t xml:space="preserve">in het ambassadenetwerk </w:t>
      </w:r>
      <w:r w:rsidRPr="00FE5213">
        <w:rPr>
          <w:rFonts w:eastAsia="Calibri"/>
          <w:szCs w:val="18"/>
          <w:lang w:val="nl-NL"/>
        </w:rPr>
        <w:t>geregeld</w:t>
      </w:r>
      <w:r>
        <w:rPr>
          <w:rFonts w:eastAsia="Calibri"/>
          <w:szCs w:val="18"/>
          <w:lang w:val="nl-NL"/>
        </w:rPr>
        <w:t>.</w:t>
      </w:r>
      <w:r w:rsidRPr="007C69C6">
        <w:rPr>
          <w:lang w:val="nl-NL"/>
        </w:rPr>
        <w:t xml:space="preserve"> De </w:t>
      </w:r>
      <w:r w:rsidRPr="007C69C6">
        <w:rPr>
          <w:szCs w:val="18"/>
          <w:lang w:val="nl-NL"/>
        </w:rPr>
        <w:t>Auditdienst Rijk (</w:t>
      </w:r>
      <w:r>
        <w:rPr>
          <w:lang w:val="nl-NL"/>
        </w:rPr>
        <w:t>ADR) is</w:t>
      </w:r>
      <w:r w:rsidRPr="007C69C6">
        <w:rPr>
          <w:lang w:val="nl-NL"/>
        </w:rPr>
        <w:t xml:space="preserve"> in 2015 gevraagd onderzoek te doen naar de</w:t>
      </w:r>
      <w:r>
        <w:rPr>
          <w:lang w:val="nl-NL"/>
        </w:rPr>
        <w:t>ze</w:t>
      </w:r>
      <w:r w:rsidRPr="007C69C6">
        <w:rPr>
          <w:lang w:val="nl-NL"/>
        </w:rPr>
        <w:t xml:space="preserve"> samenwerking</w:t>
      </w:r>
      <w:r>
        <w:rPr>
          <w:lang w:val="nl-NL"/>
        </w:rPr>
        <w:t>. De ADR</w:t>
      </w:r>
      <w:r w:rsidRPr="007C69C6">
        <w:rPr>
          <w:lang w:val="nl-NL"/>
        </w:rPr>
        <w:t xml:space="preserve"> </w:t>
      </w:r>
      <w:r w:rsidRPr="007C69C6">
        <w:rPr>
          <w:rFonts w:eastAsia="Calibri"/>
          <w:szCs w:val="18"/>
          <w:lang w:val="nl-NL"/>
        </w:rPr>
        <w:t xml:space="preserve">constateert </w:t>
      </w:r>
      <w:r w:rsidRPr="001C6B8D">
        <w:rPr>
          <w:rFonts w:eastAsia="Calibri"/>
          <w:szCs w:val="18"/>
          <w:lang w:val="nl-NL"/>
        </w:rPr>
        <w:t xml:space="preserve">dat de bereidheid tot samenwerken groot is, dat de samenwerking in het algemeen goed verloopt en </w:t>
      </w:r>
      <w:r>
        <w:rPr>
          <w:rFonts w:eastAsia="Calibri"/>
          <w:szCs w:val="18"/>
          <w:lang w:val="nl-NL"/>
        </w:rPr>
        <w:t>d</w:t>
      </w:r>
      <w:r w:rsidRPr="001C6B8D">
        <w:rPr>
          <w:rFonts w:eastAsia="Calibri"/>
          <w:szCs w:val="18"/>
          <w:lang w:val="nl-NL"/>
        </w:rPr>
        <w:t>at er oog en respect is voor de kracht en toegevoegde waarde van de verschillende beleidsspecialismen</w:t>
      </w:r>
      <w:r>
        <w:rPr>
          <w:rFonts w:eastAsia="Calibri"/>
          <w:szCs w:val="18"/>
          <w:lang w:val="nl-NL"/>
        </w:rPr>
        <w:t xml:space="preserve"> </w:t>
      </w:r>
      <w:r w:rsidRPr="001C6B8D">
        <w:rPr>
          <w:lang w:val="nl-NL"/>
        </w:rPr>
        <w:t xml:space="preserve">(zie </w:t>
      </w:r>
      <w:r>
        <w:rPr>
          <w:lang w:val="nl-NL"/>
        </w:rPr>
        <w:t>conclusies ADR-</w:t>
      </w:r>
      <w:r w:rsidRPr="001C6B8D">
        <w:rPr>
          <w:lang w:val="nl-NL"/>
        </w:rPr>
        <w:t xml:space="preserve">rapport in </w:t>
      </w:r>
      <w:r>
        <w:rPr>
          <w:lang w:val="nl-NL"/>
        </w:rPr>
        <w:t xml:space="preserve">de </w:t>
      </w:r>
      <w:r w:rsidRPr="001C6B8D">
        <w:rPr>
          <w:lang w:val="nl-NL"/>
        </w:rPr>
        <w:t>bijlage)</w:t>
      </w:r>
      <w:r w:rsidRPr="007C69C6">
        <w:rPr>
          <w:rFonts w:eastAsia="Calibri"/>
          <w:szCs w:val="18"/>
          <w:lang w:val="nl-NL"/>
        </w:rPr>
        <w:t xml:space="preserve">. </w:t>
      </w:r>
      <w:r w:rsidRPr="00BA0CEF">
        <w:rPr>
          <w:rFonts w:eastAsia="Calibri"/>
          <w:szCs w:val="18"/>
          <w:lang w:val="nl-NL"/>
        </w:rPr>
        <w:t>Geholpen door het ADR advies</w:t>
      </w:r>
      <w:r>
        <w:rPr>
          <w:rFonts w:eastAsia="Calibri"/>
          <w:szCs w:val="18"/>
          <w:lang w:val="nl-NL"/>
        </w:rPr>
        <w:t xml:space="preserve"> ondernemen de publieke partijen verdere actie zoals het </w:t>
      </w:r>
      <w:r w:rsidRPr="00BA0CEF">
        <w:rPr>
          <w:rFonts w:eastAsia="Calibri"/>
          <w:szCs w:val="18"/>
          <w:lang w:val="nl-NL"/>
        </w:rPr>
        <w:t xml:space="preserve">bepalen van het gezamenlijke ambitieniveau </w:t>
      </w:r>
      <w:r>
        <w:rPr>
          <w:rFonts w:eastAsia="Calibri"/>
          <w:szCs w:val="18"/>
          <w:lang w:val="nl-NL"/>
        </w:rPr>
        <w:t xml:space="preserve">en de </w:t>
      </w:r>
      <w:r w:rsidRPr="00BA0CEF">
        <w:rPr>
          <w:rFonts w:eastAsia="Calibri"/>
          <w:szCs w:val="18"/>
          <w:lang w:val="nl-NL"/>
        </w:rPr>
        <w:t>verdere ontwikkeling en gebruik van een gedeeld klantregistratiesysteem, met als doel betere bediening van klanten en een effectievere inzet van overheidsdiensten.</w:t>
      </w:r>
      <w:r w:rsidRPr="00497AC6">
        <w:rPr>
          <w:color w:val="FF0000"/>
          <w:lang w:val="nl-NL"/>
        </w:rPr>
        <w:t xml:space="preserve"> </w:t>
      </w:r>
    </w:p>
    <w:p w:rsidR="00285F6D" w:rsidP="00285F6D" w:rsidRDefault="00285F6D">
      <w:pPr>
        <w:spacing w:after="0" w:line="276" w:lineRule="auto"/>
        <w:rPr>
          <w:lang w:val="nl-NL"/>
        </w:rPr>
      </w:pPr>
    </w:p>
    <w:p w:rsidR="00285F6D" w:rsidP="00285F6D" w:rsidRDefault="00285F6D">
      <w:pPr>
        <w:spacing w:after="0" w:line="276" w:lineRule="auto"/>
        <w:rPr>
          <w:lang w:val="nl-NL"/>
        </w:rPr>
      </w:pPr>
      <w:r w:rsidRPr="007D3693">
        <w:rPr>
          <w:rFonts w:eastAsia="Calibri"/>
          <w:szCs w:val="18"/>
          <w:lang w:val="nl-NL"/>
        </w:rPr>
        <w:t>Excellente dienstverlening vereist</w:t>
      </w:r>
      <w:r>
        <w:rPr>
          <w:rFonts w:eastAsia="Calibri"/>
          <w:szCs w:val="18"/>
          <w:lang w:val="nl-NL"/>
        </w:rPr>
        <w:t xml:space="preserve"> ook</w:t>
      </w:r>
      <w:r w:rsidRPr="007D3693">
        <w:rPr>
          <w:rFonts w:eastAsia="Calibri"/>
          <w:szCs w:val="18"/>
          <w:lang w:val="nl-NL"/>
        </w:rPr>
        <w:t xml:space="preserve"> excellente publiek-private samenwerking</w:t>
      </w:r>
      <w:r>
        <w:rPr>
          <w:rFonts w:eastAsia="Calibri"/>
          <w:szCs w:val="18"/>
          <w:lang w:val="nl-NL"/>
        </w:rPr>
        <w:t xml:space="preserve">. </w:t>
      </w:r>
      <w:r>
        <w:rPr>
          <w:lang w:val="nl-NL"/>
        </w:rPr>
        <w:t>Het kabinet heeft vanaf 2017 structureel 10 miljoen euro ter beschikking gesteld voor inspanningen die de concurrentiepositie van Nederland in het buitenland versterken.</w:t>
      </w:r>
      <w:r w:rsidRPr="00AC5794">
        <w:rPr>
          <w:color w:val="FF0000"/>
          <w:lang w:val="nl-NL"/>
        </w:rPr>
        <w:t xml:space="preserve"> </w:t>
      </w:r>
      <w:r w:rsidRPr="00A930A8">
        <w:rPr>
          <w:lang w:val="nl-NL"/>
        </w:rPr>
        <w:t>D</w:t>
      </w:r>
      <w:r>
        <w:rPr>
          <w:lang w:val="nl-NL"/>
        </w:rPr>
        <w:t xml:space="preserve">at </w:t>
      </w:r>
      <w:r w:rsidRPr="00A930A8">
        <w:rPr>
          <w:lang w:val="nl-NL"/>
        </w:rPr>
        <w:t>kan onder andere door een gerichtere voorbereiding en follow-up van economische missies</w:t>
      </w:r>
      <w:r>
        <w:rPr>
          <w:lang w:val="nl-NL"/>
        </w:rPr>
        <w:t xml:space="preserve"> en </w:t>
      </w:r>
      <w:r w:rsidRPr="00F8378E">
        <w:rPr>
          <w:lang w:val="nl-NL"/>
        </w:rPr>
        <w:t>een effectiever internationaal topsectorenbeleid</w:t>
      </w:r>
      <w:r>
        <w:rPr>
          <w:lang w:val="nl-NL"/>
        </w:rPr>
        <w:t xml:space="preserve">. </w:t>
      </w:r>
      <w:r w:rsidRPr="007C69C6">
        <w:rPr>
          <w:lang w:val="nl-NL"/>
        </w:rPr>
        <w:t xml:space="preserve">De </w:t>
      </w:r>
      <w:r w:rsidRPr="0094221B">
        <w:rPr>
          <w:i/>
          <w:lang w:val="nl-NL"/>
        </w:rPr>
        <w:t>Dutch Trade and Investment Board</w:t>
      </w:r>
      <w:r w:rsidRPr="007C69C6">
        <w:rPr>
          <w:lang w:val="nl-NL"/>
        </w:rPr>
        <w:t xml:space="preserve"> (DTIB), het platform voor publiek-private samenwerking op het gebied van internationale handel en investeringen</w:t>
      </w:r>
      <w:r>
        <w:rPr>
          <w:lang w:val="nl-NL"/>
        </w:rPr>
        <w:t>,</w:t>
      </w:r>
      <w:r w:rsidRPr="007C69C6">
        <w:rPr>
          <w:lang w:val="nl-NL"/>
        </w:rPr>
        <w:t xml:space="preserve"> heeft een stuurgroep</w:t>
      </w:r>
      <w:r>
        <w:rPr>
          <w:rStyle w:val="FootnoteReference"/>
          <w:lang w:val="nl-NL"/>
        </w:rPr>
        <w:footnoteReference w:id="8"/>
      </w:r>
      <w:r w:rsidRPr="007C69C6">
        <w:rPr>
          <w:lang w:val="nl-NL"/>
        </w:rPr>
        <w:t xml:space="preserve"> ingesteld</w:t>
      </w:r>
      <w:r>
        <w:rPr>
          <w:lang w:val="nl-NL"/>
        </w:rPr>
        <w:t xml:space="preserve"> die begin</w:t>
      </w:r>
      <w:r w:rsidRPr="007C69C6">
        <w:rPr>
          <w:lang w:val="nl-NL"/>
        </w:rPr>
        <w:t xml:space="preserve"> 2017 </w:t>
      </w:r>
      <w:r>
        <w:rPr>
          <w:lang w:val="nl-NL"/>
        </w:rPr>
        <w:t>met een strategie voor handels- en investeringsbevordering komt alsmede met een plan van aanpak.</w:t>
      </w:r>
      <w:r w:rsidRPr="001C6B8D">
        <w:rPr>
          <w:lang w:val="nl-NL"/>
        </w:rPr>
        <w:t xml:space="preserve"> </w:t>
      </w:r>
      <w:r>
        <w:rPr>
          <w:rFonts w:eastAsia="Calibri"/>
          <w:szCs w:val="18"/>
          <w:lang w:val="nl-NL"/>
        </w:rPr>
        <w:t xml:space="preserve">De </w:t>
      </w:r>
      <w:r w:rsidRPr="007C69C6">
        <w:rPr>
          <w:rFonts w:eastAsia="Calibri"/>
          <w:szCs w:val="18"/>
          <w:lang w:val="nl-NL"/>
        </w:rPr>
        <w:t xml:space="preserve">urgentie </w:t>
      </w:r>
      <w:r>
        <w:rPr>
          <w:rFonts w:eastAsia="Calibri"/>
          <w:szCs w:val="18"/>
          <w:lang w:val="nl-NL"/>
        </w:rPr>
        <w:t xml:space="preserve">om de dienstverlening te versterken </w:t>
      </w:r>
      <w:r w:rsidRPr="007C69C6">
        <w:rPr>
          <w:rFonts w:eastAsia="Calibri"/>
          <w:szCs w:val="18"/>
          <w:lang w:val="nl-NL"/>
        </w:rPr>
        <w:t>speelt ook bij de private partners</w:t>
      </w:r>
      <w:r>
        <w:rPr>
          <w:rFonts w:eastAsia="Calibri"/>
          <w:szCs w:val="18"/>
          <w:lang w:val="nl-NL"/>
        </w:rPr>
        <w:t>,</w:t>
      </w:r>
      <w:r>
        <w:rPr>
          <w:lang w:val="nl-NL"/>
        </w:rPr>
        <w:t xml:space="preserve"> van wie actieve opstelling vereist is om de economische diplomatie optimaal in te richten. </w:t>
      </w:r>
    </w:p>
    <w:p w:rsidR="0098735C" w:rsidP="006D54B0" w:rsidRDefault="0098735C">
      <w:pPr>
        <w:spacing w:after="0" w:line="276" w:lineRule="auto"/>
        <w:rPr>
          <w:rFonts w:eastAsia="Calibri"/>
          <w:szCs w:val="18"/>
          <w:lang w:val="nl-NL"/>
        </w:rPr>
      </w:pPr>
    </w:p>
    <w:p w:rsidRPr="00190E8C" w:rsidR="001E56AA" w:rsidP="006D54B0" w:rsidRDefault="001E56AA">
      <w:pPr>
        <w:spacing w:after="0" w:line="276" w:lineRule="auto"/>
        <w:rPr>
          <w:b/>
          <w:lang w:val="nl-NL"/>
        </w:rPr>
      </w:pPr>
      <w:r w:rsidRPr="00190E8C">
        <w:rPr>
          <w:b/>
          <w:lang w:val="nl-NL"/>
        </w:rPr>
        <w:t>Bijlagen</w:t>
      </w:r>
      <w:r w:rsidRPr="00190E8C">
        <w:rPr>
          <w:b/>
          <w:lang w:val="nl-NL"/>
        </w:rPr>
        <w:br/>
      </w:r>
    </w:p>
    <w:p w:rsidR="001E56AA" w:rsidP="006D54B0" w:rsidRDefault="001E56AA">
      <w:pPr>
        <w:pStyle w:val="ListParagraph"/>
        <w:numPr>
          <w:ilvl w:val="0"/>
          <w:numId w:val="4"/>
        </w:numPr>
        <w:spacing w:after="0" w:line="276" w:lineRule="auto"/>
        <w:rPr>
          <w:lang w:val="nl-NL"/>
        </w:rPr>
      </w:pPr>
      <w:r>
        <w:rPr>
          <w:lang w:val="nl-NL"/>
        </w:rPr>
        <w:t>Halfjaarlijkse rapportage missies januari 2016-juni 2016</w:t>
      </w:r>
    </w:p>
    <w:p w:rsidR="001E56AA" w:rsidP="006D54B0" w:rsidRDefault="001E56AA">
      <w:pPr>
        <w:pStyle w:val="ListParagraph"/>
        <w:numPr>
          <w:ilvl w:val="0"/>
          <w:numId w:val="4"/>
        </w:numPr>
        <w:spacing w:after="0" w:line="276" w:lineRule="auto"/>
        <w:rPr>
          <w:lang w:val="nl-NL"/>
        </w:rPr>
      </w:pPr>
      <w:r>
        <w:rPr>
          <w:lang w:val="nl-NL"/>
        </w:rPr>
        <w:t>Tussenevaluatie pilot betaalde dienstverlening</w:t>
      </w:r>
    </w:p>
    <w:p w:rsidR="001E56AA" w:rsidP="006D54B0" w:rsidRDefault="001E56AA">
      <w:pPr>
        <w:pStyle w:val="ListParagraph"/>
        <w:numPr>
          <w:ilvl w:val="0"/>
          <w:numId w:val="4"/>
        </w:numPr>
        <w:spacing w:after="0" w:line="276" w:lineRule="auto"/>
        <w:rPr>
          <w:lang w:val="nl-NL"/>
        </w:rPr>
      </w:pPr>
      <w:r w:rsidRPr="00F22EB0">
        <w:rPr>
          <w:lang w:val="nl-NL"/>
        </w:rPr>
        <w:t xml:space="preserve">Bereik van het bedrijfsleveninstrumentarium voor Buitenlandse Handel en Ontwikkelingssamenwerking </w:t>
      </w:r>
    </w:p>
    <w:p w:rsidR="001E56AA" w:rsidP="006D54B0" w:rsidRDefault="001E56AA">
      <w:pPr>
        <w:pStyle w:val="ListParagraph"/>
        <w:numPr>
          <w:ilvl w:val="0"/>
          <w:numId w:val="4"/>
        </w:numPr>
        <w:spacing w:after="0" w:line="276" w:lineRule="auto"/>
        <w:rPr>
          <w:lang w:val="nl-NL"/>
        </w:rPr>
      </w:pPr>
      <w:r>
        <w:rPr>
          <w:lang w:val="nl-NL"/>
        </w:rPr>
        <w:t xml:space="preserve">Rapport </w:t>
      </w:r>
      <w:r w:rsidRPr="00E300E0">
        <w:rPr>
          <w:lang w:val="nl-NL"/>
        </w:rPr>
        <w:t xml:space="preserve">Auditdienst Rijk naar de samenwerking tussen de publieke uitvoerders van economische dienstverlening </w:t>
      </w:r>
    </w:p>
    <w:p w:rsidRPr="001E56AA" w:rsidR="00D309B7" w:rsidRDefault="00D309B7">
      <w:pPr>
        <w:rPr>
          <w:lang w:val="nl-NL"/>
        </w:rPr>
      </w:pPr>
    </w:p>
    <w:sectPr w:rsidRPr="001E56AA" w:rsidR="00D309B7" w:rsidSect="0097534A">
      <w:footerReference w:type="default" r:id="rId14"/>
      <w:pgSz w:w="12240" w:h="15840"/>
      <w:pgMar w:top="1440" w:right="1440" w:bottom="1338" w:left="1440" w:header="720" w:footer="720" w:gutter="0"/>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195F" w:rsidRDefault="001D195F" w:rsidP="001E56AA">
      <w:pPr>
        <w:spacing w:after="0"/>
      </w:pPr>
      <w:r>
        <w:separator/>
      </w:r>
    </w:p>
  </w:endnote>
  <w:endnote w:type="continuationSeparator" w:id="0">
    <w:p w:rsidR="001D195F" w:rsidRDefault="001D195F" w:rsidP="001E56AA">
      <w:pPr>
        <w:spacing w:after="0"/>
      </w:pPr>
      <w:r>
        <w:continuationSeparator/>
      </w:r>
    </w:p>
  </w:endnote>
  <w:endnote w:type="continuationNotice" w:id="1">
    <w:p w:rsidR="001D195F" w:rsidRDefault="001D195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9196273"/>
      <w:docPartObj>
        <w:docPartGallery w:val="Page Numbers (Bottom of Page)"/>
        <w:docPartUnique/>
      </w:docPartObj>
    </w:sdtPr>
    <w:sdtEndPr>
      <w:rPr>
        <w:noProof/>
      </w:rPr>
    </w:sdtEndPr>
    <w:sdtContent>
      <w:p w:rsidR="00BC0255" w:rsidRDefault="00BC0255">
        <w:pPr>
          <w:pStyle w:val="Footer"/>
          <w:jc w:val="center"/>
        </w:pPr>
        <w:r>
          <w:fldChar w:fldCharType="begin"/>
        </w:r>
        <w:r>
          <w:instrText xml:space="preserve"> PAGE   \* MERGEFORMAT </w:instrText>
        </w:r>
        <w:r>
          <w:fldChar w:fldCharType="separate"/>
        </w:r>
        <w:r w:rsidR="002433DF">
          <w:rPr>
            <w:noProof/>
          </w:rPr>
          <w:t>6</w:t>
        </w:r>
        <w:r>
          <w:rPr>
            <w:noProof/>
          </w:rPr>
          <w:fldChar w:fldCharType="end"/>
        </w:r>
      </w:p>
    </w:sdtContent>
  </w:sdt>
  <w:p w:rsidR="00BC0255" w:rsidRDefault="00BC02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195F" w:rsidRDefault="001D195F" w:rsidP="001E56AA">
      <w:pPr>
        <w:spacing w:after="0"/>
      </w:pPr>
      <w:r>
        <w:separator/>
      </w:r>
    </w:p>
  </w:footnote>
  <w:footnote w:type="continuationSeparator" w:id="0">
    <w:p w:rsidR="001D195F" w:rsidRDefault="001D195F" w:rsidP="001E56AA">
      <w:pPr>
        <w:spacing w:after="0"/>
      </w:pPr>
      <w:r>
        <w:continuationSeparator/>
      </w:r>
    </w:p>
  </w:footnote>
  <w:footnote w:type="continuationNotice" w:id="1">
    <w:p w:rsidR="001D195F" w:rsidRDefault="001D195F">
      <w:pPr>
        <w:spacing w:after="0"/>
      </w:pPr>
    </w:p>
  </w:footnote>
  <w:footnote w:id="2">
    <w:p w:rsidR="00BC0255" w:rsidRPr="006D54B0" w:rsidRDefault="00BC0255">
      <w:pPr>
        <w:pStyle w:val="FootnoteText"/>
        <w:rPr>
          <w:sz w:val="16"/>
          <w:szCs w:val="16"/>
          <w:lang w:val="nl-NL"/>
        </w:rPr>
      </w:pPr>
      <w:r w:rsidRPr="006D54B0">
        <w:rPr>
          <w:rStyle w:val="FootnoteReference"/>
          <w:sz w:val="16"/>
          <w:szCs w:val="16"/>
        </w:rPr>
        <w:footnoteRef/>
      </w:r>
      <w:r w:rsidRPr="006D54B0">
        <w:rPr>
          <w:sz w:val="16"/>
          <w:szCs w:val="16"/>
          <w:lang w:val="nl-NL"/>
        </w:rPr>
        <w:t xml:space="preserve"> Zie hierover de Kamerbrief ‘Versterking van de positie van Nederland in mondiale waardeketens’, dd. 16 mei 2014.</w:t>
      </w:r>
    </w:p>
  </w:footnote>
  <w:footnote w:id="3">
    <w:p w:rsidR="00BC0255" w:rsidRPr="006D54B0" w:rsidRDefault="00BC0255" w:rsidP="001E56AA">
      <w:pPr>
        <w:pStyle w:val="FootnoteText"/>
        <w:rPr>
          <w:sz w:val="16"/>
          <w:szCs w:val="16"/>
          <w:lang w:val="nl-NL"/>
        </w:rPr>
      </w:pPr>
      <w:r w:rsidRPr="006D54B0">
        <w:rPr>
          <w:rStyle w:val="FootnoteReference"/>
          <w:sz w:val="16"/>
          <w:szCs w:val="16"/>
        </w:rPr>
        <w:footnoteRef/>
      </w:r>
      <w:r w:rsidRPr="006D54B0">
        <w:rPr>
          <w:sz w:val="16"/>
          <w:szCs w:val="16"/>
          <w:lang w:val="nl-NL"/>
        </w:rPr>
        <w:t xml:space="preserve"> Handelsrelaties: Australië, België, Brazilië, Canada, China, Colombia, Duitsland, Frankrijk, Golfstaten, India, Irak, Japan, Maleisië, Mexico, Nigeria, Oekraïne, Polen, Roemenië, Rusland, Singapore, Turkije, Vietnam, VK, VS, Zuid-Afrika en Zuid-Korea</w:t>
      </w:r>
    </w:p>
  </w:footnote>
  <w:footnote w:id="4">
    <w:p w:rsidR="00BC0255" w:rsidRPr="006D54B0" w:rsidRDefault="00BC0255" w:rsidP="001E56AA">
      <w:pPr>
        <w:pStyle w:val="FootnoteText"/>
        <w:rPr>
          <w:sz w:val="16"/>
          <w:szCs w:val="16"/>
          <w:lang w:val="nl-NL"/>
        </w:rPr>
      </w:pPr>
      <w:r w:rsidRPr="006D54B0">
        <w:rPr>
          <w:rStyle w:val="FootnoteReference"/>
          <w:sz w:val="16"/>
          <w:szCs w:val="16"/>
        </w:rPr>
        <w:footnoteRef/>
      </w:r>
      <w:r w:rsidRPr="006D54B0">
        <w:rPr>
          <w:sz w:val="16"/>
          <w:szCs w:val="16"/>
          <w:lang w:val="nl-NL"/>
        </w:rPr>
        <w:t xml:space="preserve"> Hulprelaties: Afghanistan, Burundi, Mali, Jemen, Rwanda, Zuid-Sudan en de Palestijnse Gebieden.</w:t>
      </w:r>
    </w:p>
  </w:footnote>
  <w:footnote w:id="5">
    <w:p w:rsidR="00BC0255" w:rsidRPr="006D54B0" w:rsidRDefault="00BC0255" w:rsidP="001E56AA">
      <w:pPr>
        <w:pStyle w:val="FootnoteText"/>
        <w:rPr>
          <w:sz w:val="16"/>
          <w:szCs w:val="16"/>
          <w:lang w:val="nl-NL"/>
        </w:rPr>
      </w:pPr>
      <w:r w:rsidRPr="006D54B0">
        <w:rPr>
          <w:rStyle w:val="FootnoteReference"/>
          <w:sz w:val="16"/>
          <w:szCs w:val="16"/>
        </w:rPr>
        <w:footnoteRef/>
      </w:r>
      <w:r w:rsidRPr="006D54B0">
        <w:rPr>
          <w:sz w:val="16"/>
          <w:szCs w:val="16"/>
          <w:lang w:val="nl-NL"/>
        </w:rPr>
        <w:t xml:space="preserve"> Overgangsrelaties: Bangladesh, Benin, Ethiopië, Ghana, Indonesië, Kenia, Mozambique en Uganda. </w:t>
      </w:r>
    </w:p>
  </w:footnote>
  <w:footnote w:id="6">
    <w:p w:rsidR="006D54B0" w:rsidRPr="006D54B0" w:rsidRDefault="006D54B0" w:rsidP="006D54B0">
      <w:pPr>
        <w:pStyle w:val="FootnoteText"/>
        <w:rPr>
          <w:sz w:val="16"/>
          <w:szCs w:val="16"/>
          <w:lang w:val="nl-NL"/>
        </w:rPr>
      </w:pPr>
      <w:r w:rsidRPr="006D54B0">
        <w:rPr>
          <w:rStyle w:val="FootnoteReference"/>
          <w:sz w:val="16"/>
          <w:szCs w:val="16"/>
        </w:rPr>
        <w:footnoteRef/>
      </w:r>
      <w:r w:rsidRPr="006D54B0">
        <w:rPr>
          <w:sz w:val="16"/>
          <w:szCs w:val="16"/>
          <w:lang w:val="nl-NL"/>
        </w:rPr>
        <w:t xml:space="preserve"> Het gaat om de sectoren</w:t>
      </w:r>
      <w:r w:rsidR="0097217D" w:rsidRPr="0097217D">
        <w:rPr>
          <w:lang w:val="nl-NL"/>
        </w:rPr>
        <w:t xml:space="preserve"> </w:t>
      </w:r>
      <w:r w:rsidR="0097217D" w:rsidRPr="0097217D">
        <w:rPr>
          <w:sz w:val="16"/>
          <w:szCs w:val="16"/>
          <w:lang w:val="nl-NL"/>
        </w:rPr>
        <w:t>bouw, chemie, detailhandel, elektronica</w:t>
      </w:r>
      <w:r w:rsidR="0097217D">
        <w:rPr>
          <w:sz w:val="16"/>
          <w:szCs w:val="16"/>
          <w:lang w:val="nl-NL"/>
        </w:rPr>
        <w:t xml:space="preserve">, </w:t>
      </w:r>
      <w:r w:rsidR="0097217D" w:rsidRPr="0097217D">
        <w:rPr>
          <w:sz w:val="16"/>
          <w:szCs w:val="16"/>
          <w:lang w:val="nl-NL"/>
        </w:rPr>
        <w:t>energie, financiële sector, groothandel, hout en papier, land- en tuinbouw, metaal, olie en gas, textiel en kleding, en voedingsmiddelen.</w:t>
      </w:r>
      <w:r w:rsidRPr="006D54B0">
        <w:rPr>
          <w:sz w:val="16"/>
          <w:szCs w:val="16"/>
          <w:lang w:val="nl-NL"/>
        </w:rPr>
        <w:t xml:space="preserve">  </w:t>
      </w:r>
    </w:p>
  </w:footnote>
  <w:footnote w:id="7">
    <w:p w:rsidR="00285F6D" w:rsidRPr="009311A9" w:rsidRDefault="00285F6D" w:rsidP="00285F6D">
      <w:pPr>
        <w:pStyle w:val="FootnoteText"/>
        <w:rPr>
          <w:sz w:val="16"/>
          <w:szCs w:val="16"/>
          <w:lang w:val="nl-NL"/>
        </w:rPr>
      </w:pPr>
      <w:r w:rsidRPr="00325A6B">
        <w:rPr>
          <w:rStyle w:val="FootnoteReference"/>
          <w:sz w:val="16"/>
        </w:rPr>
        <w:footnoteRef/>
      </w:r>
      <w:r>
        <w:rPr>
          <w:lang w:val="nl-NL"/>
        </w:rPr>
        <w:t xml:space="preserve"> </w:t>
      </w:r>
      <w:r w:rsidRPr="009311A9">
        <w:rPr>
          <w:sz w:val="16"/>
          <w:szCs w:val="16"/>
          <w:lang w:val="nl-NL"/>
        </w:rPr>
        <w:t>Geïntegreerde samenwerking op de post.</w:t>
      </w:r>
      <w:r>
        <w:rPr>
          <w:sz w:val="16"/>
          <w:szCs w:val="16"/>
          <w:lang w:val="nl-NL"/>
        </w:rPr>
        <w:t xml:space="preserve"> </w:t>
      </w:r>
      <w:r w:rsidRPr="009311A9">
        <w:rPr>
          <w:sz w:val="16"/>
          <w:szCs w:val="16"/>
          <w:lang w:val="nl-NL"/>
        </w:rPr>
        <w:t>Staatscourant -2014-17236</w:t>
      </w:r>
    </w:p>
  </w:footnote>
  <w:footnote w:id="8">
    <w:p w:rsidR="00285F6D" w:rsidRPr="00F53133" w:rsidRDefault="00285F6D" w:rsidP="00285F6D">
      <w:pPr>
        <w:pStyle w:val="FootnoteText"/>
        <w:rPr>
          <w:lang w:val="nl-NL"/>
        </w:rPr>
      </w:pPr>
      <w:r w:rsidRPr="009311A9">
        <w:rPr>
          <w:rStyle w:val="FootnoteReference"/>
          <w:sz w:val="16"/>
          <w:szCs w:val="16"/>
        </w:rPr>
        <w:footnoteRef/>
      </w:r>
      <w:r>
        <w:rPr>
          <w:sz w:val="16"/>
          <w:szCs w:val="16"/>
          <w:lang w:val="nl-NL"/>
        </w:rPr>
        <w:t xml:space="preserve"> </w:t>
      </w:r>
      <w:r w:rsidRPr="009311A9">
        <w:rPr>
          <w:sz w:val="16"/>
          <w:szCs w:val="16"/>
          <w:lang w:val="nl-NL"/>
        </w:rPr>
        <w:t xml:space="preserve">Leden: voorzitter Chris Buijink (NVB). Privaat: Cees Oudshoorn (VNO-NCW), </w:t>
      </w:r>
      <w:r>
        <w:rPr>
          <w:sz w:val="16"/>
          <w:szCs w:val="16"/>
          <w:lang w:val="nl-NL"/>
        </w:rPr>
        <w:t>Steven Lak (</w:t>
      </w:r>
      <w:r w:rsidRPr="00F00C9E">
        <w:rPr>
          <w:sz w:val="16"/>
          <w:szCs w:val="16"/>
          <w:lang w:val="nl-NL"/>
        </w:rPr>
        <w:t>Deltalinqs</w:t>
      </w:r>
      <w:r>
        <w:rPr>
          <w:sz w:val="16"/>
          <w:szCs w:val="16"/>
          <w:lang w:val="nl-NL"/>
        </w:rPr>
        <w:t>) en</w:t>
      </w:r>
      <w:r w:rsidRPr="008D3D9A">
        <w:rPr>
          <w:lang w:val="nl-NL"/>
        </w:rPr>
        <w:t xml:space="preserve"> </w:t>
      </w:r>
      <w:r w:rsidRPr="00944B73">
        <w:rPr>
          <w:sz w:val="16"/>
          <w:szCs w:val="16"/>
          <w:lang w:val="nl-NL"/>
        </w:rPr>
        <w:t>Ineke Dezentjé Hamming</w:t>
      </w:r>
      <w:r>
        <w:rPr>
          <w:sz w:val="16"/>
          <w:szCs w:val="16"/>
          <w:lang w:val="nl-NL"/>
        </w:rPr>
        <w:t xml:space="preserve"> (FME)</w:t>
      </w:r>
      <w:r w:rsidRPr="009311A9">
        <w:rPr>
          <w:sz w:val="16"/>
          <w:szCs w:val="16"/>
          <w:lang w:val="nl-NL"/>
        </w:rPr>
        <w:t>. Publiek: Guido Landheer(</w:t>
      </w:r>
      <w:r>
        <w:rPr>
          <w:sz w:val="16"/>
          <w:szCs w:val="16"/>
          <w:lang w:val="nl-NL"/>
        </w:rPr>
        <w:t>BZ</w:t>
      </w:r>
      <w:r w:rsidRPr="009311A9">
        <w:rPr>
          <w:sz w:val="16"/>
          <w:szCs w:val="16"/>
          <w:lang w:val="nl-NL"/>
        </w:rPr>
        <w:t>), Jasper Wesseling (</w:t>
      </w:r>
      <w:r>
        <w:rPr>
          <w:sz w:val="16"/>
          <w:szCs w:val="16"/>
          <w:lang w:val="nl-NL"/>
        </w:rPr>
        <w:t>EZ</w:t>
      </w:r>
      <w:r w:rsidRPr="009311A9">
        <w:rPr>
          <w:sz w:val="16"/>
          <w:szCs w:val="16"/>
          <w:lang w:val="nl-NL"/>
        </w:rPr>
        <w:t xml:space="preserve">) </w:t>
      </w:r>
      <w:r>
        <w:rPr>
          <w:sz w:val="16"/>
          <w:szCs w:val="16"/>
          <w:lang w:val="nl-NL"/>
        </w:rPr>
        <w:t>en</w:t>
      </w:r>
      <w:r w:rsidRPr="009311A9">
        <w:rPr>
          <w:sz w:val="16"/>
          <w:szCs w:val="16"/>
          <w:lang w:val="nl-NL"/>
        </w:rPr>
        <w:t xml:space="preserve"> Kajsa Ollongren (</w:t>
      </w:r>
      <w:r>
        <w:rPr>
          <w:sz w:val="16"/>
          <w:szCs w:val="16"/>
          <w:lang w:val="nl-NL"/>
        </w:rPr>
        <w:t>Gemeente</w:t>
      </w:r>
      <w:r w:rsidRPr="009311A9">
        <w:rPr>
          <w:sz w:val="16"/>
          <w:szCs w:val="16"/>
          <w:lang w:val="nl-NL"/>
        </w:rPr>
        <w:t xml:space="preserve"> Amsterdam).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D02A2"/>
    <w:multiLevelType w:val="hybridMultilevel"/>
    <w:tmpl w:val="1F6014C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nsid w:val="1FE25EFD"/>
    <w:multiLevelType w:val="hybridMultilevel"/>
    <w:tmpl w:val="C8E81D2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nsid w:val="34D17CB7"/>
    <w:multiLevelType w:val="hybridMultilevel"/>
    <w:tmpl w:val="73CA78A6"/>
    <w:lvl w:ilvl="0" w:tplc="17C05EEC">
      <w:start w:val="3"/>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nsid w:val="6E840311"/>
    <w:multiLevelType w:val="hybridMultilevel"/>
    <w:tmpl w:val="9572D1E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6AA"/>
    <w:rsid w:val="000026B3"/>
    <w:rsid w:val="000028AA"/>
    <w:rsid w:val="00022082"/>
    <w:rsid w:val="000267D7"/>
    <w:rsid w:val="00041EA0"/>
    <w:rsid w:val="00050CA7"/>
    <w:rsid w:val="00097198"/>
    <w:rsid w:val="00097517"/>
    <w:rsid w:val="000A0A45"/>
    <w:rsid w:val="000A77D6"/>
    <w:rsid w:val="000C615D"/>
    <w:rsid w:val="000F0CEB"/>
    <w:rsid w:val="000F3809"/>
    <w:rsid w:val="0010176B"/>
    <w:rsid w:val="00102C4A"/>
    <w:rsid w:val="0010630B"/>
    <w:rsid w:val="0014080F"/>
    <w:rsid w:val="00142637"/>
    <w:rsid w:val="00156C0C"/>
    <w:rsid w:val="0018697D"/>
    <w:rsid w:val="001B1842"/>
    <w:rsid w:val="001C7AAE"/>
    <w:rsid w:val="001D195F"/>
    <w:rsid w:val="001E56AA"/>
    <w:rsid w:val="00207BE2"/>
    <w:rsid w:val="00211374"/>
    <w:rsid w:val="00214FAD"/>
    <w:rsid w:val="00232ABC"/>
    <w:rsid w:val="00243057"/>
    <w:rsid w:val="002433DF"/>
    <w:rsid w:val="00285F6D"/>
    <w:rsid w:val="002979A9"/>
    <w:rsid w:val="002A3E9D"/>
    <w:rsid w:val="002B0048"/>
    <w:rsid w:val="002B208C"/>
    <w:rsid w:val="002D1EE5"/>
    <w:rsid w:val="002E311E"/>
    <w:rsid w:val="002E6818"/>
    <w:rsid w:val="00352065"/>
    <w:rsid w:val="0037757F"/>
    <w:rsid w:val="003D25B7"/>
    <w:rsid w:val="00407B05"/>
    <w:rsid w:val="0045318E"/>
    <w:rsid w:val="00466762"/>
    <w:rsid w:val="0047238B"/>
    <w:rsid w:val="004812CD"/>
    <w:rsid w:val="00494661"/>
    <w:rsid w:val="004950EC"/>
    <w:rsid w:val="00496C05"/>
    <w:rsid w:val="004A7A29"/>
    <w:rsid w:val="004B1A03"/>
    <w:rsid w:val="004B355B"/>
    <w:rsid w:val="004C46E7"/>
    <w:rsid w:val="004C58F4"/>
    <w:rsid w:val="004E4F6D"/>
    <w:rsid w:val="004F2D6B"/>
    <w:rsid w:val="004F59F8"/>
    <w:rsid w:val="00551943"/>
    <w:rsid w:val="005834B4"/>
    <w:rsid w:val="00587F54"/>
    <w:rsid w:val="005E7074"/>
    <w:rsid w:val="005F1711"/>
    <w:rsid w:val="0066792A"/>
    <w:rsid w:val="00697FFA"/>
    <w:rsid w:val="006D024C"/>
    <w:rsid w:val="006D54B0"/>
    <w:rsid w:val="006F16DE"/>
    <w:rsid w:val="006F354D"/>
    <w:rsid w:val="007067B8"/>
    <w:rsid w:val="00730885"/>
    <w:rsid w:val="00753802"/>
    <w:rsid w:val="00777A09"/>
    <w:rsid w:val="00794985"/>
    <w:rsid w:val="007A3C52"/>
    <w:rsid w:val="007A4439"/>
    <w:rsid w:val="007A755E"/>
    <w:rsid w:val="007B0510"/>
    <w:rsid w:val="007C35BF"/>
    <w:rsid w:val="007E0698"/>
    <w:rsid w:val="00804BE1"/>
    <w:rsid w:val="0082509C"/>
    <w:rsid w:val="008419B0"/>
    <w:rsid w:val="00912935"/>
    <w:rsid w:val="009211F6"/>
    <w:rsid w:val="009428CC"/>
    <w:rsid w:val="00971221"/>
    <w:rsid w:val="0097217D"/>
    <w:rsid w:val="0097534A"/>
    <w:rsid w:val="0098735C"/>
    <w:rsid w:val="009968BC"/>
    <w:rsid w:val="009A0541"/>
    <w:rsid w:val="009A0748"/>
    <w:rsid w:val="009C0D2E"/>
    <w:rsid w:val="009C4DFA"/>
    <w:rsid w:val="009D0FF4"/>
    <w:rsid w:val="009F6A39"/>
    <w:rsid w:val="00A210D1"/>
    <w:rsid w:val="00A250E2"/>
    <w:rsid w:val="00A930A8"/>
    <w:rsid w:val="00AE3A2C"/>
    <w:rsid w:val="00B14F69"/>
    <w:rsid w:val="00B21F67"/>
    <w:rsid w:val="00B232EF"/>
    <w:rsid w:val="00B53E8D"/>
    <w:rsid w:val="00B70467"/>
    <w:rsid w:val="00BB2514"/>
    <w:rsid w:val="00BC0255"/>
    <w:rsid w:val="00BE0DEB"/>
    <w:rsid w:val="00BE6434"/>
    <w:rsid w:val="00C137AB"/>
    <w:rsid w:val="00C23F10"/>
    <w:rsid w:val="00C40679"/>
    <w:rsid w:val="00C616ED"/>
    <w:rsid w:val="00C952CF"/>
    <w:rsid w:val="00CB6FDA"/>
    <w:rsid w:val="00CE6603"/>
    <w:rsid w:val="00CE6732"/>
    <w:rsid w:val="00CF4C32"/>
    <w:rsid w:val="00D14D43"/>
    <w:rsid w:val="00D309B7"/>
    <w:rsid w:val="00D514C4"/>
    <w:rsid w:val="00D524A3"/>
    <w:rsid w:val="00D56623"/>
    <w:rsid w:val="00D672FA"/>
    <w:rsid w:val="00DA0102"/>
    <w:rsid w:val="00DB00E9"/>
    <w:rsid w:val="00DD4FE3"/>
    <w:rsid w:val="00DF12EC"/>
    <w:rsid w:val="00DF6810"/>
    <w:rsid w:val="00E046AA"/>
    <w:rsid w:val="00E107AE"/>
    <w:rsid w:val="00E129E4"/>
    <w:rsid w:val="00E3234A"/>
    <w:rsid w:val="00E71ECD"/>
    <w:rsid w:val="00E86771"/>
    <w:rsid w:val="00E872ED"/>
    <w:rsid w:val="00EB5FAE"/>
    <w:rsid w:val="00F17E79"/>
    <w:rsid w:val="00F267F3"/>
    <w:rsid w:val="00F3356B"/>
    <w:rsid w:val="00F54596"/>
    <w:rsid w:val="00F62805"/>
    <w:rsid w:val="00F745BE"/>
    <w:rsid w:val="00F830E2"/>
    <w:rsid w:val="00F8378E"/>
    <w:rsid w:val="00FC246C"/>
    <w:rsid w:val="00FC68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6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56AA"/>
    <w:pPr>
      <w:ind w:left="720"/>
      <w:contextualSpacing/>
    </w:pPr>
  </w:style>
  <w:style w:type="paragraph" w:styleId="FootnoteText">
    <w:name w:val="footnote text"/>
    <w:basedOn w:val="Normal"/>
    <w:link w:val="FootnoteTextChar"/>
    <w:uiPriority w:val="99"/>
    <w:unhideWhenUsed/>
    <w:rsid w:val="001E56AA"/>
    <w:pPr>
      <w:spacing w:after="0"/>
    </w:pPr>
    <w:rPr>
      <w:rFonts w:asciiTheme="minorHAnsi" w:eastAsiaTheme="minorEastAsia" w:hAnsiTheme="minorHAnsi"/>
      <w:sz w:val="20"/>
      <w:szCs w:val="20"/>
      <w:lang w:val="en-GB"/>
    </w:rPr>
  </w:style>
  <w:style w:type="character" w:customStyle="1" w:styleId="FootnoteTextChar">
    <w:name w:val="Footnote Text Char"/>
    <w:basedOn w:val="DefaultParagraphFont"/>
    <w:link w:val="FootnoteText"/>
    <w:uiPriority w:val="99"/>
    <w:rsid w:val="001E56AA"/>
    <w:rPr>
      <w:rFonts w:asciiTheme="minorHAnsi" w:eastAsiaTheme="minorEastAsia" w:hAnsiTheme="minorHAnsi"/>
      <w:sz w:val="20"/>
      <w:szCs w:val="20"/>
      <w:lang w:val="en-GB"/>
    </w:rPr>
  </w:style>
  <w:style w:type="character" w:styleId="FootnoteReference">
    <w:name w:val="footnote reference"/>
    <w:basedOn w:val="DefaultParagraphFont"/>
    <w:uiPriority w:val="99"/>
    <w:unhideWhenUsed/>
    <w:rsid w:val="001E56AA"/>
    <w:rPr>
      <w:vertAlign w:val="superscript"/>
    </w:rPr>
  </w:style>
  <w:style w:type="table" w:customStyle="1" w:styleId="TableGrid1">
    <w:name w:val="Table Grid1"/>
    <w:basedOn w:val="TableNormal"/>
    <w:next w:val="TableGrid"/>
    <w:uiPriority w:val="59"/>
    <w:rsid w:val="001E56AA"/>
    <w:pPr>
      <w:spacing w:after="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1E56A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E56A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56AA"/>
    <w:rPr>
      <w:rFonts w:ascii="Tahoma" w:hAnsi="Tahoma" w:cs="Tahoma"/>
      <w:sz w:val="16"/>
      <w:szCs w:val="16"/>
    </w:rPr>
  </w:style>
  <w:style w:type="paragraph" w:styleId="Header">
    <w:name w:val="header"/>
    <w:basedOn w:val="Normal"/>
    <w:link w:val="HeaderChar"/>
    <w:uiPriority w:val="99"/>
    <w:unhideWhenUsed/>
    <w:rsid w:val="001E56AA"/>
    <w:pPr>
      <w:tabs>
        <w:tab w:val="center" w:pos="4513"/>
        <w:tab w:val="right" w:pos="9026"/>
      </w:tabs>
      <w:spacing w:after="0"/>
    </w:pPr>
  </w:style>
  <w:style w:type="character" w:customStyle="1" w:styleId="HeaderChar">
    <w:name w:val="Header Char"/>
    <w:basedOn w:val="DefaultParagraphFont"/>
    <w:link w:val="Header"/>
    <w:uiPriority w:val="99"/>
    <w:rsid w:val="001E56AA"/>
  </w:style>
  <w:style w:type="paragraph" w:styleId="Footer">
    <w:name w:val="footer"/>
    <w:basedOn w:val="Normal"/>
    <w:link w:val="FooterChar"/>
    <w:uiPriority w:val="99"/>
    <w:unhideWhenUsed/>
    <w:rsid w:val="001E56AA"/>
    <w:pPr>
      <w:tabs>
        <w:tab w:val="center" w:pos="4513"/>
        <w:tab w:val="right" w:pos="9026"/>
      </w:tabs>
      <w:spacing w:after="0"/>
    </w:pPr>
  </w:style>
  <w:style w:type="character" w:customStyle="1" w:styleId="FooterChar">
    <w:name w:val="Footer Char"/>
    <w:basedOn w:val="DefaultParagraphFont"/>
    <w:link w:val="Footer"/>
    <w:uiPriority w:val="99"/>
    <w:rsid w:val="001E56AA"/>
  </w:style>
  <w:style w:type="character" w:styleId="CommentReference">
    <w:name w:val="annotation reference"/>
    <w:basedOn w:val="DefaultParagraphFont"/>
    <w:uiPriority w:val="99"/>
    <w:semiHidden/>
    <w:unhideWhenUsed/>
    <w:rsid w:val="006D024C"/>
    <w:rPr>
      <w:sz w:val="16"/>
      <w:szCs w:val="16"/>
    </w:rPr>
  </w:style>
  <w:style w:type="paragraph" w:styleId="CommentText">
    <w:name w:val="annotation text"/>
    <w:basedOn w:val="Normal"/>
    <w:link w:val="CommentTextChar"/>
    <w:uiPriority w:val="99"/>
    <w:semiHidden/>
    <w:unhideWhenUsed/>
    <w:rsid w:val="006D024C"/>
    <w:rPr>
      <w:sz w:val="20"/>
      <w:szCs w:val="20"/>
    </w:rPr>
  </w:style>
  <w:style w:type="character" w:customStyle="1" w:styleId="CommentTextChar">
    <w:name w:val="Comment Text Char"/>
    <w:basedOn w:val="DefaultParagraphFont"/>
    <w:link w:val="CommentText"/>
    <w:uiPriority w:val="99"/>
    <w:semiHidden/>
    <w:rsid w:val="006D024C"/>
    <w:rPr>
      <w:sz w:val="20"/>
      <w:szCs w:val="20"/>
    </w:rPr>
  </w:style>
  <w:style w:type="paragraph" w:styleId="CommentSubject">
    <w:name w:val="annotation subject"/>
    <w:basedOn w:val="CommentText"/>
    <w:next w:val="CommentText"/>
    <w:link w:val="CommentSubjectChar"/>
    <w:uiPriority w:val="99"/>
    <w:semiHidden/>
    <w:unhideWhenUsed/>
    <w:rsid w:val="006D024C"/>
    <w:rPr>
      <w:b/>
      <w:bCs/>
    </w:rPr>
  </w:style>
  <w:style w:type="character" w:customStyle="1" w:styleId="CommentSubjectChar">
    <w:name w:val="Comment Subject Char"/>
    <w:basedOn w:val="CommentTextChar"/>
    <w:link w:val="CommentSubject"/>
    <w:uiPriority w:val="99"/>
    <w:semiHidden/>
    <w:rsid w:val="006D024C"/>
    <w:rPr>
      <w:b/>
      <w:bCs/>
      <w:sz w:val="20"/>
      <w:szCs w:val="20"/>
    </w:rPr>
  </w:style>
  <w:style w:type="paragraph" w:styleId="Revision">
    <w:name w:val="Revision"/>
    <w:hidden/>
    <w:uiPriority w:val="99"/>
    <w:semiHidden/>
    <w:rsid w:val="006D024C"/>
    <w:pPr>
      <w:spacing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6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56AA"/>
    <w:pPr>
      <w:ind w:left="720"/>
      <w:contextualSpacing/>
    </w:pPr>
  </w:style>
  <w:style w:type="paragraph" w:styleId="FootnoteText">
    <w:name w:val="footnote text"/>
    <w:basedOn w:val="Normal"/>
    <w:link w:val="FootnoteTextChar"/>
    <w:uiPriority w:val="99"/>
    <w:unhideWhenUsed/>
    <w:rsid w:val="001E56AA"/>
    <w:pPr>
      <w:spacing w:after="0"/>
    </w:pPr>
    <w:rPr>
      <w:rFonts w:asciiTheme="minorHAnsi" w:eastAsiaTheme="minorEastAsia" w:hAnsiTheme="minorHAnsi"/>
      <w:sz w:val="20"/>
      <w:szCs w:val="20"/>
      <w:lang w:val="en-GB"/>
    </w:rPr>
  </w:style>
  <w:style w:type="character" w:customStyle="1" w:styleId="FootnoteTextChar">
    <w:name w:val="Footnote Text Char"/>
    <w:basedOn w:val="DefaultParagraphFont"/>
    <w:link w:val="FootnoteText"/>
    <w:uiPriority w:val="99"/>
    <w:rsid w:val="001E56AA"/>
    <w:rPr>
      <w:rFonts w:asciiTheme="minorHAnsi" w:eastAsiaTheme="minorEastAsia" w:hAnsiTheme="minorHAnsi"/>
      <w:sz w:val="20"/>
      <w:szCs w:val="20"/>
      <w:lang w:val="en-GB"/>
    </w:rPr>
  </w:style>
  <w:style w:type="character" w:styleId="FootnoteReference">
    <w:name w:val="footnote reference"/>
    <w:basedOn w:val="DefaultParagraphFont"/>
    <w:uiPriority w:val="99"/>
    <w:unhideWhenUsed/>
    <w:rsid w:val="001E56AA"/>
    <w:rPr>
      <w:vertAlign w:val="superscript"/>
    </w:rPr>
  </w:style>
  <w:style w:type="table" w:customStyle="1" w:styleId="TableGrid1">
    <w:name w:val="Table Grid1"/>
    <w:basedOn w:val="TableNormal"/>
    <w:next w:val="TableGrid"/>
    <w:uiPriority w:val="59"/>
    <w:rsid w:val="001E56AA"/>
    <w:pPr>
      <w:spacing w:after="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1E56A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E56A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56AA"/>
    <w:rPr>
      <w:rFonts w:ascii="Tahoma" w:hAnsi="Tahoma" w:cs="Tahoma"/>
      <w:sz w:val="16"/>
      <w:szCs w:val="16"/>
    </w:rPr>
  </w:style>
  <w:style w:type="paragraph" w:styleId="Header">
    <w:name w:val="header"/>
    <w:basedOn w:val="Normal"/>
    <w:link w:val="HeaderChar"/>
    <w:uiPriority w:val="99"/>
    <w:unhideWhenUsed/>
    <w:rsid w:val="001E56AA"/>
    <w:pPr>
      <w:tabs>
        <w:tab w:val="center" w:pos="4513"/>
        <w:tab w:val="right" w:pos="9026"/>
      </w:tabs>
      <w:spacing w:after="0"/>
    </w:pPr>
  </w:style>
  <w:style w:type="character" w:customStyle="1" w:styleId="HeaderChar">
    <w:name w:val="Header Char"/>
    <w:basedOn w:val="DefaultParagraphFont"/>
    <w:link w:val="Header"/>
    <w:uiPriority w:val="99"/>
    <w:rsid w:val="001E56AA"/>
  </w:style>
  <w:style w:type="paragraph" w:styleId="Footer">
    <w:name w:val="footer"/>
    <w:basedOn w:val="Normal"/>
    <w:link w:val="FooterChar"/>
    <w:uiPriority w:val="99"/>
    <w:unhideWhenUsed/>
    <w:rsid w:val="001E56AA"/>
    <w:pPr>
      <w:tabs>
        <w:tab w:val="center" w:pos="4513"/>
        <w:tab w:val="right" w:pos="9026"/>
      </w:tabs>
      <w:spacing w:after="0"/>
    </w:pPr>
  </w:style>
  <w:style w:type="character" w:customStyle="1" w:styleId="FooterChar">
    <w:name w:val="Footer Char"/>
    <w:basedOn w:val="DefaultParagraphFont"/>
    <w:link w:val="Footer"/>
    <w:uiPriority w:val="99"/>
    <w:rsid w:val="001E56AA"/>
  </w:style>
  <w:style w:type="character" w:styleId="CommentReference">
    <w:name w:val="annotation reference"/>
    <w:basedOn w:val="DefaultParagraphFont"/>
    <w:uiPriority w:val="99"/>
    <w:semiHidden/>
    <w:unhideWhenUsed/>
    <w:rsid w:val="006D024C"/>
    <w:rPr>
      <w:sz w:val="16"/>
      <w:szCs w:val="16"/>
    </w:rPr>
  </w:style>
  <w:style w:type="paragraph" w:styleId="CommentText">
    <w:name w:val="annotation text"/>
    <w:basedOn w:val="Normal"/>
    <w:link w:val="CommentTextChar"/>
    <w:uiPriority w:val="99"/>
    <w:semiHidden/>
    <w:unhideWhenUsed/>
    <w:rsid w:val="006D024C"/>
    <w:rPr>
      <w:sz w:val="20"/>
      <w:szCs w:val="20"/>
    </w:rPr>
  </w:style>
  <w:style w:type="character" w:customStyle="1" w:styleId="CommentTextChar">
    <w:name w:val="Comment Text Char"/>
    <w:basedOn w:val="DefaultParagraphFont"/>
    <w:link w:val="CommentText"/>
    <w:uiPriority w:val="99"/>
    <w:semiHidden/>
    <w:rsid w:val="006D024C"/>
    <w:rPr>
      <w:sz w:val="20"/>
      <w:szCs w:val="20"/>
    </w:rPr>
  </w:style>
  <w:style w:type="paragraph" w:styleId="CommentSubject">
    <w:name w:val="annotation subject"/>
    <w:basedOn w:val="CommentText"/>
    <w:next w:val="CommentText"/>
    <w:link w:val="CommentSubjectChar"/>
    <w:uiPriority w:val="99"/>
    <w:semiHidden/>
    <w:unhideWhenUsed/>
    <w:rsid w:val="006D024C"/>
    <w:rPr>
      <w:b/>
      <w:bCs/>
    </w:rPr>
  </w:style>
  <w:style w:type="character" w:customStyle="1" w:styleId="CommentSubjectChar">
    <w:name w:val="Comment Subject Char"/>
    <w:basedOn w:val="CommentTextChar"/>
    <w:link w:val="CommentSubject"/>
    <w:uiPriority w:val="99"/>
    <w:semiHidden/>
    <w:rsid w:val="006D024C"/>
    <w:rPr>
      <w:b/>
      <w:bCs/>
      <w:sz w:val="20"/>
      <w:szCs w:val="20"/>
    </w:rPr>
  </w:style>
  <w:style w:type="paragraph" w:styleId="Revision">
    <w:name w:val="Revision"/>
    <w:hidden/>
    <w:uiPriority w:val="99"/>
    <w:semiHidden/>
    <w:rsid w:val="006D024C"/>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chart" Target="charts/chart2.xml" Id="rId13" /><Relationship Type="http://schemas.microsoft.com/office/2007/relationships/stylesWithEffects" Target="stylesWithEffects.xml" Id="rId7" /><Relationship Type="http://schemas.openxmlformats.org/officeDocument/2006/relationships/chart" Target="charts/chart1.xml" Id="rId12" /><Relationship Type="http://schemas.openxmlformats.org/officeDocument/2006/relationships/theme" Target="theme/theme1.xml" Id="rId16" /><Relationship Type="http://schemas.openxmlformats.org/officeDocument/2006/relationships/styles" Target="styles.xml" Id="rId6" /><Relationship Type="http://schemas.openxmlformats.org/officeDocument/2006/relationships/endnotes" Target="endnotes.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oter" Target="footer1.xml" Id="rId14" /></Relationships>
</file>

<file path=word/charts/_rels/chart1.xml.rels><?xml version="1.0" encoding="UTF-8" standalone="yes"?>
<Relationships xmlns="http://schemas.openxmlformats.org/package/2006/relationships"><Relationship Id="rId1" Type="http://schemas.openxmlformats.org/officeDocument/2006/relationships/oleObject" Target="file:///C:\Users\veeneman.marga\AppData\Local\Microsoft\Windows\Temporary%20Internet%20Files\Content.Outlook\VSCLE4Z8\tabellen%20missie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veeneman.marga\AppData\Local\Microsoft\Windows\Temporary%20Internet%20Files\Content.Outlook\VSCLE4Z8\tabellen%20missi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Lbls>
            <c:txPr>
              <a:bodyPr/>
              <a:lstStyle/>
              <a:p>
                <a:pPr>
                  <a:defRPr sz="600"/>
                </a:pPr>
                <a:endParaRPr lang="nl-NL"/>
              </a:p>
            </c:txPr>
            <c:showLegendKey val="0"/>
            <c:showVal val="1"/>
            <c:showCatName val="0"/>
            <c:showSerName val="0"/>
            <c:showPercent val="0"/>
            <c:showBubbleSize val="0"/>
            <c:showLeaderLines val="0"/>
          </c:dLbls>
          <c:cat>
            <c:strRef>
              <c:f>Sheet2!$A$3:$A$8</c:f>
              <c:strCache>
                <c:ptCount val="6"/>
                <c:pt idx="0">
                  <c:v>Azië</c:v>
                </c:pt>
                <c:pt idx="1">
                  <c:v>Europa</c:v>
                </c:pt>
                <c:pt idx="2">
                  <c:v>Latijns-Amerika</c:v>
                </c:pt>
                <c:pt idx="3">
                  <c:v>Afrika</c:v>
                </c:pt>
                <c:pt idx="4">
                  <c:v>Midden-Oosten</c:v>
                </c:pt>
                <c:pt idx="5">
                  <c:v>Noord-Amerika</c:v>
                </c:pt>
              </c:strCache>
            </c:strRef>
          </c:cat>
          <c:val>
            <c:numRef>
              <c:f>Sheet2!$B$3:$B$8</c:f>
              <c:numCache>
                <c:formatCode>General</c:formatCode>
                <c:ptCount val="6"/>
                <c:pt idx="0">
                  <c:v>25</c:v>
                </c:pt>
                <c:pt idx="1">
                  <c:v>18</c:v>
                </c:pt>
                <c:pt idx="2">
                  <c:v>14</c:v>
                </c:pt>
                <c:pt idx="3">
                  <c:v>12</c:v>
                </c:pt>
                <c:pt idx="4">
                  <c:v>13</c:v>
                </c:pt>
                <c:pt idx="5">
                  <c:v>10</c:v>
                </c:pt>
              </c:numCache>
            </c:numRef>
          </c:val>
        </c:ser>
        <c:dLbls>
          <c:showLegendKey val="0"/>
          <c:showVal val="0"/>
          <c:showCatName val="0"/>
          <c:showSerName val="0"/>
          <c:showPercent val="0"/>
          <c:showBubbleSize val="0"/>
        </c:dLbls>
        <c:gapWidth val="150"/>
        <c:shape val="box"/>
        <c:axId val="82556416"/>
        <c:axId val="82557952"/>
        <c:axId val="0"/>
      </c:bar3DChart>
      <c:catAx>
        <c:axId val="82556416"/>
        <c:scaling>
          <c:orientation val="minMax"/>
        </c:scaling>
        <c:delete val="0"/>
        <c:axPos val="b"/>
        <c:majorTickMark val="out"/>
        <c:minorTickMark val="none"/>
        <c:tickLblPos val="nextTo"/>
        <c:txPr>
          <a:bodyPr/>
          <a:lstStyle/>
          <a:p>
            <a:pPr>
              <a:defRPr sz="700"/>
            </a:pPr>
            <a:endParaRPr lang="nl-NL"/>
          </a:p>
        </c:txPr>
        <c:crossAx val="82557952"/>
        <c:crosses val="autoZero"/>
        <c:auto val="1"/>
        <c:lblAlgn val="ctr"/>
        <c:lblOffset val="100"/>
        <c:noMultiLvlLbl val="0"/>
      </c:catAx>
      <c:valAx>
        <c:axId val="82557952"/>
        <c:scaling>
          <c:orientation val="minMax"/>
        </c:scaling>
        <c:delete val="0"/>
        <c:axPos val="l"/>
        <c:majorGridlines/>
        <c:numFmt formatCode="General" sourceLinked="1"/>
        <c:majorTickMark val="out"/>
        <c:minorTickMark val="none"/>
        <c:tickLblPos val="nextTo"/>
        <c:txPr>
          <a:bodyPr/>
          <a:lstStyle/>
          <a:p>
            <a:pPr>
              <a:defRPr sz="700"/>
            </a:pPr>
            <a:endParaRPr lang="nl-NL"/>
          </a:p>
        </c:txPr>
        <c:crossAx val="82556416"/>
        <c:crosses val="autoZero"/>
        <c:crossBetween val="between"/>
      </c:valAx>
    </c:plotArea>
    <c:plotVisOnly val="1"/>
    <c:dispBlanksAs val="gap"/>
    <c:showDLblsOverMax val="0"/>
  </c:chart>
  <c:spPr>
    <a:solidFill>
      <a:schemeClr val="bg1">
        <a:lumMod val="85000"/>
      </a:schemeClr>
    </a:solidFill>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9.302857976086322E-2"/>
          <c:y val="8.4500993506670258E-2"/>
          <c:w val="0.85604549431321086"/>
          <c:h val="0.54492253067470742"/>
        </c:manualLayout>
      </c:layout>
      <c:bar3DChart>
        <c:barDir val="col"/>
        <c:grouping val="clustered"/>
        <c:varyColors val="0"/>
        <c:ser>
          <c:idx val="0"/>
          <c:order val="0"/>
          <c:invertIfNegative val="0"/>
          <c:dLbls>
            <c:dLbl>
              <c:idx val="0"/>
              <c:layout>
                <c:manualLayout>
                  <c:x val="-2.5462668816039986E-17"/>
                  <c:y val="-2.7777777777777773E-2"/>
                </c:manualLayout>
              </c:layout>
              <c:showLegendKey val="0"/>
              <c:showVal val="1"/>
              <c:showCatName val="0"/>
              <c:showSerName val="0"/>
              <c:showPercent val="0"/>
              <c:showBubbleSize val="0"/>
            </c:dLbl>
            <c:dLbl>
              <c:idx val="1"/>
              <c:layout>
                <c:manualLayout>
                  <c:x val="0"/>
                  <c:y val="-2.7777777777777776E-2"/>
                </c:manualLayout>
              </c:layout>
              <c:showLegendKey val="0"/>
              <c:showVal val="1"/>
              <c:showCatName val="0"/>
              <c:showSerName val="0"/>
              <c:showPercent val="0"/>
              <c:showBubbleSize val="0"/>
            </c:dLbl>
            <c:dLbl>
              <c:idx val="2"/>
              <c:layout>
                <c:manualLayout>
                  <c:x val="0"/>
                  <c:y val="-2.7777777777777776E-2"/>
                </c:manualLayout>
              </c:layout>
              <c:showLegendKey val="0"/>
              <c:showVal val="1"/>
              <c:showCatName val="0"/>
              <c:showSerName val="0"/>
              <c:showPercent val="0"/>
              <c:showBubbleSize val="0"/>
            </c:dLbl>
            <c:txPr>
              <a:bodyPr/>
              <a:lstStyle/>
              <a:p>
                <a:pPr>
                  <a:defRPr sz="700"/>
                </a:pPr>
                <a:endParaRPr lang="nl-NL"/>
              </a:p>
            </c:txPr>
            <c:showLegendKey val="0"/>
            <c:showVal val="1"/>
            <c:showCatName val="0"/>
            <c:showSerName val="0"/>
            <c:showPercent val="0"/>
            <c:showBubbleSize val="0"/>
            <c:showLeaderLines val="0"/>
          </c:dLbls>
          <c:cat>
            <c:strRef>
              <c:f>Sheet2!$A$13:$A$15</c:f>
              <c:strCache>
                <c:ptCount val="3"/>
                <c:pt idx="0">
                  <c:v>Opkomend</c:v>
                </c:pt>
                <c:pt idx="1">
                  <c:v>Traditioneel</c:v>
                </c:pt>
                <c:pt idx="2">
                  <c:v>Ontwikkelend</c:v>
                </c:pt>
              </c:strCache>
            </c:strRef>
          </c:cat>
          <c:val>
            <c:numRef>
              <c:f>Sheet2!$B$13:$B$15</c:f>
              <c:numCache>
                <c:formatCode>General</c:formatCode>
                <c:ptCount val="3"/>
                <c:pt idx="0">
                  <c:v>33</c:v>
                </c:pt>
                <c:pt idx="1">
                  <c:v>32</c:v>
                </c:pt>
                <c:pt idx="2">
                  <c:v>27</c:v>
                </c:pt>
              </c:numCache>
            </c:numRef>
          </c:val>
        </c:ser>
        <c:dLbls>
          <c:showLegendKey val="0"/>
          <c:showVal val="0"/>
          <c:showCatName val="0"/>
          <c:showSerName val="0"/>
          <c:showPercent val="0"/>
          <c:showBubbleSize val="0"/>
        </c:dLbls>
        <c:gapWidth val="150"/>
        <c:shape val="box"/>
        <c:axId val="82570240"/>
        <c:axId val="83366656"/>
        <c:axId val="0"/>
      </c:bar3DChart>
      <c:catAx>
        <c:axId val="82570240"/>
        <c:scaling>
          <c:orientation val="minMax"/>
        </c:scaling>
        <c:delete val="0"/>
        <c:axPos val="b"/>
        <c:majorTickMark val="out"/>
        <c:minorTickMark val="none"/>
        <c:tickLblPos val="nextTo"/>
        <c:txPr>
          <a:bodyPr/>
          <a:lstStyle/>
          <a:p>
            <a:pPr>
              <a:defRPr sz="700"/>
            </a:pPr>
            <a:endParaRPr lang="nl-NL"/>
          </a:p>
        </c:txPr>
        <c:crossAx val="83366656"/>
        <c:crosses val="autoZero"/>
        <c:auto val="1"/>
        <c:lblAlgn val="ctr"/>
        <c:lblOffset val="100"/>
        <c:noMultiLvlLbl val="0"/>
      </c:catAx>
      <c:valAx>
        <c:axId val="83366656"/>
        <c:scaling>
          <c:orientation val="minMax"/>
        </c:scaling>
        <c:delete val="0"/>
        <c:axPos val="l"/>
        <c:majorGridlines/>
        <c:numFmt formatCode="General" sourceLinked="1"/>
        <c:majorTickMark val="out"/>
        <c:minorTickMark val="none"/>
        <c:tickLblPos val="nextTo"/>
        <c:txPr>
          <a:bodyPr/>
          <a:lstStyle/>
          <a:p>
            <a:pPr>
              <a:defRPr sz="700"/>
            </a:pPr>
            <a:endParaRPr lang="nl-NL"/>
          </a:p>
        </c:txPr>
        <c:crossAx val="82570240"/>
        <c:crosses val="autoZero"/>
        <c:crossBetween val="between"/>
      </c:valAx>
    </c:plotArea>
    <c:plotVisOnly val="1"/>
    <c:dispBlanksAs val="gap"/>
    <c:showDLblsOverMax val="0"/>
  </c:chart>
  <c:spPr>
    <a:solidFill>
      <a:schemeClr val="bg1">
        <a:lumMod val="85000"/>
      </a:schemeClr>
    </a:solidFill>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3289</ap:Words>
  <ap:Characters>18094</ap:Characters>
  <ap:DocSecurity>4</ap:DocSecurity>
  <ap:Lines>150</ap:Lines>
  <ap:Paragraphs>42</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21341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2016-09-15T10:51:00.0000000Z</lastPrinted>
  <dcterms:created xsi:type="dcterms:W3CDTF">2016-09-23T14:57:00.0000000Z</dcterms:created>
  <dcterms:modified xsi:type="dcterms:W3CDTF">2016-09-23T14:57:00.0000000Z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0x01010023F8EF621DFC294AAA5F5C0F90F46142</vt:lpwstr>
  </property>
  <property fmtid="{D5CDD505-2E9C-101B-9397-08002B2CF9AE}" pid="3" name="DGBEB Directies">
    <vt:lpwstr>407;#EDT|c5a92cb6-5ee9-4d1c-a0b1-6957dcb62e8b</vt:lpwstr>
  </property>
  <property fmtid="{D5CDD505-2E9C-101B-9397-08002B2CF9AE}" pid="4" name="DGBEB Forum">
    <vt:lpwstr/>
  </property>
  <property fmtid="{D5CDD505-2E9C-101B-9397-08002B2CF9AE}" pid="5" name="TaxKeyword">
    <vt:lpwstr/>
  </property>
  <property fmtid="{D5CDD505-2E9C-101B-9397-08002B2CF9AE}" pid="6" name="DGBEB Thema">
    <vt:lpwstr>15;#Economische analyse ＆ rapportage|5932cabc-2675-4e36-aec0-35c264eec30d;#51;#Economische diplomatie|097d6070-a747-43ca-9a20-39d71ca3a808;#16;#Handelspolitiek|accc353c-abc8-4a4f-87f4-4a4b5f79d536;#142;#Hulp ＆ handel|c23789c4-d6e0-4981-9d17-4cd6e029d655</vt:lpwstr>
  </property>
  <property fmtid="{D5CDD505-2E9C-101B-9397-08002B2CF9AE}" pid="7" name="Soort document">
    <vt:lpwstr/>
  </property>
  <property fmtid="{D5CDD505-2E9C-101B-9397-08002B2CF9AE}" pid="8" name="DGBEB Land">
    <vt:lpwstr/>
  </property>
</Properties>
</file>