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6846" w:rsidP="00586846" w:rsidRDefault="00586846">
      <w:pPr>
        <w:rPr>
          <w:sz w:val="24"/>
        </w:rPr>
      </w:pPr>
    </w:p>
    <w:p w:rsidR="00586846" w:rsidP="00586846" w:rsidRDefault="00586846">
      <w:pPr>
        <w:rPr>
          <w:sz w:val="24"/>
        </w:rPr>
      </w:pPr>
      <w:r>
        <w:rPr>
          <w:noProof/>
          <w:sz w:val="24"/>
          <w:lang w:eastAsia="nl-NL"/>
        </w:rPr>
        <w:drawing>
          <wp:inline distT="0" distB="0" distL="0" distR="0">
            <wp:extent cx="4526280" cy="830580"/>
            <wp:effectExtent l="19050" t="0" r="762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5" cstate="print"/>
                    <a:srcRect/>
                    <a:stretch>
                      <a:fillRect/>
                    </a:stretch>
                  </pic:blipFill>
                  <pic:spPr bwMode="auto">
                    <a:xfrm>
                      <a:off x="0" y="0"/>
                      <a:ext cx="4526280" cy="830580"/>
                    </a:xfrm>
                    <a:prstGeom prst="rect">
                      <a:avLst/>
                    </a:prstGeom>
                    <a:noFill/>
                    <a:ln w="9525">
                      <a:noFill/>
                      <a:miter lim="800000"/>
                      <a:headEnd/>
                      <a:tailEnd/>
                    </a:ln>
                  </pic:spPr>
                </pic:pic>
              </a:graphicData>
            </a:graphic>
          </wp:inline>
        </w:drawing>
      </w:r>
    </w:p>
    <w:p w:rsidR="00893B72" w:rsidP="00586846" w:rsidRDefault="00893B72">
      <w:pPr>
        <w:rPr>
          <w:sz w:val="24"/>
        </w:rPr>
      </w:pPr>
    </w:p>
    <w:p w:rsidR="00586846" w:rsidP="00586846" w:rsidRDefault="00893B72">
      <w:pPr>
        <w:rPr>
          <w:sz w:val="24"/>
        </w:rPr>
      </w:pPr>
      <w:r>
        <w:rPr>
          <w:sz w:val="24"/>
        </w:rPr>
        <w:t>Commissie Sociale Zaken en Werkgelegenheid</w:t>
      </w:r>
    </w:p>
    <w:p w:rsidR="00586846" w:rsidP="00586846" w:rsidRDefault="00586846">
      <w:pPr>
        <w:rPr>
          <w:sz w:val="24"/>
        </w:rPr>
      </w:pPr>
    </w:p>
    <w:p w:rsidR="00586846" w:rsidP="00586846" w:rsidRDefault="00586846">
      <w:pPr>
        <w:rPr>
          <w:sz w:val="24"/>
        </w:rPr>
      </w:pPr>
    </w:p>
    <w:p w:rsidR="00586846" w:rsidP="00586846" w:rsidRDefault="00586846">
      <w:pPr>
        <w:rPr>
          <w:sz w:val="24"/>
        </w:rPr>
      </w:pPr>
      <w:r>
        <w:rPr>
          <w:sz w:val="24"/>
        </w:rPr>
        <w:t xml:space="preserve">Amsterdam, 13 september 2016 </w:t>
      </w:r>
    </w:p>
    <w:p w:rsidR="00586846" w:rsidP="00586846" w:rsidRDefault="00586846">
      <w:pPr>
        <w:rPr>
          <w:sz w:val="24"/>
        </w:rPr>
      </w:pPr>
      <w:r>
        <w:rPr>
          <w:sz w:val="24"/>
        </w:rPr>
        <w:t>Betreft: integratiebevordering Turkse Nederlanders</w:t>
      </w:r>
    </w:p>
    <w:p w:rsidR="00586846" w:rsidP="00586846" w:rsidRDefault="00893B72">
      <w:pPr>
        <w:rPr>
          <w:sz w:val="24"/>
        </w:rPr>
      </w:pPr>
      <w:r>
        <w:rPr>
          <w:sz w:val="24"/>
        </w:rPr>
        <w:t>Geachte leden van de commissie Sociale Zaken en Werkgelegenheid</w:t>
      </w:r>
      <w:r w:rsidR="00586846">
        <w:rPr>
          <w:sz w:val="24"/>
        </w:rPr>
        <w:t>,</w:t>
      </w:r>
    </w:p>
    <w:p w:rsidR="00586846" w:rsidP="00586846" w:rsidRDefault="00586846">
      <w:pPr>
        <w:rPr>
          <w:sz w:val="24"/>
        </w:rPr>
      </w:pPr>
    </w:p>
    <w:p w:rsidR="00586846" w:rsidP="00586846" w:rsidRDefault="00586846">
      <w:pPr>
        <w:rPr>
          <w:sz w:val="24"/>
        </w:rPr>
      </w:pPr>
      <w:r>
        <w:rPr>
          <w:sz w:val="24"/>
        </w:rPr>
        <w:t xml:space="preserve">De couppoging die in de nacht van 15 juli en 16 juli jl. heeft plaatsgevonden in Turkije, heeft ook geleid tot grote sociale spanningen binnen de Turks - Nederlandse gemeenschap in Nederland. Er is sprake van intimidatie, bedreigingen en geweld tussen Turkse Nederlanders onderling. Nederlandse kinderen met een Turkse achtergrond worden massaal van school gehouden, diverse Nederlandse ondernemers met een Turkse achtergrond worden geboycot.  </w:t>
      </w:r>
    </w:p>
    <w:p w:rsidR="00586846" w:rsidP="00586846" w:rsidRDefault="00586846">
      <w:pPr>
        <w:rPr>
          <w:sz w:val="24"/>
        </w:rPr>
      </w:pPr>
      <w:r>
        <w:rPr>
          <w:sz w:val="24"/>
        </w:rPr>
        <w:t>De spanningen tussen ‘</w:t>
      </w:r>
      <w:proofErr w:type="spellStart"/>
      <w:r>
        <w:rPr>
          <w:sz w:val="24"/>
        </w:rPr>
        <w:t>Erdogan-aanhangers</w:t>
      </w:r>
      <w:proofErr w:type="spellEnd"/>
      <w:r>
        <w:rPr>
          <w:sz w:val="24"/>
        </w:rPr>
        <w:t>’ en ‘</w:t>
      </w:r>
      <w:proofErr w:type="spellStart"/>
      <w:r>
        <w:rPr>
          <w:sz w:val="24"/>
        </w:rPr>
        <w:t>Gulen-aanhangers</w:t>
      </w:r>
      <w:proofErr w:type="spellEnd"/>
      <w:r>
        <w:rPr>
          <w:sz w:val="24"/>
        </w:rPr>
        <w:t xml:space="preserve">’ hebben kwalijke gevolgen voor de verhoudingen tussen alle Turkse Nederlanders. </w:t>
      </w:r>
    </w:p>
    <w:p w:rsidR="00586846" w:rsidP="00586846" w:rsidRDefault="00586846">
      <w:pPr>
        <w:rPr>
          <w:sz w:val="24"/>
        </w:rPr>
      </w:pPr>
      <w:r>
        <w:rPr>
          <w:sz w:val="24"/>
        </w:rPr>
        <w:t xml:space="preserve">De HTIB heeft samen met HAKDER en DIDF scherp stelling genomen tegen de couppoging van 15 juli en we veroordelen deze aanval op de democratie dan ook ten zeerste.  Op 2 augustus jl. hebben deze organisaties hun standpunten verwoord in een gezamenlijke brief die gestuurd is naar Tweede Kamerleden met een kopie aan de minister van Sociale Zaken en Werkgelegenheid en de minister van Buitenlandse Zaken. </w:t>
      </w:r>
    </w:p>
    <w:p w:rsidR="00586846" w:rsidP="00586846" w:rsidRDefault="00586846">
      <w:pPr>
        <w:rPr>
          <w:sz w:val="24"/>
        </w:rPr>
      </w:pPr>
      <w:r>
        <w:rPr>
          <w:sz w:val="24"/>
        </w:rPr>
        <w:t>Hieronder enkele belangrijke aandachtspunten voor de HTIB:</w:t>
      </w:r>
    </w:p>
    <w:p w:rsidR="00586846" w:rsidP="00586846" w:rsidRDefault="00586846">
      <w:pPr>
        <w:shd w:val="clear" w:color="auto" w:fill="FFFFFF"/>
        <w:spacing w:after="0"/>
        <w:textAlignment w:val="center"/>
        <w:rPr>
          <w:rFonts w:ascii="Calibri" w:hAnsi="Calibri"/>
          <w:b/>
          <w:color w:val="000000"/>
          <w:sz w:val="24"/>
        </w:rPr>
      </w:pPr>
      <w:r>
        <w:rPr>
          <w:rFonts w:ascii="Calibri" w:hAnsi="Calibri"/>
          <w:b/>
          <w:color w:val="000000"/>
          <w:sz w:val="24"/>
        </w:rPr>
        <w:t>Over de mislukte coup</w:t>
      </w:r>
    </w:p>
    <w:p w:rsidR="00586846" w:rsidP="00586846" w:rsidRDefault="00586846">
      <w:pPr>
        <w:pStyle w:val="Lijstalinea"/>
        <w:numPr>
          <w:ilvl w:val="0"/>
          <w:numId w:val="1"/>
        </w:numPr>
        <w:shd w:val="clear" w:color="auto" w:fill="FFFFFF"/>
        <w:spacing w:after="0"/>
        <w:textAlignment w:val="center"/>
        <w:rPr>
          <w:rFonts w:ascii="Calibri" w:hAnsi="Calibri"/>
          <w:color w:val="000000"/>
          <w:sz w:val="24"/>
        </w:rPr>
      </w:pPr>
      <w:r>
        <w:rPr>
          <w:sz w:val="24"/>
        </w:rPr>
        <w:t xml:space="preserve">De couppoging heeft een enorme impact gehad op Turkse Nederlanders en is voor velen een traumatische ervaring. Op de eerste plaats omdat het een aanslag is op de democratie, op de tweede plaats omdat vele Turkse Nederlanders familieleden, vrienden en kennis hebben die woonachtig zijn in Turkije. Om die reden is het juist erg belangrijk dat de Turkse Nederlanders hun bezorgdheid kunnen delen en – </w:t>
      </w:r>
      <w:r>
        <w:rPr>
          <w:sz w:val="24"/>
        </w:rPr>
        <w:lastRenderedPageBreak/>
        <w:t>binnen de regels van de Nederlandse democratische rechtstaat – met elkaar in dialoog gaan. Dat gesprek moet niet alleen onder Turkse Nederlanders gevoerd worden maar ook met Nederlandse parlementariërs. Turkse Nederlanders hebben namelijk het gevoel dat ze in de steek gelaten worden door de politiek, gezien de soms opruiende- en ongenuanceerde uitlatingen van enkele politici.</w:t>
      </w:r>
    </w:p>
    <w:p w:rsidR="00586846" w:rsidP="00586846" w:rsidRDefault="00586846">
      <w:pPr>
        <w:shd w:val="clear" w:color="auto" w:fill="FFFFFF"/>
        <w:spacing w:after="0"/>
        <w:textAlignment w:val="center"/>
        <w:rPr>
          <w:rFonts w:ascii="Calibri" w:hAnsi="Calibri"/>
          <w:color w:val="000000"/>
          <w:sz w:val="24"/>
        </w:rPr>
      </w:pPr>
    </w:p>
    <w:p w:rsidR="00586846" w:rsidP="00586846" w:rsidRDefault="00586846">
      <w:pPr>
        <w:shd w:val="clear" w:color="auto" w:fill="FFFFFF"/>
        <w:spacing w:after="0"/>
        <w:textAlignment w:val="center"/>
        <w:rPr>
          <w:rFonts w:ascii="Calibri" w:hAnsi="Calibri"/>
          <w:b/>
          <w:color w:val="000000"/>
          <w:sz w:val="24"/>
        </w:rPr>
      </w:pPr>
      <w:r>
        <w:rPr>
          <w:rFonts w:ascii="Calibri" w:hAnsi="Calibri"/>
          <w:b/>
          <w:color w:val="000000"/>
          <w:sz w:val="24"/>
        </w:rPr>
        <w:t>Lange armen</w:t>
      </w:r>
    </w:p>
    <w:p w:rsidR="00586846" w:rsidP="00586846" w:rsidRDefault="00586846">
      <w:pPr>
        <w:shd w:val="clear" w:color="auto" w:fill="FFFFFF"/>
        <w:spacing w:after="0"/>
        <w:textAlignment w:val="center"/>
        <w:rPr>
          <w:rFonts w:ascii="Calibri" w:hAnsi="Calibri"/>
          <w:b/>
          <w:color w:val="000000"/>
          <w:sz w:val="24"/>
        </w:rPr>
      </w:pPr>
    </w:p>
    <w:p w:rsidR="00586846" w:rsidP="00586846" w:rsidRDefault="00586846">
      <w:pPr>
        <w:pStyle w:val="Geenafstand"/>
        <w:numPr>
          <w:ilvl w:val="0"/>
          <w:numId w:val="1"/>
        </w:numPr>
        <w:rPr>
          <w:sz w:val="24"/>
          <w:szCs w:val="28"/>
        </w:rPr>
      </w:pPr>
      <w:r>
        <w:rPr>
          <w:sz w:val="24"/>
          <w:szCs w:val="28"/>
        </w:rPr>
        <w:t>De binding met het herkomst land en oorspronkelijke cultuur van migranten is een feit. Dit geldt voor de eerste generaties maar ook voor de latere generaties van migrantenkinderen overal ter wereld. Vragen om het afbreken van de band met het herkomstland is onnatuurlijk en werkt averechts. In het verlengde hiervan: Turkse Nederlanders zullen voorlopig de ontwikkelingen in Turkije volgen en zich hierbij betrokken voelen. Dit uit zich ook in vorm van de organisaties, stichtingen, goede doelen, initiatieven en krijgt ook vorm in religieuze en politieke stromingen. Van deze organisatievorming is sprake vanaf de arbeidsmigratie in de jaren 60 en zeker in de jaren 70.  Deze organisaties functioneerden altijd binnen de democratische en juridische kaders die wij in Nederland kennen en waarderen.</w:t>
      </w:r>
    </w:p>
    <w:p w:rsidR="00586846" w:rsidP="00586846" w:rsidRDefault="00586846">
      <w:pPr>
        <w:pStyle w:val="Lijstalinea"/>
        <w:shd w:val="clear" w:color="auto" w:fill="FFFFFF"/>
        <w:spacing w:after="0"/>
        <w:textAlignment w:val="center"/>
        <w:rPr>
          <w:rFonts w:ascii="Calibri" w:hAnsi="Calibri"/>
          <w:color w:val="000000"/>
          <w:sz w:val="24"/>
        </w:rPr>
      </w:pPr>
    </w:p>
    <w:p w:rsidR="00586846" w:rsidP="00586846" w:rsidRDefault="00586846">
      <w:pPr>
        <w:pStyle w:val="Lijstalinea"/>
        <w:numPr>
          <w:ilvl w:val="0"/>
          <w:numId w:val="1"/>
        </w:numPr>
        <w:shd w:val="clear" w:color="auto" w:fill="FFFFFF"/>
        <w:spacing w:after="0"/>
        <w:textAlignment w:val="center"/>
        <w:rPr>
          <w:rFonts w:ascii="Calibri" w:hAnsi="Calibri"/>
          <w:color w:val="000000"/>
          <w:sz w:val="24"/>
        </w:rPr>
      </w:pPr>
      <w:r>
        <w:rPr>
          <w:rFonts w:ascii="Calibri" w:hAnsi="Calibri"/>
          <w:color w:val="000000"/>
          <w:sz w:val="24"/>
        </w:rPr>
        <w:t>Toch wil de HTIB onderstrepen dat er wel degelijk sprake is van een lange arm van Erdogan die alles in het werk stelt om Nederlanders met een Turkse achtergrond te verbinden aan een dominant Turks netwerk en dat het voor individuele betrokkenen erg moeilijk is om zich daaraan te onttrekken. Zij komen hierdoor in een afhankelijke positie terecht. De aan Erdogan/AKP gelieerde organisaties beschikken over materiële middelen en instituties (de moskee bijvoorbeeld) om het sociaal isolement van Nederlanders met een Turkse achtergrond te vergroten en te versterken.</w:t>
      </w:r>
    </w:p>
    <w:p w:rsidR="00586846" w:rsidP="00586846" w:rsidRDefault="00586846">
      <w:pPr>
        <w:shd w:val="clear" w:color="auto" w:fill="FFFFFF"/>
        <w:spacing w:after="0"/>
        <w:textAlignment w:val="center"/>
        <w:rPr>
          <w:rFonts w:ascii="Calibri" w:hAnsi="Calibri"/>
          <w:b/>
          <w:color w:val="000000"/>
          <w:sz w:val="24"/>
        </w:rPr>
      </w:pPr>
    </w:p>
    <w:p w:rsidR="00586846" w:rsidP="00586846" w:rsidRDefault="00586846">
      <w:pPr>
        <w:pStyle w:val="Lijstalinea"/>
        <w:numPr>
          <w:ilvl w:val="0"/>
          <w:numId w:val="1"/>
        </w:numPr>
        <w:shd w:val="clear" w:color="auto" w:fill="FFFFFF"/>
        <w:spacing w:after="0"/>
        <w:textAlignment w:val="center"/>
        <w:rPr>
          <w:rFonts w:ascii="Calibri" w:hAnsi="Calibri"/>
          <w:color w:val="000000"/>
          <w:sz w:val="24"/>
        </w:rPr>
      </w:pPr>
      <w:r>
        <w:rPr>
          <w:sz w:val="24"/>
        </w:rPr>
        <w:t>Inmenging van de Turkse overheid in de Nederlandse samenleving kan en mag tevens niet getolereerd worden. Veel Turkse Nederlanders voelen zich al betrokken bij Turkije, maar voelen er niks voor beïnvloed of geïntimideerd te worden door nationale en internationale organisaties die nauwe banden hebben met Turkije. Dat dit niet zo op straat wordt gezegd, heeft te maken met de angst om niet meer naar Turkije op vakantie te kunnen gaan of om familie in Turkije te bezoeken. Nu zijn er al voorbeelden van Turkse Nederlanders die in Turkije zijn aangehouden of worden gevolgd door politie en / of justitie.</w:t>
      </w:r>
    </w:p>
    <w:p w:rsidR="00586846" w:rsidP="00586846" w:rsidRDefault="00586846">
      <w:pPr>
        <w:shd w:val="clear" w:color="auto" w:fill="FFFFFF"/>
        <w:spacing w:after="0"/>
        <w:textAlignment w:val="center"/>
        <w:rPr>
          <w:rFonts w:ascii="Calibri" w:hAnsi="Calibri"/>
          <w:b/>
          <w:color w:val="000000"/>
          <w:sz w:val="24"/>
        </w:rPr>
      </w:pPr>
    </w:p>
    <w:p w:rsidR="00586846" w:rsidP="00586846" w:rsidRDefault="00586846">
      <w:pPr>
        <w:shd w:val="clear" w:color="auto" w:fill="FFFFFF"/>
        <w:spacing w:after="0"/>
        <w:textAlignment w:val="center"/>
        <w:rPr>
          <w:rFonts w:ascii="Calibri" w:hAnsi="Calibri"/>
          <w:b/>
          <w:color w:val="000000"/>
          <w:sz w:val="24"/>
        </w:rPr>
      </w:pPr>
      <w:r>
        <w:rPr>
          <w:rFonts w:ascii="Calibri" w:hAnsi="Calibri"/>
          <w:b/>
          <w:color w:val="000000"/>
          <w:sz w:val="24"/>
        </w:rPr>
        <w:t>Sociale spanningen in Nederland en integratie</w:t>
      </w:r>
    </w:p>
    <w:p w:rsidR="00586846" w:rsidP="00586846" w:rsidRDefault="00586846">
      <w:pPr>
        <w:pStyle w:val="Lijstalinea"/>
        <w:shd w:val="clear" w:color="auto" w:fill="FFFFFF"/>
        <w:spacing w:after="0"/>
        <w:textAlignment w:val="center"/>
        <w:rPr>
          <w:rFonts w:ascii="Calibri" w:hAnsi="Calibri"/>
          <w:color w:val="000000"/>
          <w:sz w:val="24"/>
        </w:rPr>
      </w:pPr>
    </w:p>
    <w:p w:rsidR="00586846" w:rsidP="00586846" w:rsidRDefault="00586846">
      <w:pPr>
        <w:pStyle w:val="Lijstalinea"/>
        <w:numPr>
          <w:ilvl w:val="0"/>
          <w:numId w:val="1"/>
        </w:numPr>
        <w:shd w:val="clear" w:color="auto" w:fill="FFFFFF"/>
        <w:spacing w:after="0"/>
        <w:textAlignment w:val="center"/>
        <w:rPr>
          <w:rFonts w:ascii="Calibri" w:hAnsi="Calibri"/>
          <w:color w:val="000000"/>
          <w:sz w:val="24"/>
        </w:rPr>
      </w:pPr>
      <w:r>
        <w:rPr>
          <w:sz w:val="24"/>
        </w:rPr>
        <w:t xml:space="preserve">De discussie naar aanleiding van de sociale spanningen tussen de Turkse Nederlanders richt zich voornamelijk op de vraag in hoeverre Turkse Nederlanders die al decennia in Nederland wonen geïntegreerd zijn. De meeste Turkse Nederlanders geven namelijk aan meer betrokkenheid te hebben met Turkije dan </w:t>
      </w:r>
      <w:r>
        <w:rPr>
          <w:sz w:val="24"/>
        </w:rPr>
        <w:lastRenderedPageBreak/>
        <w:t xml:space="preserve">met Nederland. De samenleving vindt het vreemd dat juist de Turkse Nederlanders uit een deel van de tweede generatie en de derde generatie zich meer verbonden voelen met Turkije, terwijl zij geboren en getogen Nederlanders zijn. </w:t>
      </w:r>
    </w:p>
    <w:p w:rsidR="00586846" w:rsidP="00586846" w:rsidRDefault="00586846">
      <w:pPr>
        <w:pStyle w:val="Lijstalinea"/>
        <w:shd w:val="clear" w:color="auto" w:fill="FFFFFF"/>
        <w:spacing w:after="0"/>
        <w:textAlignment w:val="center"/>
        <w:rPr>
          <w:rFonts w:ascii="Calibri" w:hAnsi="Calibri"/>
          <w:color w:val="000000"/>
          <w:sz w:val="24"/>
        </w:rPr>
      </w:pPr>
    </w:p>
    <w:p w:rsidR="00586846" w:rsidP="00586846" w:rsidRDefault="00586846">
      <w:pPr>
        <w:pStyle w:val="Lijstalinea"/>
        <w:numPr>
          <w:ilvl w:val="0"/>
          <w:numId w:val="1"/>
        </w:numPr>
        <w:shd w:val="clear" w:color="auto" w:fill="FFFFFF"/>
        <w:spacing w:after="0"/>
        <w:textAlignment w:val="center"/>
        <w:rPr>
          <w:rFonts w:ascii="Calibri" w:hAnsi="Calibri"/>
          <w:color w:val="000000"/>
          <w:sz w:val="24"/>
        </w:rPr>
      </w:pPr>
      <w:r>
        <w:rPr>
          <w:sz w:val="24"/>
        </w:rPr>
        <w:t xml:space="preserve">Ook anarchistisch gedrag van Turks Nederlandse jongeren, zoals in de </w:t>
      </w:r>
      <w:proofErr w:type="spellStart"/>
      <w:r>
        <w:rPr>
          <w:sz w:val="24"/>
        </w:rPr>
        <w:t>Zaanse</w:t>
      </w:r>
      <w:proofErr w:type="spellEnd"/>
      <w:r>
        <w:rPr>
          <w:sz w:val="24"/>
        </w:rPr>
        <w:t xml:space="preserve"> wijk Poelenburg,  wordt versterkt door de spanningen tussen Turkse Nederlanders en de reactie van politici en media.</w:t>
      </w:r>
      <w:r>
        <w:rPr>
          <w:rFonts w:ascii="Calibri" w:hAnsi="Calibri"/>
          <w:color w:val="000000"/>
          <w:sz w:val="24"/>
        </w:rPr>
        <w:t xml:space="preserve"> </w:t>
      </w:r>
    </w:p>
    <w:p w:rsidR="00586846" w:rsidP="00586846" w:rsidRDefault="00586846">
      <w:pPr>
        <w:shd w:val="clear" w:color="auto" w:fill="FFFFFF"/>
        <w:spacing w:after="0"/>
        <w:textAlignment w:val="center"/>
        <w:rPr>
          <w:rFonts w:ascii="Calibri" w:hAnsi="Calibri"/>
          <w:color w:val="000000"/>
          <w:sz w:val="24"/>
        </w:rPr>
      </w:pPr>
    </w:p>
    <w:p w:rsidR="00586846" w:rsidP="00586846" w:rsidRDefault="00586846">
      <w:pPr>
        <w:pStyle w:val="Geenafstand"/>
        <w:numPr>
          <w:ilvl w:val="0"/>
          <w:numId w:val="1"/>
        </w:numPr>
        <w:rPr>
          <w:sz w:val="24"/>
          <w:szCs w:val="28"/>
        </w:rPr>
      </w:pPr>
      <w:r>
        <w:rPr>
          <w:sz w:val="24"/>
          <w:szCs w:val="28"/>
        </w:rPr>
        <w:t xml:space="preserve">Om deze spanningen en andere problemen tegen te gaan zou de overheid niet alleen met een deel van de religieuze stromingen moeten spreken die door het CMO vertegenwoordigd worden, maar met alle democratische organisaties. Dit zou een beter en breder draagvlak bieden om de problemen te bespreken en oplossingen te zoeken. </w:t>
      </w:r>
      <w:r>
        <w:rPr>
          <w:sz w:val="24"/>
          <w:szCs w:val="28"/>
        </w:rPr>
        <w:br/>
        <w:t>Een grote groep Turkse Nederlanders manifesteert zich in de Nederlandse samenleving immers niet of niet alleen op grond van het religieuze collectief waartoe ze soms ten onrechte gerekend worden.</w:t>
      </w:r>
    </w:p>
    <w:p w:rsidR="00586846" w:rsidP="00586846" w:rsidRDefault="00586846">
      <w:pPr>
        <w:pStyle w:val="Lijstalinea"/>
        <w:shd w:val="clear" w:color="auto" w:fill="FFFFFF"/>
        <w:spacing w:after="0"/>
        <w:textAlignment w:val="center"/>
        <w:rPr>
          <w:rFonts w:ascii="Calibri" w:hAnsi="Calibri"/>
          <w:color w:val="000000"/>
          <w:sz w:val="24"/>
        </w:rPr>
      </w:pPr>
    </w:p>
    <w:p w:rsidR="00586846" w:rsidP="00586846" w:rsidRDefault="00586846">
      <w:pPr>
        <w:pStyle w:val="Geenafstand"/>
        <w:numPr>
          <w:ilvl w:val="0"/>
          <w:numId w:val="1"/>
        </w:numPr>
        <w:rPr>
          <w:sz w:val="24"/>
          <w:szCs w:val="28"/>
        </w:rPr>
      </w:pPr>
      <w:r>
        <w:rPr>
          <w:sz w:val="24"/>
          <w:szCs w:val="28"/>
        </w:rPr>
        <w:t>Turkse Nederlanders hebben hier terecht veel zorgen over discriminatie, de positie op de arbeidsmarkt, onderwijs en integratie. Na 50 jaar migratie hebben we het nog steeds over deze problemen. Dat ligt aan de moeizame acceptatie van de dominante samenleving, maar ook aan Turkse Nederlanders die zich afsluiten en terugtrekken in culturele getto’s. De organisaties die alleen met cultuur bezig zijn en zich niet ten doel stellen om zich te richten op de samenleving zijn geen integratie bevorderende organisaties.</w:t>
      </w:r>
    </w:p>
    <w:p w:rsidR="00586846" w:rsidP="00586846" w:rsidRDefault="00586846">
      <w:pPr>
        <w:shd w:val="clear" w:color="auto" w:fill="FFFFFF"/>
        <w:spacing w:after="0"/>
        <w:textAlignment w:val="center"/>
        <w:rPr>
          <w:rFonts w:ascii="Calibri" w:hAnsi="Calibri"/>
          <w:color w:val="000000"/>
          <w:sz w:val="24"/>
        </w:rPr>
      </w:pPr>
    </w:p>
    <w:p w:rsidR="00586846" w:rsidP="00586846" w:rsidRDefault="00586846">
      <w:pPr>
        <w:pStyle w:val="Lijstalinea"/>
        <w:numPr>
          <w:ilvl w:val="0"/>
          <w:numId w:val="1"/>
        </w:numPr>
        <w:shd w:val="clear" w:color="auto" w:fill="FFFFFF"/>
        <w:spacing w:after="0"/>
        <w:textAlignment w:val="center"/>
        <w:rPr>
          <w:rFonts w:ascii="Calibri" w:hAnsi="Calibri"/>
          <w:color w:val="000000"/>
          <w:sz w:val="24"/>
        </w:rPr>
      </w:pPr>
      <w:r>
        <w:rPr>
          <w:rFonts w:ascii="Calibri" w:hAnsi="Calibri"/>
          <w:color w:val="000000"/>
          <w:sz w:val="24"/>
        </w:rPr>
        <w:t xml:space="preserve">Als het kabinet de sociale spanningen binnen de Turks Nederlandse gemeenschap wil tegengaan dan zal het moeten investeren in het tegengaan van discriminatie en uitsluiting en in projecten en activiteiten waardoor deze groepen zich kunnen verbinden met de samenleving. Er is maatwerk nodig dat inspeelt op de mogelijkheden en behoeften van deze groepen en andere Nederlanders in hun directe omgeving. Je kunt denken aan buurtinitiatieven waar Nederlanders met een Turkse achtergrond samenwerken met andere Nederlanders, bijvoorbeeld gericht op het verhogen van de maatschappelijke participatie of het ondersteunen van kwetsbare bewoners bij hun dagelijkse activiteiten waarbij er geen onderscheid wordt gemaakt naar de persoon. </w:t>
      </w:r>
    </w:p>
    <w:p w:rsidR="00586846" w:rsidP="00586846" w:rsidRDefault="00586846">
      <w:pPr>
        <w:shd w:val="clear" w:color="auto" w:fill="FFFFFF"/>
        <w:spacing w:after="0"/>
        <w:textAlignment w:val="center"/>
        <w:rPr>
          <w:rFonts w:ascii="Calibri" w:hAnsi="Calibri"/>
          <w:color w:val="000000"/>
          <w:sz w:val="24"/>
        </w:rPr>
      </w:pPr>
    </w:p>
    <w:p w:rsidRPr="00893B72" w:rsidR="00586846" w:rsidP="00893B72" w:rsidRDefault="00586846">
      <w:pPr>
        <w:shd w:val="clear" w:color="auto" w:fill="FFFFFF"/>
        <w:spacing w:after="0"/>
        <w:textAlignment w:val="center"/>
        <w:rPr>
          <w:rFonts w:ascii="Calibri" w:hAnsi="Calibri"/>
          <w:color w:val="000000"/>
          <w:sz w:val="24"/>
        </w:rPr>
      </w:pPr>
      <w:r w:rsidRPr="00893B72">
        <w:rPr>
          <w:rFonts w:ascii="Calibri" w:hAnsi="Calibri"/>
          <w:color w:val="000000"/>
          <w:sz w:val="24"/>
        </w:rPr>
        <w:t xml:space="preserve">Dit soort projecten kunnen de vluchtheuvels vormen waar de Nederlanders met een Turkse achtergrond die nu meelopen met de dominante Turkse politiek de kans grijpen om het anders te gaan doen. Dit soort projecten kosten tijd en moeten zorgvuldig worden opgezet. Het HTIB en andere organisaties met een Turkse achtergrond willen daar graag een bijdrage aan leveren. HTIB is dan ook gaarne bereid om hierover met u verder van gedachten te wisselen. </w:t>
      </w:r>
    </w:p>
    <w:p w:rsidR="00586846" w:rsidP="00586846" w:rsidRDefault="00586846">
      <w:pPr>
        <w:shd w:val="clear" w:color="auto" w:fill="FFFFFF"/>
        <w:spacing w:after="0"/>
        <w:textAlignment w:val="center"/>
        <w:rPr>
          <w:rFonts w:ascii="Calibri" w:hAnsi="Calibri"/>
          <w:color w:val="000000"/>
          <w:sz w:val="24"/>
        </w:rPr>
      </w:pPr>
    </w:p>
    <w:p w:rsidR="00586846" w:rsidP="00586846" w:rsidRDefault="00586846">
      <w:pPr>
        <w:shd w:val="clear" w:color="auto" w:fill="FFFFFF"/>
        <w:spacing w:after="0"/>
        <w:textAlignment w:val="center"/>
        <w:rPr>
          <w:rFonts w:ascii="Calibri" w:hAnsi="Calibri"/>
          <w:color w:val="000000"/>
          <w:sz w:val="24"/>
        </w:rPr>
      </w:pPr>
      <w:r>
        <w:rPr>
          <w:rFonts w:ascii="Calibri" w:hAnsi="Calibri"/>
          <w:color w:val="000000"/>
          <w:sz w:val="24"/>
        </w:rPr>
        <w:lastRenderedPageBreak/>
        <w:t xml:space="preserve">Mocht u vragen hebben, neemt u dan gerust contact met ons op.  Wij geven graag een toelichting. </w:t>
      </w:r>
    </w:p>
    <w:p w:rsidR="00586846" w:rsidP="00586846" w:rsidRDefault="00586846">
      <w:pPr>
        <w:shd w:val="clear" w:color="auto" w:fill="FFFFFF"/>
        <w:spacing w:after="0"/>
        <w:textAlignment w:val="center"/>
        <w:rPr>
          <w:rFonts w:ascii="Calibri" w:hAnsi="Calibri"/>
          <w:color w:val="000000"/>
          <w:sz w:val="24"/>
        </w:rPr>
      </w:pPr>
    </w:p>
    <w:p w:rsidR="00586846" w:rsidP="00586846" w:rsidRDefault="00586846">
      <w:pPr>
        <w:shd w:val="clear" w:color="auto" w:fill="FFFFFF"/>
        <w:spacing w:after="0"/>
        <w:textAlignment w:val="center"/>
        <w:rPr>
          <w:rFonts w:ascii="Calibri" w:hAnsi="Calibri"/>
          <w:color w:val="000000"/>
          <w:sz w:val="24"/>
        </w:rPr>
      </w:pPr>
      <w:r>
        <w:rPr>
          <w:rFonts w:ascii="Calibri" w:hAnsi="Calibri"/>
          <w:color w:val="000000"/>
          <w:sz w:val="24"/>
        </w:rPr>
        <w:t>Hoogachtend</w:t>
      </w:r>
    </w:p>
    <w:p w:rsidR="00586846" w:rsidP="00586846" w:rsidRDefault="00586846">
      <w:pPr>
        <w:shd w:val="clear" w:color="auto" w:fill="FFFFFF"/>
        <w:spacing w:after="0"/>
        <w:textAlignment w:val="center"/>
        <w:rPr>
          <w:rFonts w:ascii="Calibri" w:hAnsi="Calibri"/>
          <w:color w:val="000000"/>
          <w:sz w:val="24"/>
        </w:rPr>
      </w:pPr>
      <w:r>
        <w:rPr>
          <w:rFonts w:ascii="Calibri" w:hAnsi="Calibri"/>
          <w:color w:val="000000"/>
          <w:sz w:val="24"/>
        </w:rPr>
        <w:t>Namens het bestuur van HTIB</w:t>
      </w:r>
    </w:p>
    <w:p w:rsidR="00586846" w:rsidP="00586846" w:rsidRDefault="00586846">
      <w:pPr>
        <w:shd w:val="clear" w:color="auto" w:fill="FFFFFF"/>
        <w:spacing w:after="0"/>
        <w:textAlignment w:val="center"/>
        <w:rPr>
          <w:rFonts w:ascii="Calibri" w:hAnsi="Calibri"/>
          <w:color w:val="000000"/>
          <w:sz w:val="24"/>
        </w:rPr>
      </w:pPr>
    </w:p>
    <w:p w:rsidR="00586846" w:rsidP="00586846" w:rsidRDefault="00586846">
      <w:pPr>
        <w:shd w:val="clear" w:color="auto" w:fill="FFFFFF"/>
        <w:spacing w:after="0"/>
        <w:textAlignment w:val="center"/>
        <w:rPr>
          <w:rFonts w:ascii="Calibri" w:hAnsi="Calibri"/>
          <w:color w:val="000000"/>
          <w:sz w:val="24"/>
        </w:rPr>
      </w:pPr>
      <w:r>
        <w:rPr>
          <w:rFonts w:ascii="Calibri" w:hAnsi="Calibri"/>
          <w:color w:val="000000"/>
          <w:sz w:val="24"/>
        </w:rPr>
        <w:t>Mustafa Ayranci</w:t>
      </w:r>
    </w:p>
    <w:p w:rsidR="00586846" w:rsidP="00586846" w:rsidRDefault="00586846">
      <w:pPr>
        <w:pStyle w:val="Normaalweb"/>
        <w:shd w:val="clear" w:color="auto" w:fill="FFFFFF"/>
        <w:spacing w:before="0" w:beforeAutospacing="0" w:after="0" w:afterAutospacing="0"/>
        <w:textAlignment w:val="center"/>
        <w:rPr>
          <w:rFonts w:ascii="Calibri" w:hAnsi="Calibri"/>
          <w:color w:val="000000"/>
          <w:szCs w:val="22"/>
        </w:rPr>
      </w:pPr>
      <w:r>
        <w:rPr>
          <w:rFonts w:ascii="Calibri" w:hAnsi="Calibri"/>
          <w:color w:val="000000"/>
          <w:szCs w:val="22"/>
        </w:rPr>
        <w:t>voorzitter</w:t>
      </w:r>
    </w:p>
    <w:p w:rsidR="00B21C14" w:rsidRDefault="00B21C14"/>
    <w:sectPr w:rsidR="00B21C14" w:rsidSect="00B21C14">
      <w:pgSz w:w="11906" w:h="16838"/>
      <w:pgMar w:top="1417" w:right="1417" w:bottom="1417" w:left="1417" w:header="708" w:footer="708" w:gutter="0"/>
      <w:cols w:space="708"/>
      <w:docGrid w:linePitch="360"/>
      <w:paperSrc w:first="4" w:other="4"/>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736281"/>
    <w:multiLevelType w:val="hybridMultilevel"/>
    <w:tmpl w:val="5080CA6C"/>
    <w:lvl w:ilvl="0" w:tplc="B43290A4">
      <w:numFmt w:val="bullet"/>
      <w:lvlText w:val=""/>
      <w:lvlJc w:val="left"/>
      <w:pPr>
        <w:ind w:left="720" w:hanging="360"/>
      </w:pPr>
      <w:rPr>
        <w:rFonts w:ascii="Symbol" w:eastAsiaTheme="minorHAnsi" w:hAnsi="Symbol" w:cstheme="minorBidi"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defaultTabStop w:val="708"/>
  <w:hyphenationZone w:val="425"/>
  <w:characterSpacingControl w:val="doNotCompress"/>
  <w:compat/>
  <w:rsids>
    <w:rsidRoot w:val="00586846"/>
    <w:rsid w:val="00056075"/>
    <w:rsid w:val="000C78F6"/>
    <w:rsid w:val="00586846"/>
    <w:rsid w:val="00893B72"/>
    <w:rsid w:val="00A1751C"/>
    <w:rsid w:val="00B21C14"/>
    <w:rsid w:val="00F854E9"/>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86846"/>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586846"/>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Geenafstand">
    <w:name w:val="No Spacing"/>
    <w:uiPriority w:val="1"/>
    <w:qFormat/>
    <w:rsid w:val="00586846"/>
    <w:pPr>
      <w:spacing w:after="0" w:line="240" w:lineRule="auto"/>
    </w:pPr>
  </w:style>
  <w:style w:type="paragraph" w:styleId="Lijstalinea">
    <w:name w:val="List Paragraph"/>
    <w:basedOn w:val="Standaard"/>
    <w:uiPriority w:val="34"/>
    <w:qFormat/>
    <w:rsid w:val="00586846"/>
    <w:pPr>
      <w:ind w:left="720"/>
      <w:contextualSpacing/>
    </w:pPr>
  </w:style>
  <w:style w:type="paragraph" w:styleId="Ballontekst">
    <w:name w:val="Balloon Text"/>
    <w:basedOn w:val="Standaard"/>
    <w:link w:val="BallontekstChar"/>
    <w:uiPriority w:val="99"/>
    <w:semiHidden/>
    <w:unhideWhenUsed/>
    <w:rsid w:val="0058684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8684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60867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emf" Id="rId5" /><Relationship Type="http://schemas.openxmlformats.org/officeDocument/2006/relationships/webSettings" Target="webSettings.xml" Id="rId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1105</ap:Words>
  <ap:Characters>6082</ap:Characters>
  <ap:DocSecurity>0</ap:DocSecurity>
  <ap:Lines>50</ap:Lines>
  <ap:Paragraphs>14</ap:Paragraphs>
  <ap:ScaleCrop>false</ap:ScaleCrop>
  <ap:LinksUpToDate>false</ap:LinksUpToDate>
  <ap:CharactersWithSpaces>7173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2016-09-22T11:44:00.0000000Z</dcterms:created>
  <dcterms:modified xsi:type="dcterms:W3CDTF">2016-09-22T11:44:00.0000000Z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0x010100E2BAD4218FE21E4C80B2D774D5866C5E</vt:lpwstr>
  </property>
</Properties>
</file>