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D0B1E" w:rsidR="00B84614" w:rsidP="00621D03" w:rsidRDefault="00E821DD">
      <w:pPr>
        <w:spacing w:after="0"/>
        <w:contextualSpacing/>
        <w:rPr>
          <w:b/>
          <w:sz w:val="22"/>
        </w:rPr>
      </w:pPr>
      <w:r>
        <w:rPr>
          <w:b/>
          <w:sz w:val="22"/>
        </w:rPr>
        <w:t>Bijlage 3</w:t>
      </w:r>
      <w:r w:rsidR="00621D03">
        <w:rPr>
          <w:b/>
          <w:sz w:val="22"/>
        </w:rPr>
        <w:t xml:space="preserve">: </w:t>
      </w:r>
      <w:r w:rsidRPr="003D0B1E" w:rsidR="00CA2DBF">
        <w:rPr>
          <w:b/>
          <w:sz w:val="22"/>
        </w:rPr>
        <w:t>Plan van aanpa</w:t>
      </w:r>
      <w:r w:rsidR="00621D03">
        <w:rPr>
          <w:b/>
          <w:sz w:val="22"/>
        </w:rPr>
        <w:t>k beleidsdoorlichting artikel 2</w:t>
      </w:r>
      <w:r w:rsidRPr="003D0B1E" w:rsidR="00CA2DBF">
        <w:rPr>
          <w:b/>
          <w:sz w:val="22"/>
        </w:rPr>
        <w:t xml:space="preserve"> </w:t>
      </w:r>
      <w:r w:rsidR="005D085E">
        <w:rPr>
          <w:b/>
          <w:sz w:val="22"/>
        </w:rPr>
        <w:t>Financiële Markten</w:t>
      </w:r>
    </w:p>
    <w:p w:rsidR="003D0B1E" w:rsidP="00D427EA" w:rsidRDefault="003D0B1E">
      <w:pPr>
        <w:spacing w:after="0"/>
        <w:contextualSpacing/>
        <w:rPr>
          <w:b/>
          <w:sz w:val="13"/>
          <w:szCs w:val="13"/>
        </w:rPr>
      </w:pPr>
    </w:p>
    <w:p w:rsidRPr="00220364" w:rsidR="00D03B84" w:rsidP="00D427EA" w:rsidRDefault="00D03B84">
      <w:pPr>
        <w:spacing w:after="0"/>
        <w:contextualSpacing/>
        <w:rPr>
          <w:b/>
          <w:sz w:val="13"/>
          <w:szCs w:val="13"/>
        </w:rPr>
      </w:pPr>
    </w:p>
    <w:p w:rsidR="00D427EA" w:rsidP="00D427EA" w:rsidRDefault="00CA2DBF">
      <w:pPr>
        <w:spacing w:after="0"/>
        <w:contextualSpacing/>
        <w:rPr>
          <w:b/>
          <w:szCs w:val="18"/>
        </w:rPr>
      </w:pPr>
      <w:r>
        <w:rPr>
          <w:b/>
          <w:szCs w:val="18"/>
        </w:rPr>
        <w:t>1.</w:t>
      </w:r>
      <w:r w:rsidR="00352AA6">
        <w:rPr>
          <w:b/>
          <w:szCs w:val="18"/>
        </w:rPr>
        <w:tab/>
      </w:r>
      <w:r w:rsidRPr="00D427EA" w:rsidR="00D427EA">
        <w:rPr>
          <w:b/>
          <w:szCs w:val="18"/>
        </w:rPr>
        <w:t>Inleiding</w:t>
      </w:r>
    </w:p>
    <w:p w:rsidRPr="00D427EA" w:rsidR="00B84614" w:rsidP="00D427EA" w:rsidRDefault="00B84614">
      <w:pPr>
        <w:spacing w:after="0"/>
        <w:contextualSpacing/>
        <w:rPr>
          <w:b/>
          <w:szCs w:val="18"/>
        </w:rPr>
      </w:pPr>
    </w:p>
    <w:p w:rsidR="003D0B1E" w:rsidP="00D427EA" w:rsidRDefault="003137FF">
      <w:pPr>
        <w:spacing w:after="0"/>
        <w:contextualSpacing/>
        <w:rPr>
          <w:szCs w:val="18"/>
        </w:rPr>
      </w:pPr>
      <w:r>
        <w:rPr>
          <w:szCs w:val="18"/>
        </w:rPr>
        <w:t xml:space="preserve">In 2017 </w:t>
      </w:r>
      <w:r w:rsidR="00B41FC7">
        <w:rPr>
          <w:szCs w:val="18"/>
        </w:rPr>
        <w:t>staat</w:t>
      </w:r>
      <w:r>
        <w:rPr>
          <w:szCs w:val="18"/>
        </w:rPr>
        <w:t xml:space="preserve"> de </w:t>
      </w:r>
      <w:r w:rsidR="003D0B1E">
        <w:rPr>
          <w:szCs w:val="18"/>
        </w:rPr>
        <w:t>periodieke</w:t>
      </w:r>
      <w:r>
        <w:rPr>
          <w:szCs w:val="18"/>
        </w:rPr>
        <w:t xml:space="preserve"> beleidsdoorlichting </w:t>
      </w:r>
      <w:r w:rsidR="00B41FC7">
        <w:rPr>
          <w:szCs w:val="18"/>
        </w:rPr>
        <w:t>gepland</w:t>
      </w:r>
      <w:r>
        <w:rPr>
          <w:szCs w:val="18"/>
        </w:rPr>
        <w:t xml:space="preserve"> van artikel 2 van </w:t>
      </w:r>
      <w:r w:rsidR="00565D13">
        <w:rPr>
          <w:szCs w:val="18"/>
        </w:rPr>
        <w:t>Begrotingshoofdstuk IX Financiën en Nationale</w:t>
      </w:r>
      <w:r>
        <w:rPr>
          <w:szCs w:val="18"/>
        </w:rPr>
        <w:t xml:space="preserve"> Schuld welke ziet op de financiële markten. </w:t>
      </w:r>
      <w:r w:rsidR="003D0B1E">
        <w:rPr>
          <w:szCs w:val="18"/>
        </w:rPr>
        <w:t>De doorlichting moet voldoen aan de eisen uit de Regeling periodiek evaluatieonderzoek 2014</w:t>
      </w:r>
      <w:r w:rsidR="003D0B1E">
        <w:rPr>
          <w:rStyle w:val="Voetnootmarkering"/>
          <w:szCs w:val="18"/>
        </w:rPr>
        <w:footnoteReference w:id="1"/>
      </w:r>
      <w:r w:rsidR="003D0B1E">
        <w:rPr>
          <w:szCs w:val="18"/>
        </w:rPr>
        <w:t xml:space="preserve"> (</w:t>
      </w:r>
      <w:proofErr w:type="spellStart"/>
      <w:r w:rsidR="003D0B1E">
        <w:rPr>
          <w:szCs w:val="18"/>
        </w:rPr>
        <w:t>Rpe</w:t>
      </w:r>
      <w:proofErr w:type="spellEnd"/>
      <w:r w:rsidR="003D0B1E">
        <w:rPr>
          <w:szCs w:val="18"/>
        </w:rPr>
        <w:t xml:space="preserve">). </w:t>
      </w:r>
    </w:p>
    <w:p w:rsidR="003D0B1E" w:rsidP="00D427EA" w:rsidRDefault="003D0B1E">
      <w:pPr>
        <w:spacing w:after="0"/>
        <w:contextualSpacing/>
        <w:rPr>
          <w:szCs w:val="18"/>
        </w:rPr>
      </w:pPr>
    </w:p>
    <w:p w:rsidR="002617EB" w:rsidP="00D427EA" w:rsidRDefault="003137FF">
      <w:pPr>
        <w:spacing w:after="0"/>
        <w:contextualSpacing/>
        <w:rPr>
          <w:szCs w:val="18"/>
        </w:rPr>
      </w:pPr>
      <w:r>
        <w:rPr>
          <w:szCs w:val="18"/>
        </w:rPr>
        <w:t>De laatst</w:t>
      </w:r>
      <w:r w:rsidR="00494F9A">
        <w:rPr>
          <w:szCs w:val="18"/>
        </w:rPr>
        <w:t xml:space="preserve">e </w:t>
      </w:r>
      <w:r w:rsidR="003D0B1E">
        <w:rPr>
          <w:szCs w:val="18"/>
        </w:rPr>
        <w:t>beleids</w:t>
      </w:r>
      <w:r>
        <w:rPr>
          <w:szCs w:val="18"/>
        </w:rPr>
        <w:t>doorlichting</w:t>
      </w:r>
      <w:r w:rsidR="003E4DE8">
        <w:rPr>
          <w:szCs w:val="18"/>
        </w:rPr>
        <w:t>en</w:t>
      </w:r>
      <w:r>
        <w:rPr>
          <w:szCs w:val="18"/>
        </w:rPr>
        <w:t xml:space="preserve"> van </w:t>
      </w:r>
      <w:r w:rsidR="00494F9A">
        <w:rPr>
          <w:szCs w:val="18"/>
        </w:rPr>
        <w:t>begrotings</w:t>
      </w:r>
      <w:r>
        <w:rPr>
          <w:szCs w:val="18"/>
        </w:rPr>
        <w:t xml:space="preserve">artikel 2 </w:t>
      </w:r>
      <w:r w:rsidR="003E4DE8">
        <w:rPr>
          <w:szCs w:val="18"/>
        </w:rPr>
        <w:t>zijn uitgevoerd in de jaren 2007-2008 en hadden betrekking op</w:t>
      </w:r>
      <w:r w:rsidR="00494F9A">
        <w:rPr>
          <w:szCs w:val="18"/>
        </w:rPr>
        <w:t xml:space="preserve"> </w:t>
      </w:r>
      <w:r w:rsidR="008712B1">
        <w:rPr>
          <w:szCs w:val="18"/>
        </w:rPr>
        <w:t xml:space="preserve">afzonderlijke </w:t>
      </w:r>
      <w:r w:rsidR="00494F9A">
        <w:rPr>
          <w:szCs w:val="18"/>
        </w:rPr>
        <w:t xml:space="preserve">onderdelen van dit </w:t>
      </w:r>
      <w:r w:rsidR="003E4DE8">
        <w:rPr>
          <w:szCs w:val="18"/>
        </w:rPr>
        <w:t xml:space="preserve">artikel, namelijk </w:t>
      </w:r>
      <w:proofErr w:type="spellStart"/>
      <w:r w:rsidRPr="00A22F2D" w:rsidR="003E4DE8">
        <w:rPr>
          <w:szCs w:val="18"/>
        </w:rPr>
        <w:t>corporate</w:t>
      </w:r>
      <w:proofErr w:type="spellEnd"/>
      <w:r w:rsidRPr="00A22F2D" w:rsidR="003E4DE8">
        <w:rPr>
          <w:szCs w:val="18"/>
        </w:rPr>
        <w:t xml:space="preserve"> </w:t>
      </w:r>
      <w:proofErr w:type="spellStart"/>
      <w:r w:rsidRPr="00A22F2D" w:rsidR="003E4DE8">
        <w:rPr>
          <w:szCs w:val="18"/>
        </w:rPr>
        <w:t>governance</w:t>
      </w:r>
      <w:proofErr w:type="spellEnd"/>
      <w:r w:rsidR="003E4DE8">
        <w:rPr>
          <w:szCs w:val="18"/>
        </w:rPr>
        <w:t xml:space="preserve">, toezicht verslaggeving, toezicht accountants, </w:t>
      </w:r>
      <w:proofErr w:type="spellStart"/>
      <w:r w:rsidR="00494F9A">
        <w:rPr>
          <w:szCs w:val="18"/>
        </w:rPr>
        <w:t>risicogeoriënteerd</w:t>
      </w:r>
      <w:proofErr w:type="spellEnd"/>
      <w:r w:rsidR="00A22F2D">
        <w:rPr>
          <w:szCs w:val="18"/>
        </w:rPr>
        <w:t xml:space="preserve"> toezicht en </w:t>
      </w:r>
      <w:r w:rsidR="003D0B1E">
        <w:rPr>
          <w:szCs w:val="18"/>
        </w:rPr>
        <w:t xml:space="preserve">de </w:t>
      </w:r>
      <w:r w:rsidR="00A22F2D">
        <w:rPr>
          <w:szCs w:val="18"/>
        </w:rPr>
        <w:t>W</w:t>
      </w:r>
      <w:r w:rsidR="003E4DE8">
        <w:rPr>
          <w:szCs w:val="18"/>
        </w:rPr>
        <w:t>et financiële dienstverlening. Ook is in 2008 een evaluatie va</w:t>
      </w:r>
      <w:r w:rsidR="008712B1">
        <w:rPr>
          <w:szCs w:val="18"/>
        </w:rPr>
        <w:t>n de muntendistributie afgerond,</w:t>
      </w:r>
      <w:r w:rsidR="003E4DE8">
        <w:rPr>
          <w:szCs w:val="18"/>
        </w:rPr>
        <w:t xml:space="preserve"> en </w:t>
      </w:r>
      <w:r w:rsidR="00494F9A">
        <w:rPr>
          <w:szCs w:val="18"/>
        </w:rPr>
        <w:t xml:space="preserve">heeft </w:t>
      </w:r>
      <w:r w:rsidR="003E4DE8">
        <w:rPr>
          <w:szCs w:val="18"/>
        </w:rPr>
        <w:t xml:space="preserve">in 2010 nog een </w:t>
      </w:r>
      <w:r w:rsidR="00EA6738">
        <w:rPr>
          <w:szCs w:val="18"/>
        </w:rPr>
        <w:t>doorlichting</w:t>
      </w:r>
      <w:r w:rsidR="003E4DE8">
        <w:rPr>
          <w:szCs w:val="18"/>
        </w:rPr>
        <w:t xml:space="preserve"> plaatsgevonden van de integriteit van het financieel stelsel</w:t>
      </w:r>
      <w:r w:rsidR="00494F9A">
        <w:rPr>
          <w:szCs w:val="18"/>
        </w:rPr>
        <w:t xml:space="preserve"> (FATF</w:t>
      </w:r>
      <w:r w:rsidR="003E4DE8">
        <w:rPr>
          <w:szCs w:val="18"/>
        </w:rPr>
        <w:t>).</w:t>
      </w:r>
      <w:r>
        <w:rPr>
          <w:szCs w:val="18"/>
        </w:rPr>
        <w:t xml:space="preserve"> </w:t>
      </w:r>
      <w:r w:rsidR="002617EB">
        <w:rPr>
          <w:szCs w:val="18"/>
        </w:rPr>
        <w:t xml:space="preserve">Tot slot kan gewezen worden op de </w:t>
      </w:r>
      <w:r w:rsidR="00BB5D9F">
        <w:rPr>
          <w:szCs w:val="18"/>
        </w:rPr>
        <w:t>onderzoeksrapporten</w:t>
      </w:r>
      <w:r w:rsidR="002617EB">
        <w:rPr>
          <w:szCs w:val="18"/>
        </w:rPr>
        <w:t xml:space="preserve"> uit 2011 die tot stand kwamen onder de vlag van het Financial Sector </w:t>
      </w:r>
      <w:proofErr w:type="spellStart"/>
      <w:r w:rsidR="002617EB">
        <w:rPr>
          <w:szCs w:val="18"/>
        </w:rPr>
        <w:t>Assessment</w:t>
      </w:r>
      <w:proofErr w:type="spellEnd"/>
      <w:r w:rsidR="002617EB">
        <w:rPr>
          <w:szCs w:val="18"/>
        </w:rPr>
        <w:t xml:space="preserve"> Program (FSAP).</w:t>
      </w:r>
      <w:r w:rsidR="002617EB">
        <w:rPr>
          <w:rStyle w:val="Voetnootmarkering"/>
          <w:szCs w:val="18"/>
        </w:rPr>
        <w:footnoteReference w:id="2"/>
      </w:r>
      <w:r w:rsidR="002617EB">
        <w:rPr>
          <w:szCs w:val="18"/>
        </w:rPr>
        <w:t xml:space="preserve"> Hierin heeft het IMF een beoordeling gegeven van de stabiliteit van de Nederlandse financiële sector en de mate waarin het toezicht in Nederland voldoet aan inte</w:t>
      </w:r>
      <w:r w:rsidR="001A636B">
        <w:rPr>
          <w:szCs w:val="18"/>
        </w:rPr>
        <w:t>rnationale toezichtstandaarden.</w:t>
      </w:r>
    </w:p>
    <w:p w:rsidR="002617EB" w:rsidP="00D427EA" w:rsidRDefault="002617EB">
      <w:pPr>
        <w:spacing w:after="0"/>
        <w:contextualSpacing/>
        <w:rPr>
          <w:szCs w:val="18"/>
        </w:rPr>
      </w:pPr>
    </w:p>
    <w:p w:rsidR="00A17C6E" w:rsidP="00D427EA" w:rsidRDefault="003137FF">
      <w:pPr>
        <w:spacing w:after="0"/>
        <w:contextualSpacing/>
        <w:rPr>
          <w:szCs w:val="18"/>
        </w:rPr>
      </w:pPr>
      <w:r>
        <w:rPr>
          <w:szCs w:val="18"/>
        </w:rPr>
        <w:t>De</w:t>
      </w:r>
      <w:r w:rsidR="00565D13">
        <w:rPr>
          <w:szCs w:val="18"/>
        </w:rPr>
        <w:t xml:space="preserve"> </w:t>
      </w:r>
      <w:r w:rsidR="003E4DE8">
        <w:rPr>
          <w:szCs w:val="18"/>
        </w:rPr>
        <w:t xml:space="preserve">onderhavige </w:t>
      </w:r>
      <w:r w:rsidR="00EA6738">
        <w:rPr>
          <w:szCs w:val="18"/>
        </w:rPr>
        <w:t>beleids</w:t>
      </w:r>
      <w:r w:rsidR="003E4DE8">
        <w:rPr>
          <w:szCs w:val="18"/>
        </w:rPr>
        <w:t xml:space="preserve">doorlichting ziet niet op </w:t>
      </w:r>
      <w:r w:rsidRPr="00494F9A" w:rsidR="003E4DE8">
        <w:rPr>
          <w:i/>
          <w:szCs w:val="18"/>
        </w:rPr>
        <w:t>onderdelen</w:t>
      </w:r>
      <w:r w:rsidR="003E4DE8">
        <w:rPr>
          <w:szCs w:val="18"/>
        </w:rPr>
        <w:t xml:space="preserve"> van artikel 2</w:t>
      </w:r>
      <w:r w:rsidR="008712B1">
        <w:rPr>
          <w:szCs w:val="18"/>
        </w:rPr>
        <w:t>,</w:t>
      </w:r>
      <w:r w:rsidR="003E4DE8">
        <w:rPr>
          <w:szCs w:val="18"/>
        </w:rPr>
        <w:t xml:space="preserve"> maar beslaat het beleid ten behoeve van het </w:t>
      </w:r>
      <w:r w:rsidR="003E4DE8">
        <w:rPr>
          <w:i/>
          <w:szCs w:val="18"/>
        </w:rPr>
        <w:t xml:space="preserve">hele </w:t>
      </w:r>
      <w:r w:rsidR="00494F9A">
        <w:rPr>
          <w:szCs w:val="18"/>
        </w:rPr>
        <w:t>begrotingsartikel</w:t>
      </w:r>
      <w:r w:rsidR="00BB5D9F">
        <w:rPr>
          <w:szCs w:val="18"/>
        </w:rPr>
        <w:t xml:space="preserve">. </w:t>
      </w:r>
    </w:p>
    <w:p w:rsidR="00D427EA" w:rsidP="00D427EA" w:rsidRDefault="00D427EA">
      <w:pPr>
        <w:spacing w:after="0"/>
        <w:contextualSpacing/>
        <w:rPr>
          <w:szCs w:val="18"/>
        </w:rPr>
      </w:pPr>
    </w:p>
    <w:p w:rsidRPr="008A0CC8" w:rsidR="00D427EA" w:rsidP="008A0CC8" w:rsidRDefault="00CA2DBF">
      <w:pPr>
        <w:spacing w:after="0"/>
        <w:contextualSpacing/>
        <w:rPr>
          <w:b/>
          <w:szCs w:val="18"/>
        </w:rPr>
      </w:pPr>
      <w:r>
        <w:rPr>
          <w:b/>
          <w:szCs w:val="18"/>
        </w:rPr>
        <w:t>2.</w:t>
      </w:r>
      <w:r w:rsidR="00352AA6">
        <w:rPr>
          <w:b/>
          <w:szCs w:val="18"/>
        </w:rPr>
        <w:tab/>
      </w:r>
      <w:r w:rsidR="00D427EA">
        <w:rPr>
          <w:b/>
          <w:szCs w:val="18"/>
        </w:rPr>
        <w:t>Vraagstelling</w:t>
      </w:r>
    </w:p>
    <w:p w:rsidR="00B84614" w:rsidP="00D427EA" w:rsidRDefault="00B84614">
      <w:pPr>
        <w:spacing w:after="0"/>
        <w:contextualSpacing/>
        <w:rPr>
          <w:szCs w:val="18"/>
        </w:rPr>
      </w:pPr>
    </w:p>
    <w:p w:rsidRPr="003E4DE8" w:rsidR="00D427EA" w:rsidP="00D427EA" w:rsidRDefault="00366B14">
      <w:pPr>
        <w:spacing w:after="0"/>
        <w:contextualSpacing/>
        <w:rPr>
          <w:szCs w:val="18"/>
        </w:rPr>
      </w:pPr>
      <w:r>
        <w:rPr>
          <w:szCs w:val="18"/>
        </w:rPr>
        <w:t xml:space="preserve">Een beleidsdoorlichting is een onderzoek naar de </w:t>
      </w:r>
      <w:r w:rsidR="0035104C">
        <w:rPr>
          <w:szCs w:val="18"/>
        </w:rPr>
        <w:t xml:space="preserve">doeltreffendheid </w:t>
      </w:r>
      <w:r w:rsidR="00161913">
        <w:rPr>
          <w:szCs w:val="18"/>
        </w:rPr>
        <w:t xml:space="preserve">en doelmatigheid </w:t>
      </w:r>
      <w:r>
        <w:rPr>
          <w:szCs w:val="18"/>
        </w:rPr>
        <w:t>van het door de overheid gevoerde be</w:t>
      </w:r>
      <w:r w:rsidR="00B138F2">
        <w:rPr>
          <w:szCs w:val="18"/>
        </w:rPr>
        <w:t>leid</w:t>
      </w:r>
      <w:r w:rsidR="00123814">
        <w:rPr>
          <w:szCs w:val="18"/>
        </w:rPr>
        <w:t>, in dit geval</w:t>
      </w:r>
      <w:r w:rsidR="00A60EF5">
        <w:rPr>
          <w:szCs w:val="18"/>
        </w:rPr>
        <w:t xml:space="preserve"> op het terrein </w:t>
      </w:r>
      <w:r w:rsidRPr="003E4DE8" w:rsidR="00A60EF5">
        <w:rPr>
          <w:szCs w:val="18"/>
        </w:rPr>
        <w:t>van financiële markten</w:t>
      </w:r>
      <w:r w:rsidRPr="003E4DE8" w:rsidR="00B138F2">
        <w:rPr>
          <w:szCs w:val="18"/>
        </w:rPr>
        <w:t>. Het gaat er</w:t>
      </w:r>
      <w:r w:rsidRPr="003E4DE8">
        <w:rPr>
          <w:szCs w:val="18"/>
        </w:rPr>
        <w:t xml:space="preserve">om </w:t>
      </w:r>
      <w:r w:rsidR="000E7252">
        <w:rPr>
          <w:szCs w:val="18"/>
        </w:rPr>
        <w:t xml:space="preserve">te onderzoeken </w:t>
      </w:r>
      <w:r w:rsidRPr="003E4DE8">
        <w:rPr>
          <w:szCs w:val="18"/>
        </w:rPr>
        <w:t xml:space="preserve">of het </w:t>
      </w:r>
      <w:r w:rsidRPr="003E4DE8" w:rsidR="00A60EF5">
        <w:rPr>
          <w:szCs w:val="18"/>
        </w:rPr>
        <w:t>beleid en de daarvoor ingezette (</w:t>
      </w:r>
      <w:proofErr w:type="spellStart"/>
      <w:r w:rsidRPr="003E4DE8" w:rsidR="00A60EF5">
        <w:rPr>
          <w:szCs w:val="18"/>
        </w:rPr>
        <w:t>beleids</w:t>
      </w:r>
      <w:proofErr w:type="spellEnd"/>
      <w:r w:rsidRPr="003E4DE8" w:rsidR="00A60EF5">
        <w:rPr>
          <w:szCs w:val="18"/>
        </w:rPr>
        <w:t>)</w:t>
      </w:r>
      <w:r w:rsidRPr="003E4DE8" w:rsidR="00D427EA">
        <w:rPr>
          <w:szCs w:val="18"/>
        </w:rPr>
        <w:t xml:space="preserve">instrumenten hebben bijgedragen aan het beoogde doel en in hoeverre </w:t>
      </w:r>
      <w:r w:rsidRPr="003E4DE8">
        <w:rPr>
          <w:szCs w:val="18"/>
        </w:rPr>
        <w:t xml:space="preserve">de </w:t>
      </w:r>
      <w:r w:rsidRPr="003E4DE8" w:rsidR="0035104C">
        <w:rPr>
          <w:szCs w:val="18"/>
        </w:rPr>
        <w:t xml:space="preserve">financiële </w:t>
      </w:r>
      <w:r w:rsidRPr="003E4DE8">
        <w:rPr>
          <w:szCs w:val="18"/>
        </w:rPr>
        <w:t>middelen</w:t>
      </w:r>
      <w:r w:rsidRPr="003E4DE8" w:rsidR="00D427EA">
        <w:rPr>
          <w:szCs w:val="18"/>
        </w:rPr>
        <w:t xml:space="preserve"> </w:t>
      </w:r>
      <w:r w:rsidRPr="003E4DE8" w:rsidR="0035104C">
        <w:rPr>
          <w:szCs w:val="18"/>
        </w:rPr>
        <w:t xml:space="preserve">daartoe </w:t>
      </w:r>
      <w:r w:rsidRPr="003E4DE8">
        <w:rPr>
          <w:szCs w:val="18"/>
        </w:rPr>
        <w:t>doelmatig zijn ingezet</w:t>
      </w:r>
      <w:r w:rsidRPr="003E4DE8" w:rsidR="00D427EA">
        <w:rPr>
          <w:szCs w:val="18"/>
        </w:rPr>
        <w:t xml:space="preserve">. </w:t>
      </w:r>
      <w:r w:rsidRPr="003E4DE8" w:rsidR="00DC10C8">
        <w:rPr>
          <w:rStyle w:val="Verwijzingopmerking"/>
          <w:vanish/>
        </w:rPr>
        <w:t>D De</w:t>
      </w:r>
      <w:r w:rsidR="00123814">
        <w:rPr>
          <w:szCs w:val="18"/>
        </w:rPr>
        <w:t>De doorlichting</w:t>
      </w:r>
      <w:r w:rsidRPr="003E4DE8" w:rsidR="00D427EA">
        <w:rPr>
          <w:szCs w:val="18"/>
        </w:rPr>
        <w:t xml:space="preserve"> </w:t>
      </w:r>
      <w:r w:rsidR="00123814">
        <w:rPr>
          <w:szCs w:val="18"/>
        </w:rPr>
        <w:t xml:space="preserve">waarop dit plan van aanpak ziet, </w:t>
      </w:r>
      <w:r w:rsidRPr="003E4DE8" w:rsidR="00DC10C8">
        <w:rPr>
          <w:szCs w:val="18"/>
        </w:rPr>
        <w:t xml:space="preserve">beschouwt de maatregelen die in de periode </w:t>
      </w:r>
      <w:r w:rsidRPr="003E4DE8" w:rsidR="008A0CC8">
        <w:rPr>
          <w:szCs w:val="18"/>
        </w:rPr>
        <w:t>2013-2016</w:t>
      </w:r>
      <w:r w:rsidRPr="003E4DE8" w:rsidR="00DC10C8">
        <w:rPr>
          <w:szCs w:val="18"/>
        </w:rPr>
        <w:t xml:space="preserve"> zijn genomen ter verhoging van de </w:t>
      </w:r>
      <w:r w:rsidRPr="003E4DE8" w:rsidR="00A60EF5">
        <w:rPr>
          <w:szCs w:val="18"/>
        </w:rPr>
        <w:t xml:space="preserve">doelmatigheid </w:t>
      </w:r>
      <w:r w:rsidRPr="003E4DE8" w:rsidR="00DC10C8">
        <w:rPr>
          <w:szCs w:val="18"/>
        </w:rPr>
        <w:t xml:space="preserve">van het beleid, en gaat in op de </w:t>
      </w:r>
      <w:r w:rsidRPr="003E4DE8" w:rsidR="00A60EF5">
        <w:rPr>
          <w:szCs w:val="18"/>
        </w:rPr>
        <w:t xml:space="preserve">resultaten en </w:t>
      </w:r>
      <w:r w:rsidRPr="003E4DE8" w:rsidR="00DC10C8">
        <w:rPr>
          <w:szCs w:val="18"/>
        </w:rPr>
        <w:t>effecten ervan</w:t>
      </w:r>
      <w:r w:rsidRPr="003E4DE8" w:rsidR="00D427EA">
        <w:rPr>
          <w:szCs w:val="18"/>
        </w:rPr>
        <w:t xml:space="preserve">. </w:t>
      </w:r>
    </w:p>
    <w:p w:rsidRPr="003E4DE8" w:rsidR="00B138F2" w:rsidP="00D427EA" w:rsidRDefault="00B138F2">
      <w:pPr>
        <w:spacing w:after="0"/>
        <w:contextualSpacing/>
        <w:rPr>
          <w:szCs w:val="18"/>
        </w:rPr>
      </w:pPr>
    </w:p>
    <w:p w:rsidRPr="008A0CC8" w:rsidR="008A0CC8" w:rsidP="00D427EA" w:rsidRDefault="00B41FC7">
      <w:pPr>
        <w:spacing w:after="0"/>
        <w:contextualSpacing/>
        <w:rPr>
          <w:i/>
          <w:szCs w:val="18"/>
        </w:rPr>
      </w:pPr>
      <w:r w:rsidRPr="003E4DE8">
        <w:rPr>
          <w:i/>
          <w:szCs w:val="18"/>
        </w:rPr>
        <w:t>Doelstelling</w:t>
      </w:r>
      <w:r w:rsidRPr="003E4DE8" w:rsidR="008A0CC8">
        <w:rPr>
          <w:i/>
          <w:szCs w:val="18"/>
        </w:rPr>
        <w:t xml:space="preserve"> begrotingsartikel 2</w:t>
      </w:r>
    </w:p>
    <w:p w:rsidR="0035104C" w:rsidP="00D427EA" w:rsidRDefault="00B138F2">
      <w:pPr>
        <w:spacing w:after="0"/>
        <w:contextualSpacing/>
        <w:rPr>
          <w:szCs w:val="18"/>
        </w:rPr>
      </w:pPr>
      <w:r>
        <w:rPr>
          <w:szCs w:val="18"/>
        </w:rPr>
        <w:t>D</w:t>
      </w:r>
      <w:r w:rsidR="0035104C">
        <w:rPr>
          <w:szCs w:val="18"/>
        </w:rPr>
        <w:t xml:space="preserve">e algemene doelstelling van </w:t>
      </w:r>
      <w:r w:rsidR="003D0B1E">
        <w:rPr>
          <w:szCs w:val="18"/>
        </w:rPr>
        <w:t xml:space="preserve">artikel 2 </w:t>
      </w:r>
      <w:r>
        <w:rPr>
          <w:szCs w:val="18"/>
        </w:rPr>
        <w:t>luidt</w:t>
      </w:r>
      <w:r w:rsidR="00123814">
        <w:rPr>
          <w:szCs w:val="18"/>
        </w:rPr>
        <w:t>: “</w:t>
      </w:r>
      <w:r>
        <w:rPr>
          <w:szCs w:val="18"/>
        </w:rPr>
        <w:t xml:space="preserve">beleid maken voor een stabiele werking van financiële markten, waarin </w:t>
      </w:r>
      <w:r w:rsidR="005B1C71">
        <w:rPr>
          <w:szCs w:val="18"/>
        </w:rPr>
        <w:t xml:space="preserve">financiële </w:t>
      </w:r>
      <w:r>
        <w:rPr>
          <w:szCs w:val="18"/>
        </w:rPr>
        <w:t>instellingen betrouwbare diensten ve</w:t>
      </w:r>
      <w:r w:rsidR="00123814">
        <w:rPr>
          <w:szCs w:val="18"/>
        </w:rPr>
        <w:t>rlenen aan burgers en bedrijven”</w:t>
      </w:r>
      <w:r>
        <w:rPr>
          <w:szCs w:val="18"/>
        </w:rPr>
        <w:t xml:space="preserve">. </w:t>
      </w:r>
    </w:p>
    <w:p w:rsidRPr="00055D33" w:rsidR="0035104C" w:rsidP="00D427EA" w:rsidRDefault="0035104C">
      <w:pPr>
        <w:spacing w:after="0"/>
        <w:contextualSpacing/>
        <w:rPr>
          <w:sz w:val="11"/>
          <w:szCs w:val="11"/>
        </w:rPr>
      </w:pPr>
    </w:p>
    <w:p w:rsidR="00683158" w:rsidP="00D427EA" w:rsidRDefault="00B138F2">
      <w:pPr>
        <w:spacing w:after="0"/>
        <w:contextualSpacing/>
        <w:rPr>
          <w:szCs w:val="18"/>
        </w:rPr>
      </w:pPr>
      <w:r>
        <w:rPr>
          <w:szCs w:val="18"/>
        </w:rPr>
        <w:t xml:space="preserve">De minister van Financiën heeft tot taak om het goed functioneren van het financiële stelsel te bevorderen en heeft een regisserende rol. Hij draagt </w:t>
      </w:r>
      <w:r w:rsidR="0035104C">
        <w:rPr>
          <w:szCs w:val="18"/>
        </w:rPr>
        <w:t xml:space="preserve">de </w:t>
      </w:r>
      <w:r>
        <w:rPr>
          <w:szCs w:val="18"/>
        </w:rPr>
        <w:t>verantwoordelijkheid voor de Nederlandse wetten en regels ten aanzien van de financiële markten en de institutionele structuur van h</w:t>
      </w:r>
      <w:r w:rsidR="0035104C">
        <w:rPr>
          <w:szCs w:val="18"/>
        </w:rPr>
        <w:t>et financiële toezicht; h</w:t>
      </w:r>
      <w:r>
        <w:rPr>
          <w:szCs w:val="18"/>
        </w:rPr>
        <w:t xml:space="preserve">et daadwerkelijke toezicht wordt uitgevoerd door De </w:t>
      </w:r>
      <w:proofErr w:type="spellStart"/>
      <w:r>
        <w:rPr>
          <w:szCs w:val="18"/>
        </w:rPr>
        <w:t>Nederlandsche</w:t>
      </w:r>
      <w:proofErr w:type="spellEnd"/>
      <w:r>
        <w:rPr>
          <w:szCs w:val="18"/>
        </w:rPr>
        <w:t xml:space="preserve"> Bank (DNB) en de Autoriteit Fina</w:t>
      </w:r>
      <w:r w:rsidR="00B41FC7">
        <w:rPr>
          <w:szCs w:val="18"/>
        </w:rPr>
        <w:t xml:space="preserve">nciële Markten (AFM), alsmede ─ </w:t>
      </w:r>
      <w:r>
        <w:rPr>
          <w:szCs w:val="18"/>
        </w:rPr>
        <w:t>voor zover het gaat om grote en grenso</w:t>
      </w:r>
      <w:r w:rsidR="00B41FC7">
        <w:rPr>
          <w:szCs w:val="18"/>
        </w:rPr>
        <w:t>verschrijdende Europese banken ─</w:t>
      </w:r>
      <w:r>
        <w:rPr>
          <w:szCs w:val="18"/>
        </w:rPr>
        <w:t xml:space="preserve"> door de Europese Centrale Bank (ECB). </w:t>
      </w:r>
    </w:p>
    <w:p w:rsidR="00683158" w:rsidP="00D427EA" w:rsidRDefault="00683158">
      <w:pPr>
        <w:spacing w:after="0"/>
        <w:contextualSpacing/>
        <w:rPr>
          <w:szCs w:val="18"/>
        </w:rPr>
      </w:pPr>
    </w:p>
    <w:p w:rsidR="00683158" w:rsidP="00D427EA" w:rsidRDefault="00683158">
      <w:pPr>
        <w:spacing w:after="0"/>
        <w:contextualSpacing/>
        <w:rPr>
          <w:szCs w:val="18"/>
        </w:rPr>
      </w:pPr>
      <w:r>
        <w:rPr>
          <w:szCs w:val="18"/>
        </w:rPr>
        <w:t>De randvoorwaarden die de minister stelt voor een integer en stabiel systeem hebben hun basis in de Wet op het financieel toezicht (</w:t>
      </w:r>
      <w:proofErr w:type="spellStart"/>
      <w:r>
        <w:rPr>
          <w:szCs w:val="18"/>
        </w:rPr>
        <w:t>Wft</w:t>
      </w:r>
      <w:proofErr w:type="spellEnd"/>
      <w:r>
        <w:rPr>
          <w:szCs w:val="18"/>
        </w:rPr>
        <w:t xml:space="preserve">). Het gaat hierbij om (het toezicht op </w:t>
      </w:r>
      <w:r w:rsidR="001A636B">
        <w:rPr>
          <w:szCs w:val="18"/>
        </w:rPr>
        <w:t>de naleving</w:t>
      </w:r>
      <w:r>
        <w:rPr>
          <w:szCs w:val="18"/>
        </w:rPr>
        <w:t xml:space="preserve"> van) regelgeving die financiële instellingen stimuleert en verplicht om op integere en transparante wijze te werk te gaan. Met deze regelgeving en dit toezicht wordt eraan bijgedragen dat consumenten en bedrijven met voldoende informatie en vertrouwen financiële producten kunnen afn</w:t>
      </w:r>
      <w:r w:rsidR="000459C2">
        <w:rPr>
          <w:szCs w:val="18"/>
        </w:rPr>
        <w:t>e</w:t>
      </w:r>
      <w:r>
        <w:rPr>
          <w:szCs w:val="18"/>
        </w:rPr>
        <w:t xml:space="preserve">men. </w:t>
      </w:r>
    </w:p>
    <w:p w:rsidR="00683158" w:rsidP="00D427EA" w:rsidRDefault="00683158">
      <w:pPr>
        <w:spacing w:after="0"/>
        <w:contextualSpacing/>
        <w:rPr>
          <w:szCs w:val="18"/>
        </w:rPr>
      </w:pPr>
    </w:p>
    <w:p w:rsidR="00D427EA" w:rsidP="00D427EA" w:rsidRDefault="00A115D3">
      <w:pPr>
        <w:spacing w:after="0"/>
        <w:contextualSpacing/>
        <w:rPr>
          <w:szCs w:val="18"/>
        </w:rPr>
      </w:pPr>
      <w:r>
        <w:rPr>
          <w:szCs w:val="18"/>
        </w:rPr>
        <w:t xml:space="preserve">Het is </w:t>
      </w:r>
      <w:r w:rsidR="00683158">
        <w:rPr>
          <w:szCs w:val="18"/>
        </w:rPr>
        <w:t>voorts</w:t>
      </w:r>
      <w:r>
        <w:rPr>
          <w:szCs w:val="18"/>
        </w:rPr>
        <w:t xml:space="preserve"> de taak van de minister om de educatie van de burger op financieel gebied te bevorderen, naar een integer financieel stelsel met passende regelgeving </w:t>
      </w:r>
      <w:r w:rsidR="00683158">
        <w:rPr>
          <w:szCs w:val="18"/>
        </w:rPr>
        <w:t xml:space="preserve">in de Wet ter voorkoming </w:t>
      </w:r>
      <w:r w:rsidR="00683158">
        <w:rPr>
          <w:szCs w:val="18"/>
        </w:rPr>
        <w:lastRenderedPageBreak/>
        <w:t>van witwassen en het financieren van terrorisme (</w:t>
      </w:r>
      <w:proofErr w:type="spellStart"/>
      <w:r w:rsidR="00683158">
        <w:rPr>
          <w:szCs w:val="18"/>
        </w:rPr>
        <w:t>Wwft</w:t>
      </w:r>
      <w:proofErr w:type="spellEnd"/>
      <w:r w:rsidR="00683158">
        <w:rPr>
          <w:szCs w:val="18"/>
        </w:rPr>
        <w:t xml:space="preserve">) </w:t>
      </w:r>
      <w:r>
        <w:rPr>
          <w:szCs w:val="18"/>
        </w:rPr>
        <w:t xml:space="preserve">te streven, en voor de ongestoorde voorziening van voldoende </w:t>
      </w:r>
      <w:r w:rsidR="00906860">
        <w:rPr>
          <w:szCs w:val="18"/>
        </w:rPr>
        <w:t>munten in circulatie te zorgen.</w:t>
      </w:r>
    </w:p>
    <w:p w:rsidR="00790041" w:rsidP="00D427EA" w:rsidRDefault="00790041">
      <w:pPr>
        <w:spacing w:after="0"/>
        <w:contextualSpacing/>
        <w:rPr>
          <w:i/>
          <w:szCs w:val="18"/>
        </w:rPr>
      </w:pPr>
    </w:p>
    <w:p w:rsidRPr="008A0CC8" w:rsidR="008A0CC8" w:rsidP="00D427EA" w:rsidRDefault="00F36569">
      <w:pPr>
        <w:spacing w:after="0"/>
        <w:contextualSpacing/>
        <w:rPr>
          <w:i/>
          <w:szCs w:val="18"/>
        </w:rPr>
      </w:pPr>
      <w:r>
        <w:rPr>
          <w:i/>
          <w:szCs w:val="18"/>
        </w:rPr>
        <w:t>Hoofdvraag en deelvragen</w:t>
      </w:r>
      <w:r w:rsidR="008A0CC8">
        <w:rPr>
          <w:i/>
          <w:szCs w:val="18"/>
        </w:rPr>
        <w:t xml:space="preserve"> beleidsdoorlichting</w:t>
      </w:r>
    </w:p>
    <w:p w:rsidR="00A115D3" w:rsidP="00D427EA" w:rsidRDefault="00A115D3">
      <w:pPr>
        <w:spacing w:after="0"/>
        <w:contextualSpacing/>
        <w:rPr>
          <w:szCs w:val="18"/>
        </w:rPr>
      </w:pPr>
      <w:r>
        <w:rPr>
          <w:szCs w:val="18"/>
        </w:rPr>
        <w:t xml:space="preserve">De vraag die in deze beleidsdoorlichting centraal </w:t>
      </w:r>
      <w:r w:rsidR="0035104C">
        <w:rPr>
          <w:szCs w:val="18"/>
        </w:rPr>
        <w:t>staat</w:t>
      </w:r>
      <w:r>
        <w:rPr>
          <w:szCs w:val="18"/>
        </w:rPr>
        <w:t xml:space="preserve">, is </w:t>
      </w:r>
      <w:r w:rsidR="00703A21">
        <w:rPr>
          <w:szCs w:val="18"/>
        </w:rPr>
        <w:t>in hoeverre</w:t>
      </w:r>
      <w:r>
        <w:rPr>
          <w:szCs w:val="18"/>
        </w:rPr>
        <w:t xml:space="preserve"> de </w:t>
      </w:r>
      <w:r w:rsidR="003D4232">
        <w:rPr>
          <w:szCs w:val="18"/>
        </w:rPr>
        <w:t xml:space="preserve">beleidsmatige en financiële </w:t>
      </w:r>
      <w:r w:rsidR="00DC10C8">
        <w:rPr>
          <w:szCs w:val="18"/>
        </w:rPr>
        <w:t xml:space="preserve">maatregelen </w:t>
      </w:r>
      <w:r>
        <w:rPr>
          <w:szCs w:val="18"/>
        </w:rPr>
        <w:t xml:space="preserve">die de minister van Financiën </w:t>
      </w:r>
      <w:r w:rsidR="00DC10C8">
        <w:rPr>
          <w:szCs w:val="18"/>
        </w:rPr>
        <w:t>heeft genomen</w:t>
      </w:r>
      <w:r>
        <w:rPr>
          <w:szCs w:val="18"/>
        </w:rPr>
        <w:t xml:space="preserve">, </w:t>
      </w:r>
      <w:r w:rsidR="00DC10C8">
        <w:rPr>
          <w:szCs w:val="18"/>
        </w:rPr>
        <w:t>bijdragen aan doelmatig en doeltreffend beleid voor een stabiele werking van financiële markten</w:t>
      </w:r>
      <w:r w:rsidR="00703A21">
        <w:rPr>
          <w:szCs w:val="18"/>
        </w:rPr>
        <w:t xml:space="preserve">, met inachtneming van de rol en </w:t>
      </w:r>
      <w:r w:rsidR="00DC10C8">
        <w:rPr>
          <w:szCs w:val="18"/>
        </w:rPr>
        <w:t>systeem- en stelsel</w:t>
      </w:r>
      <w:r w:rsidR="00703A21">
        <w:rPr>
          <w:szCs w:val="18"/>
        </w:rPr>
        <w:t xml:space="preserve">verantwoordelijkheid die de minister in dit verband heeft. </w:t>
      </w:r>
    </w:p>
    <w:p w:rsidR="00577BE4" w:rsidP="00D427EA" w:rsidRDefault="00577BE4">
      <w:pPr>
        <w:spacing w:after="0"/>
        <w:contextualSpacing/>
        <w:rPr>
          <w:szCs w:val="18"/>
        </w:rPr>
      </w:pPr>
    </w:p>
    <w:p w:rsidR="00577BE4" w:rsidP="00D427EA" w:rsidRDefault="00577BE4">
      <w:pPr>
        <w:spacing w:after="0"/>
        <w:contextualSpacing/>
        <w:rPr>
          <w:szCs w:val="18"/>
        </w:rPr>
      </w:pPr>
      <w:r>
        <w:rPr>
          <w:szCs w:val="18"/>
        </w:rPr>
        <w:t xml:space="preserve">In </w:t>
      </w:r>
      <w:r w:rsidR="00E46EC5">
        <w:rPr>
          <w:szCs w:val="18"/>
        </w:rPr>
        <w:t xml:space="preserve">de toelichting op de </w:t>
      </w:r>
      <w:proofErr w:type="spellStart"/>
      <w:r w:rsidR="00E46EC5">
        <w:rPr>
          <w:szCs w:val="18"/>
        </w:rPr>
        <w:t>Rpe</w:t>
      </w:r>
      <w:proofErr w:type="spellEnd"/>
      <w:r w:rsidR="00E46EC5">
        <w:rPr>
          <w:szCs w:val="18"/>
        </w:rPr>
        <w:t xml:space="preserve"> worden </w:t>
      </w:r>
      <w:r w:rsidR="00854739">
        <w:rPr>
          <w:szCs w:val="18"/>
        </w:rPr>
        <w:t xml:space="preserve">vijftien </w:t>
      </w:r>
      <w:r w:rsidR="00377F3E">
        <w:rPr>
          <w:szCs w:val="18"/>
        </w:rPr>
        <w:t xml:space="preserve">geclusterde </w:t>
      </w:r>
      <w:r>
        <w:rPr>
          <w:szCs w:val="18"/>
        </w:rPr>
        <w:t xml:space="preserve">onderzoeksvragen geformuleerd aan de hand waarvan tot beantwoording van de hoofdvraag wordt gekomen. </w:t>
      </w:r>
      <w:r w:rsidR="00377F3E">
        <w:rPr>
          <w:szCs w:val="18"/>
        </w:rPr>
        <w:t xml:space="preserve">Deze deelvragen zullen in de </w:t>
      </w:r>
      <w:r w:rsidR="00E46EC5">
        <w:rPr>
          <w:szCs w:val="18"/>
        </w:rPr>
        <w:t xml:space="preserve">beleidsdoorlichting expliciet aan de orde komen. </w:t>
      </w:r>
      <w:r>
        <w:rPr>
          <w:szCs w:val="18"/>
        </w:rPr>
        <w:t xml:space="preserve"> </w:t>
      </w:r>
    </w:p>
    <w:p w:rsidR="00703A21" w:rsidP="00D427EA" w:rsidRDefault="00703A21">
      <w:pPr>
        <w:spacing w:after="0"/>
        <w:contextualSpacing/>
        <w:rPr>
          <w:szCs w:val="18"/>
        </w:rPr>
      </w:pPr>
    </w:p>
    <w:p w:rsidRPr="00703A21" w:rsidR="00703A21" w:rsidP="00D427EA" w:rsidRDefault="00CA2DBF">
      <w:pPr>
        <w:spacing w:after="0"/>
        <w:contextualSpacing/>
        <w:rPr>
          <w:b/>
          <w:szCs w:val="18"/>
        </w:rPr>
      </w:pPr>
      <w:r>
        <w:rPr>
          <w:b/>
          <w:szCs w:val="18"/>
        </w:rPr>
        <w:t>3.</w:t>
      </w:r>
      <w:r w:rsidR="00352AA6">
        <w:rPr>
          <w:b/>
          <w:szCs w:val="18"/>
        </w:rPr>
        <w:tab/>
      </w:r>
      <w:r w:rsidRPr="00703A21" w:rsidR="00703A21">
        <w:rPr>
          <w:b/>
          <w:szCs w:val="18"/>
        </w:rPr>
        <w:t>Afbakening</w:t>
      </w:r>
    </w:p>
    <w:p w:rsidRPr="007B0FB4" w:rsidR="000F2A61" w:rsidP="00D427EA" w:rsidRDefault="000F2A61">
      <w:pPr>
        <w:spacing w:after="0"/>
        <w:contextualSpacing/>
        <w:rPr>
          <w:i/>
          <w:szCs w:val="18"/>
        </w:rPr>
      </w:pPr>
    </w:p>
    <w:p w:rsidR="00895A93" w:rsidP="00D427EA" w:rsidRDefault="008D6156">
      <w:pPr>
        <w:spacing w:after="0"/>
        <w:contextualSpacing/>
        <w:rPr>
          <w:i/>
          <w:szCs w:val="18"/>
        </w:rPr>
      </w:pPr>
      <w:r>
        <w:rPr>
          <w:i/>
          <w:szCs w:val="18"/>
        </w:rPr>
        <w:t>R</w:t>
      </w:r>
      <w:r w:rsidRPr="007B0FB4" w:rsidR="007B0FB4">
        <w:rPr>
          <w:i/>
          <w:szCs w:val="18"/>
        </w:rPr>
        <w:t>ol financiële instellingen</w:t>
      </w:r>
      <w:r w:rsidR="00D33E65">
        <w:rPr>
          <w:i/>
          <w:szCs w:val="18"/>
        </w:rPr>
        <w:t xml:space="preserve"> </w:t>
      </w:r>
    </w:p>
    <w:p w:rsidR="00301D74" w:rsidP="00D427EA" w:rsidRDefault="00301D74">
      <w:pPr>
        <w:spacing w:after="0"/>
        <w:contextualSpacing/>
        <w:rPr>
          <w:szCs w:val="18"/>
        </w:rPr>
      </w:pPr>
      <w:r>
        <w:rPr>
          <w:szCs w:val="18"/>
        </w:rPr>
        <w:t>Financiële instellingen vervullen een aantal belangrijke functies in de economie en daarmee in de maatschappij. Zij dienen te zorgen voor</w:t>
      </w:r>
      <w:r w:rsidRPr="000F2A61">
        <w:rPr>
          <w:szCs w:val="18"/>
        </w:rPr>
        <w:t xml:space="preserve"> </w:t>
      </w:r>
      <w:r>
        <w:rPr>
          <w:szCs w:val="18"/>
        </w:rPr>
        <w:t xml:space="preserve">een </w:t>
      </w:r>
      <w:r w:rsidRPr="000F2A61">
        <w:rPr>
          <w:szCs w:val="18"/>
        </w:rPr>
        <w:t>veilig en efficiënt</w:t>
      </w:r>
      <w:r>
        <w:rPr>
          <w:szCs w:val="18"/>
        </w:rPr>
        <w:t xml:space="preserve"> </w:t>
      </w:r>
      <w:r w:rsidRPr="000F2A61">
        <w:rPr>
          <w:szCs w:val="18"/>
        </w:rPr>
        <w:t>betalingsverkeer, adequate kredietverlening aan bedrijven en consumenten,</w:t>
      </w:r>
      <w:r>
        <w:rPr>
          <w:szCs w:val="18"/>
        </w:rPr>
        <w:t xml:space="preserve"> </w:t>
      </w:r>
      <w:r w:rsidRPr="000F2A61">
        <w:rPr>
          <w:szCs w:val="18"/>
        </w:rPr>
        <w:t>mogelijkheden om veilig te kunnen sparen en beleggen, toegang tot</w:t>
      </w:r>
      <w:r>
        <w:rPr>
          <w:szCs w:val="18"/>
        </w:rPr>
        <w:t xml:space="preserve"> </w:t>
      </w:r>
      <w:r w:rsidRPr="000F2A61">
        <w:rPr>
          <w:szCs w:val="18"/>
        </w:rPr>
        <w:t xml:space="preserve">kapitaalmarkten voor bedrijven en internationale dienstverlening aan bedrijven. </w:t>
      </w:r>
      <w:r>
        <w:rPr>
          <w:szCs w:val="18"/>
        </w:rPr>
        <w:t>De economie is daarmee sterk afhankelijk van financiële instellingen</w:t>
      </w:r>
      <w:r w:rsidR="001A636B">
        <w:rPr>
          <w:szCs w:val="18"/>
        </w:rPr>
        <w:t xml:space="preserve"> (specifiek banken)</w:t>
      </w:r>
      <w:r>
        <w:rPr>
          <w:szCs w:val="18"/>
        </w:rPr>
        <w:t xml:space="preserve">. Als de bancaire </w:t>
      </w:r>
      <w:proofErr w:type="spellStart"/>
      <w:r>
        <w:rPr>
          <w:szCs w:val="18"/>
        </w:rPr>
        <w:t>intermediatie</w:t>
      </w:r>
      <w:proofErr w:type="spellEnd"/>
      <w:r>
        <w:rPr>
          <w:szCs w:val="18"/>
        </w:rPr>
        <w:t xml:space="preserve"> niet naar behoren werkt, zet dat een rem op de economische ontwikkeling.</w:t>
      </w:r>
      <w:r w:rsidR="00854739">
        <w:rPr>
          <w:szCs w:val="18"/>
        </w:rPr>
        <w:t xml:space="preserve"> Om het functioneren van en vertrouwen in de financiële sector te bevorderen</w:t>
      </w:r>
      <w:r w:rsidR="000459C2">
        <w:rPr>
          <w:szCs w:val="18"/>
        </w:rPr>
        <w:t>, dienen f</w:t>
      </w:r>
      <w:r>
        <w:rPr>
          <w:szCs w:val="18"/>
        </w:rPr>
        <w:t xml:space="preserve">inanciële instellingen </w:t>
      </w:r>
      <w:r w:rsidR="00D33E65">
        <w:rPr>
          <w:szCs w:val="18"/>
        </w:rPr>
        <w:t>bovendien</w:t>
      </w:r>
      <w:r>
        <w:rPr>
          <w:szCs w:val="18"/>
        </w:rPr>
        <w:t xml:space="preserve"> verantwoord en integer te zijn en te worden geleid, en excessief risicogedrag moet worden tegengegaan. </w:t>
      </w:r>
    </w:p>
    <w:p w:rsidR="00301D74" w:rsidP="00D427EA" w:rsidRDefault="00301D74">
      <w:pPr>
        <w:spacing w:after="0"/>
        <w:contextualSpacing/>
        <w:rPr>
          <w:szCs w:val="18"/>
        </w:rPr>
      </w:pPr>
    </w:p>
    <w:p w:rsidR="00301D74" w:rsidP="00D427EA" w:rsidRDefault="00301D74">
      <w:pPr>
        <w:spacing w:after="0"/>
        <w:contextualSpacing/>
        <w:rPr>
          <w:szCs w:val="18"/>
        </w:rPr>
      </w:pPr>
      <w:r>
        <w:rPr>
          <w:szCs w:val="18"/>
        </w:rPr>
        <w:t xml:space="preserve">De overheid neemt ─ met inachtneming van haar specifieke rol en verantwoordelijkheid ten opzichte van de financiële sector ─ maatregelen die gericht zijn op het faciliteren en waarborgen van de </w:t>
      </w:r>
      <w:r w:rsidR="00D33E65">
        <w:rPr>
          <w:szCs w:val="18"/>
        </w:rPr>
        <w:t>hierboven</w:t>
      </w:r>
      <w:r>
        <w:rPr>
          <w:szCs w:val="18"/>
        </w:rPr>
        <w:t xml:space="preserve"> genoemde functies van financiële instellingen, waarbij risico’s zoveel mogelijk worden beperkt en diversiteit en concurrentie zoveel mogelijk worden bevorderd.</w:t>
      </w:r>
    </w:p>
    <w:p w:rsidRPr="007B0FB4" w:rsidR="00301D74" w:rsidP="00D427EA" w:rsidRDefault="00301D74">
      <w:pPr>
        <w:spacing w:after="0"/>
        <w:contextualSpacing/>
        <w:rPr>
          <w:i/>
          <w:szCs w:val="18"/>
        </w:rPr>
      </w:pPr>
    </w:p>
    <w:p w:rsidRPr="008D6156" w:rsidR="008D6156" w:rsidP="00D427EA" w:rsidRDefault="00123814">
      <w:pPr>
        <w:spacing w:after="0"/>
        <w:contextualSpacing/>
        <w:rPr>
          <w:i/>
          <w:szCs w:val="18"/>
        </w:rPr>
      </w:pPr>
      <w:r>
        <w:rPr>
          <w:i/>
          <w:szCs w:val="18"/>
        </w:rPr>
        <w:t>Beleidswijzigingen</w:t>
      </w:r>
    </w:p>
    <w:p w:rsidRPr="00930588" w:rsidR="00055D33" w:rsidP="00055D33" w:rsidRDefault="00D35EF3">
      <w:pPr>
        <w:spacing w:before="120" w:after="120"/>
        <w:contextualSpacing/>
        <w:rPr>
          <w:szCs w:val="18"/>
        </w:rPr>
      </w:pPr>
      <w:r>
        <w:rPr>
          <w:szCs w:val="18"/>
        </w:rPr>
        <w:t>De financiële crisis van 2008 heeft duidelijk gemaakt dat een hervorming van de tot dan toe geldende wet- en regelgeving in de financiële sector noodzakelijk was om de functies van financiële instellingen te kunnen faciliteren. Na enkele jaren va</w:t>
      </w:r>
      <w:r w:rsidRPr="00895A93">
        <w:rPr>
          <w:szCs w:val="18"/>
        </w:rPr>
        <w:t>n</w:t>
      </w:r>
      <w:r>
        <w:rPr>
          <w:szCs w:val="18"/>
        </w:rPr>
        <w:t xml:space="preserve"> noodzakelijke crisismaatregelen</w:t>
      </w:r>
      <w:r w:rsidR="00854739">
        <w:rPr>
          <w:szCs w:val="18"/>
        </w:rPr>
        <w:t xml:space="preserve">, mede vanuit Europa, </w:t>
      </w:r>
      <w:r>
        <w:rPr>
          <w:szCs w:val="18"/>
        </w:rPr>
        <w:t>presenteerde</w:t>
      </w:r>
      <w:r w:rsidRPr="00895A93">
        <w:rPr>
          <w:szCs w:val="18"/>
        </w:rPr>
        <w:t xml:space="preserve"> de minister van Financiën</w:t>
      </w:r>
      <w:r>
        <w:rPr>
          <w:szCs w:val="18"/>
        </w:rPr>
        <w:t xml:space="preserve"> in 2013</w:t>
      </w:r>
      <w:r w:rsidRPr="00895A93">
        <w:rPr>
          <w:szCs w:val="18"/>
        </w:rPr>
        <w:t xml:space="preserve"> de </w:t>
      </w:r>
      <w:r>
        <w:rPr>
          <w:szCs w:val="18"/>
        </w:rPr>
        <w:t>visie van het kabinet</w:t>
      </w:r>
      <w:r w:rsidRPr="00895A93">
        <w:rPr>
          <w:szCs w:val="18"/>
        </w:rPr>
        <w:t xml:space="preserve"> </w:t>
      </w:r>
      <w:r>
        <w:rPr>
          <w:szCs w:val="18"/>
        </w:rPr>
        <w:t xml:space="preserve">op de wenselijke karakteristieken en toekomst van de Nederlandse financiële sector, </w:t>
      </w:r>
      <w:r w:rsidRPr="00895A93">
        <w:rPr>
          <w:szCs w:val="18"/>
        </w:rPr>
        <w:t>m</w:t>
      </w:r>
      <w:r>
        <w:rPr>
          <w:szCs w:val="18"/>
        </w:rPr>
        <w:t xml:space="preserve">ede in het licht van de rol die banken in </w:t>
      </w:r>
      <w:r w:rsidRPr="00895A93">
        <w:rPr>
          <w:szCs w:val="18"/>
        </w:rPr>
        <w:t xml:space="preserve">de crisis </w:t>
      </w:r>
      <w:r>
        <w:rPr>
          <w:szCs w:val="18"/>
        </w:rPr>
        <w:t xml:space="preserve">hebben gespeeld </w:t>
      </w:r>
      <w:r w:rsidRPr="00895A93">
        <w:rPr>
          <w:szCs w:val="18"/>
        </w:rPr>
        <w:t xml:space="preserve">en het maatschappelijk debat dat is ontstaan over de plaats en </w:t>
      </w:r>
      <w:r>
        <w:rPr>
          <w:szCs w:val="18"/>
        </w:rPr>
        <w:t>functie van financiële instellingen in de samenleving</w:t>
      </w:r>
      <w:r w:rsidRPr="00895A93">
        <w:rPr>
          <w:szCs w:val="18"/>
        </w:rPr>
        <w:t>.</w:t>
      </w:r>
      <w:r w:rsidRPr="00895A93">
        <w:rPr>
          <w:rStyle w:val="Voetnootmarkering"/>
          <w:szCs w:val="18"/>
        </w:rPr>
        <w:t xml:space="preserve"> </w:t>
      </w:r>
      <w:r>
        <w:rPr>
          <w:rStyle w:val="Voetnootmarkering"/>
          <w:szCs w:val="18"/>
        </w:rPr>
        <w:footnoteReference w:id="3"/>
      </w:r>
      <w:r>
        <w:rPr>
          <w:szCs w:val="18"/>
        </w:rPr>
        <w:t xml:space="preserve"> Het beleidsstreven van het kabinet richt zich in deze visie op een solide, transparante, integere en concurrerende financiële sector die de klant centraal stelt en dienstbaar is aan de reële economie. Ter verwezenlijking daarvan</w:t>
      </w:r>
      <w:r w:rsidRPr="00895A93">
        <w:rPr>
          <w:szCs w:val="18"/>
        </w:rPr>
        <w:t xml:space="preserve"> benoemt het kabinet een vijftal beleidshoofdlijnen, waaronder weer specifieke(re) acties en maatregelen vallen. Deze zijn schematisch als volgt:</w:t>
      </w:r>
    </w:p>
    <w:p w:rsidRPr="00055D33" w:rsidR="00930588" w:rsidP="00055D33" w:rsidRDefault="00930588">
      <w:pPr>
        <w:spacing w:before="120" w:after="120"/>
        <w:contextualSpacing/>
        <w:rPr>
          <w:sz w:val="16"/>
          <w:szCs w:val="16"/>
        </w:rPr>
      </w:pPr>
    </w:p>
    <w:tbl>
      <w:tblPr>
        <w:tblStyle w:val="Tabelraster"/>
        <w:tblW w:w="0" w:type="auto"/>
        <w:tblCellSpacing w:w="20" w:type="dxa"/>
        <w:shd w:val="clear" w:color="auto" w:fill="F2F2F2" w:themeFill="background1" w:themeFillShade="F2"/>
        <w:tblLook w:val="04A0"/>
      </w:tblPr>
      <w:tblGrid>
        <w:gridCol w:w="4279"/>
        <w:gridCol w:w="5053"/>
      </w:tblGrid>
      <w:tr w:rsidR="0069630B" w:rsidTr="00735F15">
        <w:trPr>
          <w:tblCellSpacing w:w="20" w:type="dxa"/>
        </w:trPr>
        <w:tc>
          <w:tcPr>
            <w:tcW w:w="4219" w:type="dxa"/>
            <w:shd w:val="clear" w:color="auto" w:fill="F2F2F2" w:themeFill="background1" w:themeFillShade="F2"/>
            <w:vAlign w:val="center"/>
          </w:tcPr>
          <w:p w:rsidRPr="00A22F2D" w:rsidR="00055D33" w:rsidP="00055D33" w:rsidRDefault="0069630B">
            <w:pPr>
              <w:spacing w:before="100" w:beforeAutospacing="1" w:after="120"/>
              <w:rPr>
                <w:b/>
                <w:sz w:val="16"/>
                <w:szCs w:val="16"/>
              </w:rPr>
            </w:pPr>
            <w:r w:rsidRPr="00A22F2D">
              <w:rPr>
                <w:b/>
                <w:sz w:val="16"/>
                <w:szCs w:val="16"/>
              </w:rPr>
              <w:t>Beleidshoofdlijnen</w:t>
            </w:r>
          </w:p>
        </w:tc>
        <w:tc>
          <w:tcPr>
            <w:tcW w:w="4993" w:type="dxa"/>
            <w:shd w:val="clear" w:color="auto" w:fill="F2F2F2" w:themeFill="background1" w:themeFillShade="F2"/>
            <w:vAlign w:val="center"/>
          </w:tcPr>
          <w:p w:rsidRPr="00A22F2D" w:rsidR="00055D33" w:rsidP="00055D33" w:rsidRDefault="0069630B">
            <w:pPr>
              <w:spacing w:before="100" w:beforeAutospacing="1" w:after="120"/>
              <w:rPr>
                <w:b/>
                <w:sz w:val="16"/>
                <w:szCs w:val="16"/>
              </w:rPr>
            </w:pPr>
            <w:r w:rsidRPr="00A22F2D">
              <w:rPr>
                <w:b/>
                <w:sz w:val="16"/>
                <w:szCs w:val="16"/>
              </w:rPr>
              <w:t>(Groepen) maatregelen 2013-2016</w:t>
            </w:r>
          </w:p>
        </w:tc>
      </w:tr>
      <w:tr w:rsidR="0069630B" w:rsidTr="00735F15">
        <w:trPr>
          <w:tblCellSpacing w:w="20" w:type="dxa"/>
        </w:trPr>
        <w:tc>
          <w:tcPr>
            <w:tcW w:w="4219" w:type="dxa"/>
            <w:vMerge w:val="restart"/>
            <w:shd w:val="clear" w:color="auto" w:fill="F2F2F2" w:themeFill="background1" w:themeFillShade="F2"/>
            <w:vAlign w:val="center"/>
          </w:tcPr>
          <w:p w:rsidRPr="00A22F2D" w:rsidR="0069630B" w:rsidP="0069630B" w:rsidRDefault="0069630B">
            <w:pPr>
              <w:rPr>
                <w:sz w:val="16"/>
                <w:szCs w:val="16"/>
              </w:rPr>
            </w:pPr>
            <w:r w:rsidRPr="00A22F2D">
              <w:rPr>
                <w:sz w:val="16"/>
                <w:szCs w:val="16"/>
              </w:rPr>
              <w:t>(i) Solide en stabiele bankensector</w:t>
            </w: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Versterken kapitaalpositie kredietinstellingen</w:t>
            </w:r>
          </w:p>
        </w:tc>
      </w:tr>
      <w:tr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 xml:space="preserve">Verankeren </w:t>
            </w:r>
            <w:proofErr w:type="spellStart"/>
            <w:r w:rsidRPr="00A22F2D">
              <w:rPr>
                <w:sz w:val="16"/>
                <w:szCs w:val="16"/>
              </w:rPr>
              <w:t>leverage</w:t>
            </w:r>
            <w:proofErr w:type="spellEnd"/>
            <w:r w:rsidRPr="00A22F2D">
              <w:rPr>
                <w:sz w:val="16"/>
                <w:szCs w:val="16"/>
              </w:rPr>
              <w:t xml:space="preserve"> ratio kredietinstellingen</w:t>
            </w:r>
          </w:p>
        </w:tc>
      </w:tr>
      <w:tr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Invoeren heffingen en belastingen banken</w:t>
            </w:r>
          </w:p>
        </w:tc>
      </w:tr>
      <w:tr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Opschonen bankbalansen</w:t>
            </w:r>
          </w:p>
        </w:tc>
      </w:tr>
      <w:tr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 xml:space="preserve">Versterken </w:t>
            </w:r>
            <w:proofErr w:type="spellStart"/>
            <w:r w:rsidRPr="00A22F2D">
              <w:rPr>
                <w:sz w:val="16"/>
                <w:szCs w:val="16"/>
              </w:rPr>
              <w:t>beprijzing</w:t>
            </w:r>
            <w:proofErr w:type="spellEnd"/>
            <w:r w:rsidRPr="00A22F2D">
              <w:rPr>
                <w:sz w:val="16"/>
                <w:szCs w:val="16"/>
              </w:rPr>
              <w:t xml:space="preserve"> van risico’s</w:t>
            </w:r>
          </w:p>
        </w:tc>
      </w:tr>
      <w:tr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Stabiele en gediversifieerde financieringsstructuur</w:t>
            </w:r>
          </w:p>
        </w:tc>
      </w:tr>
      <w:tr w:rsidRPr="00E821DD"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lang w:val="en-US"/>
              </w:rPr>
            </w:pPr>
            <w:proofErr w:type="spellStart"/>
            <w:r w:rsidRPr="00A22F2D">
              <w:rPr>
                <w:sz w:val="16"/>
                <w:szCs w:val="16"/>
                <w:lang w:val="en-US"/>
              </w:rPr>
              <w:t>Verlagen</w:t>
            </w:r>
            <w:proofErr w:type="spellEnd"/>
            <w:r w:rsidRPr="00A22F2D">
              <w:rPr>
                <w:sz w:val="16"/>
                <w:szCs w:val="16"/>
                <w:lang w:val="en-US"/>
              </w:rPr>
              <w:t xml:space="preserve"> loan-to-value (LTV) ratio</w:t>
            </w:r>
          </w:p>
        </w:tc>
      </w:tr>
      <w:tr w:rsidRPr="003272F5" w:rsidR="0069630B" w:rsidTr="00735F15">
        <w:trPr>
          <w:tblCellSpacing w:w="20" w:type="dxa"/>
        </w:trPr>
        <w:tc>
          <w:tcPr>
            <w:tcW w:w="4219" w:type="dxa"/>
            <w:vMerge w:val="restart"/>
            <w:shd w:val="clear" w:color="auto" w:fill="F2F2F2" w:themeFill="background1" w:themeFillShade="F2"/>
            <w:vAlign w:val="center"/>
          </w:tcPr>
          <w:p w:rsidRPr="00A22F2D" w:rsidR="0069630B" w:rsidP="0069630B" w:rsidRDefault="0069630B">
            <w:pPr>
              <w:rPr>
                <w:sz w:val="16"/>
                <w:szCs w:val="16"/>
              </w:rPr>
            </w:pPr>
            <w:r w:rsidRPr="00A22F2D">
              <w:rPr>
                <w:sz w:val="16"/>
                <w:szCs w:val="16"/>
              </w:rPr>
              <w:t>(</w:t>
            </w:r>
            <w:proofErr w:type="spellStart"/>
            <w:r w:rsidRPr="00A22F2D">
              <w:rPr>
                <w:sz w:val="16"/>
                <w:szCs w:val="16"/>
              </w:rPr>
              <w:t>ii</w:t>
            </w:r>
            <w:proofErr w:type="spellEnd"/>
            <w:r w:rsidRPr="00A22F2D">
              <w:rPr>
                <w:sz w:val="16"/>
                <w:szCs w:val="16"/>
              </w:rPr>
              <w:t>) Effectief toezicht en resolutie</w:t>
            </w: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Bankenunie met drie pijlers (</w:t>
            </w:r>
            <w:proofErr w:type="spellStart"/>
            <w:r w:rsidRPr="00A22F2D">
              <w:rPr>
                <w:sz w:val="16"/>
                <w:szCs w:val="16"/>
              </w:rPr>
              <w:t>oa</w:t>
            </w:r>
            <w:proofErr w:type="spellEnd"/>
            <w:r w:rsidRPr="00A22F2D">
              <w:rPr>
                <w:sz w:val="16"/>
                <w:szCs w:val="16"/>
              </w:rPr>
              <w:t xml:space="preserve"> SSM)</w:t>
            </w:r>
          </w:p>
        </w:tc>
      </w:tr>
      <w:tr w:rsidRPr="003272F5"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Herstel en afwikkeling van banken</w:t>
            </w:r>
          </w:p>
        </w:tc>
      </w:tr>
      <w:tr w:rsidRPr="003272F5"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Scheidingsverplichting en structuurhervormingen</w:t>
            </w:r>
          </w:p>
        </w:tc>
      </w:tr>
      <w:tr w:rsidRPr="003272F5"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Verbod op handel voor eigen rekening</w:t>
            </w:r>
          </w:p>
        </w:tc>
      </w:tr>
      <w:tr w:rsidRPr="003272F5"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proofErr w:type="spellStart"/>
            <w:r w:rsidRPr="00A22F2D">
              <w:rPr>
                <w:sz w:val="16"/>
                <w:szCs w:val="16"/>
              </w:rPr>
              <w:t>Macroprudentiële</w:t>
            </w:r>
            <w:proofErr w:type="spellEnd"/>
            <w:r w:rsidRPr="00A22F2D">
              <w:rPr>
                <w:sz w:val="16"/>
                <w:szCs w:val="16"/>
              </w:rPr>
              <w:t xml:space="preserve"> toets bij fusies en overnames</w:t>
            </w:r>
          </w:p>
        </w:tc>
      </w:tr>
      <w:tr w:rsidRPr="003272F5"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Bevorderen openheid en transparantie</w:t>
            </w:r>
          </w:p>
        </w:tc>
      </w:tr>
      <w:tr w:rsidRPr="003272F5"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Opstellen crisisplan financiële crises</w:t>
            </w:r>
          </w:p>
        </w:tc>
      </w:tr>
      <w:tr w:rsidRPr="003272F5" w:rsidR="0069630B" w:rsidTr="00735F15">
        <w:trPr>
          <w:tblCellSpacing w:w="20" w:type="dxa"/>
        </w:trPr>
        <w:tc>
          <w:tcPr>
            <w:tcW w:w="4219" w:type="dxa"/>
            <w:vMerge w:val="restart"/>
            <w:shd w:val="clear" w:color="auto" w:fill="F2F2F2" w:themeFill="background1" w:themeFillShade="F2"/>
            <w:vAlign w:val="center"/>
          </w:tcPr>
          <w:p w:rsidRPr="00A22F2D" w:rsidR="0069630B" w:rsidP="0069630B" w:rsidRDefault="0069630B">
            <w:pPr>
              <w:rPr>
                <w:sz w:val="16"/>
                <w:szCs w:val="16"/>
              </w:rPr>
            </w:pPr>
            <w:r w:rsidRPr="00A22F2D">
              <w:rPr>
                <w:sz w:val="16"/>
                <w:szCs w:val="16"/>
              </w:rPr>
              <w:t>(</w:t>
            </w:r>
            <w:proofErr w:type="spellStart"/>
            <w:r w:rsidRPr="00A22F2D">
              <w:rPr>
                <w:sz w:val="16"/>
                <w:szCs w:val="16"/>
              </w:rPr>
              <w:t>iii</w:t>
            </w:r>
            <w:proofErr w:type="spellEnd"/>
            <w:r w:rsidRPr="00A22F2D">
              <w:rPr>
                <w:sz w:val="16"/>
                <w:szCs w:val="16"/>
              </w:rPr>
              <w:t>) Open en diverse sector</w:t>
            </w:r>
          </w:p>
          <w:p w:rsidRPr="00A22F2D" w:rsidR="0069630B" w:rsidP="0069630B" w:rsidRDefault="0069630B">
            <w:pPr>
              <w:rPr>
                <w:sz w:val="16"/>
                <w:szCs w:val="16"/>
              </w:rPr>
            </w:pPr>
            <w:r w:rsidRPr="00A22F2D">
              <w:rPr>
                <w:sz w:val="16"/>
                <w:szCs w:val="16"/>
              </w:rPr>
              <w:t>(meer concurrentie, minder concentratie)</w:t>
            </w: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Beslechten toetredingsbarrières</w:t>
            </w:r>
          </w:p>
        </w:tc>
      </w:tr>
      <w:tr w:rsidRPr="003272F5"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 xml:space="preserve">Bevorderen toetreding buitenlandse banken </w:t>
            </w:r>
          </w:p>
        </w:tc>
      </w:tr>
      <w:tr w:rsidRPr="003272F5"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Versterken nieuwe financieringsvormen (</w:t>
            </w:r>
            <w:proofErr w:type="spellStart"/>
            <w:r w:rsidRPr="00A22F2D">
              <w:rPr>
                <w:sz w:val="16"/>
                <w:szCs w:val="16"/>
              </w:rPr>
              <w:t>nb</w:t>
            </w:r>
            <w:proofErr w:type="spellEnd"/>
            <w:r w:rsidRPr="00A22F2D">
              <w:rPr>
                <w:sz w:val="16"/>
                <w:szCs w:val="16"/>
              </w:rPr>
              <w:t xml:space="preserve"> CMU)</w:t>
            </w:r>
          </w:p>
        </w:tc>
      </w:tr>
      <w:tr w:rsidRPr="003272F5"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tabs>
                <w:tab w:val="left" w:pos="1273"/>
              </w:tabs>
              <w:rPr>
                <w:sz w:val="16"/>
                <w:szCs w:val="16"/>
              </w:rPr>
            </w:pPr>
            <w:r w:rsidRPr="00A22F2D">
              <w:rPr>
                <w:sz w:val="16"/>
                <w:szCs w:val="16"/>
              </w:rPr>
              <w:t>Verkopen grootbanken ABN AMRO en SNS REAAL</w:t>
            </w:r>
          </w:p>
        </w:tc>
      </w:tr>
      <w:tr w:rsidRPr="003272F5" w:rsidR="0069630B" w:rsidTr="00735F15">
        <w:trPr>
          <w:tblCellSpacing w:w="20" w:type="dxa"/>
        </w:trPr>
        <w:tc>
          <w:tcPr>
            <w:tcW w:w="4219" w:type="dxa"/>
            <w:vMerge w:val="restart"/>
            <w:shd w:val="clear" w:color="auto" w:fill="F2F2F2" w:themeFill="background1" w:themeFillShade="F2"/>
            <w:vAlign w:val="center"/>
          </w:tcPr>
          <w:p w:rsidRPr="00A22F2D" w:rsidR="0069630B" w:rsidP="0069630B" w:rsidRDefault="0069630B">
            <w:pPr>
              <w:rPr>
                <w:sz w:val="16"/>
                <w:szCs w:val="16"/>
              </w:rPr>
            </w:pPr>
            <w:r w:rsidRPr="00A22F2D">
              <w:rPr>
                <w:sz w:val="16"/>
                <w:szCs w:val="16"/>
              </w:rPr>
              <w:t>(</w:t>
            </w:r>
            <w:proofErr w:type="spellStart"/>
            <w:r w:rsidRPr="00A22F2D">
              <w:rPr>
                <w:sz w:val="16"/>
                <w:szCs w:val="16"/>
              </w:rPr>
              <w:t>iv</w:t>
            </w:r>
            <w:proofErr w:type="spellEnd"/>
            <w:r w:rsidRPr="00A22F2D">
              <w:rPr>
                <w:sz w:val="16"/>
                <w:szCs w:val="16"/>
              </w:rPr>
              <w:t>) Integere sector</w:t>
            </w: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 xml:space="preserve">Invoeren strenge </w:t>
            </w:r>
            <w:proofErr w:type="spellStart"/>
            <w:r w:rsidRPr="00A22F2D">
              <w:rPr>
                <w:sz w:val="16"/>
                <w:szCs w:val="16"/>
              </w:rPr>
              <w:t>screening</w:t>
            </w:r>
            <w:proofErr w:type="spellEnd"/>
            <w:r w:rsidRPr="00A22F2D">
              <w:rPr>
                <w:sz w:val="16"/>
                <w:szCs w:val="16"/>
              </w:rPr>
              <w:t xml:space="preserve"> bankiers/medewerkers</w:t>
            </w:r>
          </w:p>
        </w:tc>
      </w:tr>
      <w:tr w:rsidRPr="003272F5"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 xml:space="preserve">Introduceren bankierseed of </w:t>
            </w:r>
            <w:r w:rsidR="000E7252">
              <w:rPr>
                <w:sz w:val="16"/>
                <w:szCs w:val="16"/>
              </w:rPr>
              <w:t>–</w:t>
            </w:r>
            <w:r w:rsidRPr="00A22F2D">
              <w:rPr>
                <w:sz w:val="16"/>
                <w:szCs w:val="16"/>
              </w:rPr>
              <w:t>belofte</w:t>
            </w:r>
          </w:p>
        </w:tc>
      </w:tr>
      <w:tr w:rsidRPr="003272F5"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Doorontwikkelen tuchtrecht in sector</w:t>
            </w:r>
          </w:p>
        </w:tc>
      </w:tr>
      <w:tr w:rsidRPr="003272F5"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Versoberen beloningsbeleid</w:t>
            </w:r>
          </w:p>
        </w:tc>
      </w:tr>
      <w:tr w:rsidRPr="003272F5"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Expliciteren visie banken in maatschappelijk statuut</w:t>
            </w:r>
          </w:p>
        </w:tc>
      </w:tr>
      <w:tr w:rsidRPr="003272F5" w:rsidR="0069630B" w:rsidTr="00735F15">
        <w:trPr>
          <w:tblCellSpacing w:w="20" w:type="dxa"/>
        </w:trPr>
        <w:tc>
          <w:tcPr>
            <w:tcW w:w="4219" w:type="dxa"/>
            <w:vMerge w:val="restart"/>
            <w:shd w:val="clear" w:color="auto" w:fill="F2F2F2" w:themeFill="background1" w:themeFillShade="F2"/>
            <w:vAlign w:val="center"/>
          </w:tcPr>
          <w:p w:rsidRPr="00A22F2D" w:rsidR="0069630B" w:rsidP="0069630B" w:rsidRDefault="0069630B">
            <w:pPr>
              <w:rPr>
                <w:sz w:val="16"/>
                <w:szCs w:val="16"/>
              </w:rPr>
            </w:pPr>
            <w:r w:rsidRPr="00A22F2D">
              <w:rPr>
                <w:sz w:val="16"/>
                <w:szCs w:val="16"/>
              </w:rPr>
              <w:t>(v) Transparante sector: klant centraal</w:t>
            </w: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Bevorderen transparantie, inzichtelijkheid en vergelijkbaarheid consumentenproducten</w:t>
            </w:r>
          </w:p>
        </w:tc>
      </w:tr>
      <w:tr w:rsidRPr="003272F5"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Faciliteren begrijpelijkheid productinformatie</w:t>
            </w:r>
          </w:p>
        </w:tc>
      </w:tr>
      <w:tr w:rsidRPr="003272F5"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Bevorderen consumentenbescherming</w:t>
            </w:r>
          </w:p>
        </w:tc>
      </w:tr>
      <w:tr w:rsidRPr="003272F5"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Wegnemen overstapdrempels</w:t>
            </w:r>
          </w:p>
        </w:tc>
      </w:tr>
      <w:tr w:rsidRPr="003272F5" w:rsidR="0069630B" w:rsidTr="00735F15">
        <w:trPr>
          <w:tblCellSpacing w:w="20" w:type="dxa"/>
        </w:trPr>
        <w:tc>
          <w:tcPr>
            <w:tcW w:w="4219" w:type="dxa"/>
            <w:vMerge/>
            <w:shd w:val="clear" w:color="auto" w:fill="F2F2F2" w:themeFill="background1" w:themeFillShade="F2"/>
            <w:vAlign w:val="center"/>
          </w:tcPr>
          <w:p w:rsidRPr="00A22F2D" w:rsidR="0069630B" w:rsidP="0069630B" w:rsidRDefault="0069630B">
            <w:pPr>
              <w:rPr>
                <w:sz w:val="16"/>
                <w:szCs w:val="16"/>
              </w:rPr>
            </w:pPr>
          </w:p>
        </w:tc>
        <w:tc>
          <w:tcPr>
            <w:tcW w:w="4993" w:type="dxa"/>
            <w:shd w:val="clear" w:color="auto" w:fill="F2F2F2" w:themeFill="background1" w:themeFillShade="F2"/>
            <w:vAlign w:val="center"/>
          </w:tcPr>
          <w:p w:rsidRPr="00A22F2D" w:rsidR="0069630B" w:rsidP="0069630B" w:rsidRDefault="0069630B">
            <w:pPr>
              <w:rPr>
                <w:sz w:val="16"/>
                <w:szCs w:val="16"/>
              </w:rPr>
            </w:pPr>
            <w:r w:rsidRPr="00A22F2D">
              <w:rPr>
                <w:sz w:val="16"/>
                <w:szCs w:val="16"/>
              </w:rPr>
              <w:t xml:space="preserve">Vergroten financiële competenties burgers via </w:t>
            </w:r>
            <w:proofErr w:type="spellStart"/>
            <w:r w:rsidRPr="00A22F2D">
              <w:rPr>
                <w:sz w:val="16"/>
                <w:szCs w:val="16"/>
              </w:rPr>
              <w:t>WiG</w:t>
            </w:r>
            <w:proofErr w:type="spellEnd"/>
          </w:p>
        </w:tc>
      </w:tr>
    </w:tbl>
    <w:p w:rsidRPr="00895A93" w:rsidR="0069630B" w:rsidP="00895A93" w:rsidRDefault="0069630B">
      <w:pPr>
        <w:spacing w:after="0"/>
        <w:contextualSpacing/>
        <w:rPr>
          <w:szCs w:val="18"/>
        </w:rPr>
      </w:pPr>
    </w:p>
    <w:p w:rsidR="00390F3B" w:rsidP="00D427EA" w:rsidRDefault="00390F3B">
      <w:pPr>
        <w:spacing w:after="0"/>
        <w:contextualSpacing/>
        <w:rPr>
          <w:szCs w:val="18"/>
        </w:rPr>
      </w:pPr>
      <w:r>
        <w:rPr>
          <w:szCs w:val="18"/>
        </w:rPr>
        <w:t xml:space="preserve">Aan deze kabinetsvisie </w:t>
      </w:r>
      <w:r w:rsidR="001C3C07">
        <w:rPr>
          <w:szCs w:val="18"/>
        </w:rPr>
        <w:t xml:space="preserve">op de toekomst van de financiële sector </w:t>
      </w:r>
      <w:r>
        <w:rPr>
          <w:szCs w:val="18"/>
        </w:rPr>
        <w:t>ging een onderzoek van de Commissie Structuur Nederlandse Banken vooraf. Deze onafhankelijke commissie onderzocht in 2012-2013, in opdracht van de minister van Financiën, hoe de dienstbaarheid en stabiliteit van de Nederlandse banken en het bankwezen kunnen worden verbeterd.</w:t>
      </w:r>
      <w:r>
        <w:rPr>
          <w:rStyle w:val="Voetnootmarkering"/>
          <w:szCs w:val="18"/>
        </w:rPr>
        <w:footnoteReference w:id="4"/>
      </w:r>
      <w:r>
        <w:rPr>
          <w:szCs w:val="18"/>
        </w:rPr>
        <w:t xml:space="preserve"> De commissie keek specifiek naar de mate waarin structuurhervormingen in Nederland noodzakelijk zijn om de stabiliteit van afzonderlijke banken en van het financiële systeem als geheel te waarborgen en de afwikkelbaarheid van banken te verbeteren. Het onderzoek heeft tot </w:t>
      </w:r>
      <w:r w:rsidR="001C3C07">
        <w:rPr>
          <w:szCs w:val="18"/>
        </w:rPr>
        <w:t>diverse</w:t>
      </w:r>
      <w:r>
        <w:rPr>
          <w:szCs w:val="18"/>
        </w:rPr>
        <w:t xml:space="preserve"> aanbevelingen geleid, gericht aan zowel de overheid als de banken zelf</w:t>
      </w:r>
      <w:r w:rsidR="001C3C07">
        <w:rPr>
          <w:szCs w:val="18"/>
        </w:rPr>
        <w:t xml:space="preserve">, welke ook doorklinken in de (concretisering van) de beleidshoofdlijnen in de kabinetsvisie. </w:t>
      </w:r>
    </w:p>
    <w:p w:rsidRPr="00E92C14" w:rsidR="00E92C14" w:rsidP="00D427EA" w:rsidRDefault="00E92C14">
      <w:pPr>
        <w:spacing w:after="0"/>
        <w:contextualSpacing/>
        <w:rPr>
          <w:szCs w:val="18"/>
        </w:rPr>
      </w:pPr>
    </w:p>
    <w:p w:rsidRPr="00F55224" w:rsidR="00F55224" w:rsidP="00D427EA" w:rsidRDefault="00F55224">
      <w:pPr>
        <w:spacing w:after="0"/>
        <w:contextualSpacing/>
        <w:rPr>
          <w:i/>
          <w:szCs w:val="18"/>
        </w:rPr>
      </w:pPr>
      <w:r>
        <w:rPr>
          <w:i/>
          <w:szCs w:val="18"/>
        </w:rPr>
        <w:t>Beleidsdoorlichting 2017</w:t>
      </w:r>
      <w:r w:rsidR="004C54C2">
        <w:rPr>
          <w:i/>
          <w:szCs w:val="18"/>
        </w:rPr>
        <w:t>: concentratie en afbakening</w:t>
      </w:r>
    </w:p>
    <w:p w:rsidR="00C83E4F" w:rsidP="00D427EA" w:rsidRDefault="00F95E6A">
      <w:pPr>
        <w:spacing w:after="0"/>
        <w:contextualSpacing/>
        <w:rPr>
          <w:szCs w:val="18"/>
        </w:rPr>
      </w:pPr>
      <w:r>
        <w:rPr>
          <w:szCs w:val="18"/>
        </w:rPr>
        <w:t>D</w:t>
      </w:r>
      <w:r w:rsidR="00F55224">
        <w:rPr>
          <w:szCs w:val="18"/>
        </w:rPr>
        <w:t xml:space="preserve">e </w:t>
      </w:r>
      <w:r>
        <w:rPr>
          <w:szCs w:val="18"/>
        </w:rPr>
        <w:t xml:space="preserve">beleidsdoorlichting richt zich </w:t>
      </w:r>
      <w:r w:rsidR="004C54C2">
        <w:rPr>
          <w:szCs w:val="18"/>
        </w:rPr>
        <w:t xml:space="preserve">op de bovengenoemde </w:t>
      </w:r>
      <w:r w:rsidR="001C3C07">
        <w:rPr>
          <w:szCs w:val="18"/>
        </w:rPr>
        <w:t xml:space="preserve">vijf </w:t>
      </w:r>
      <w:r w:rsidR="004C54C2">
        <w:rPr>
          <w:szCs w:val="18"/>
        </w:rPr>
        <w:t xml:space="preserve">beleidshoofdlijnen en </w:t>
      </w:r>
      <w:r>
        <w:rPr>
          <w:szCs w:val="18"/>
        </w:rPr>
        <w:t>geeft</w:t>
      </w:r>
      <w:r w:rsidR="004C54C2">
        <w:rPr>
          <w:szCs w:val="18"/>
        </w:rPr>
        <w:t xml:space="preserve"> </w:t>
      </w:r>
      <w:r w:rsidR="00A00B7B">
        <w:rPr>
          <w:szCs w:val="18"/>
        </w:rPr>
        <w:t xml:space="preserve">weer </w:t>
      </w:r>
      <w:r w:rsidR="004C54C2">
        <w:rPr>
          <w:szCs w:val="18"/>
        </w:rPr>
        <w:t xml:space="preserve">van de bijbehorende (groepen) maatregelen </w:t>
      </w:r>
      <w:r w:rsidR="00456D17">
        <w:rPr>
          <w:szCs w:val="18"/>
        </w:rPr>
        <w:t>of en</w:t>
      </w:r>
      <w:r>
        <w:rPr>
          <w:szCs w:val="18"/>
        </w:rPr>
        <w:t xml:space="preserve"> zo ja,</w:t>
      </w:r>
      <w:r w:rsidR="00456D17">
        <w:rPr>
          <w:szCs w:val="18"/>
        </w:rPr>
        <w:t xml:space="preserve"> in hoeverre</w:t>
      </w:r>
      <w:r w:rsidR="004C54C2">
        <w:rPr>
          <w:szCs w:val="18"/>
        </w:rPr>
        <w:t xml:space="preserve"> deze zijn gerealiseerd. </w:t>
      </w:r>
      <w:r w:rsidR="00456D17">
        <w:rPr>
          <w:szCs w:val="18"/>
        </w:rPr>
        <w:t>Waar mogelijk</w:t>
      </w:r>
      <w:r w:rsidR="004C54C2">
        <w:rPr>
          <w:szCs w:val="18"/>
        </w:rPr>
        <w:t xml:space="preserve"> </w:t>
      </w:r>
      <w:r>
        <w:rPr>
          <w:szCs w:val="18"/>
        </w:rPr>
        <w:t xml:space="preserve">zal een uitspraak worden gedaan </w:t>
      </w:r>
      <w:r w:rsidR="00456D17">
        <w:rPr>
          <w:szCs w:val="18"/>
        </w:rPr>
        <w:t xml:space="preserve">over de doeltreffendheid </w:t>
      </w:r>
      <w:r w:rsidR="00026999">
        <w:rPr>
          <w:szCs w:val="18"/>
        </w:rPr>
        <w:t xml:space="preserve">en doelmatigheid </w:t>
      </w:r>
      <w:r>
        <w:rPr>
          <w:szCs w:val="18"/>
        </w:rPr>
        <w:t>van de (groepen) maatregelen</w:t>
      </w:r>
      <w:r w:rsidR="004C54C2">
        <w:rPr>
          <w:szCs w:val="18"/>
        </w:rPr>
        <w:t xml:space="preserve"> </w:t>
      </w:r>
      <w:r w:rsidR="00456D17">
        <w:rPr>
          <w:szCs w:val="18"/>
        </w:rPr>
        <w:t xml:space="preserve">en </w:t>
      </w:r>
      <w:r w:rsidR="00790041">
        <w:rPr>
          <w:szCs w:val="18"/>
        </w:rPr>
        <w:t>wat hun</w:t>
      </w:r>
      <w:r w:rsidR="00026999">
        <w:rPr>
          <w:szCs w:val="18"/>
        </w:rPr>
        <w:t xml:space="preserve"> bijdrage </w:t>
      </w:r>
      <w:r w:rsidR="00790041">
        <w:rPr>
          <w:szCs w:val="18"/>
        </w:rPr>
        <w:t xml:space="preserve">is </w:t>
      </w:r>
      <w:r w:rsidR="004C54C2">
        <w:rPr>
          <w:szCs w:val="18"/>
        </w:rPr>
        <w:t xml:space="preserve">aan de beleidshoofdlijn </w:t>
      </w:r>
      <w:r w:rsidR="00456D17">
        <w:rPr>
          <w:szCs w:val="18"/>
        </w:rPr>
        <w:t>en</w:t>
      </w:r>
      <w:r>
        <w:rPr>
          <w:szCs w:val="18"/>
        </w:rPr>
        <w:t>,</w:t>
      </w:r>
      <w:r w:rsidR="00456D17">
        <w:rPr>
          <w:szCs w:val="18"/>
        </w:rPr>
        <w:t xml:space="preserve"> in het verlengde daarvan, </w:t>
      </w:r>
      <w:r w:rsidR="004C54C2">
        <w:rPr>
          <w:szCs w:val="18"/>
        </w:rPr>
        <w:t xml:space="preserve">aan </w:t>
      </w:r>
      <w:r>
        <w:rPr>
          <w:szCs w:val="18"/>
        </w:rPr>
        <w:t xml:space="preserve">het begrotingsartikel </w:t>
      </w:r>
      <w:r w:rsidR="004C54C2">
        <w:rPr>
          <w:szCs w:val="18"/>
        </w:rPr>
        <w:t>2</w:t>
      </w:r>
      <w:r>
        <w:rPr>
          <w:szCs w:val="18"/>
        </w:rPr>
        <w:t>.</w:t>
      </w:r>
    </w:p>
    <w:p w:rsidR="00C83E4F" w:rsidP="00D427EA" w:rsidRDefault="00C83E4F">
      <w:pPr>
        <w:spacing w:after="0"/>
        <w:contextualSpacing/>
        <w:rPr>
          <w:szCs w:val="18"/>
        </w:rPr>
      </w:pPr>
    </w:p>
    <w:p w:rsidRPr="00735F15" w:rsidR="0085364D" w:rsidP="00735F15" w:rsidRDefault="00C83E4F">
      <w:pPr>
        <w:pBdr>
          <w:top w:val="single" w:color="auto" w:sz="4" w:space="1"/>
          <w:left w:val="single" w:color="auto" w:sz="4" w:space="4"/>
          <w:bottom w:val="single" w:color="auto" w:sz="4" w:space="1"/>
          <w:right w:val="single" w:color="auto" w:sz="4" w:space="4"/>
        </w:pBdr>
        <w:shd w:val="clear" w:color="auto" w:fill="F2F2F2" w:themeFill="background1" w:themeFillShade="F2"/>
        <w:spacing w:after="0"/>
        <w:contextualSpacing/>
        <w:rPr>
          <w:sz w:val="16"/>
          <w:szCs w:val="16"/>
        </w:rPr>
      </w:pPr>
      <w:r w:rsidRPr="00735F15">
        <w:rPr>
          <w:sz w:val="16"/>
          <w:szCs w:val="16"/>
        </w:rPr>
        <w:t xml:space="preserve">Beleid is </w:t>
      </w:r>
      <w:r w:rsidRPr="00735F15" w:rsidR="0085364D">
        <w:rPr>
          <w:b/>
          <w:sz w:val="16"/>
          <w:szCs w:val="16"/>
        </w:rPr>
        <w:t>doeltreffend</w:t>
      </w:r>
      <w:r w:rsidRPr="00735F15">
        <w:rPr>
          <w:sz w:val="16"/>
          <w:szCs w:val="16"/>
        </w:rPr>
        <w:t xml:space="preserve"> wanneer </w:t>
      </w:r>
      <w:r w:rsidRPr="00735F15">
        <w:rPr>
          <w:i/>
          <w:sz w:val="16"/>
          <w:szCs w:val="16"/>
        </w:rPr>
        <w:t xml:space="preserve">dankzij </w:t>
      </w:r>
      <w:r w:rsidRPr="00735F15">
        <w:rPr>
          <w:sz w:val="16"/>
          <w:szCs w:val="16"/>
        </w:rPr>
        <w:t xml:space="preserve">het regeringsbeleid de gewenste beleidsresultaten worden bereikt. Onder beleidsresultaten worden </w:t>
      </w:r>
      <w:r w:rsidRPr="00735F15" w:rsidR="0085364D">
        <w:rPr>
          <w:sz w:val="16"/>
          <w:szCs w:val="16"/>
        </w:rPr>
        <w:t xml:space="preserve">zowel </w:t>
      </w:r>
      <w:r w:rsidRPr="00735F15">
        <w:rPr>
          <w:sz w:val="16"/>
          <w:szCs w:val="16"/>
        </w:rPr>
        <w:t>prestaties (</w:t>
      </w:r>
      <w:r w:rsidRPr="00735F15">
        <w:rPr>
          <w:i/>
          <w:sz w:val="16"/>
          <w:szCs w:val="16"/>
        </w:rPr>
        <w:t>output</w:t>
      </w:r>
      <w:r w:rsidRPr="00735F15">
        <w:rPr>
          <w:sz w:val="16"/>
          <w:szCs w:val="16"/>
        </w:rPr>
        <w:t xml:space="preserve">) </w:t>
      </w:r>
      <w:r w:rsidRPr="00735F15" w:rsidR="0085364D">
        <w:rPr>
          <w:sz w:val="16"/>
          <w:szCs w:val="16"/>
        </w:rPr>
        <w:t>als</w:t>
      </w:r>
      <w:r w:rsidRPr="00735F15">
        <w:rPr>
          <w:sz w:val="16"/>
          <w:szCs w:val="16"/>
        </w:rPr>
        <w:t xml:space="preserve"> effecten (</w:t>
      </w:r>
      <w:proofErr w:type="spellStart"/>
      <w:r w:rsidRPr="00735F15">
        <w:rPr>
          <w:i/>
          <w:sz w:val="16"/>
          <w:szCs w:val="16"/>
        </w:rPr>
        <w:t>outcome</w:t>
      </w:r>
      <w:proofErr w:type="spellEnd"/>
      <w:r w:rsidRPr="00735F15">
        <w:rPr>
          <w:sz w:val="16"/>
          <w:szCs w:val="16"/>
        </w:rPr>
        <w:t>) verstaan.</w:t>
      </w:r>
      <w:r w:rsidRPr="00735F15" w:rsidR="0085364D">
        <w:rPr>
          <w:rStyle w:val="Voetnootmarkering"/>
          <w:sz w:val="16"/>
          <w:szCs w:val="16"/>
        </w:rPr>
        <w:footnoteReference w:id="5"/>
      </w:r>
      <w:r w:rsidRPr="00735F15" w:rsidR="0085364D">
        <w:rPr>
          <w:sz w:val="16"/>
          <w:szCs w:val="16"/>
        </w:rPr>
        <w:t xml:space="preserve"> </w:t>
      </w:r>
      <w:r w:rsidRPr="00735F15">
        <w:rPr>
          <w:sz w:val="16"/>
          <w:szCs w:val="16"/>
        </w:rPr>
        <w:t>Naar verwachting is het doen van uitspraken over de directe prestaties in de meeste gevallen mogelijk</w:t>
      </w:r>
      <w:r w:rsidRPr="00735F15" w:rsidR="00430CB4">
        <w:rPr>
          <w:sz w:val="16"/>
          <w:szCs w:val="16"/>
        </w:rPr>
        <w:t>, omdat hierbij kan worden gedacht aan concrete resultaten zo</w:t>
      </w:r>
      <w:r w:rsidRPr="00735F15">
        <w:rPr>
          <w:sz w:val="16"/>
          <w:szCs w:val="16"/>
        </w:rPr>
        <w:t xml:space="preserve">als aantallen afgegeven vergunningen, behaalde </w:t>
      </w:r>
      <w:r w:rsidRPr="00735F15" w:rsidR="0085364D">
        <w:rPr>
          <w:sz w:val="16"/>
          <w:szCs w:val="16"/>
        </w:rPr>
        <w:t>diploma’s</w:t>
      </w:r>
      <w:r w:rsidRPr="00735F15" w:rsidR="00430CB4">
        <w:rPr>
          <w:sz w:val="16"/>
          <w:szCs w:val="16"/>
        </w:rPr>
        <w:t xml:space="preserve">, getoetste bestuurders etc. Uitspraken over effecten </w:t>
      </w:r>
      <w:r w:rsidRPr="00735F15" w:rsidR="00977E08">
        <w:rPr>
          <w:sz w:val="16"/>
          <w:szCs w:val="16"/>
        </w:rPr>
        <w:t>kunnen</w:t>
      </w:r>
      <w:r w:rsidRPr="00735F15" w:rsidR="00026999">
        <w:rPr>
          <w:sz w:val="16"/>
          <w:szCs w:val="16"/>
        </w:rPr>
        <w:t xml:space="preserve"> daarentegen</w:t>
      </w:r>
      <w:r w:rsidRPr="00735F15" w:rsidR="00430CB4">
        <w:rPr>
          <w:sz w:val="16"/>
          <w:szCs w:val="16"/>
        </w:rPr>
        <w:t xml:space="preserve"> ingewikkeld zijn, omdat tussen </w:t>
      </w:r>
      <w:r w:rsidRPr="00735F15" w:rsidR="00026999">
        <w:rPr>
          <w:sz w:val="16"/>
          <w:szCs w:val="16"/>
        </w:rPr>
        <w:t xml:space="preserve">de </w:t>
      </w:r>
      <w:r w:rsidRPr="00735F15" w:rsidR="00790041">
        <w:rPr>
          <w:sz w:val="16"/>
          <w:szCs w:val="16"/>
        </w:rPr>
        <w:t xml:space="preserve">directe </w:t>
      </w:r>
      <w:r w:rsidRPr="00735F15" w:rsidR="00430CB4">
        <w:rPr>
          <w:sz w:val="16"/>
          <w:szCs w:val="16"/>
        </w:rPr>
        <w:t>overheidsprestatie en de uiteindelijk gerealiseerde situatie in veel gevallen verschillende schakels zitten en verschillende (externe) factoren een rol spelen. In die gevallen is het moeilijk om uitspraken over de causale relatie tussen de overheidsprestatie en de gerealiseerde situatie</w:t>
      </w:r>
      <w:r w:rsidRPr="00735F15" w:rsidR="00977E08">
        <w:rPr>
          <w:sz w:val="16"/>
          <w:szCs w:val="16"/>
        </w:rPr>
        <w:t xml:space="preserve"> in de praktijk</w:t>
      </w:r>
      <w:r w:rsidRPr="00735F15" w:rsidR="00026999">
        <w:rPr>
          <w:sz w:val="16"/>
          <w:szCs w:val="16"/>
        </w:rPr>
        <w:t xml:space="preserve"> te doen.  </w:t>
      </w:r>
    </w:p>
    <w:p w:rsidRPr="00735F15" w:rsidR="0085364D" w:rsidP="00735F15" w:rsidRDefault="0085364D">
      <w:pPr>
        <w:pBdr>
          <w:top w:val="single" w:color="auto" w:sz="4" w:space="1"/>
          <w:left w:val="single" w:color="auto" w:sz="4" w:space="4"/>
          <w:bottom w:val="single" w:color="auto" w:sz="4" w:space="1"/>
          <w:right w:val="single" w:color="auto" w:sz="4" w:space="4"/>
        </w:pBdr>
        <w:shd w:val="clear" w:color="auto" w:fill="F2F2F2" w:themeFill="background1" w:themeFillShade="F2"/>
        <w:spacing w:after="0"/>
        <w:contextualSpacing/>
        <w:rPr>
          <w:sz w:val="16"/>
          <w:szCs w:val="16"/>
        </w:rPr>
      </w:pPr>
    </w:p>
    <w:p w:rsidRPr="00735F15" w:rsidR="0085364D" w:rsidP="00735F15" w:rsidRDefault="0085364D">
      <w:pPr>
        <w:pBdr>
          <w:top w:val="single" w:color="auto" w:sz="4" w:space="1"/>
          <w:left w:val="single" w:color="auto" w:sz="4" w:space="4"/>
          <w:bottom w:val="single" w:color="auto" w:sz="4" w:space="1"/>
          <w:right w:val="single" w:color="auto" w:sz="4" w:space="4"/>
        </w:pBdr>
        <w:shd w:val="clear" w:color="auto" w:fill="F2F2F2" w:themeFill="background1" w:themeFillShade="F2"/>
        <w:spacing w:after="0"/>
        <w:contextualSpacing/>
        <w:rPr>
          <w:sz w:val="16"/>
          <w:szCs w:val="16"/>
        </w:rPr>
      </w:pPr>
      <w:r w:rsidRPr="00735F15">
        <w:rPr>
          <w:sz w:val="16"/>
          <w:szCs w:val="16"/>
        </w:rPr>
        <w:t xml:space="preserve">Beleid is voorts </w:t>
      </w:r>
      <w:r w:rsidRPr="00735F15">
        <w:rPr>
          <w:b/>
          <w:sz w:val="16"/>
          <w:szCs w:val="16"/>
        </w:rPr>
        <w:t>doelmatig</w:t>
      </w:r>
      <w:r w:rsidRPr="00735F15">
        <w:rPr>
          <w:sz w:val="16"/>
          <w:szCs w:val="16"/>
        </w:rPr>
        <w:t xml:space="preserve"> wanneer de prestaties (en</w:t>
      </w:r>
      <w:r w:rsidRPr="00735F15" w:rsidR="00026999">
        <w:rPr>
          <w:sz w:val="16"/>
          <w:szCs w:val="16"/>
        </w:rPr>
        <w:t>,</w:t>
      </w:r>
      <w:r w:rsidRPr="00735F15">
        <w:rPr>
          <w:sz w:val="16"/>
          <w:szCs w:val="16"/>
        </w:rPr>
        <w:t xml:space="preserve"> waar meetbaar, de effecten) met de inzet van zo min mogelijk middelen zijn gerealiseerd.</w:t>
      </w:r>
      <w:r w:rsidRPr="00735F15" w:rsidR="00977E08">
        <w:rPr>
          <w:rStyle w:val="Voetnootmarkering"/>
          <w:sz w:val="16"/>
          <w:szCs w:val="16"/>
        </w:rPr>
        <w:footnoteReference w:id="6"/>
      </w:r>
      <w:r w:rsidRPr="00735F15">
        <w:rPr>
          <w:sz w:val="16"/>
          <w:szCs w:val="16"/>
        </w:rPr>
        <w:t xml:space="preserve"> </w:t>
      </w:r>
      <w:r w:rsidR="00894DC0">
        <w:rPr>
          <w:sz w:val="16"/>
          <w:szCs w:val="16"/>
        </w:rPr>
        <w:t xml:space="preserve">Het gaat om het beleid en de inzet door de regering en de zbo’s (DNB en AFM); de geadresseerde van het beleid is de financiële sector. </w:t>
      </w:r>
      <w:r w:rsidRPr="00735F15">
        <w:rPr>
          <w:sz w:val="16"/>
          <w:szCs w:val="16"/>
        </w:rPr>
        <w:t xml:space="preserve">Onder de middelen wordt </w:t>
      </w:r>
      <w:r w:rsidRPr="00735F15" w:rsidR="00790041">
        <w:rPr>
          <w:sz w:val="16"/>
          <w:szCs w:val="16"/>
        </w:rPr>
        <w:t>verstaan het ingezette</w:t>
      </w:r>
      <w:r w:rsidRPr="00735F15">
        <w:rPr>
          <w:sz w:val="16"/>
          <w:szCs w:val="16"/>
        </w:rPr>
        <w:t xml:space="preserve"> personeel, </w:t>
      </w:r>
      <w:r w:rsidRPr="00735F15" w:rsidR="00790041">
        <w:rPr>
          <w:sz w:val="16"/>
          <w:szCs w:val="16"/>
        </w:rPr>
        <w:t>het verbruikte</w:t>
      </w:r>
      <w:r w:rsidRPr="00735F15">
        <w:rPr>
          <w:sz w:val="16"/>
          <w:szCs w:val="16"/>
        </w:rPr>
        <w:t xml:space="preserve"> materiaal, </w:t>
      </w:r>
      <w:r w:rsidRPr="00735F15" w:rsidR="00790041">
        <w:rPr>
          <w:sz w:val="16"/>
          <w:szCs w:val="16"/>
        </w:rPr>
        <w:t xml:space="preserve">de </w:t>
      </w:r>
      <w:r w:rsidRPr="00735F15">
        <w:rPr>
          <w:sz w:val="16"/>
          <w:szCs w:val="16"/>
        </w:rPr>
        <w:t>ingehuurde diensten en uitgaven aan (financiële</w:t>
      </w:r>
      <w:r w:rsidR="00894DC0">
        <w:rPr>
          <w:sz w:val="16"/>
          <w:szCs w:val="16"/>
        </w:rPr>
        <w:t>)</w:t>
      </w:r>
      <w:r w:rsidRPr="00735F15">
        <w:rPr>
          <w:sz w:val="16"/>
          <w:szCs w:val="16"/>
        </w:rPr>
        <w:t xml:space="preserve"> beleidsinstrumenten </w:t>
      </w:r>
      <w:r w:rsidRPr="00735F15">
        <w:rPr>
          <w:sz w:val="16"/>
          <w:szCs w:val="16"/>
        </w:rPr>
        <w:lastRenderedPageBreak/>
        <w:t>(o</w:t>
      </w:r>
      <w:r w:rsidRPr="00735F15" w:rsidR="00026999">
        <w:rPr>
          <w:sz w:val="16"/>
          <w:szCs w:val="16"/>
        </w:rPr>
        <w:t>.</w:t>
      </w:r>
      <w:r w:rsidRPr="00735F15">
        <w:rPr>
          <w:sz w:val="16"/>
          <w:szCs w:val="16"/>
        </w:rPr>
        <w:t>a</w:t>
      </w:r>
      <w:r w:rsidRPr="00735F15" w:rsidR="00026999">
        <w:rPr>
          <w:sz w:val="16"/>
          <w:szCs w:val="16"/>
        </w:rPr>
        <w:t>.</w:t>
      </w:r>
      <w:r w:rsidRPr="00735F15">
        <w:rPr>
          <w:sz w:val="16"/>
          <w:szCs w:val="16"/>
        </w:rPr>
        <w:t xml:space="preserve"> subsidies, leningen en voorlichtingsprogramma’s). Doelmatigheid is echter een relatief begrip. De beleidsprestaties of -effecten zijn meer of minder doelmatig gerealiseerd vergeleken met een soortgelijke organisatie, of ten opzichte van een situatie in het recente verleden. De verwachting is daarom dat geen absolute uitspraken over de doelmatigheid k</w:t>
      </w:r>
      <w:r w:rsidRPr="00735F15" w:rsidR="00977E08">
        <w:rPr>
          <w:sz w:val="16"/>
          <w:szCs w:val="16"/>
        </w:rPr>
        <w:t>unne</w:t>
      </w:r>
      <w:r w:rsidRPr="00735F15">
        <w:rPr>
          <w:sz w:val="16"/>
          <w:szCs w:val="16"/>
        </w:rPr>
        <w:t xml:space="preserve">n worden gedaan, maar dat wel kan worden </w:t>
      </w:r>
      <w:r w:rsidRPr="00735F15" w:rsidR="00977E08">
        <w:rPr>
          <w:sz w:val="16"/>
          <w:szCs w:val="16"/>
        </w:rPr>
        <w:t>onderzocht of</w:t>
      </w:r>
      <w:r w:rsidRPr="00735F15">
        <w:rPr>
          <w:sz w:val="16"/>
          <w:szCs w:val="16"/>
        </w:rPr>
        <w:t xml:space="preserve"> het beleid </w:t>
      </w:r>
      <w:r w:rsidRPr="00735F15">
        <w:rPr>
          <w:i/>
          <w:sz w:val="16"/>
          <w:szCs w:val="16"/>
        </w:rPr>
        <w:t>ten opzichte van</w:t>
      </w:r>
      <w:r w:rsidRPr="00735F15" w:rsidR="00904855">
        <w:rPr>
          <w:sz w:val="16"/>
          <w:szCs w:val="16"/>
        </w:rPr>
        <w:t xml:space="preserve"> een andere periode (vóó</w:t>
      </w:r>
      <w:r w:rsidRPr="00735F15">
        <w:rPr>
          <w:sz w:val="16"/>
          <w:szCs w:val="16"/>
        </w:rPr>
        <w:t xml:space="preserve">r de </w:t>
      </w:r>
      <w:r w:rsidRPr="00735F15" w:rsidR="00026999">
        <w:rPr>
          <w:sz w:val="16"/>
          <w:szCs w:val="16"/>
        </w:rPr>
        <w:t xml:space="preserve">financiële </w:t>
      </w:r>
      <w:r w:rsidRPr="00735F15">
        <w:rPr>
          <w:sz w:val="16"/>
          <w:szCs w:val="16"/>
        </w:rPr>
        <w:t>crisis)</w:t>
      </w:r>
      <w:r w:rsidRPr="00735F15" w:rsidR="00977E08">
        <w:rPr>
          <w:sz w:val="16"/>
          <w:szCs w:val="16"/>
        </w:rPr>
        <w:t xml:space="preserve"> of organisatie</w:t>
      </w:r>
      <w:r w:rsidR="005625A9">
        <w:rPr>
          <w:sz w:val="16"/>
          <w:szCs w:val="16"/>
        </w:rPr>
        <w:t xml:space="preserve"> doelmatiger is</w:t>
      </w:r>
      <w:r w:rsidRPr="00735F15">
        <w:rPr>
          <w:sz w:val="16"/>
          <w:szCs w:val="16"/>
        </w:rPr>
        <w:t>.</w:t>
      </w:r>
      <w:r w:rsidR="0018751B">
        <w:rPr>
          <w:sz w:val="16"/>
          <w:szCs w:val="16"/>
        </w:rPr>
        <w:t xml:space="preserve"> Dit passen wij toe in de onderhavige beleidsdoorlichting: daarin zullen de jaren 2013-2016 (waar het onderzoek zich op toespitst) worden afgezet tegen de crisisperiode daarvoor (2009-2012).</w:t>
      </w:r>
      <w:r w:rsidRPr="00735F15">
        <w:rPr>
          <w:sz w:val="16"/>
          <w:szCs w:val="16"/>
        </w:rPr>
        <w:t xml:space="preserve"> Tot slot wordt ten behoeve van de doelmatigheid onderzocht of (minder kostbare) alternatieven voor de gekozen beleidsmaatregelen overwogen zijn.</w:t>
      </w:r>
    </w:p>
    <w:p w:rsidR="00F55224" w:rsidP="00D427EA" w:rsidRDefault="00F55224">
      <w:pPr>
        <w:spacing w:after="0"/>
        <w:contextualSpacing/>
        <w:rPr>
          <w:szCs w:val="18"/>
        </w:rPr>
      </w:pPr>
    </w:p>
    <w:p w:rsidR="00683C37" w:rsidP="00D427EA" w:rsidRDefault="00A00B7B">
      <w:pPr>
        <w:spacing w:after="0"/>
        <w:contextualSpacing/>
        <w:rPr>
          <w:szCs w:val="18"/>
        </w:rPr>
      </w:pPr>
      <w:r>
        <w:rPr>
          <w:szCs w:val="18"/>
        </w:rPr>
        <w:t>Het onderzoek</w:t>
      </w:r>
      <w:r w:rsidR="00683C37">
        <w:rPr>
          <w:szCs w:val="18"/>
        </w:rPr>
        <w:t xml:space="preserve"> </w:t>
      </w:r>
      <w:r w:rsidR="000E7252">
        <w:rPr>
          <w:szCs w:val="18"/>
        </w:rPr>
        <w:t xml:space="preserve">omvat </w:t>
      </w:r>
      <w:r w:rsidR="00683C37">
        <w:rPr>
          <w:szCs w:val="18"/>
        </w:rPr>
        <w:t xml:space="preserve">de jaren 2013-2016, omdat in deze jaren de grootste structurele hervormingen zijn doorgevoerd die niet </w:t>
      </w:r>
      <w:r w:rsidR="00456D17">
        <w:rPr>
          <w:szCs w:val="18"/>
        </w:rPr>
        <w:t>primair</w:t>
      </w:r>
      <w:r w:rsidR="00683C37">
        <w:rPr>
          <w:szCs w:val="18"/>
        </w:rPr>
        <w:t xml:space="preserve"> tot doel hebben om de crisis direct te beteugelen (zoals het geval was bij de sneller genomen crisismaatregelen in </w:t>
      </w:r>
      <w:r w:rsidR="00F95E6A">
        <w:rPr>
          <w:szCs w:val="18"/>
        </w:rPr>
        <w:t>met name</w:t>
      </w:r>
      <w:r w:rsidR="00683C37">
        <w:rPr>
          <w:szCs w:val="18"/>
        </w:rPr>
        <w:t xml:space="preserve"> 2009-2012), maar </w:t>
      </w:r>
      <w:r w:rsidR="00F95E6A">
        <w:rPr>
          <w:szCs w:val="18"/>
        </w:rPr>
        <w:t xml:space="preserve">die </w:t>
      </w:r>
      <w:r w:rsidR="00683C37">
        <w:rPr>
          <w:szCs w:val="18"/>
        </w:rPr>
        <w:t xml:space="preserve">vooral </w:t>
      </w:r>
      <w:r w:rsidR="00456D17">
        <w:rPr>
          <w:szCs w:val="18"/>
        </w:rPr>
        <w:t>gericht zijn op</w:t>
      </w:r>
      <w:r w:rsidR="00683C37">
        <w:rPr>
          <w:szCs w:val="18"/>
        </w:rPr>
        <w:t xml:space="preserve"> structurele hervormingen voor de (middel)lange termijn.</w:t>
      </w:r>
      <w:r w:rsidR="0018751B">
        <w:rPr>
          <w:szCs w:val="18"/>
        </w:rPr>
        <w:t xml:space="preserve"> Wel worden de maatregelen die zijn genomen in de onderzoeksperiode (2013-2016) afgezet tegen de </w:t>
      </w:r>
      <w:proofErr w:type="spellStart"/>
      <w:r w:rsidR="0018751B">
        <w:rPr>
          <w:szCs w:val="18"/>
        </w:rPr>
        <w:t>crisis-maatregelen</w:t>
      </w:r>
      <w:proofErr w:type="spellEnd"/>
      <w:r w:rsidR="0018751B">
        <w:rPr>
          <w:szCs w:val="18"/>
        </w:rPr>
        <w:t xml:space="preserve"> in de periode daarvoor (2009-2012), om uitspraken over de doelmatigheid te kunnen doen.</w:t>
      </w:r>
    </w:p>
    <w:p w:rsidR="00683C37" w:rsidP="00D427EA" w:rsidRDefault="00683C37">
      <w:pPr>
        <w:spacing w:after="0"/>
        <w:contextualSpacing/>
        <w:rPr>
          <w:szCs w:val="18"/>
        </w:rPr>
      </w:pPr>
    </w:p>
    <w:p w:rsidR="00683C37" w:rsidP="00D427EA" w:rsidRDefault="00683C37">
      <w:pPr>
        <w:spacing w:after="0"/>
        <w:contextualSpacing/>
        <w:rPr>
          <w:szCs w:val="18"/>
        </w:rPr>
      </w:pPr>
      <w:r>
        <w:rPr>
          <w:szCs w:val="18"/>
        </w:rPr>
        <w:t xml:space="preserve">De </w:t>
      </w:r>
      <w:r w:rsidR="00A00B7B">
        <w:rPr>
          <w:szCs w:val="18"/>
        </w:rPr>
        <w:t>doorlichting</w:t>
      </w:r>
      <w:r w:rsidR="00F55224">
        <w:rPr>
          <w:szCs w:val="18"/>
        </w:rPr>
        <w:t xml:space="preserve"> ziet op het </w:t>
      </w:r>
      <w:r>
        <w:rPr>
          <w:szCs w:val="18"/>
        </w:rPr>
        <w:t xml:space="preserve">beleid ten behoeve van het </w:t>
      </w:r>
      <w:r w:rsidRPr="00683C37">
        <w:rPr>
          <w:i/>
          <w:szCs w:val="18"/>
        </w:rPr>
        <w:t xml:space="preserve">hele </w:t>
      </w:r>
      <w:r w:rsidRPr="00F95E6A">
        <w:rPr>
          <w:szCs w:val="18"/>
        </w:rPr>
        <w:t>artikel</w:t>
      </w:r>
      <w:r w:rsidR="00281638">
        <w:rPr>
          <w:szCs w:val="18"/>
        </w:rPr>
        <w:t xml:space="preserve"> 2 van Begrotings</w:t>
      </w:r>
      <w:r>
        <w:rPr>
          <w:szCs w:val="18"/>
        </w:rPr>
        <w:t xml:space="preserve">hoofdstuk IX. In eerdere doorlichtingen en evaluatieonderzoeken van zowel het ministerie van Financiën zelf alsook van de Algemene Rekenkamer is voortdurend geconcentreerd op </w:t>
      </w:r>
      <w:r w:rsidRPr="00281638">
        <w:rPr>
          <w:i/>
          <w:szCs w:val="18"/>
        </w:rPr>
        <w:t>onderdelen</w:t>
      </w:r>
      <w:r w:rsidR="00F95E6A">
        <w:rPr>
          <w:szCs w:val="18"/>
        </w:rPr>
        <w:t xml:space="preserve"> van dat artikel</w:t>
      </w:r>
      <w:r>
        <w:rPr>
          <w:szCs w:val="18"/>
        </w:rPr>
        <w:t>; een totaalo</w:t>
      </w:r>
      <w:r w:rsidR="00281638">
        <w:rPr>
          <w:szCs w:val="18"/>
        </w:rPr>
        <w:t xml:space="preserve">verzicht ontbreekt vooralsnog. Het jaar 2017 </w:t>
      </w:r>
      <w:r w:rsidR="004C54C2">
        <w:rPr>
          <w:szCs w:val="18"/>
        </w:rPr>
        <w:t xml:space="preserve">is </w:t>
      </w:r>
      <w:r w:rsidR="00281638">
        <w:rPr>
          <w:szCs w:val="18"/>
        </w:rPr>
        <w:t>een klein decennium na het uitbreken v</w:t>
      </w:r>
      <w:r w:rsidR="00A00B7B">
        <w:rPr>
          <w:szCs w:val="18"/>
        </w:rPr>
        <w:t xml:space="preserve">an de financiële crisis; in deze periode </w:t>
      </w:r>
      <w:r w:rsidR="00281638">
        <w:rPr>
          <w:szCs w:val="18"/>
        </w:rPr>
        <w:t xml:space="preserve">zijn zowel crisismaatregelen alsook maatregelen gericht op structurele hervormingen genomen, en </w:t>
      </w:r>
      <w:r w:rsidR="00430CB4">
        <w:rPr>
          <w:szCs w:val="18"/>
        </w:rPr>
        <w:t>in de jaren na 2017</w:t>
      </w:r>
      <w:r w:rsidR="00281638">
        <w:rPr>
          <w:szCs w:val="18"/>
        </w:rPr>
        <w:t xml:space="preserve"> zal </w:t>
      </w:r>
      <w:r w:rsidR="004C54C2">
        <w:rPr>
          <w:szCs w:val="18"/>
        </w:rPr>
        <w:t>de uitwerking daarvan zich doen gelden</w:t>
      </w:r>
      <w:r w:rsidR="00281638">
        <w:rPr>
          <w:szCs w:val="18"/>
        </w:rPr>
        <w:t xml:space="preserve">. </w:t>
      </w:r>
      <w:r w:rsidR="00F95E6A">
        <w:rPr>
          <w:szCs w:val="18"/>
        </w:rPr>
        <w:t>Komend kalenderjaar</w:t>
      </w:r>
      <w:r w:rsidR="004C54C2">
        <w:rPr>
          <w:szCs w:val="18"/>
        </w:rPr>
        <w:t xml:space="preserve"> </w:t>
      </w:r>
      <w:r w:rsidR="00A00B7B">
        <w:rPr>
          <w:szCs w:val="18"/>
        </w:rPr>
        <w:t>is</w:t>
      </w:r>
      <w:r w:rsidR="00F95E6A">
        <w:rPr>
          <w:szCs w:val="18"/>
        </w:rPr>
        <w:t xml:space="preserve"> daarom </w:t>
      </w:r>
      <w:r w:rsidR="004C54C2">
        <w:rPr>
          <w:szCs w:val="18"/>
        </w:rPr>
        <w:t>een goed moment voo</w:t>
      </w:r>
      <w:r w:rsidR="00A00B7B">
        <w:rPr>
          <w:szCs w:val="18"/>
        </w:rPr>
        <w:t xml:space="preserve">r een dergelijk totaaloverzicht.  </w:t>
      </w:r>
    </w:p>
    <w:p w:rsidR="00683C37" w:rsidP="00D427EA" w:rsidRDefault="00683C37">
      <w:pPr>
        <w:spacing w:after="0"/>
        <w:contextualSpacing/>
        <w:rPr>
          <w:szCs w:val="18"/>
        </w:rPr>
      </w:pPr>
    </w:p>
    <w:p w:rsidR="00EC1F1F" w:rsidP="00D427EA" w:rsidRDefault="00A00B7B">
      <w:pPr>
        <w:spacing w:after="0"/>
        <w:contextualSpacing/>
        <w:rPr>
          <w:szCs w:val="18"/>
        </w:rPr>
      </w:pPr>
      <w:r>
        <w:rPr>
          <w:szCs w:val="18"/>
        </w:rPr>
        <w:t xml:space="preserve">Het onderzoek concentreert zich </w:t>
      </w:r>
      <w:r w:rsidR="00894DC0">
        <w:rPr>
          <w:szCs w:val="18"/>
        </w:rPr>
        <w:t xml:space="preserve">primair op onderdeel A (algemene doelstelling), B (rol en verantwoordelijkheid Minister) en C (beleidswijzigingen als gevolg van de financiële crisis), en gaat </w:t>
      </w:r>
      <w:r w:rsidRPr="00894DC0" w:rsidR="00683C37">
        <w:rPr>
          <w:i/>
          <w:szCs w:val="18"/>
        </w:rPr>
        <w:t>niet</w:t>
      </w:r>
      <w:r w:rsidR="00894DC0">
        <w:rPr>
          <w:szCs w:val="18"/>
        </w:rPr>
        <w:t xml:space="preserve"> primair om</w:t>
      </w:r>
      <w:r w:rsidR="00683C37">
        <w:rPr>
          <w:szCs w:val="18"/>
        </w:rPr>
        <w:t xml:space="preserve"> onderdeel D1 van artikel 2, dat </w:t>
      </w:r>
      <w:r w:rsidR="00456D17">
        <w:rPr>
          <w:szCs w:val="18"/>
        </w:rPr>
        <w:t xml:space="preserve">inzicht geeft in </w:t>
      </w:r>
      <w:r w:rsidR="00683C37">
        <w:rPr>
          <w:szCs w:val="18"/>
        </w:rPr>
        <w:t xml:space="preserve">de budgettaire gevolgen van het beleid. Deze budgettaire gevolgen staan immers niet </w:t>
      </w:r>
      <w:r w:rsidR="004C54C2">
        <w:rPr>
          <w:szCs w:val="18"/>
        </w:rPr>
        <w:t xml:space="preserve">in </w:t>
      </w:r>
      <w:r>
        <w:rPr>
          <w:szCs w:val="18"/>
        </w:rPr>
        <w:t>rechtstreeks</w:t>
      </w:r>
      <w:r w:rsidR="00683C37">
        <w:rPr>
          <w:szCs w:val="18"/>
        </w:rPr>
        <w:t xml:space="preserve"> </w:t>
      </w:r>
      <w:r w:rsidR="004C54C2">
        <w:rPr>
          <w:szCs w:val="18"/>
        </w:rPr>
        <w:t>(herkenbaar)</w:t>
      </w:r>
      <w:r w:rsidR="00683C37">
        <w:rPr>
          <w:szCs w:val="18"/>
        </w:rPr>
        <w:t xml:space="preserve"> verband met de beleidsinspanning</w:t>
      </w:r>
      <w:r w:rsidR="00456D17">
        <w:rPr>
          <w:szCs w:val="18"/>
        </w:rPr>
        <w:t>en</w:t>
      </w:r>
      <w:r w:rsidR="00683C37">
        <w:rPr>
          <w:szCs w:val="18"/>
        </w:rPr>
        <w:t xml:space="preserve"> </w:t>
      </w:r>
      <w:r w:rsidR="004C54C2">
        <w:rPr>
          <w:szCs w:val="18"/>
        </w:rPr>
        <w:t>per beleidshoofdlijn ten behoeve van</w:t>
      </w:r>
      <w:r w:rsidR="00683C37">
        <w:rPr>
          <w:szCs w:val="18"/>
        </w:rPr>
        <w:t xml:space="preserve"> </w:t>
      </w:r>
      <w:r w:rsidR="00456D17">
        <w:rPr>
          <w:szCs w:val="18"/>
        </w:rPr>
        <w:t>het</w:t>
      </w:r>
      <w:r w:rsidR="00683C37">
        <w:rPr>
          <w:szCs w:val="18"/>
        </w:rPr>
        <w:t xml:space="preserve"> </w:t>
      </w:r>
      <w:r>
        <w:rPr>
          <w:szCs w:val="18"/>
        </w:rPr>
        <w:t>hoofddoel</w:t>
      </w:r>
      <w:r w:rsidR="0063426C">
        <w:rPr>
          <w:szCs w:val="18"/>
        </w:rPr>
        <w:t xml:space="preserve"> van artikel 2, namelijk ‘</w:t>
      </w:r>
      <w:r w:rsidR="00683C37">
        <w:rPr>
          <w:szCs w:val="18"/>
        </w:rPr>
        <w:t>beleid maken voor een stabiele</w:t>
      </w:r>
      <w:r w:rsidR="0063426C">
        <w:rPr>
          <w:szCs w:val="18"/>
        </w:rPr>
        <w:t xml:space="preserve"> werking van financiële markten’</w:t>
      </w:r>
      <w:r w:rsidR="00894DC0">
        <w:rPr>
          <w:szCs w:val="18"/>
        </w:rPr>
        <w:t xml:space="preserve"> en als uitgewerkt in de visie van het kabinet uit 2013 op de Nederlandse financiële sector</w:t>
      </w:r>
      <w:r w:rsidR="00683C37">
        <w:rPr>
          <w:szCs w:val="18"/>
        </w:rPr>
        <w:t>.</w:t>
      </w:r>
      <w:r w:rsidR="00894DC0">
        <w:rPr>
          <w:rStyle w:val="Voetnootmarkering"/>
          <w:szCs w:val="18"/>
        </w:rPr>
        <w:footnoteReference w:id="7"/>
      </w:r>
      <w:r w:rsidR="004C54C2">
        <w:rPr>
          <w:szCs w:val="18"/>
        </w:rPr>
        <w:t xml:space="preserve"> </w:t>
      </w:r>
      <w:r w:rsidR="00DF5CED">
        <w:rPr>
          <w:szCs w:val="18"/>
        </w:rPr>
        <w:t>Dat geldt zeker met ingang van 1 januari 2015</w:t>
      </w:r>
      <w:r w:rsidR="00DF5CED">
        <w:t xml:space="preserve">, </w:t>
      </w:r>
      <w:r w:rsidR="00DF5CED">
        <w:rPr>
          <w:szCs w:val="18"/>
        </w:rPr>
        <w:t xml:space="preserve">toen de overheidsbijdrage </w:t>
      </w:r>
      <w:r w:rsidR="00DF5CED">
        <w:t xml:space="preserve">voor het door DNB en de AFM uit te oefenen toezicht op financiële instellingen in Nederland is komen te vervallen. </w:t>
      </w:r>
      <w:r>
        <w:rPr>
          <w:szCs w:val="18"/>
        </w:rPr>
        <w:t xml:space="preserve">De </w:t>
      </w:r>
      <w:r w:rsidR="004C54C2">
        <w:rPr>
          <w:szCs w:val="18"/>
        </w:rPr>
        <w:t xml:space="preserve">beleidshoofdlijnen </w:t>
      </w:r>
      <w:r>
        <w:rPr>
          <w:szCs w:val="18"/>
        </w:rPr>
        <w:t>worden</w:t>
      </w:r>
      <w:r w:rsidR="00DF5CED">
        <w:rPr>
          <w:szCs w:val="18"/>
        </w:rPr>
        <w:t xml:space="preserve"> om die reden</w:t>
      </w:r>
      <w:r>
        <w:rPr>
          <w:szCs w:val="18"/>
        </w:rPr>
        <w:t xml:space="preserve"> geacht </w:t>
      </w:r>
      <w:r w:rsidR="004C54C2">
        <w:rPr>
          <w:szCs w:val="18"/>
        </w:rPr>
        <w:t xml:space="preserve">een </w:t>
      </w:r>
      <w:r w:rsidR="0084617B">
        <w:rPr>
          <w:szCs w:val="18"/>
        </w:rPr>
        <w:t>beduidend meer functioneel</w:t>
      </w:r>
      <w:r w:rsidR="004C54C2">
        <w:rPr>
          <w:szCs w:val="18"/>
        </w:rPr>
        <w:t xml:space="preserve"> vertrekpunt </w:t>
      </w:r>
      <w:r>
        <w:rPr>
          <w:szCs w:val="18"/>
        </w:rPr>
        <w:t xml:space="preserve">te vormen </w:t>
      </w:r>
      <w:r w:rsidR="004C54C2">
        <w:rPr>
          <w:szCs w:val="18"/>
        </w:rPr>
        <w:t>voor de doorlichting dan de budgettaire gevolgen van het beleid.</w:t>
      </w:r>
      <w:r w:rsidR="00577BE4">
        <w:rPr>
          <w:szCs w:val="18"/>
        </w:rPr>
        <w:t xml:space="preserve"> </w:t>
      </w:r>
    </w:p>
    <w:p w:rsidR="00EC1F1F" w:rsidP="00D427EA" w:rsidRDefault="00EC1F1F">
      <w:pPr>
        <w:spacing w:after="0"/>
        <w:contextualSpacing/>
        <w:rPr>
          <w:szCs w:val="18"/>
        </w:rPr>
      </w:pPr>
    </w:p>
    <w:p w:rsidR="00155C4B" w:rsidP="00155C4B" w:rsidRDefault="00EC1F1F">
      <w:pPr>
        <w:spacing w:after="0"/>
        <w:contextualSpacing/>
        <w:rPr>
          <w:szCs w:val="18"/>
        </w:rPr>
      </w:pPr>
      <w:r>
        <w:rPr>
          <w:szCs w:val="18"/>
        </w:rPr>
        <w:t xml:space="preserve">Het voorgaande ligt anders als het gaat om </w:t>
      </w:r>
      <w:r w:rsidR="00577BE4">
        <w:rPr>
          <w:szCs w:val="18"/>
        </w:rPr>
        <w:t>de beantwoording van de laats</w:t>
      </w:r>
      <w:r w:rsidR="00DF5CED">
        <w:rPr>
          <w:szCs w:val="18"/>
        </w:rPr>
        <w:t xml:space="preserve">te onderzoeksvraag uit de </w:t>
      </w:r>
      <w:proofErr w:type="spellStart"/>
      <w:r w:rsidR="00DF5CED">
        <w:rPr>
          <w:szCs w:val="18"/>
        </w:rPr>
        <w:t>Rpe</w:t>
      </w:r>
      <w:proofErr w:type="spellEnd"/>
      <w:r w:rsidR="00DF5CED">
        <w:rPr>
          <w:szCs w:val="18"/>
        </w:rPr>
        <w:t xml:space="preserve"> die ziet op</w:t>
      </w:r>
      <w:r w:rsidR="00577BE4">
        <w:rPr>
          <w:szCs w:val="18"/>
        </w:rPr>
        <w:t xml:space="preserve"> de verkenning van beleidsopties bi</w:t>
      </w:r>
      <w:r>
        <w:rPr>
          <w:szCs w:val="18"/>
        </w:rPr>
        <w:t>j minder beschikbare mi</w:t>
      </w:r>
      <w:r w:rsidR="00E46EC5">
        <w:rPr>
          <w:szCs w:val="18"/>
        </w:rPr>
        <w:t>ddelen (-20% besparingsvariant</w:t>
      </w:r>
      <w:r>
        <w:rPr>
          <w:szCs w:val="18"/>
        </w:rPr>
        <w:t xml:space="preserve">). </w:t>
      </w:r>
      <w:r w:rsidR="007D6538">
        <w:rPr>
          <w:szCs w:val="18"/>
        </w:rPr>
        <w:t xml:space="preserve">Om tot een valideerbare uitspraak te komen </w:t>
      </w:r>
      <w:r>
        <w:rPr>
          <w:szCs w:val="18"/>
        </w:rPr>
        <w:t xml:space="preserve">zal </w:t>
      </w:r>
      <w:r w:rsidR="007D6538">
        <w:rPr>
          <w:szCs w:val="18"/>
        </w:rPr>
        <w:t>daarbij</w:t>
      </w:r>
      <w:r w:rsidR="00DF5CED">
        <w:rPr>
          <w:szCs w:val="18"/>
        </w:rPr>
        <w:t xml:space="preserve"> juist </w:t>
      </w:r>
      <w:r>
        <w:rPr>
          <w:szCs w:val="18"/>
        </w:rPr>
        <w:t>wel uitgegaan word</w:t>
      </w:r>
      <w:r w:rsidR="007D6538">
        <w:rPr>
          <w:szCs w:val="18"/>
        </w:rPr>
        <w:t>en van de budgettaire gevolgen van het beleid.</w:t>
      </w:r>
      <w:r w:rsidRPr="00155C4B" w:rsidR="00155C4B">
        <w:rPr>
          <w:szCs w:val="18"/>
        </w:rPr>
        <w:t xml:space="preserve"> </w:t>
      </w:r>
      <w:r w:rsidR="00155C4B">
        <w:rPr>
          <w:szCs w:val="18"/>
        </w:rPr>
        <w:t xml:space="preserve">In onderstaande tabel zijn de totale uitgaven aan programma en apparaat opgenomen. </w:t>
      </w:r>
      <w:r w:rsidR="00E46EC5">
        <w:rPr>
          <w:szCs w:val="18"/>
        </w:rPr>
        <w:t xml:space="preserve"> </w:t>
      </w:r>
      <w:r w:rsidR="00155C4B">
        <w:rPr>
          <w:szCs w:val="18"/>
        </w:rPr>
        <w:t xml:space="preserve"> </w:t>
      </w:r>
    </w:p>
    <w:p w:rsidR="00155C4B" w:rsidRDefault="00155C4B">
      <w:pPr>
        <w:rPr>
          <w:szCs w:val="18"/>
        </w:rPr>
      </w:pPr>
      <w:r>
        <w:rPr>
          <w:szCs w:val="18"/>
        </w:rPr>
        <w:br w:type="page"/>
      </w:r>
    </w:p>
    <w:p w:rsidR="00155C4B" w:rsidP="00155C4B" w:rsidRDefault="00155C4B">
      <w:pPr>
        <w:spacing w:after="0"/>
        <w:contextualSpacing/>
        <w:rPr>
          <w:szCs w:val="18"/>
        </w:rPr>
      </w:pPr>
    </w:p>
    <w:tbl>
      <w:tblPr>
        <w:tblW w:w="6480" w:type="dxa"/>
        <w:tblInd w:w="55" w:type="dxa"/>
        <w:tblCellMar>
          <w:left w:w="70" w:type="dxa"/>
          <w:right w:w="70" w:type="dxa"/>
        </w:tblCellMar>
        <w:tblLook w:val="04A0"/>
      </w:tblPr>
      <w:tblGrid>
        <w:gridCol w:w="2740"/>
        <w:gridCol w:w="1400"/>
        <w:gridCol w:w="460"/>
        <w:gridCol w:w="1880"/>
      </w:tblGrid>
      <w:tr w:rsidRPr="00155C4B" w:rsidR="00155C4B" w:rsidTr="00155C4B">
        <w:trPr>
          <w:trHeight w:val="375"/>
        </w:trPr>
        <w:tc>
          <w:tcPr>
            <w:tcW w:w="2740" w:type="dxa"/>
            <w:tcBorders>
              <w:top w:val="single" w:color="auto" w:sz="8" w:space="0"/>
              <w:left w:val="single" w:color="auto" w:sz="8" w:space="0"/>
              <w:bottom w:val="nil"/>
              <w:right w:val="nil"/>
            </w:tcBorders>
            <w:shd w:val="clear" w:color="000000" w:fill="B8CCE4"/>
            <w:noWrap/>
            <w:vAlign w:val="bottom"/>
            <w:hideMark/>
          </w:tcPr>
          <w:p w:rsidRPr="00155C4B" w:rsidR="00155C4B" w:rsidP="00155C4B" w:rsidRDefault="00155C4B">
            <w:pPr>
              <w:rPr>
                <w:rFonts w:ascii="Calibri" w:hAnsi="Calibri" w:cs="Calibri"/>
                <w:sz w:val="22"/>
                <w:lang w:eastAsia="nl-NL"/>
              </w:rPr>
            </w:pPr>
            <w:r w:rsidRPr="00155C4B">
              <w:rPr>
                <w:rFonts w:ascii="Calibri" w:hAnsi="Calibri" w:cs="Calibri"/>
                <w:sz w:val="22"/>
                <w:lang w:eastAsia="nl-NL"/>
              </w:rPr>
              <w:t>Totale uitgaven (x €1000)</w:t>
            </w:r>
          </w:p>
        </w:tc>
        <w:tc>
          <w:tcPr>
            <w:tcW w:w="1400" w:type="dxa"/>
            <w:tcBorders>
              <w:top w:val="single" w:color="auto" w:sz="8" w:space="0"/>
              <w:left w:val="nil"/>
              <w:bottom w:val="nil"/>
              <w:right w:val="nil"/>
            </w:tcBorders>
            <w:shd w:val="clear" w:color="000000" w:fill="B8CCE4"/>
            <w:noWrap/>
            <w:vAlign w:val="bottom"/>
            <w:hideMark/>
          </w:tcPr>
          <w:p w:rsidRPr="00155C4B" w:rsidR="00155C4B" w:rsidP="00155C4B" w:rsidRDefault="00155C4B">
            <w:pPr>
              <w:jc w:val="right"/>
              <w:rPr>
                <w:rFonts w:ascii="Calibri" w:hAnsi="Calibri" w:cs="Calibri"/>
                <w:sz w:val="22"/>
                <w:lang w:eastAsia="nl-NL"/>
              </w:rPr>
            </w:pPr>
            <w:r w:rsidRPr="00155C4B">
              <w:rPr>
                <w:rFonts w:ascii="Calibri" w:hAnsi="Calibri" w:cs="Calibri"/>
                <w:sz w:val="22"/>
                <w:lang w:eastAsia="nl-NL"/>
              </w:rPr>
              <w:t>Uitgaven</w:t>
            </w:r>
          </w:p>
        </w:tc>
        <w:tc>
          <w:tcPr>
            <w:tcW w:w="460" w:type="dxa"/>
            <w:tcBorders>
              <w:top w:val="single" w:color="auto" w:sz="8" w:space="0"/>
              <w:left w:val="nil"/>
              <w:bottom w:val="nil"/>
              <w:right w:val="nil"/>
            </w:tcBorders>
            <w:shd w:val="clear" w:color="000000" w:fill="B8CCE4"/>
            <w:noWrap/>
            <w:vAlign w:val="bottom"/>
            <w:hideMark/>
          </w:tcPr>
          <w:p w:rsidRPr="00155C4B" w:rsidR="00155C4B" w:rsidP="00155C4B" w:rsidRDefault="00155C4B">
            <w:pPr>
              <w:rPr>
                <w:rFonts w:ascii="Calibri" w:hAnsi="Calibri" w:cs="Calibri"/>
                <w:sz w:val="22"/>
                <w:lang w:eastAsia="nl-NL"/>
              </w:rPr>
            </w:pPr>
            <w:r w:rsidRPr="00155C4B">
              <w:rPr>
                <w:rFonts w:ascii="Calibri" w:hAnsi="Calibri" w:cs="Calibri"/>
                <w:sz w:val="22"/>
                <w:lang w:eastAsia="nl-NL"/>
              </w:rPr>
              <w:t> </w:t>
            </w:r>
          </w:p>
        </w:tc>
        <w:tc>
          <w:tcPr>
            <w:tcW w:w="1880" w:type="dxa"/>
            <w:tcBorders>
              <w:top w:val="single" w:color="auto" w:sz="8" w:space="0"/>
              <w:left w:val="nil"/>
              <w:bottom w:val="nil"/>
              <w:right w:val="single" w:color="auto" w:sz="8" w:space="0"/>
            </w:tcBorders>
            <w:shd w:val="clear" w:color="000000" w:fill="B8CCE4"/>
            <w:noWrap/>
            <w:vAlign w:val="bottom"/>
            <w:hideMark/>
          </w:tcPr>
          <w:p w:rsidRPr="00155C4B" w:rsidR="00155C4B" w:rsidP="00155C4B" w:rsidRDefault="00155C4B">
            <w:pPr>
              <w:jc w:val="right"/>
              <w:rPr>
                <w:rFonts w:ascii="Calibri" w:hAnsi="Calibri" w:cs="Calibri"/>
                <w:sz w:val="22"/>
                <w:lang w:eastAsia="nl-NL"/>
              </w:rPr>
            </w:pPr>
            <w:r w:rsidRPr="00155C4B">
              <w:rPr>
                <w:rFonts w:ascii="Calibri" w:hAnsi="Calibri" w:cs="Calibri"/>
                <w:sz w:val="22"/>
                <w:lang w:eastAsia="nl-NL"/>
              </w:rPr>
              <w:t>20% besparing</w:t>
            </w:r>
          </w:p>
        </w:tc>
      </w:tr>
      <w:tr w:rsidRPr="00155C4B" w:rsidR="00155C4B" w:rsidTr="00155C4B">
        <w:trPr>
          <w:trHeight w:val="225"/>
        </w:trPr>
        <w:tc>
          <w:tcPr>
            <w:tcW w:w="2740" w:type="dxa"/>
            <w:tcBorders>
              <w:top w:val="nil"/>
              <w:left w:val="single" w:color="auto" w:sz="8" w:space="0"/>
              <w:bottom w:val="nil"/>
              <w:right w:val="nil"/>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color w:val="000000"/>
                <w:sz w:val="22"/>
                <w:lang w:eastAsia="nl-NL"/>
              </w:rPr>
            </w:pPr>
            <w:r w:rsidRPr="00155C4B">
              <w:rPr>
                <w:rFonts w:ascii="Calibri" w:hAnsi="Calibri" w:eastAsia="Times New Roman" w:cs="Calibri"/>
                <w:color w:val="000000"/>
                <w:sz w:val="22"/>
                <w:lang w:eastAsia="nl-NL"/>
              </w:rPr>
              <w:t> </w:t>
            </w:r>
          </w:p>
        </w:tc>
        <w:tc>
          <w:tcPr>
            <w:tcW w:w="1400" w:type="dxa"/>
            <w:tcBorders>
              <w:top w:val="nil"/>
              <w:left w:val="nil"/>
              <w:bottom w:val="nil"/>
              <w:right w:val="nil"/>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color w:val="000000"/>
                <w:sz w:val="22"/>
                <w:lang w:eastAsia="nl-NL"/>
              </w:rPr>
            </w:pPr>
            <w:r w:rsidRPr="00155C4B">
              <w:rPr>
                <w:rFonts w:ascii="Calibri" w:hAnsi="Calibri" w:eastAsia="Times New Roman" w:cs="Calibri"/>
                <w:color w:val="000000"/>
                <w:sz w:val="22"/>
                <w:lang w:eastAsia="nl-NL"/>
              </w:rPr>
              <w:t> </w:t>
            </w:r>
          </w:p>
        </w:tc>
        <w:tc>
          <w:tcPr>
            <w:tcW w:w="460" w:type="dxa"/>
            <w:tcBorders>
              <w:top w:val="nil"/>
              <w:left w:val="nil"/>
              <w:bottom w:val="nil"/>
              <w:right w:val="nil"/>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color w:val="000000"/>
                <w:sz w:val="22"/>
                <w:lang w:eastAsia="nl-NL"/>
              </w:rPr>
            </w:pPr>
            <w:r w:rsidRPr="00155C4B">
              <w:rPr>
                <w:rFonts w:ascii="Calibri" w:hAnsi="Calibri" w:eastAsia="Times New Roman" w:cs="Calibri"/>
                <w:color w:val="000000"/>
                <w:sz w:val="22"/>
                <w:lang w:eastAsia="nl-NL"/>
              </w:rPr>
              <w:t> </w:t>
            </w:r>
          </w:p>
        </w:tc>
        <w:tc>
          <w:tcPr>
            <w:tcW w:w="1880" w:type="dxa"/>
            <w:tcBorders>
              <w:top w:val="nil"/>
              <w:left w:val="nil"/>
              <w:bottom w:val="nil"/>
              <w:right w:val="single" w:color="auto" w:sz="8" w:space="0"/>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color w:val="000000"/>
                <w:sz w:val="22"/>
                <w:lang w:eastAsia="nl-NL"/>
              </w:rPr>
            </w:pPr>
            <w:r w:rsidRPr="00155C4B">
              <w:rPr>
                <w:rFonts w:ascii="Calibri" w:hAnsi="Calibri" w:eastAsia="Times New Roman" w:cs="Calibri"/>
                <w:color w:val="000000"/>
                <w:sz w:val="22"/>
                <w:lang w:eastAsia="nl-NL"/>
              </w:rPr>
              <w:t> </w:t>
            </w:r>
          </w:p>
        </w:tc>
      </w:tr>
      <w:tr w:rsidRPr="00155C4B" w:rsidR="00155C4B" w:rsidTr="00155C4B">
        <w:trPr>
          <w:trHeight w:val="225"/>
        </w:trPr>
        <w:tc>
          <w:tcPr>
            <w:tcW w:w="2740" w:type="dxa"/>
            <w:tcBorders>
              <w:top w:val="nil"/>
              <w:left w:val="single" w:color="auto" w:sz="8" w:space="0"/>
              <w:bottom w:val="nil"/>
              <w:right w:val="nil"/>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i/>
                <w:iCs/>
                <w:color w:val="000000"/>
                <w:sz w:val="22"/>
                <w:lang w:eastAsia="nl-NL"/>
              </w:rPr>
            </w:pPr>
            <w:r w:rsidRPr="00155C4B">
              <w:rPr>
                <w:rFonts w:ascii="Calibri" w:hAnsi="Calibri" w:eastAsia="Times New Roman" w:cs="Calibri"/>
                <w:i/>
                <w:iCs/>
                <w:color w:val="000000"/>
                <w:sz w:val="22"/>
                <w:lang w:eastAsia="nl-NL"/>
              </w:rPr>
              <w:t>artikel 2 Financiële markten</w:t>
            </w:r>
          </w:p>
        </w:tc>
        <w:tc>
          <w:tcPr>
            <w:tcW w:w="1400" w:type="dxa"/>
            <w:tcBorders>
              <w:top w:val="nil"/>
              <w:left w:val="nil"/>
              <w:bottom w:val="nil"/>
              <w:right w:val="nil"/>
            </w:tcBorders>
            <w:shd w:val="clear" w:color="000000" w:fill="FFFFFF"/>
            <w:noWrap/>
            <w:vAlign w:val="bottom"/>
            <w:hideMark/>
          </w:tcPr>
          <w:p w:rsidRPr="00155C4B" w:rsidR="00155C4B" w:rsidP="00155C4B" w:rsidRDefault="00155C4B">
            <w:pPr>
              <w:spacing w:after="0" w:line="240" w:lineRule="auto"/>
              <w:jc w:val="right"/>
              <w:rPr>
                <w:rFonts w:ascii="Calibri" w:hAnsi="Calibri" w:eastAsia="Times New Roman" w:cs="Calibri"/>
                <w:i/>
                <w:iCs/>
                <w:color w:val="000000"/>
                <w:sz w:val="22"/>
                <w:lang w:eastAsia="nl-NL"/>
              </w:rPr>
            </w:pPr>
            <w:r w:rsidRPr="00155C4B">
              <w:rPr>
                <w:rFonts w:ascii="Calibri" w:hAnsi="Calibri" w:eastAsia="Times New Roman" w:cs="Calibri"/>
                <w:i/>
                <w:iCs/>
                <w:color w:val="000000"/>
                <w:sz w:val="22"/>
                <w:lang w:eastAsia="nl-NL"/>
              </w:rPr>
              <w:t>21.334</w:t>
            </w:r>
          </w:p>
        </w:tc>
        <w:tc>
          <w:tcPr>
            <w:tcW w:w="460" w:type="dxa"/>
            <w:tcBorders>
              <w:top w:val="nil"/>
              <w:left w:val="nil"/>
              <w:bottom w:val="nil"/>
              <w:right w:val="nil"/>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i/>
                <w:iCs/>
                <w:color w:val="000000"/>
                <w:sz w:val="22"/>
                <w:lang w:eastAsia="nl-NL"/>
              </w:rPr>
            </w:pPr>
            <w:r w:rsidRPr="00155C4B">
              <w:rPr>
                <w:rFonts w:ascii="Calibri" w:hAnsi="Calibri" w:eastAsia="Times New Roman" w:cs="Calibri"/>
                <w:i/>
                <w:iCs/>
                <w:color w:val="000000"/>
                <w:sz w:val="22"/>
                <w:lang w:eastAsia="nl-NL"/>
              </w:rPr>
              <w:t> </w:t>
            </w:r>
          </w:p>
        </w:tc>
        <w:tc>
          <w:tcPr>
            <w:tcW w:w="1880" w:type="dxa"/>
            <w:tcBorders>
              <w:top w:val="nil"/>
              <w:left w:val="nil"/>
              <w:bottom w:val="nil"/>
              <w:right w:val="single" w:color="auto" w:sz="8" w:space="0"/>
            </w:tcBorders>
            <w:shd w:val="clear" w:color="000000" w:fill="FFFFFF"/>
            <w:noWrap/>
            <w:vAlign w:val="bottom"/>
            <w:hideMark/>
          </w:tcPr>
          <w:p w:rsidRPr="00155C4B" w:rsidR="00155C4B" w:rsidP="00155C4B" w:rsidRDefault="00155C4B">
            <w:pPr>
              <w:spacing w:after="0" w:line="240" w:lineRule="auto"/>
              <w:jc w:val="right"/>
              <w:rPr>
                <w:rFonts w:ascii="Calibri" w:hAnsi="Calibri" w:eastAsia="Times New Roman" w:cs="Calibri"/>
                <w:i/>
                <w:iCs/>
                <w:color w:val="000000"/>
                <w:sz w:val="22"/>
                <w:lang w:eastAsia="nl-NL"/>
              </w:rPr>
            </w:pPr>
            <w:r w:rsidRPr="00155C4B">
              <w:rPr>
                <w:rFonts w:ascii="Calibri" w:hAnsi="Calibri" w:eastAsia="Times New Roman" w:cs="Calibri"/>
                <w:i/>
                <w:iCs/>
                <w:color w:val="000000"/>
                <w:sz w:val="22"/>
                <w:lang w:eastAsia="nl-NL"/>
              </w:rPr>
              <w:t>4</w:t>
            </w:r>
            <w:r>
              <w:rPr>
                <w:rFonts w:ascii="Calibri" w:hAnsi="Calibri" w:eastAsia="Times New Roman" w:cs="Calibri"/>
                <w:i/>
                <w:iCs/>
                <w:color w:val="000000"/>
                <w:sz w:val="22"/>
                <w:lang w:eastAsia="nl-NL"/>
              </w:rPr>
              <w:t>.</w:t>
            </w:r>
            <w:r w:rsidRPr="00155C4B">
              <w:rPr>
                <w:rFonts w:ascii="Calibri" w:hAnsi="Calibri" w:eastAsia="Times New Roman" w:cs="Calibri"/>
                <w:i/>
                <w:iCs/>
                <w:color w:val="000000"/>
                <w:sz w:val="22"/>
                <w:lang w:eastAsia="nl-NL"/>
              </w:rPr>
              <w:t>267</w:t>
            </w:r>
          </w:p>
        </w:tc>
      </w:tr>
      <w:tr w:rsidRPr="00155C4B" w:rsidR="00155C4B" w:rsidTr="00155C4B">
        <w:trPr>
          <w:trHeight w:val="225"/>
        </w:trPr>
        <w:tc>
          <w:tcPr>
            <w:tcW w:w="2740" w:type="dxa"/>
            <w:tcBorders>
              <w:top w:val="nil"/>
              <w:left w:val="single" w:color="auto" w:sz="8" w:space="0"/>
              <w:bottom w:val="nil"/>
              <w:right w:val="nil"/>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i/>
                <w:iCs/>
                <w:color w:val="000000"/>
                <w:sz w:val="22"/>
                <w:lang w:eastAsia="nl-NL"/>
              </w:rPr>
            </w:pPr>
            <w:r w:rsidRPr="00155C4B">
              <w:rPr>
                <w:rFonts w:ascii="Calibri" w:hAnsi="Calibri" w:eastAsia="Times New Roman" w:cs="Calibri"/>
                <w:i/>
                <w:iCs/>
                <w:color w:val="000000"/>
                <w:sz w:val="22"/>
                <w:lang w:eastAsia="nl-NL"/>
              </w:rPr>
              <w:t> </w:t>
            </w:r>
          </w:p>
        </w:tc>
        <w:tc>
          <w:tcPr>
            <w:tcW w:w="1400" w:type="dxa"/>
            <w:tcBorders>
              <w:top w:val="nil"/>
              <w:left w:val="nil"/>
              <w:bottom w:val="nil"/>
              <w:right w:val="nil"/>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i/>
                <w:iCs/>
                <w:color w:val="000000"/>
                <w:sz w:val="22"/>
                <w:lang w:eastAsia="nl-NL"/>
              </w:rPr>
            </w:pPr>
            <w:r w:rsidRPr="00155C4B">
              <w:rPr>
                <w:rFonts w:ascii="Calibri" w:hAnsi="Calibri" w:eastAsia="Times New Roman" w:cs="Calibri"/>
                <w:i/>
                <w:iCs/>
                <w:color w:val="000000"/>
                <w:sz w:val="22"/>
                <w:lang w:eastAsia="nl-NL"/>
              </w:rPr>
              <w:t> </w:t>
            </w:r>
          </w:p>
        </w:tc>
        <w:tc>
          <w:tcPr>
            <w:tcW w:w="460" w:type="dxa"/>
            <w:tcBorders>
              <w:top w:val="nil"/>
              <w:left w:val="nil"/>
              <w:bottom w:val="nil"/>
              <w:right w:val="nil"/>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i/>
                <w:iCs/>
                <w:color w:val="000000"/>
                <w:sz w:val="22"/>
                <w:lang w:eastAsia="nl-NL"/>
              </w:rPr>
            </w:pPr>
            <w:r w:rsidRPr="00155C4B">
              <w:rPr>
                <w:rFonts w:ascii="Calibri" w:hAnsi="Calibri" w:eastAsia="Times New Roman" w:cs="Calibri"/>
                <w:i/>
                <w:iCs/>
                <w:color w:val="000000"/>
                <w:sz w:val="22"/>
                <w:lang w:eastAsia="nl-NL"/>
              </w:rPr>
              <w:t> </w:t>
            </w:r>
          </w:p>
        </w:tc>
        <w:tc>
          <w:tcPr>
            <w:tcW w:w="1880" w:type="dxa"/>
            <w:tcBorders>
              <w:top w:val="nil"/>
              <w:left w:val="nil"/>
              <w:bottom w:val="nil"/>
              <w:right w:val="single" w:color="auto" w:sz="8" w:space="0"/>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i/>
                <w:iCs/>
                <w:color w:val="000000"/>
                <w:sz w:val="22"/>
                <w:lang w:eastAsia="nl-NL"/>
              </w:rPr>
            </w:pPr>
            <w:r w:rsidRPr="00155C4B">
              <w:rPr>
                <w:rFonts w:ascii="Calibri" w:hAnsi="Calibri" w:eastAsia="Times New Roman" w:cs="Calibri"/>
                <w:i/>
                <w:iCs/>
                <w:color w:val="000000"/>
                <w:sz w:val="22"/>
                <w:lang w:eastAsia="nl-NL"/>
              </w:rPr>
              <w:t> </w:t>
            </w:r>
          </w:p>
        </w:tc>
      </w:tr>
      <w:tr w:rsidRPr="00155C4B" w:rsidR="00155C4B" w:rsidTr="00155C4B">
        <w:trPr>
          <w:trHeight w:val="225"/>
        </w:trPr>
        <w:tc>
          <w:tcPr>
            <w:tcW w:w="2740" w:type="dxa"/>
            <w:tcBorders>
              <w:top w:val="nil"/>
              <w:left w:val="single" w:color="auto" w:sz="8" w:space="0"/>
              <w:bottom w:val="nil"/>
              <w:right w:val="nil"/>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i/>
                <w:iCs/>
                <w:color w:val="000000"/>
                <w:sz w:val="22"/>
                <w:lang w:eastAsia="nl-NL"/>
              </w:rPr>
            </w:pPr>
            <w:r w:rsidRPr="00155C4B">
              <w:rPr>
                <w:rFonts w:ascii="Calibri" w:hAnsi="Calibri" w:eastAsia="Times New Roman" w:cs="Calibri"/>
                <w:i/>
                <w:iCs/>
                <w:color w:val="000000"/>
                <w:sz w:val="22"/>
                <w:lang w:eastAsia="nl-NL"/>
              </w:rPr>
              <w:t>artikel 8 Centraal apparaat</w:t>
            </w:r>
          </w:p>
        </w:tc>
        <w:tc>
          <w:tcPr>
            <w:tcW w:w="1400" w:type="dxa"/>
            <w:tcBorders>
              <w:top w:val="nil"/>
              <w:left w:val="nil"/>
              <w:bottom w:val="nil"/>
              <w:right w:val="nil"/>
            </w:tcBorders>
            <w:shd w:val="clear" w:color="000000" w:fill="FFFFFF"/>
            <w:noWrap/>
            <w:vAlign w:val="bottom"/>
            <w:hideMark/>
          </w:tcPr>
          <w:p w:rsidRPr="00155C4B" w:rsidR="00155C4B" w:rsidP="00155C4B" w:rsidRDefault="00155C4B">
            <w:pPr>
              <w:spacing w:after="0" w:line="240" w:lineRule="auto"/>
              <w:jc w:val="right"/>
              <w:rPr>
                <w:rFonts w:ascii="Calibri" w:hAnsi="Calibri" w:eastAsia="Times New Roman" w:cs="Calibri"/>
                <w:i/>
                <w:iCs/>
                <w:color w:val="000000"/>
                <w:sz w:val="22"/>
                <w:lang w:eastAsia="nl-NL"/>
              </w:rPr>
            </w:pPr>
            <w:r w:rsidRPr="00155C4B">
              <w:rPr>
                <w:rFonts w:ascii="Calibri" w:hAnsi="Calibri" w:eastAsia="Times New Roman" w:cs="Calibri"/>
                <w:i/>
                <w:iCs/>
                <w:color w:val="000000"/>
                <w:sz w:val="22"/>
                <w:lang w:eastAsia="nl-NL"/>
              </w:rPr>
              <w:t>8</w:t>
            </w:r>
            <w:r>
              <w:rPr>
                <w:rFonts w:ascii="Calibri" w:hAnsi="Calibri" w:eastAsia="Times New Roman" w:cs="Calibri"/>
                <w:i/>
                <w:iCs/>
                <w:color w:val="000000"/>
                <w:sz w:val="22"/>
                <w:lang w:eastAsia="nl-NL"/>
              </w:rPr>
              <w:t>.</w:t>
            </w:r>
            <w:r w:rsidRPr="00155C4B">
              <w:rPr>
                <w:rFonts w:ascii="Calibri" w:hAnsi="Calibri" w:eastAsia="Times New Roman" w:cs="Calibri"/>
                <w:i/>
                <w:iCs/>
                <w:color w:val="000000"/>
                <w:sz w:val="22"/>
                <w:lang w:eastAsia="nl-NL"/>
              </w:rPr>
              <w:t>756</w:t>
            </w:r>
          </w:p>
        </w:tc>
        <w:tc>
          <w:tcPr>
            <w:tcW w:w="460" w:type="dxa"/>
            <w:tcBorders>
              <w:top w:val="nil"/>
              <w:left w:val="nil"/>
              <w:bottom w:val="nil"/>
              <w:right w:val="nil"/>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i/>
                <w:iCs/>
                <w:color w:val="000000"/>
                <w:sz w:val="22"/>
                <w:lang w:eastAsia="nl-NL"/>
              </w:rPr>
            </w:pPr>
            <w:r w:rsidRPr="00155C4B">
              <w:rPr>
                <w:rFonts w:ascii="Calibri" w:hAnsi="Calibri" w:eastAsia="Times New Roman" w:cs="Calibri"/>
                <w:i/>
                <w:iCs/>
                <w:color w:val="000000"/>
                <w:sz w:val="22"/>
                <w:lang w:eastAsia="nl-NL"/>
              </w:rPr>
              <w:t> </w:t>
            </w:r>
          </w:p>
        </w:tc>
        <w:tc>
          <w:tcPr>
            <w:tcW w:w="1880" w:type="dxa"/>
            <w:tcBorders>
              <w:top w:val="nil"/>
              <w:left w:val="nil"/>
              <w:bottom w:val="nil"/>
              <w:right w:val="single" w:color="auto" w:sz="8" w:space="0"/>
            </w:tcBorders>
            <w:shd w:val="clear" w:color="000000" w:fill="FFFFFF"/>
            <w:noWrap/>
            <w:vAlign w:val="bottom"/>
            <w:hideMark/>
          </w:tcPr>
          <w:p w:rsidRPr="00155C4B" w:rsidR="00155C4B" w:rsidP="00155C4B" w:rsidRDefault="00155C4B">
            <w:pPr>
              <w:spacing w:after="0" w:line="240" w:lineRule="auto"/>
              <w:jc w:val="right"/>
              <w:rPr>
                <w:rFonts w:ascii="Calibri" w:hAnsi="Calibri" w:eastAsia="Times New Roman" w:cs="Calibri"/>
                <w:i/>
                <w:iCs/>
                <w:color w:val="000000"/>
                <w:sz w:val="22"/>
                <w:lang w:eastAsia="nl-NL"/>
              </w:rPr>
            </w:pPr>
            <w:r w:rsidRPr="00155C4B">
              <w:rPr>
                <w:rFonts w:ascii="Calibri" w:hAnsi="Calibri" w:eastAsia="Times New Roman" w:cs="Calibri"/>
                <w:i/>
                <w:iCs/>
                <w:color w:val="000000"/>
                <w:sz w:val="22"/>
                <w:lang w:eastAsia="nl-NL"/>
              </w:rPr>
              <w:t>1</w:t>
            </w:r>
            <w:r>
              <w:rPr>
                <w:rFonts w:ascii="Calibri" w:hAnsi="Calibri" w:eastAsia="Times New Roman" w:cs="Calibri"/>
                <w:i/>
                <w:iCs/>
                <w:color w:val="000000"/>
                <w:sz w:val="22"/>
                <w:lang w:eastAsia="nl-NL"/>
              </w:rPr>
              <w:t>.</w:t>
            </w:r>
            <w:r w:rsidRPr="00155C4B">
              <w:rPr>
                <w:rFonts w:ascii="Calibri" w:hAnsi="Calibri" w:eastAsia="Times New Roman" w:cs="Calibri"/>
                <w:i/>
                <w:iCs/>
                <w:color w:val="000000"/>
                <w:sz w:val="22"/>
                <w:lang w:eastAsia="nl-NL"/>
              </w:rPr>
              <w:t>751</w:t>
            </w:r>
          </w:p>
        </w:tc>
      </w:tr>
      <w:tr w:rsidRPr="00155C4B" w:rsidR="00155C4B" w:rsidTr="00155C4B">
        <w:trPr>
          <w:trHeight w:val="225"/>
        </w:trPr>
        <w:tc>
          <w:tcPr>
            <w:tcW w:w="2740" w:type="dxa"/>
            <w:tcBorders>
              <w:top w:val="nil"/>
              <w:left w:val="single" w:color="auto" w:sz="8" w:space="0"/>
              <w:bottom w:val="nil"/>
              <w:right w:val="nil"/>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color w:val="000000"/>
                <w:sz w:val="22"/>
                <w:lang w:eastAsia="nl-NL"/>
              </w:rPr>
            </w:pPr>
            <w:r w:rsidRPr="00155C4B">
              <w:rPr>
                <w:rFonts w:ascii="Calibri" w:hAnsi="Calibri" w:eastAsia="Times New Roman" w:cs="Calibri"/>
                <w:color w:val="000000"/>
                <w:sz w:val="22"/>
                <w:lang w:eastAsia="nl-NL"/>
              </w:rPr>
              <w:t> </w:t>
            </w:r>
          </w:p>
        </w:tc>
        <w:tc>
          <w:tcPr>
            <w:tcW w:w="1400" w:type="dxa"/>
            <w:tcBorders>
              <w:top w:val="nil"/>
              <w:left w:val="nil"/>
              <w:bottom w:val="nil"/>
              <w:right w:val="nil"/>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color w:val="000000"/>
                <w:sz w:val="22"/>
                <w:lang w:eastAsia="nl-NL"/>
              </w:rPr>
            </w:pPr>
            <w:r w:rsidRPr="00155C4B">
              <w:rPr>
                <w:rFonts w:ascii="Calibri" w:hAnsi="Calibri" w:eastAsia="Times New Roman" w:cs="Calibri"/>
                <w:color w:val="000000"/>
                <w:sz w:val="22"/>
                <w:lang w:eastAsia="nl-NL"/>
              </w:rPr>
              <w:t> </w:t>
            </w:r>
          </w:p>
        </w:tc>
        <w:tc>
          <w:tcPr>
            <w:tcW w:w="460" w:type="dxa"/>
            <w:tcBorders>
              <w:top w:val="nil"/>
              <w:left w:val="nil"/>
              <w:bottom w:val="nil"/>
              <w:right w:val="nil"/>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color w:val="000000"/>
                <w:sz w:val="22"/>
                <w:lang w:eastAsia="nl-NL"/>
              </w:rPr>
            </w:pPr>
            <w:r w:rsidRPr="00155C4B">
              <w:rPr>
                <w:rFonts w:ascii="Calibri" w:hAnsi="Calibri" w:eastAsia="Times New Roman" w:cs="Calibri"/>
                <w:color w:val="000000"/>
                <w:sz w:val="22"/>
                <w:lang w:eastAsia="nl-NL"/>
              </w:rPr>
              <w:t> </w:t>
            </w:r>
          </w:p>
        </w:tc>
        <w:tc>
          <w:tcPr>
            <w:tcW w:w="1880" w:type="dxa"/>
            <w:tcBorders>
              <w:top w:val="nil"/>
              <w:left w:val="nil"/>
              <w:bottom w:val="nil"/>
              <w:right w:val="single" w:color="auto" w:sz="8" w:space="0"/>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color w:val="000000"/>
                <w:sz w:val="22"/>
                <w:lang w:eastAsia="nl-NL"/>
              </w:rPr>
            </w:pPr>
            <w:r w:rsidRPr="00155C4B">
              <w:rPr>
                <w:rFonts w:ascii="Calibri" w:hAnsi="Calibri" w:eastAsia="Times New Roman" w:cs="Calibri"/>
                <w:color w:val="000000"/>
                <w:sz w:val="22"/>
                <w:lang w:eastAsia="nl-NL"/>
              </w:rPr>
              <w:t> </w:t>
            </w:r>
          </w:p>
        </w:tc>
      </w:tr>
      <w:tr w:rsidRPr="00155C4B" w:rsidR="00155C4B" w:rsidTr="00155C4B">
        <w:trPr>
          <w:trHeight w:val="240"/>
        </w:trPr>
        <w:tc>
          <w:tcPr>
            <w:tcW w:w="2740" w:type="dxa"/>
            <w:tcBorders>
              <w:top w:val="single" w:color="auto" w:sz="4" w:space="0"/>
              <w:left w:val="single" w:color="auto" w:sz="8" w:space="0"/>
              <w:bottom w:val="single" w:color="auto" w:sz="8" w:space="0"/>
              <w:right w:val="nil"/>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b/>
                <w:bCs/>
                <w:color w:val="000000"/>
                <w:sz w:val="22"/>
                <w:lang w:eastAsia="nl-NL"/>
              </w:rPr>
            </w:pPr>
            <w:r w:rsidRPr="00155C4B">
              <w:rPr>
                <w:rFonts w:ascii="Calibri" w:hAnsi="Calibri" w:eastAsia="Times New Roman" w:cs="Calibri"/>
                <w:b/>
                <w:bCs/>
                <w:color w:val="000000"/>
                <w:sz w:val="22"/>
                <w:lang w:eastAsia="nl-NL"/>
              </w:rPr>
              <w:t>Totaal</w:t>
            </w:r>
          </w:p>
        </w:tc>
        <w:tc>
          <w:tcPr>
            <w:tcW w:w="1400" w:type="dxa"/>
            <w:tcBorders>
              <w:top w:val="single" w:color="auto" w:sz="4" w:space="0"/>
              <w:left w:val="nil"/>
              <w:bottom w:val="single" w:color="auto" w:sz="8" w:space="0"/>
              <w:right w:val="nil"/>
            </w:tcBorders>
            <w:shd w:val="clear" w:color="000000" w:fill="FFFFFF"/>
            <w:noWrap/>
            <w:vAlign w:val="bottom"/>
            <w:hideMark/>
          </w:tcPr>
          <w:p w:rsidRPr="00155C4B" w:rsidR="00155C4B" w:rsidP="00155C4B" w:rsidRDefault="00155C4B">
            <w:pPr>
              <w:spacing w:after="0" w:line="240" w:lineRule="auto"/>
              <w:jc w:val="right"/>
              <w:rPr>
                <w:rFonts w:ascii="Calibri" w:hAnsi="Calibri" w:eastAsia="Times New Roman" w:cs="Calibri"/>
                <w:b/>
                <w:bCs/>
                <w:color w:val="000000"/>
                <w:sz w:val="22"/>
                <w:lang w:eastAsia="nl-NL"/>
              </w:rPr>
            </w:pPr>
            <w:r w:rsidRPr="00155C4B">
              <w:rPr>
                <w:rFonts w:ascii="Calibri" w:hAnsi="Calibri" w:eastAsia="Times New Roman" w:cs="Calibri"/>
                <w:b/>
                <w:bCs/>
                <w:color w:val="000000"/>
                <w:sz w:val="22"/>
                <w:lang w:eastAsia="nl-NL"/>
              </w:rPr>
              <w:t>30.090</w:t>
            </w:r>
          </w:p>
        </w:tc>
        <w:tc>
          <w:tcPr>
            <w:tcW w:w="460" w:type="dxa"/>
            <w:tcBorders>
              <w:top w:val="single" w:color="auto" w:sz="4" w:space="0"/>
              <w:left w:val="nil"/>
              <w:bottom w:val="single" w:color="auto" w:sz="8" w:space="0"/>
              <w:right w:val="nil"/>
            </w:tcBorders>
            <w:shd w:val="clear" w:color="000000" w:fill="FFFFFF"/>
            <w:noWrap/>
            <w:vAlign w:val="bottom"/>
            <w:hideMark/>
          </w:tcPr>
          <w:p w:rsidRPr="00155C4B" w:rsidR="00155C4B" w:rsidP="00155C4B" w:rsidRDefault="00155C4B">
            <w:pPr>
              <w:spacing w:after="0" w:line="240" w:lineRule="auto"/>
              <w:rPr>
                <w:rFonts w:ascii="Calibri" w:hAnsi="Calibri" w:eastAsia="Times New Roman" w:cs="Calibri"/>
                <w:b/>
                <w:bCs/>
                <w:color w:val="000000"/>
                <w:sz w:val="22"/>
                <w:lang w:eastAsia="nl-NL"/>
              </w:rPr>
            </w:pPr>
            <w:r w:rsidRPr="00155C4B">
              <w:rPr>
                <w:rFonts w:ascii="Calibri" w:hAnsi="Calibri" w:eastAsia="Times New Roman" w:cs="Calibri"/>
                <w:b/>
                <w:bCs/>
                <w:color w:val="000000"/>
                <w:sz w:val="22"/>
                <w:lang w:eastAsia="nl-NL"/>
              </w:rPr>
              <w:t> </w:t>
            </w:r>
          </w:p>
        </w:tc>
        <w:tc>
          <w:tcPr>
            <w:tcW w:w="1880" w:type="dxa"/>
            <w:tcBorders>
              <w:top w:val="single" w:color="auto" w:sz="4" w:space="0"/>
              <w:left w:val="nil"/>
              <w:bottom w:val="single" w:color="auto" w:sz="8" w:space="0"/>
              <w:right w:val="single" w:color="auto" w:sz="8" w:space="0"/>
            </w:tcBorders>
            <w:shd w:val="clear" w:color="000000" w:fill="FFFFFF"/>
            <w:noWrap/>
            <w:vAlign w:val="bottom"/>
            <w:hideMark/>
          </w:tcPr>
          <w:p w:rsidRPr="00155C4B" w:rsidR="00155C4B" w:rsidP="00155C4B" w:rsidRDefault="00155C4B">
            <w:pPr>
              <w:spacing w:after="0" w:line="240" w:lineRule="auto"/>
              <w:jc w:val="right"/>
              <w:rPr>
                <w:rFonts w:ascii="Calibri" w:hAnsi="Calibri" w:eastAsia="Times New Roman" w:cs="Calibri"/>
                <w:b/>
                <w:bCs/>
                <w:color w:val="000000"/>
                <w:sz w:val="22"/>
                <w:lang w:eastAsia="nl-NL"/>
              </w:rPr>
            </w:pPr>
            <w:r w:rsidRPr="00155C4B">
              <w:rPr>
                <w:rFonts w:ascii="Calibri" w:hAnsi="Calibri" w:eastAsia="Times New Roman" w:cs="Calibri"/>
                <w:b/>
                <w:bCs/>
                <w:color w:val="000000"/>
                <w:sz w:val="22"/>
                <w:lang w:eastAsia="nl-NL"/>
              </w:rPr>
              <w:t>6.018</w:t>
            </w:r>
          </w:p>
        </w:tc>
      </w:tr>
    </w:tbl>
    <w:p w:rsidR="00577BE4" w:rsidP="00D427EA" w:rsidRDefault="00577BE4">
      <w:pPr>
        <w:spacing w:after="0"/>
        <w:contextualSpacing/>
        <w:rPr>
          <w:szCs w:val="18"/>
        </w:rPr>
      </w:pPr>
    </w:p>
    <w:p w:rsidR="00155C4B" w:rsidP="00D427EA" w:rsidRDefault="00155C4B">
      <w:pPr>
        <w:spacing w:after="0"/>
        <w:contextualSpacing/>
        <w:rPr>
          <w:szCs w:val="18"/>
        </w:rPr>
      </w:pPr>
      <w:r>
        <w:rPr>
          <w:szCs w:val="18"/>
        </w:rPr>
        <w:t>De budgetflexibiliteit van de uitgaven van artikel 2 is overigens maar beperkt (63% in de begroting 2016); een groot deel van de uitgaven voor muntcirculatie is juridisch verplicht. Dat geldt ook voor de uitgaven op de vakbekwaamheid. De besparingsvariant zal in het resterende deel gezocht moeten worden</w:t>
      </w:r>
    </w:p>
    <w:p w:rsidR="00155C4B" w:rsidP="00D427EA" w:rsidRDefault="00155C4B">
      <w:pPr>
        <w:spacing w:after="0"/>
        <w:contextualSpacing/>
        <w:rPr>
          <w:szCs w:val="18"/>
        </w:rPr>
      </w:pPr>
    </w:p>
    <w:p w:rsidR="00155C4B" w:rsidP="00D427EA" w:rsidRDefault="00155C4B">
      <w:pPr>
        <w:spacing w:after="0"/>
        <w:contextualSpacing/>
        <w:rPr>
          <w:szCs w:val="18"/>
        </w:rPr>
      </w:pPr>
    </w:p>
    <w:p w:rsidR="00D427EA" w:rsidP="00352AA6" w:rsidRDefault="00CA2DBF">
      <w:pPr>
        <w:spacing w:after="0"/>
        <w:contextualSpacing/>
        <w:rPr>
          <w:b/>
          <w:szCs w:val="18"/>
        </w:rPr>
      </w:pPr>
      <w:r>
        <w:rPr>
          <w:b/>
          <w:szCs w:val="18"/>
        </w:rPr>
        <w:t>4.</w:t>
      </w:r>
      <w:r w:rsidR="00352AA6">
        <w:rPr>
          <w:b/>
          <w:szCs w:val="18"/>
        </w:rPr>
        <w:tab/>
      </w:r>
      <w:r w:rsidR="00F12498">
        <w:rPr>
          <w:b/>
          <w:szCs w:val="18"/>
        </w:rPr>
        <w:t>M</w:t>
      </w:r>
      <w:r w:rsidR="00B9156F">
        <w:rPr>
          <w:b/>
          <w:szCs w:val="18"/>
        </w:rPr>
        <w:t>ethode</w:t>
      </w:r>
    </w:p>
    <w:p w:rsidR="00352AA6" w:rsidP="00D427EA" w:rsidRDefault="00352AA6">
      <w:pPr>
        <w:spacing w:after="0"/>
        <w:contextualSpacing/>
        <w:rPr>
          <w:szCs w:val="18"/>
        </w:rPr>
      </w:pPr>
    </w:p>
    <w:p w:rsidR="00783C55" w:rsidP="00D427EA" w:rsidRDefault="005215D3">
      <w:pPr>
        <w:spacing w:after="0"/>
        <w:contextualSpacing/>
        <w:rPr>
          <w:szCs w:val="18"/>
        </w:rPr>
      </w:pPr>
      <w:r>
        <w:rPr>
          <w:szCs w:val="18"/>
        </w:rPr>
        <w:t xml:space="preserve">Een beleidsdoorlichting heeft het karakter van een </w:t>
      </w:r>
      <w:proofErr w:type="spellStart"/>
      <w:r>
        <w:rPr>
          <w:szCs w:val="18"/>
        </w:rPr>
        <w:t>synthese-onderzoek</w:t>
      </w:r>
      <w:proofErr w:type="spellEnd"/>
      <w:r>
        <w:rPr>
          <w:szCs w:val="18"/>
        </w:rPr>
        <w:t xml:space="preserve">: de doorlichting vat samen wat bekend is over de doeltreffendheid en doelmatigheid van </w:t>
      </w:r>
      <w:r w:rsidR="00F12498">
        <w:rPr>
          <w:szCs w:val="18"/>
        </w:rPr>
        <w:t xml:space="preserve">het beleid. </w:t>
      </w:r>
      <w:r w:rsidR="008A3AD9">
        <w:rPr>
          <w:szCs w:val="18"/>
        </w:rPr>
        <w:t>Dat</w:t>
      </w:r>
      <w:r w:rsidR="00F12498">
        <w:rPr>
          <w:szCs w:val="18"/>
        </w:rPr>
        <w:t xml:space="preserve"> betekent dat de onderzoeksvragen die de </w:t>
      </w:r>
      <w:proofErr w:type="spellStart"/>
      <w:r w:rsidR="00F12498">
        <w:rPr>
          <w:szCs w:val="18"/>
        </w:rPr>
        <w:t>Rpe</w:t>
      </w:r>
      <w:proofErr w:type="spellEnd"/>
      <w:r w:rsidR="00F12498">
        <w:rPr>
          <w:szCs w:val="18"/>
        </w:rPr>
        <w:t xml:space="preserve"> formuleert, </w:t>
      </w:r>
      <w:r w:rsidR="00703A21">
        <w:rPr>
          <w:szCs w:val="18"/>
        </w:rPr>
        <w:t xml:space="preserve">op basis van </w:t>
      </w:r>
      <w:r w:rsidR="00F12498">
        <w:rPr>
          <w:szCs w:val="18"/>
        </w:rPr>
        <w:t xml:space="preserve">onderzoek naar </w:t>
      </w:r>
      <w:r>
        <w:rPr>
          <w:szCs w:val="18"/>
        </w:rPr>
        <w:t xml:space="preserve">beschikbare </w:t>
      </w:r>
      <w:r w:rsidR="00F12498">
        <w:rPr>
          <w:szCs w:val="18"/>
        </w:rPr>
        <w:t>relevante beleidsdocumenten, beleids</w:t>
      </w:r>
      <w:r w:rsidR="007C0783">
        <w:rPr>
          <w:szCs w:val="18"/>
        </w:rPr>
        <w:t xml:space="preserve">evaluaties, </w:t>
      </w:r>
      <w:r w:rsidR="00252660">
        <w:rPr>
          <w:szCs w:val="18"/>
        </w:rPr>
        <w:t>onderzoeksrapporten en voortgangsrapportages</w:t>
      </w:r>
      <w:r w:rsidR="00FA2386">
        <w:rPr>
          <w:szCs w:val="18"/>
        </w:rPr>
        <w:t xml:space="preserve"> beantwoord worden</w:t>
      </w:r>
      <w:r w:rsidR="00252660">
        <w:rPr>
          <w:szCs w:val="18"/>
        </w:rPr>
        <w:t xml:space="preserve">. Hierbij </w:t>
      </w:r>
      <w:r w:rsidR="00F12498">
        <w:rPr>
          <w:szCs w:val="18"/>
        </w:rPr>
        <w:t>kan</w:t>
      </w:r>
      <w:r w:rsidR="00252660">
        <w:rPr>
          <w:szCs w:val="18"/>
        </w:rPr>
        <w:t xml:space="preserve"> worden gedacht aan </w:t>
      </w:r>
      <w:r w:rsidR="00D60EA6">
        <w:rPr>
          <w:szCs w:val="18"/>
        </w:rPr>
        <w:t xml:space="preserve">departementale jaarverslagen, </w:t>
      </w:r>
      <w:r w:rsidR="00DF5CED">
        <w:rPr>
          <w:szCs w:val="18"/>
        </w:rPr>
        <w:t xml:space="preserve">jaarlijkse brieven aan de Tweede Kamer waarin de minister informeert over het verloop van de hervormingen en </w:t>
      </w:r>
      <w:r w:rsidR="00377F3E">
        <w:rPr>
          <w:szCs w:val="18"/>
        </w:rPr>
        <w:t xml:space="preserve">de financiële gevolgen van getroffen maatregelen, </w:t>
      </w:r>
      <w:r w:rsidR="00F70D89">
        <w:rPr>
          <w:szCs w:val="18"/>
        </w:rPr>
        <w:t>verslagen inzake doelmatigheid en doeltreffendheid van DNB en de AFM op grond van de Kaderwet ZBO,</w:t>
      </w:r>
      <w:r>
        <w:rPr>
          <w:szCs w:val="18"/>
        </w:rPr>
        <w:t xml:space="preserve"> (</w:t>
      </w:r>
      <w:proofErr w:type="spellStart"/>
      <w:r>
        <w:rPr>
          <w:szCs w:val="18"/>
        </w:rPr>
        <w:t>verantwoordings</w:t>
      </w:r>
      <w:proofErr w:type="spellEnd"/>
      <w:r>
        <w:rPr>
          <w:szCs w:val="18"/>
        </w:rPr>
        <w:t>)</w:t>
      </w:r>
      <w:r w:rsidR="00F70D89">
        <w:rPr>
          <w:szCs w:val="18"/>
        </w:rPr>
        <w:t xml:space="preserve">onderzoeken van de Algemene Rekenkamer, de </w:t>
      </w:r>
      <w:r w:rsidR="00F12498">
        <w:rPr>
          <w:szCs w:val="18"/>
        </w:rPr>
        <w:t xml:space="preserve">voor 2016 geplande </w:t>
      </w:r>
      <w:r w:rsidR="00F70D89">
        <w:rPr>
          <w:szCs w:val="18"/>
        </w:rPr>
        <w:t>evaluatie va</w:t>
      </w:r>
      <w:r w:rsidR="00B174BA">
        <w:rPr>
          <w:szCs w:val="18"/>
        </w:rPr>
        <w:t>n de visie</w:t>
      </w:r>
      <w:r>
        <w:rPr>
          <w:szCs w:val="18"/>
        </w:rPr>
        <w:t>s</w:t>
      </w:r>
      <w:r w:rsidR="00B174BA">
        <w:rPr>
          <w:szCs w:val="18"/>
        </w:rPr>
        <w:t xml:space="preserve"> </w:t>
      </w:r>
      <w:r>
        <w:rPr>
          <w:szCs w:val="18"/>
        </w:rPr>
        <w:t>‘</w:t>
      </w:r>
      <w:r w:rsidR="00B174BA">
        <w:rPr>
          <w:szCs w:val="18"/>
        </w:rPr>
        <w:t>Toezicht op Afstand</w:t>
      </w:r>
      <w:r>
        <w:rPr>
          <w:szCs w:val="18"/>
        </w:rPr>
        <w:t>’ en ‘</w:t>
      </w:r>
      <w:r w:rsidR="00377F3E">
        <w:rPr>
          <w:szCs w:val="18"/>
        </w:rPr>
        <w:t>Naar een dienstbaar en stabiel bankwezen</w:t>
      </w:r>
      <w:r w:rsidR="00F12498">
        <w:rPr>
          <w:szCs w:val="18"/>
        </w:rPr>
        <w:t xml:space="preserve">’ </w:t>
      </w:r>
      <w:r>
        <w:rPr>
          <w:szCs w:val="18"/>
        </w:rPr>
        <w:t xml:space="preserve">etc. </w:t>
      </w:r>
      <w:r w:rsidR="00F12498">
        <w:rPr>
          <w:szCs w:val="18"/>
        </w:rPr>
        <w:t>Ook</w:t>
      </w:r>
      <w:r>
        <w:rPr>
          <w:szCs w:val="18"/>
        </w:rPr>
        <w:t xml:space="preserve"> voert het IMF dit jaar opnieuw het FSAP </w:t>
      </w:r>
      <w:r w:rsidR="00F12498">
        <w:rPr>
          <w:szCs w:val="18"/>
        </w:rPr>
        <w:t xml:space="preserve">in Nederland </w:t>
      </w:r>
      <w:r>
        <w:rPr>
          <w:szCs w:val="18"/>
        </w:rPr>
        <w:t xml:space="preserve">uit. </w:t>
      </w:r>
      <w:r w:rsidR="00783C55">
        <w:rPr>
          <w:szCs w:val="18"/>
        </w:rPr>
        <w:t xml:space="preserve">De genoemde documenten en onderzoeken zijn ontworpen om de stabiliteit van het financieel systeem in Nederland (in zijn geheel, niet op het niveau van individuele instellingen) te beoordelen en op punten in verband te brengen met het gevoerde overheidsbeleid. </w:t>
      </w:r>
      <w:r>
        <w:rPr>
          <w:szCs w:val="18"/>
        </w:rPr>
        <w:t xml:space="preserve">De resultaten daarvan </w:t>
      </w:r>
      <w:r w:rsidR="00783C55">
        <w:rPr>
          <w:szCs w:val="18"/>
        </w:rPr>
        <w:t xml:space="preserve">worden </w:t>
      </w:r>
      <w:r w:rsidR="00F12498">
        <w:rPr>
          <w:szCs w:val="18"/>
        </w:rPr>
        <w:t xml:space="preserve">eveneens </w:t>
      </w:r>
      <w:r w:rsidR="00783C55">
        <w:rPr>
          <w:szCs w:val="18"/>
        </w:rPr>
        <w:t xml:space="preserve">in </w:t>
      </w:r>
      <w:r>
        <w:rPr>
          <w:szCs w:val="18"/>
        </w:rPr>
        <w:t xml:space="preserve">de beleidsdoorlichting meegenomen. </w:t>
      </w:r>
      <w:r w:rsidR="00783C55">
        <w:rPr>
          <w:szCs w:val="18"/>
        </w:rPr>
        <w:t xml:space="preserve">De meting van en het oordeel over de doelmatig- en doeltreffendheid gebeurt daarom op basis van hetgeen bekend is op basis van ander onderzoek, zoals gebruikelijk is bij </w:t>
      </w:r>
      <w:proofErr w:type="spellStart"/>
      <w:r w:rsidR="00783C55">
        <w:rPr>
          <w:szCs w:val="18"/>
        </w:rPr>
        <w:t>synthese-onderzoek</w:t>
      </w:r>
      <w:proofErr w:type="spellEnd"/>
      <w:r w:rsidR="00783C55">
        <w:rPr>
          <w:szCs w:val="18"/>
        </w:rPr>
        <w:t>.</w:t>
      </w:r>
      <w:r w:rsidR="0018751B">
        <w:rPr>
          <w:szCs w:val="18"/>
        </w:rPr>
        <w:t xml:space="preserve"> Voor de doeltreffendheid worden uitspraken gedaan over </w:t>
      </w:r>
      <w:r w:rsidRPr="00CF6158" w:rsidR="0018751B">
        <w:rPr>
          <w:i/>
          <w:szCs w:val="18"/>
        </w:rPr>
        <w:t>prestaties</w:t>
      </w:r>
      <w:r w:rsidR="0018751B">
        <w:rPr>
          <w:szCs w:val="18"/>
        </w:rPr>
        <w:t xml:space="preserve">, en waar mogelijk over </w:t>
      </w:r>
      <w:r w:rsidRPr="00CF6158" w:rsidR="0018751B">
        <w:rPr>
          <w:i/>
          <w:szCs w:val="18"/>
        </w:rPr>
        <w:t>effecten</w:t>
      </w:r>
      <w:r w:rsidR="00CF6158">
        <w:rPr>
          <w:szCs w:val="18"/>
        </w:rPr>
        <w:t xml:space="preserve">. </w:t>
      </w:r>
      <w:r w:rsidR="0018751B">
        <w:rPr>
          <w:szCs w:val="18"/>
        </w:rPr>
        <w:t xml:space="preserve">Voor </w:t>
      </w:r>
      <w:r w:rsidR="00CF6158">
        <w:rPr>
          <w:szCs w:val="18"/>
        </w:rPr>
        <w:t>uitspraken over de</w:t>
      </w:r>
      <w:r w:rsidR="0018751B">
        <w:rPr>
          <w:szCs w:val="18"/>
        </w:rPr>
        <w:t xml:space="preserve"> doelmatigheid worden de maatregelen die zijn genomen in de onderzoeksperiode (2013-2016) afgezet </w:t>
      </w:r>
      <w:r w:rsidR="00CF6158">
        <w:rPr>
          <w:szCs w:val="18"/>
        </w:rPr>
        <w:t>tegen de crisismaatregelen in de periode daarvoor (2009-2012)</w:t>
      </w:r>
      <w:r w:rsidR="0018751B">
        <w:rPr>
          <w:szCs w:val="18"/>
        </w:rPr>
        <w:t>.</w:t>
      </w:r>
    </w:p>
    <w:p w:rsidR="00783C55" w:rsidP="00D427EA" w:rsidRDefault="00783C55">
      <w:pPr>
        <w:spacing w:after="0"/>
        <w:contextualSpacing/>
        <w:rPr>
          <w:szCs w:val="18"/>
        </w:rPr>
      </w:pPr>
    </w:p>
    <w:p w:rsidRPr="00D427EA" w:rsidR="00D427EA" w:rsidP="00D427EA" w:rsidRDefault="00CA2DBF">
      <w:pPr>
        <w:spacing w:after="0"/>
        <w:contextualSpacing/>
        <w:rPr>
          <w:b/>
          <w:szCs w:val="18"/>
        </w:rPr>
      </w:pPr>
      <w:r>
        <w:rPr>
          <w:b/>
          <w:szCs w:val="18"/>
        </w:rPr>
        <w:t>5.</w:t>
      </w:r>
      <w:r w:rsidR="00783C55">
        <w:rPr>
          <w:b/>
          <w:szCs w:val="18"/>
        </w:rPr>
        <w:tab/>
        <w:t>Onderzoeksorganisatie</w:t>
      </w:r>
    </w:p>
    <w:p w:rsidR="00D427EA" w:rsidP="00D427EA" w:rsidRDefault="00D427EA">
      <w:pPr>
        <w:spacing w:after="0"/>
        <w:contextualSpacing/>
        <w:rPr>
          <w:szCs w:val="18"/>
        </w:rPr>
      </w:pPr>
    </w:p>
    <w:p w:rsidR="007C0783" w:rsidP="00D427EA" w:rsidRDefault="00B9156F">
      <w:pPr>
        <w:spacing w:after="0"/>
        <w:contextualSpacing/>
        <w:rPr>
          <w:szCs w:val="18"/>
        </w:rPr>
      </w:pPr>
      <w:r>
        <w:rPr>
          <w:szCs w:val="18"/>
        </w:rPr>
        <w:t>Een</w:t>
      </w:r>
      <w:r w:rsidR="00565D13">
        <w:rPr>
          <w:szCs w:val="18"/>
        </w:rPr>
        <w:t xml:space="preserve"> werkgroep binnen de d</w:t>
      </w:r>
      <w:r>
        <w:rPr>
          <w:szCs w:val="18"/>
        </w:rPr>
        <w:t>irectie Financiële Markten</w:t>
      </w:r>
      <w:r w:rsidR="009E152C">
        <w:rPr>
          <w:szCs w:val="18"/>
        </w:rPr>
        <w:t xml:space="preserve"> (FM) </w:t>
      </w:r>
      <w:r w:rsidR="00C816C2">
        <w:rPr>
          <w:szCs w:val="18"/>
        </w:rPr>
        <w:t>van het ministerie van Financiën</w:t>
      </w:r>
      <w:r>
        <w:rPr>
          <w:szCs w:val="18"/>
        </w:rPr>
        <w:t xml:space="preserve"> </w:t>
      </w:r>
      <w:r w:rsidR="00775151">
        <w:rPr>
          <w:szCs w:val="18"/>
        </w:rPr>
        <w:t>voert</w:t>
      </w:r>
      <w:r w:rsidR="00B04C13">
        <w:rPr>
          <w:szCs w:val="18"/>
        </w:rPr>
        <w:t xml:space="preserve"> de beleidsdoorlichting </w:t>
      </w:r>
      <w:r w:rsidR="00775151">
        <w:rPr>
          <w:szCs w:val="18"/>
        </w:rPr>
        <w:t>uit</w:t>
      </w:r>
      <w:r>
        <w:rPr>
          <w:szCs w:val="18"/>
        </w:rPr>
        <w:t xml:space="preserve">. </w:t>
      </w:r>
      <w:r w:rsidR="004142A1">
        <w:rPr>
          <w:szCs w:val="18"/>
        </w:rPr>
        <w:t>Verder</w:t>
      </w:r>
      <w:r w:rsidR="00775151">
        <w:rPr>
          <w:szCs w:val="18"/>
        </w:rPr>
        <w:t xml:space="preserve"> is er een </w:t>
      </w:r>
      <w:r w:rsidR="00B04C13">
        <w:rPr>
          <w:szCs w:val="18"/>
        </w:rPr>
        <w:t>klankbordgroep</w:t>
      </w:r>
      <w:r w:rsidR="00C816C2">
        <w:rPr>
          <w:szCs w:val="18"/>
        </w:rPr>
        <w:t xml:space="preserve"> </w:t>
      </w:r>
      <w:r w:rsidR="00775151">
        <w:rPr>
          <w:szCs w:val="18"/>
        </w:rPr>
        <w:t xml:space="preserve">die </w:t>
      </w:r>
      <w:r w:rsidR="00C816C2">
        <w:rPr>
          <w:szCs w:val="18"/>
        </w:rPr>
        <w:t>toeziet</w:t>
      </w:r>
      <w:r w:rsidR="00775151">
        <w:rPr>
          <w:szCs w:val="18"/>
        </w:rPr>
        <w:t xml:space="preserve"> op h</w:t>
      </w:r>
      <w:r w:rsidR="00B04C13">
        <w:rPr>
          <w:szCs w:val="18"/>
        </w:rPr>
        <w:t>et proces en de kwaliteit van het onderzoek</w:t>
      </w:r>
      <w:r w:rsidR="00775151">
        <w:rPr>
          <w:szCs w:val="18"/>
        </w:rPr>
        <w:t>. De</w:t>
      </w:r>
      <w:r w:rsidR="00C816C2">
        <w:rPr>
          <w:szCs w:val="18"/>
        </w:rPr>
        <w:t>ze</w:t>
      </w:r>
      <w:r w:rsidR="00775151">
        <w:rPr>
          <w:szCs w:val="18"/>
        </w:rPr>
        <w:t xml:space="preserve"> </w:t>
      </w:r>
      <w:r w:rsidR="00B04C13">
        <w:rPr>
          <w:szCs w:val="18"/>
        </w:rPr>
        <w:t>klankbordgroep</w:t>
      </w:r>
      <w:r w:rsidR="00775151">
        <w:rPr>
          <w:szCs w:val="18"/>
        </w:rPr>
        <w:t xml:space="preserve"> bestaat uit vertegenwoordigers van de relevante onderdelen van het ministerie </w:t>
      </w:r>
      <w:r w:rsidR="009E152C">
        <w:rPr>
          <w:szCs w:val="18"/>
        </w:rPr>
        <w:t xml:space="preserve">(directies FM en FEZ alsmede het IRF) en </w:t>
      </w:r>
      <w:r w:rsidR="00775151">
        <w:rPr>
          <w:szCs w:val="18"/>
        </w:rPr>
        <w:t>twee onafhankelijke deskundigen. Op dit moment wordt gedacht aan het betrekken van een partij binnen het Rijk met bekendheid met de beleidspraktijk, zoals een van de toezichthouders, aangevuld door een partij van buiten het Rijk, zoals een wetenschapper</w:t>
      </w:r>
      <w:r w:rsidR="0003289E">
        <w:rPr>
          <w:szCs w:val="18"/>
        </w:rPr>
        <w:t xml:space="preserve"> die geldt als autoriteit op het gebied van financieel toezicht</w:t>
      </w:r>
      <w:r w:rsidR="00775151">
        <w:rPr>
          <w:szCs w:val="18"/>
        </w:rPr>
        <w:t xml:space="preserve">. </w:t>
      </w:r>
      <w:r w:rsidR="0035104C">
        <w:rPr>
          <w:szCs w:val="18"/>
        </w:rPr>
        <w:t xml:space="preserve">Zoals de </w:t>
      </w:r>
      <w:proofErr w:type="spellStart"/>
      <w:r w:rsidR="0035104C">
        <w:rPr>
          <w:szCs w:val="18"/>
        </w:rPr>
        <w:t>Rpe</w:t>
      </w:r>
      <w:proofErr w:type="spellEnd"/>
      <w:r w:rsidR="009E152C">
        <w:rPr>
          <w:szCs w:val="18"/>
        </w:rPr>
        <w:t xml:space="preserve"> voorschrijft, zullen</w:t>
      </w:r>
      <w:r w:rsidR="00B04C13">
        <w:rPr>
          <w:szCs w:val="18"/>
        </w:rPr>
        <w:t xml:space="preserve"> </w:t>
      </w:r>
      <w:r w:rsidR="009E152C">
        <w:rPr>
          <w:szCs w:val="18"/>
        </w:rPr>
        <w:t xml:space="preserve">beide </w:t>
      </w:r>
      <w:r w:rsidR="00775151">
        <w:rPr>
          <w:szCs w:val="18"/>
        </w:rPr>
        <w:t xml:space="preserve">onafhankelijke deskundigen hun oordeel over de </w:t>
      </w:r>
      <w:r w:rsidR="00B04C13">
        <w:rPr>
          <w:szCs w:val="18"/>
        </w:rPr>
        <w:t>doorlichting</w:t>
      </w:r>
      <w:r w:rsidR="00775151">
        <w:rPr>
          <w:szCs w:val="18"/>
        </w:rPr>
        <w:t xml:space="preserve"> hieraan toevoegen. </w:t>
      </w:r>
    </w:p>
    <w:p w:rsidR="00F36569" w:rsidP="00D427EA" w:rsidRDefault="00F36569">
      <w:pPr>
        <w:spacing w:after="0"/>
        <w:contextualSpacing/>
        <w:rPr>
          <w:szCs w:val="18"/>
        </w:rPr>
      </w:pPr>
    </w:p>
    <w:p w:rsidR="00F36569" w:rsidP="00D427EA" w:rsidRDefault="00F36569">
      <w:pPr>
        <w:spacing w:after="0"/>
        <w:contextualSpacing/>
        <w:rPr>
          <w:b/>
          <w:szCs w:val="18"/>
        </w:rPr>
      </w:pPr>
      <w:r w:rsidRPr="00F36569">
        <w:rPr>
          <w:b/>
          <w:szCs w:val="18"/>
        </w:rPr>
        <w:t xml:space="preserve">6. </w:t>
      </w:r>
      <w:r w:rsidR="00DF5CED">
        <w:rPr>
          <w:b/>
          <w:szCs w:val="18"/>
        </w:rPr>
        <w:tab/>
      </w:r>
      <w:r w:rsidRPr="00F36569">
        <w:rPr>
          <w:b/>
          <w:szCs w:val="18"/>
        </w:rPr>
        <w:t>Planning</w:t>
      </w:r>
    </w:p>
    <w:p w:rsidR="00F36569" w:rsidP="00D427EA" w:rsidRDefault="00F36569">
      <w:pPr>
        <w:spacing w:after="0"/>
        <w:contextualSpacing/>
        <w:rPr>
          <w:b/>
          <w:szCs w:val="18"/>
        </w:rPr>
      </w:pPr>
    </w:p>
    <w:p w:rsidRPr="000802C1" w:rsidR="00F36569" w:rsidP="00D427EA" w:rsidRDefault="0003289E">
      <w:pPr>
        <w:spacing w:after="0"/>
        <w:contextualSpacing/>
        <w:rPr>
          <w:szCs w:val="18"/>
        </w:rPr>
      </w:pPr>
      <w:r>
        <w:rPr>
          <w:szCs w:val="18"/>
        </w:rPr>
        <w:t xml:space="preserve">De uitvoering van het literatuuronderzoek </w:t>
      </w:r>
      <w:r w:rsidR="00DF79F3">
        <w:rPr>
          <w:szCs w:val="18"/>
        </w:rPr>
        <w:t>zal</w:t>
      </w:r>
      <w:r>
        <w:rPr>
          <w:szCs w:val="18"/>
        </w:rPr>
        <w:t xml:space="preserve"> in het najaar van</w:t>
      </w:r>
      <w:r w:rsidR="00DF79F3">
        <w:rPr>
          <w:szCs w:val="18"/>
        </w:rPr>
        <w:t xml:space="preserve"> 2016 van start gaan en naar verwachting </w:t>
      </w:r>
      <w:r>
        <w:rPr>
          <w:szCs w:val="18"/>
        </w:rPr>
        <w:t xml:space="preserve">in het voorjaar van </w:t>
      </w:r>
      <w:r w:rsidR="00DF79F3">
        <w:rPr>
          <w:szCs w:val="18"/>
        </w:rPr>
        <w:t xml:space="preserve">2017 </w:t>
      </w:r>
      <w:r>
        <w:rPr>
          <w:szCs w:val="18"/>
        </w:rPr>
        <w:t xml:space="preserve">kunnen </w:t>
      </w:r>
      <w:r w:rsidR="00DF79F3">
        <w:rPr>
          <w:szCs w:val="18"/>
        </w:rPr>
        <w:t xml:space="preserve">worden afgerond. </w:t>
      </w:r>
      <w:r>
        <w:rPr>
          <w:szCs w:val="18"/>
        </w:rPr>
        <w:t>Daarna staan interviews gepland</w:t>
      </w:r>
      <w:r w:rsidR="00783C55">
        <w:rPr>
          <w:szCs w:val="18"/>
        </w:rPr>
        <w:t xml:space="preserve"> met rechtstreeks betrokkenen van beleid, </w:t>
      </w:r>
      <w:proofErr w:type="spellStart"/>
      <w:r w:rsidR="00783C55">
        <w:rPr>
          <w:szCs w:val="18"/>
        </w:rPr>
        <w:t>stakeholders</w:t>
      </w:r>
      <w:proofErr w:type="spellEnd"/>
      <w:r w:rsidR="00783C55">
        <w:rPr>
          <w:szCs w:val="18"/>
        </w:rPr>
        <w:t xml:space="preserve"> (waaronder de toezichthouders, de sector </w:t>
      </w:r>
      <w:r w:rsidR="00783C55">
        <w:rPr>
          <w:szCs w:val="18"/>
        </w:rPr>
        <w:lastRenderedPageBreak/>
        <w:t>en klanten van financiële instellingen)</w:t>
      </w:r>
      <w:r w:rsidR="0077215A">
        <w:rPr>
          <w:szCs w:val="18"/>
        </w:rPr>
        <w:t>, wetenschappers, collega’s van Europese instellingen en/of uit andere lidstaten (dit alles om meer duiding te geven aan het literatuuronderzoek)</w:t>
      </w:r>
      <w:r>
        <w:rPr>
          <w:szCs w:val="18"/>
        </w:rPr>
        <w:t>, gevolgd door de voltooiing van het rapport. Het streven is erop gericht om het rapport, voorzien van een beleidsreactie en de oordelen van de onafhankelijke deskundigen, voor 1 september 2017 aan de Tweede Kamer aan te bieden. De beleidsdoorlichting kan mede richting geven aan de prioriteiten en acties van de beleidsagend</w:t>
      </w:r>
      <w:r w:rsidR="00DF5CED">
        <w:rPr>
          <w:szCs w:val="18"/>
        </w:rPr>
        <w:t>a voor de jaren 2018 en daarna.</w:t>
      </w:r>
    </w:p>
    <w:sectPr w:rsidRPr="000802C1" w:rsidR="00F36569" w:rsidSect="00A22F2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E0F" w:rsidRDefault="00681E0F">
      <w:pPr>
        <w:spacing w:after="0" w:line="240" w:lineRule="auto"/>
      </w:pPr>
    </w:p>
  </w:endnote>
  <w:endnote w:type="continuationSeparator" w:id="0">
    <w:p w:rsidR="00681E0F" w:rsidRDefault="00681E0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D03" w:rsidRDefault="00621D0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781"/>
      <w:docPartObj>
        <w:docPartGallery w:val="Page Numbers (Bottom of Page)"/>
        <w:docPartUnique/>
      </w:docPartObj>
    </w:sdtPr>
    <w:sdtContent>
      <w:p w:rsidR="00CF6158" w:rsidRDefault="00237DC6">
        <w:pPr>
          <w:pStyle w:val="Voettekst"/>
          <w:jc w:val="center"/>
        </w:pPr>
        <w:fldSimple w:instr=" PAGE   \* MERGEFORMAT ">
          <w:r w:rsidR="00E821DD">
            <w:rPr>
              <w:noProof/>
            </w:rPr>
            <w:t>2</w:t>
          </w:r>
        </w:fldSimple>
      </w:p>
    </w:sdtContent>
  </w:sdt>
  <w:p w:rsidR="00CF6158" w:rsidRDefault="00CF6158">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D03" w:rsidRDefault="00621D0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E0F" w:rsidRDefault="00681E0F">
      <w:pPr>
        <w:spacing w:after="0" w:line="240" w:lineRule="auto"/>
      </w:pPr>
    </w:p>
  </w:footnote>
  <w:footnote w:type="continuationSeparator" w:id="0">
    <w:p w:rsidR="00681E0F" w:rsidRDefault="00681E0F">
      <w:pPr>
        <w:spacing w:after="0" w:line="240" w:lineRule="auto"/>
      </w:pPr>
    </w:p>
  </w:footnote>
  <w:footnote w:id="1">
    <w:p w:rsidR="00CF6158" w:rsidRPr="00AD3B7B" w:rsidRDefault="00CF6158" w:rsidP="003D0B1E">
      <w:pPr>
        <w:pStyle w:val="Voetnoottekst"/>
        <w:rPr>
          <w:sz w:val="16"/>
          <w:szCs w:val="16"/>
        </w:rPr>
      </w:pPr>
      <w:r w:rsidRPr="00AD3B7B">
        <w:rPr>
          <w:rStyle w:val="Voetnootmarkering"/>
          <w:sz w:val="16"/>
          <w:szCs w:val="16"/>
        </w:rPr>
        <w:footnoteRef/>
      </w:r>
      <w:r w:rsidRPr="00AD3B7B">
        <w:rPr>
          <w:sz w:val="16"/>
          <w:szCs w:val="16"/>
        </w:rPr>
        <w:t xml:space="preserve"> </w:t>
      </w:r>
      <w:proofErr w:type="spellStart"/>
      <w:r w:rsidRPr="00AD3B7B">
        <w:rPr>
          <w:i/>
          <w:sz w:val="16"/>
          <w:szCs w:val="16"/>
        </w:rPr>
        <w:t>Stcrt</w:t>
      </w:r>
      <w:proofErr w:type="spellEnd"/>
      <w:r w:rsidRPr="00AD3B7B">
        <w:rPr>
          <w:i/>
          <w:sz w:val="16"/>
          <w:szCs w:val="16"/>
        </w:rPr>
        <w:t>.</w:t>
      </w:r>
      <w:r w:rsidRPr="00AD3B7B">
        <w:rPr>
          <w:sz w:val="16"/>
          <w:szCs w:val="16"/>
        </w:rPr>
        <w:t xml:space="preserve"> 2014, nr. 27142. </w:t>
      </w:r>
    </w:p>
  </w:footnote>
  <w:footnote w:id="2">
    <w:p w:rsidR="00CF6158" w:rsidRPr="00AD3B7B" w:rsidRDefault="00CF6158">
      <w:pPr>
        <w:pStyle w:val="Voetnoottekst"/>
        <w:rPr>
          <w:sz w:val="16"/>
          <w:szCs w:val="16"/>
        </w:rPr>
      </w:pPr>
      <w:r w:rsidRPr="00AD3B7B">
        <w:rPr>
          <w:rStyle w:val="Voetnootmarkering"/>
          <w:sz w:val="16"/>
          <w:szCs w:val="16"/>
        </w:rPr>
        <w:footnoteRef/>
      </w:r>
      <w:r w:rsidRPr="00AD3B7B">
        <w:rPr>
          <w:sz w:val="16"/>
          <w:szCs w:val="16"/>
        </w:rPr>
        <w:t xml:space="preserve"> Zie voor de onderzoeksrapporten: </w:t>
      </w:r>
      <w:hyperlink r:id="rId1" w:history="1">
        <w:r w:rsidRPr="00AD3B7B">
          <w:rPr>
            <w:rStyle w:val="Hyperlink"/>
            <w:sz w:val="16"/>
            <w:szCs w:val="16"/>
          </w:rPr>
          <w:t>https://www.imf.org/external/np/fsap/fsap.aspx</w:t>
        </w:r>
      </w:hyperlink>
      <w:r w:rsidRPr="00AD3B7B">
        <w:rPr>
          <w:sz w:val="16"/>
          <w:szCs w:val="16"/>
        </w:rPr>
        <w:t xml:space="preserve">. Zie voorts </w:t>
      </w:r>
      <w:r w:rsidRPr="00AD3B7B">
        <w:rPr>
          <w:i/>
          <w:sz w:val="16"/>
          <w:szCs w:val="16"/>
        </w:rPr>
        <w:t>Kamerstukken II</w:t>
      </w:r>
      <w:r>
        <w:rPr>
          <w:sz w:val="16"/>
          <w:szCs w:val="16"/>
        </w:rPr>
        <w:t xml:space="preserve"> 2010-2011, 32013, nr. 16.</w:t>
      </w:r>
    </w:p>
  </w:footnote>
  <w:footnote w:id="3">
    <w:p w:rsidR="00CF6158" w:rsidRPr="00AD3B7B" w:rsidRDefault="00CF6158" w:rsidP="00D35EF3">
      <w:pPr>
        <w:pStyle w:val="Voetnoottekst"/>
        <w:rPr>
          <w:sz w:val="16"/>
          <w:szCs w:val="16"/>
        </w:rPr>
      </w:pPr>
      <w:r w:rsidRPr="00AD3B7B">
        <w:rPr>
          <w:rStyle w:val="Voetnootmarkering"/>
          <w:sz w:val="16"/>
          <w:szCs w:val="16"/>
        </w:rPr>
        <w:footnoteRef/>
      </w:r>
      <w:r w:rsidRPr="00AD3B7B">
        <w:rPr>
          <w:sz w:val="16"/>
          <w:szCs w:val="16"/>
        </w:rPr>
        <w:t xml:space="preserve"> Brief van 23 augustus 2013, </w:t>
      </w:r>
      <w:r w:rsidRPr="00AD3B7B">
        <w:rPr>
          <w:i/>
          <w:sz w:val="16"/>
          <w:szCs w:val="16"/>
        </w:rPr>
        <w:t>Kamerstukken II</w:t>
      </w:r>
      <w:r w:rsidRPr="00AD3B7B">
        <w:rPr>
          <w:sz w:val="16"/>
          <w:szCs w:val="16"/>
        </w:rPr>
        <w:t xml:space="preserve"> 2012-2013, 32013, nr. 35. </w:t>
      </w:r>
    </w:p>
  </w:footnote>
  <w:footnote w:id="4">
    <w:p w:rsidR="00CF6158" w:rsidRPr="00977E08" w:rsidRDefault="00CF6158" w:rsidP="00390F3B">
      <w:pPr>
        <w:pStyle w:val="Voetnoottekst"/>
        <w:rPr>
          <w:sz w:val="16"/>
          <w:szCs w:val="16"/>
        </w:rPr>
      </w:pPr>
      <w:r w:rsidRPr="00AD3B7B">
        <w:rPr>
          <w:rStyle w:val="Voetnootmarkering"/>
          <w:sz w:val="16"/>
          <w:szCs w:val="16"/>
        </w:rPr>
        <w:footnoteRef/>
      </w:r>
      <w:r w:rsidRPr="00AD3B7B">
        <w:rPr>
          <w:sz w:val="16"/>
          <w:szCs w:val="16"/>
        </w:rPr>
        <w:t xml:space="preserve"> De minister van Financiën bood het eindrapport, </w:t>
      </w:r>
      <w:r w:rsidRPr="00AD3B7B">
        <w:rPr>
          <w:i/>
          <w:sz w:val="16"/>
          <w:szCs w:val="16"/>
        </w:rPr>
        <w:t>Naar een dienstbaar en stabiel bankwezen</w:t>
      </w:r>
      <w:r w:rsidRPr="00AD3B7B">
        <w:rPr>
          <w:sz w:val="16"/>
          <w:szCs w:val="16"/>
        </w:rPr>
        <w:t xml:space="preserve">, bij brief van 28 </w:t>
      </w:r>
      <w:r w:rsidRPr="00977E08">
        <w:rPr>
          <w:sz w:val="16"/>
          <w:szCs w:val="16"/>
        </w:rPr>
        <w:t xml:space="preserve">juni 2013 aan beide Kamers der Staten-Generaal aan, zie </w:t>
      </w:r>
      <w:r w:rsidRPr="00977E08">
        <w:rPr>
          <w:i/>
          <w:sz w:val="16"/>
          <w:szCs w:val="16"/>
        </w:rPr>
        <w:t>Kamerstukken II</w:t>
      </w:r>
      <w:r w:rsidRPr="00977E08">
        <w:rPr>
          <w:sz w:val="16"/>
          <w:szCs w:val="16"/>
        </w:rPr>
        <w:t xml:space="preserve"> 2012-2013, 32013, nr. 33.</w:t>
      </w:r>
    </w:p>
  </w:footnote>
  <w:footnote w:id="5">
    <w:p w:rsidR="00CF6158" w:rsidRPr="00977E08" w:rsidRDefault="00CF6158" w:rsidP="00977E08">
      <w:pPr>
        <w:pStyle w:val="Voetnoottekst"/>
        <w:rPr>
          <w:sz w:val="16"/>
          <w:szCs w:val="16"/>
        </w:rPr>
      </w:pPr>
      <w:r w:rsidRPr="00977E08">
        <w:rPr>
          <w:rStyle w:val="Voetnootmarkering"/>
          <w:sz w:val="16"/>
          <w:szCs w:val="16"/>
        </w:rPr>
        <w:footnoteRef/>
      </w:r>
      <w:r w:rsidRPr="00977E08">
        <w:rPr>
          <w:sz w:val="16"/>
          <w:szCs w:val="16"/>
        </w:rPr>
        <w:t xml:space="preserve"> </w:t>
      </w:r>
      <w:r>
        <w:rPr>
          <w:sz w:val="16"/>
          <w:szCs w:val="16"/>
        </w:rPr>
        <w:t>Handleiding ‘Onderzoek naar doelmatigheid en doeltreffendheid’, Algemene Rekenkamer, 2005.</w:t>
      </w:r>
    </w:p>
  </w:footnote>
  <w:footnote w:id="6">
    <w:p w:rsidR="00CF6158" w:rsidRDefault="00CF6158">
      <w:pPr>
        <w:pStyle w:val="Voetnoottekst"/>
      </w:pPr>
      <w:r w:rsidRPr="00977E08">
        <w:rPr>
          <w:rStyle w:val="Voetnootmarkering"/>
          <w:sz w:val="16"/>
          <w:szCs w:val="16"/>
        </w:rPr>
        <w:footnoteRef/>
      </w:r>
      <w:r w:rsidRPr="00977E08">
        <w:rPr>
          <w:sz w:val="16"/>
          <w:szCs w:val="16"/>
        </w:rPr>
        <w:t xml:space="preserve"> Handreiking</w:t>
      </w:r>
      <w:r>
        <w:rPr>
          <w:sz w:val="16"/>
          <w:szCs w:val="16"/>
        </w:rPr>
        <w:t xml:space="preserve"> ‘Meten van doelmatigheid’, Algemene Rekenkamer, 2003.</w:t>
      </w:r>
    </w:p>
  </w:footnote>
  <w:footnote w:id="7">
    <w:p w:rsidR="00CF6158" w:rsidRPr="00894DC0" w:rsidRDefault="00CF6158">
      <w:pPr>
        <w:pStyle w:val="Voetnoottekst"/>
        <w:rPr>
          <w:sz w:val="16"/>
          <w:szCs w:val="16"/>
        </w:rPr>
      </w:pPr>
      <w:r w:rsidRPr="00894DC0">
        <w:rPr>
          <w:rStyle w:val="Voetnootmarkering"/>
          <w:sz w:val="16"/>
          <w:szCs w:val="16"/>
        </w:rPr>
        <w:footnoteRef/>
      </w:r>
      <w:r w:rsidRPr="00894DC0">
        <w:rPr>
          <w:sz w:val="16"/>
          <w:szCs w:val="16"/>
        </w:rPr>
        <w:t xml:space="preserve"> </w:t>
      </w:r>
      <w:r>
        <w:rPr>
          <w:sz w:val="16"/>
          <w:szCs w:val="16"/>
        </w:rPr>
        <w:t>Onderdeel D1 (budgettaire gevolgen van beleid) geeft inzicht in de verplichtingen, uitgaven, subsidies, bekostiging (</w:t>
      </w:r>
      <w:proofErr w:type="spellStart"/>
      <w:r>
        <w:rPr>
          <w:sz w:val="16"/>
          <w:szCs w:val="16"/>
        </w:rPr>
        <w:t>oa</w:t>
      </w:r>
      <w:proofErr w:type="spellEnd"/>
      <w:r>
        <w:rPr>
          <w:sz w:val="16"/>
          <w:szCs w:val="16"/>
        </w:rPr>
        <w:t xml:space="preserve"> muntcirculatie), bijdrage aan </w:t>
      </w:r>
      <w:proofErr w:type="spellStart"/>
      <w:r>
        <w:rPr>
          <w:sz w:val="16"/>
          <w:szCs w:val="16"/>
        </w:rPr>
        <w:t>ZBO’s</w:t>
      </w:r>
      <w:proofErr w:type="spellEnd"/>
      <w:r>
        <w:rPr>
          <w:sz w:val="16"/>
          <w:szCs w:val="16"/>
        </w:rPr>
        <w:t xml:space="preserve"> en </w:t>
      </w:r>
      <w:proofErr w:type="spellStart"/>
      <w:r>
        <w:rPr>
          <w:sz w:val="16"/>
          <w:szCs w:val="16"/>
        </w:rPr>
        <w:t>RWT’s</w:t>
      </w:r>
      <w:proofErr w:type="spellEnd"/>
      <w:r>
        <w:rPr>
          <w:sz w:val="16"/>
          <w:szCs w:val="16"/>
        </w:rPr>
        <w:t>, bijdrage aan (</w:t>
      </w:r>
      <w:proofErr w:type="spellStart"/>
      <w:r>
        <w:rPr>
          <w:sz w:val="16"/>
          <w:szCs w:val="16"/>
        </w:rPr>
        <w:t>inter</w:t>
      </w:r>
      <w:proofErr w:type="spellEnd"/>
      <w:r>
        <w:rPr>
          <w:sz w:val="16"/>
          <w:szCs w:val="16"/>
        </w:rPr>
        <w:t xml:space="preserve">)nationale organisaties, ontvangsten, leningen en garanties ten aanzien van artikel 2. Als we deze onderdelen van D1 relateren aan het schematisch overzicht met de beleidshoofdlijnen in dit plan van aanpak, waar deze beleidsdoorlichting zich op zal richten, dan is vooral onderdeel ‘bijdrage aan </w:t>
      </w:r>
      <w:proofErr w:type="spellStart"/>
      <w:r>
        <w:rPr>
          <w:sz w:val="16"/>
          <w:szCs w:val="16"/>
        </w:rPr>
        <w:t>ZBO’s</w:t>
      </w:r>
      <w:proofErr w:type="spellEnd"/>
      <w:r>
        <w:rPr>
          <w:sz w:val="16"/>
          <w:szCs w:val="16"/>
        </w:rPr>
        <w:t xml:space="preserve"> en </w:t>
      </w:r>
      <w:proofErr w:type="spellStart"/>
      <w:r>
        <w:rPr>
          <w:sz w:val="16"/>
          <w:szCs w:val="16"/>
        </w:rPr>
        <w:t>RWT’s</w:t>
      </w:r>
      <w:proofErr w:type="spellEnd"/>
      <w:r>
        <w:rPr>
          <w:sz w:val="16"/>
          <w:szCs w:val="16"/>
        </w:rPr>
        <w:t>’ relevant voor de onderhavige doorlichting.</w:t>
      </w:r>
      <w:r w:rsidR="00085103">
        <w:rPr>
          <w:sz w:val="16"/>
          <w:szCs w:val="16"/>
        </w:rPr>
        <w:t xml:space="preserve"> De overige posten van D1 hebben geen directe raakvlakken met de beleidshoofdlijnen in dit plan van aanpak, en worden daarom buiten beschouwing gelaten.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D03" w:rsidRDefault="00621D0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D03" w:rsidRDefault="00621D03">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D03" w:rsidRDefault="00621D0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6F9D"/>
    <w:multiLevelType w:val="hybridMultilevel"/>
    <w:tmpl w:val="76343CFC"/>
    <w:lvl w:ilvl="0" w:tplc="A50C49C4">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EE96E0E"/>
    <w:multiLevelType w:val="hybridMultilevel"/>
    <w:tmpl w:val="6CC2B770"/>
    <w:lvl w:ilvl="0" w:tplc="44C6EA0C">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3F27C2B"/>
    <w:multiLevelType w:val="hybridMultilevel"/>
    <w:tmpl w:val="A1666D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doNotTrackMoves/>
  <w:defaultTabStop w:val="708"/>
  <w:hyphenationZone w:val="425"/>
  <w:characterSpacingControl w:val="doNotCompress"/>
  <w:footnotePr>
    <w:footnote w:id="-1"/>
    <w:footnote w:id="0"/>
  </w:footnotePr>
  <w:endnotePr>
    <w:endnote w:id="-1"/>
    <w:endnote w:id="0"/>
  </w:endnotePr>
  <w:compat/>
  <w:rsids>
    <w:rsidRoot w:val="00D427EA"/>
    <w:rsid w:val="00014D4E"/>
    <w:rsid w:val="00017D73"/>
    <w:rsid w:val="00024C37"/>
    <w:rsid w:val="00026999"/>
    <w:rsid w:val="0003289E"/>
    <w:rsid w:val="000442C1"/>
    <w:rsid w:val="000459C2"/>
    <w:rsid w:val="00052D06"/>
    <w:rsid w:val="000539E4"/>
    <w:rsid w:val="00055D33"/>
    <w:rsid w:val="000711BD"/>
    <w:rsid w:val="000802C1"/>
    <w:rsid w:val="00083106"/>
    <w:rsid w:val="00085103"/>
    <w:rsid w:val="00095A51"/>
    <w:rsid w:val="000A414F"/>
    <w:rsid w:val="000A5206"/>
    <w:rsid w:val="000E0192"/>
    <w:rsid w:val="000E7252"/>
    <w:rsid w:val="000F2A61"/>
    <w:rsid w:val="00113094"/>
    <w:rsid w:val="00123814"/>
    <w:rsid w:val="00155C4B"/>
    <w:rsid w:val="00161913"/>
    <w:rsid w:val="001675AC"/>
    <w:rsid w:val="00186733"/>
    <w:rsid w:val="0018751B"/>
    <w:rsid w:val="001A636B"/>
    <w:rsid w:val="001C3C07"/>
    <w:rsid w:val="001C5716"/>
    <w:rsid w:val="001F4E09"/>
    <w:rsid w:val="00220364"/>
    <w:rsid w:val="00221363"/>
    <w:rsid w:val="00237DC6"/>
    <w:rsid w:val="00252660"/>
    <w:rsid w:val="002617EB"/>
    <w:rsid w:val="0026750C"/>
    <w:rsid w:val="00281638"/>
    <w:rsid w:val="00295D5E"/>
    <w:rsid w:val="002E6EEE"/>
    <w:rsid w:val="00301D74"/>
    <w:rsid w:val="00312150"/>
    <w:rsid w:val="003137FF"/>
    <w:rsid w:val="003272F5"/>
    <w:rsid w:val="00350EFD"/>
    <w:rsid w:val="0035104C"/>
    <w:rsid w:val="00352AA6"/>
    <w:rsid w:val="00366B14"/>
    <w:rsid w:val="00377F3E"/>
    <w:rsid w:val="00390F3B"/>
    <w:rsid w:val="003A6174"/>
    <w:rsid w:val="003D0B1E"/>
    <w:rsid w:val="003D4232"/>
    <w:rsid w:val="003E4DE8"/>
    <w:rsid w:val="003F2F9F"/>
    <w:rsid w:val="0041392D"/>
    <w:rsid w:val="004142A1"/>
    <w:rsid w:val="0042390F"/>
    <w:rsid w:val="00430CB4"/>
    <w:rsid w:val="004524FE"/>
    <w:rsid w:val="00456D17"/>
    <w:rsid w:val="00474E4C"/>
    <w:rsid w:val="00477B41"/>
    <w:rsid w:val="00477DF8"/>
    <w:rsid w:val="00494C1A"/>
    <w:rsid w:val="00494F9A"/>
    <w:rsid w:val="004C5190"/>
    <w:rsid w:val="004C54C2"/>
    <w:rsid w:val="004D161E"/>
    <w:rsid w:val="004E3499"/>
    <w:rsid w:val="004E6592"/>
    <w:rsid w:val="005215D3"/>
    <w:rsid w:val="0054094E"/>
    <w:rsid w:val="00543388"/>
    <w:rsid w:val="00556746"/>
    <w:rsid w:val="005625A9"/>
    <w:rsid w:val="00565D13"/>
    <w:rsid w:val="005717BD"/>
    <w:rsid w:val="00577BE4"/>
    <w:rsid w:val="005A30BF"/>
    <w:rsid w:val="005B1C71"/>
    <w:rsid w:val="005D085E"/>
    <w:rsid w:val="00621D03"/>
    <w:rsid w:val="006233F4"/>
    <w:rsid w:val="006317FA"/>
    <w:rsid w:val="0063426C"/>
    <w:rsid w:val="0063497D"/>
    <w:rsid w:val="00667792"/>
    <w:rsid w:val="00681B8E"/>
    <w:rsid w:val="00681E0F"/>
    <w:rsid w:val="00683158"/>
    <w:rsid w:val="00683C37"/>
    <w:rsid w:val="0069630B"/>
    <w:rsid w:val="006A62AB"/>
    <w:rsid w:val="006B5866"/>
    <w:rsid w:val="006E3A90"/>
    <w:rsid w:val="00703A21"/>
    <w:rsid w:val="00735F15"/>
    <w:rsid w:val="00756389"/>
    <w:rsid w:val="0077215A"/>
    <w:rsid w:val="00775151"/>
    <w:rsid w:val="007769A6"/>
    <w:rsid w:val="00783C55"/>
    <w:rsid w:val="00790041"/>
    <w:rsid w:val="007B0FB4"/>
    <w:rsid w:val="007C0783"/>
    <w:rsid w:val="007C2DD0"/>
    <w:rsid w:val="007C3A3B"/>
    <w:rsid w:val="007D6538"/>
    <w:rsid w:val="007F2E52"/>
    <w:rsid w:val="00807F60"/>
    <w:rsid w:val="0082179D"/>
    <w:rsid w:val="0084617B"/>
    <w:rsid w:val="00846535"/>
    <w:rsid w:val="0085364D"/>
    <w:rsid w:val="00854739"/>
    <w:rsid w:val="008712B1"/>
    <w:rsid w:val="008728BE"/>
    <w:rsid w:val="00894DC0"/>
    <w:rsid w:val="00895A93"/>
    <w:rsid w:val="008A0CC8"/>
    <w:rsid w:val="008A3AD9"/>
    <w:rsid w:val="008B6433"/>
    <w:rsid w:val="008D1802"/>
    <w:rsid w:val="008D6156"/>
    <w:rsid w:val="0090171D"/>
    <w:rsid w:val="00902357"/>
    <w:rsid w:val="00904855"/>
    <w:rsid w:val="00905545"/>
    <w:rsid w:val="00906361"/>
    <w:rsid w:val="00906860"/>
    <w:rsid w:val="00906F27"/>
    <w:rsid w:val="00914430"/>
    <w:rsid w:val="009159BF"/>
    <w:rsid w:val="009221B0"/>
    <w:rsid w:val="00930588"/>
    <w:rsid w:val="00977E08"/>
    <w:rsid w:val="009830F3"/>
    <w:rsid w:val="009929FC"/>
    <w:rsid w:val="009A728B"/>
    <w:rsid w:val="009D4B03"/>
    <w:rsid w:val="009E0989"/>
    <w:rsid w:val="009E152C"/>
    <w:rsid w:val="00A00B7B"/>
    <w:rsid w:val="00A115D3"/>
    <w:rsid w:val="00A17C6E"/>
    <w:rsid w:val="00A22F2D"/>
    <w:rsid w:val="00A333ED"/>
    <w:rsid w:val="00A601E1"/>
    <w:rsid w:val="00A60EF5"/>
    <w:rsid w:val="00A710F4"/>
    <w:rsid w:val="00AB6251"/>
    <w:rsid w:val="00AD3B7B"/>
    <w:rsid w:val="00B04C13"/>
    <w:rsid w:val="00B11DEB"/>
    <w:rsid w:val="00B138F2"/>
    <w:rsid w:val="00B174BA"/>
    <w:rsid w:val="00B27F44"/>
    <w:rsid w:val="00B41FC7"/>
    <w:rsid w:val="00B51C81"/>
    <w:rsid w:val="00B60AB6"/>
    <w:rsid w:val="00B84614"/>
    <w:rsid w:val="00B9156F"/>
    <w:rsid w:val="00BB5D9F"/>
    <w:rsid w:val="00BC1939"/>
    <w:rsid w:val="00C70F04"/>
    <w:rsid w:val="00C816C2"/>
    <w:rsid w:val="00C83E4F"/>
    <w:rsid w:val="00CA2DBF"/>
    <w:rsid w:val="00CB1EB7"/>
    <w:rsid w:val="00CE6F8D"/>
    <w:rsid w:val="00CF6158"/>
    <w:rsid w:val="00D03B84"/>
    <w:rsid w:val="00D33E65"/>
    <w:rsid w:val="00D35EF3"/>
    <w:rsid w:val="00D41A29"/>
    <w:rsid w:val="00D427EA"/>
    <w:rsid w:val="00D60EA6"/>
    <w:rsid w:val="00D83BA3"/>
    <w:rsid w:val="00DA3B0F"/>
    <w:rsid w:val="00DC10C8"/>
    <w:rsid w:val="00DC53EE"/>
    <w:rsid w:val="00DD5709"/>
    <w:rsid w:val="00DF5CED"/>
    <w:rsid w:val="00DF79F3"/>
    <w:rsid w:val="00E16498"/>
    <w:rsid w:val="00E46EC5"/>
    <w:rsid w:val="00E47E26"/>
    <w:rsid w:val="00E821DD"/>
    <w:rsid w:val="00E83225"/>
    <w:rsid w:val="00E92C14"/>
    <w:rsid w:val="00EA662B"/>
    <w:rsid w:val="00EA6738"/>
    <w:rsid w:val="00EB5BFC"/>
    <w:rsid w:val="00EC1F1F"/>
    <w:rsid w:val="00EC24BA"/>
    <w:rsid w:val="00EF3E4B"/>
    <w:rsid w:val="00F12498"/>
    <w:rsid w:val="00F22CDC"/>
    <w:rsid w:val="00F36569"/>
    <w:rsid w:val="00F36C26"/>
    <w:rsid w:val="00F37BCC"/>
    <w:rsid w:val="00F55224"/>
    <w:rsid w:val="00F55ADF"/>
    <w:rsid w:val="00F64541"/>
    <w:rsid w:val="00F668A5"/>
    <w:rsid w:val="00F708FE"/>
    <w:rsid w:val="00F70D89"/>
    <w:rsid w:val="00F95E6A"/>
    <w:rsid w:val="00FA238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427EA"/>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35104C"/>
    <w:pPr>
      <w:ind w:left="720"/>
      <w:contextualSpacing/>
    </w:pPr>
  </w:style>
  <w:style w:type="character" w:styleId="Verwijzingopmerking">
    <w:name w:val="annotation reference"/>
    <w:basedOn w:val="Standaardalinea-lettertype"/>
    <w:uiPriority w:val="99"/>
    <w:semiHidden/>
    <w:unhideWhenUsed/>
    <w:rsid w:val="0035104C"/>
    <w:rPr>
      <w:sz w:val="16"/>
      <w:szCs w:val="16"/>
    </w:rPr>
  </w:style>
  <w:style w:type="paragraph" w:styleId="Tekstopmerking">
    <w:name w:val="annotation text"/>
    <w:basedOn w:val="Standaard"/>
    <w:link w:val="TekstopmerkingChar"/>
    <w:uiPriority w:val="99"/>
    <w:semiHidden/>
    <w:unhideWhenUsed/>
    <w:rsid w:val="0035104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104C"/>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35104C"/>
    <w:rPr>
      <w:b/>
      <w:bCs/>
    </w:rPr>
  </w:style>
  <w:style w:type="character" w:customStyle="1" w:styleId="OnderwerpvanopmerkingChar">
    <w:name w:val="Onderwerp van opmerking Char"/>
    <w:basedOn w:val="TekstopmerkingChar"/>
    <w:link w:val="Onderwerpvanopmerking"/>
    <w:uiPriority w:val="99"/>
    <w:semiHidden/>
    <w:rsid w:val="0035104C"/>
    <w:rPr>
      <w:b/>
      <w:bCs/>
    </w:rPr>
  </w:style>
  <w:style w:type="paragraph" w:styleId="Ballontekst">
    <w:name w:val="Balloon Text"/>
    <w:basedOn w:val="Standaard"/>
    <w:link w:val="BallontekstChar"/>
    <w:uiPriority w:val="99"/>
    <w:semiHidden/>
    <w:unhideWhenUsed/>
    <w:rsid w:val="0035104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5104C"/>
    <w:rPr>
      <w:rFonts w:ascii="Tahoma" w:hAnsi="Tahoma" w:cs="Tahoma"/>
      <w:sz w:val="16"/>
      <w:szCs w:val="16"/>
    </w:rPr>
  </w:style>
  <w:style w:type="paragraph" w:styleId="Koptekst">
    <w:name w:val="header"/>
    <w:basedOn w:val="Standaard"/>
    <w:link w:val="KoptekstChar"/>
    <w:uiPriority w:val="99"/>
    <w:semiHidden/>
    <w:unhideWhenUsed/>
    <w:rsid w:val="001130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13094"/>
    <w:rPr>
      <w:rFonts w:ascii="Verdana" w:hAnsi="Verdana"/>
      <w:sz w:val="18"/>
    </w:rPr>
  </w:style>
  <w:style w:type="paragraph" w:styleId="Voettekst">
    <w:name w:val="footer"/>
    <w:basedOn w:val="Standaard"/>
    <w:link w:val="VoettekstChar"/>
    <w:uiPriority w:val="99"/>
    <w:unhideWhenUsed/>
    <w:rsid w:val="001130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3094"/>
    <w:rPr>
      <w:rFonts w:ascii="Verdana" w:hAnsi="Verdana"/>
      <w:sz w:val="18"/>
    </w:rPr>
  </w:style>
  <w:style w:type="table" w:styleId="Tabelraster">
    <w:name w:val="Table Grid"/>
    <w:basedOn w:val="Standaardtabel"/>
    <w:uiPriority w:val="59"/>
    <w:rsid w:val="008A0C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unhideWhenUsed/>
    <w:rsid w:val="00052D06"/>
    <w:pPr>
      <w:spacing w:after="0" w:line="240" w:lineRule="auto"/>
    </w:pPr>
    <w:rPr>
      <w:sz w:val="20"/>
      <w:szCs w:val="20"/>
    </w:rPr>
  </w:style>
  <w:style w:type="character" w:customStyle="1" w:styleId="VoetnoottekstChar">
    <w:name w:val="Voetnoottekst Char"/>
    <w:basedOn w:val="Standaardalinea-lettertype"/>
    <w:link w:val="Voetnoottekst"/>
    <w:uiPriority w:val="99"/>
    <w:rsid w:val="00052D06"/>
    <w:rPr>
      <w:rFonts w:ascii="Verdana" w:hAnsi="Verdana"/>
      <w:sz w:val="20"/>
      <w:szCs w:val="20"/>
    </w:rPr>
  </w:style>
  <w:style w:type="character" w:styleId="Voetnootmarkering">
    <w:name w:val="footnote reference"/>
    <w:basedOn w:val="Standaardalinea-lettertype"/>
    <w:uiPriority w:val="99"/>
    <w:semiHidden/>
    <w:unhideWhenUsed/>
    <w:rsid w:val="00052D06"/>
    <w:rPr>
      <w:vertAlign w:val="superscript"/>
    </w:rPr>
  </w:style>
  <w:style w:type="character" w:styleId="Hyperlink">
    <w:name w:val="Hyperlink"/>
    <w:basedOn w:val="Standaardalinea-lettertype"/>
    <w:uiPriority w:val="99"/>
    <w:unhideWhenUsed/>
    <w:rsid w:val="002617EB"/>
    <w:rPr>
      <w:color w:val="0000FF" w:themeColor="hyperlink"/>
      <w:u w:val="single"/>
    </w:rPr>
  </w:style>
  <w:style w:type="paragraph" w:styleId="Revisie">
    <w:name w:val="Revision"/>
    <w:hidden/>
    <w:uiPriority w:val="99"/>
    <w:semiHidden/>
    <w:rsid w:val="00095A51"/>
    <w:pPr>
      <w:spacing w:after="0" w:line="240" w:lineRule="auto"/>
    </w:pPr>
    <w:rPr>
      <w:rFonts w:ascii="Verdana" w:hAnsi="Verdana"/>
      <w:sz w:val="18"/>
    </w:rPr>
  </w:style>
</w:styles>
</file>

<file path=word/webSettings.xml><?xml version="1.0" encoding="utf-8"?>
<w:webSettings xmlns:r="http://schemas.openxmlformats.org/officeDocument/2006/relationships" xmlns:w="http://schemas.openxmlformats.org/wordprocessingml/2006/main">
  <w:divs>
    <w:div w:id="62483669">
      <w:bodyDiv w:val="1"/>
      <w:marLeft w:val="0"/>
      <w:marRight w:val="0"/>
      <w:marTop w:val="0"/>
      <w:marBottom w:val="0"/>
      <w:divBdr>
        <w:top w:val="none" w:sz="0" w:space="0" w:color="auto"/>
        <w:left w:val="none" w:sz="0" w:space="0" w:color="auto"/>
        <w:bottom w:val="none" w:sz="0" w:space="0" w:color="auto"/>
        <w:right w:val="none" w:sz="0" w:space="0" w:color="auto"/>
      </w:divBdr>
    </w:div>
    <w:div w:id="311369584">
      <w:bodyDiv w:val="1"/>
      <w:marLeft w:val="0"/>
      <w:marRight w:val="0"/>
      <w:marTop w:val="0"/>
      <w:marBottom w:val="0"/>
      <w:divBdr>
        <w:top w:val="none" w:sz="0" w:space="0" w:color="auto"/>
        <w:left w:val="none" w:sz="0" w:space="0" w:color="auto"/>
        <w:bottom w:val="none" w:sz="0" w:space="0" w:color="auto"/>
        <w:right w:val="none" w:sz="0" w:space="0" w:color="auto"/>
      </w:divBdr>
    </w:div>
    <w:div w:id="346295711">
      <w:bodyDiv w:val="1"/>
      <w:marLeft w:val="0"/>
      <w:marRight w:val="0"/>
      <w:marTop w:val="0"/>
      <w:marBottom w:val="0"/>
      <w:divBdr>
        <w:top w:val="none" w:sz="0" w:space="0" w:color="auto"/>
        <w:left w:val="none" w:sz="0" w:space="0" w:color="auto"/>
        <w:bottom w:val="none" w:sz="0" w:space="0" w:color="auto"/>
        <w:right w:val="none" w:sz="0" w:space="0" w:color="auto"/>
      </w:divBdr>
    </w:div>
    <w:div w:id="734746552">
      <w:bodyDiv w:val="1"/>
      <w:marLeft w:val="0"/>
      <w:marRight w:val="0"/>
      <w:marTop w:val="0"/>
      <w:marBottom w:val="0"/>
      <w:divBdr>
        <w:top w:val="none" w:sz="0" w:space="0" w:color="auto"/>
        <w:left w:val="none" w:sz="0" w:space="0" w:color="auto"/>
        <w:bottom w:val="none" w:sz="0" w:space="0" w:color="auto"/>
        <w:right w:val="none" w:sz="0" w:space="0" w:color="auto"/>
      </w:divBdr>
    </w:div>
    <w:div w:id="1285580382">
      <w:bodyDiv w:val="1"/>
      <w:marLeft w:val="0"/>
      <w:marRight w:val="0"/>
      <w:marTop w:val="0"/>
      <w:marBottom w:val="0"/>
      <w:divBdr>
        <w:top w:val="none" w:sz="0" w:space="0" w:color="auto"/>
        <w:left w:val="none" w:sz="0" w:space="0" w:color="auto"/>
        <w:bottom w:val="none" w:sz="0" w:space="0" w:color="auto"/>
        <w:right w:val="none" w:sz="0" w:space="0" w:color="auto"/>
      </w:divBdr>
    </w:div>
    <w:div w:id="1776170704">
      <w:bodyDiv w:val="1"/>
      <w:marLeft w:val="0"/>
      <w:marRight w:val="0"/>
      <w:marTop w:val="0"/>
      <w:marBottom w:val="0"/>
      <w:divBdr>
        <w:top w:val="none" w:sz="0" w:space="0" w:color="auto"/>
        <w:left w:val="none" w:sz="0" w:space="0" w:color="auto"/>
        <w:bottom w:val="none" w:sz="0" w:space="0" w:color="auto"/>
        <w:right w:val="none" w:sz="0" w:space="0" w:color="auto"/>
      </w:divBdr>
    </w:div>
    <w:div w:id="18309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mf.org/external/np/fsap/fsap.asp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2745</ap:Words>
  <ap:Characters>15102</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2016-05-03T14:43:00.0000000Z</lastPrinted>
  <dcterms:created xsi:type="dcterms:W3CDTF">2016-07-05T08:11:00.0000000Z</dcterms:created>
  <dcterms:modified xsi:type="dcterms:W3CDTF">2016-08-31T14:06:00.0000000Z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0x010100D2172FC395055446BC4C19153448D79A</vt:lpwstr>
  </property>
</Properties>
</file>