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27C71" w:rsidR="00771528" w:rsidP="00027C71" w:rsidRDefault="00771528" w14:paraId="5EC5FA00" w14:textId="5154F5D3">
      <w:pPr>
        <w:pStyle w:val="Heading1"/>
        <w:numPr>
          <w:ilvl w:val="0"/>
          <w:numId w:val="0"/>
        </w:numPr>
        <w:rPr>
          <w:sz w:val="18"/>
          <w:szCs w:val="18"/>
        </w:rPr>
      </w:pPr>
      <w:bookmarkStart w:name="_GoBack" w:id="0"/>
      <w:bookmarkEnd w:id="0"/>
      <w:r w:rsidRPr="00027C71">
        <w:rPr>
          <w:rStyle w:val="preformatted"/>
          <w:sz w:val="18"/>
          <w:szCs w:val="18"/>
        </w:rPr>
        <w:t>Protocol tot wijziging van de Marrakesh Ove</w:t>
      </w:r>
      <w:r w:rsidRPr="00027C71" w:rsidR="002B5445">
        <w:rPr>
          <w:rStyle w:val="preformatted"/>
          <w:sz w:val="18"/>
          <w:szCs w:val="18"/>
        </w:rPr>
        <w:t xml:space="preserve">reenkomst tot oprichting van de </w:t>
      </w:r>
      <w:r w:rsidRPr="00027C71">
        <w:rPr>
          <w:rStyle w:val="preformatted"/>
          <w:sz w:val="18"/>
          <w:szCs w:val="18"/>
        </w:rPr>
        <w:t xml:space="preserve">Wereldhandelsorganisatie; </w:t>
      </w:r>
      <w:r w:rsidRPr="00027C71">
        <w:rPr>
          <w:sz w:val="18"/>
          <w:szCs w:val="18"/>
        </w:rPr>
        <w:t>Genève, 27 november 2014 (</w:t>
      </w:r>
      <w:r w:rsidRPr="00027C71">
        <w:rPr>
          <w:i/>
          <w:sz w:val="18"/>
          <w:szCs w:val="18"/>
        </w:rPr>
        <w:t>Trb.</w:t>
      </w:r>
      <w:r w:rsidRPr="00027C71">
        <w:rPr>
          <w:sz w:val="18"/>
          <w:szCs w:val="18"/>
        </w:rPr>
        <w:t xml:space="preserve"> 2015, 198 en </w:t>
      </w:r>
      <w:r w:rsidRPr="00027C71">
        <w:rPr>
          <w:i/>
          <w:sz w:val="18"/>
          <w:szCs w:val="18"/>
        </w:rPr>
        <w:t xml:space="preserve">Trb. </w:t>
      </w:r>
      <w:r w:rsidRPr="00027C71">
        <w:rPr>
          <w:sz w:val="18"/>
          <w:szCs w:val="18"/>
        </w:rPr>
        <w:t>2016,</w:t>
      </w:r>
      <w:r w:rsidRPr="00027C71" w:rsidR="00647610">
        <w:rPr>
          <w:sz w:val="18"/>
          <w:szCs w:val="18"/>
        </w:rPr>
        <w:t xml:space="preserve"> 115</w:t>
      </w:r>
      <w:r w:rsidRPr="00027C71">
        <w:rPr>
          <w:sz w:val="18"/>
          <w:szCs w:val="18"/>
        </w:rPr>
        <w:t>)</w:t>
      </w:r>
    </w:p>
    <w:p w:rsidRPr="00D34FB2" w:rsidR="00771528" w:rsidP="00771528" w:rsidRDefault="00771528" w14:paraId="5EC5FA01" w14:textId="77777777">
      <w:pPr>
        <w:spacing w:line="360" w:lineRule="auto"/>
        <w:rPr>
          <w:rFonts w:cs="Times New Roman"/>
          <w:b/>
          <w:u w:val="single"/>
        </w:rPr>
      </w:pPr>
    </w:p>
    <w:p w:rsidR="00771528" w:rsidP="00771528" w:rsidRDefault="00771528" w14:paraId="5EC5FA02" w14:textId="77777777">
      <w:pPr>
        <w:spacing w:line="360" w:lineRule="auto"/>
        <w:rPr>
          <w:rFonts w:cs="Times New Roman"/>
          <w:b/>
        </w:rPr>
      </w:pPr>
      <w:r>
        <w:rPr>
          <w:rFonts w:cs="Times New Roman"/>
          <w:b/>
        </w:rPr>
        <w:t>TOELICHTENDE NOTA</w:t>
      </w:r>
      <w:r>
        <w:rPr>
          <w:rFonts w:cs="Times New Roman"/>
          <w:b/>
        </w:rPr>
        <w:br/>
      </w:r>
    </w:p>
    <w:p w:rsidRPr="00790535" w:rsidR="00771528" w:rsidP="00771528" w:rsidRDefault="00771528" w14:paraId="5EC5FA03" w14:textId="77777777">
      <w:pPr>
        <w:spacing w:line="360" w:lineRule="auto"/>
        <w:rPr>
          <w:rFonts w:cs="Times New Roman"/>
          <w:b/>
        </w:rPr>
      </w:pPr>
      <w:r>
        <w:rPr>
          <w:rFonts w:cs="Times New Roman"/>
          <w:b/>
        </w:rPr>
        <w:t xml:space="preserve">I. </w:t>
      </w:r>
      <w:r w:rsidRPr="00790535">
        <w:rPr>
          <w:rFonts w:cs="Times New Roman"/>
          <w:b/>
          <w:bCs/>
        </w:rPr>
        <w:t>Algemeen</w:t>
      </w:r>
    </w:p>
    <w:p w:rsidRPr="00D34FB2" w:rsidR="00771528" w:rsidP="00771528" w:rsidRDefault="00771528" w14:paraId="5EC5FA04" w14:textId="77777777">
      <w:pPr>
        <w:spacing w:line="360" w:lineRule="auto"/>
        <w:rPr>
          <w:rFonts w:cs="Times New Roman"/>
        </w:rPr>
      </w:pPr>
    </w:p>
    <w:p w:rsidR="00771528" w:rsidP="00771528" w:rsidRDefault="00771528" w14:paraId="5EC5FA05" w14:textId="77777777">
      <w:pPr>
        <w:spacing w:line="360" w:lineRule="auto"/>
        <w:jc w:val="both"/>
        <w:rPr>
          <w:rFonts w:cs="Times New Roman"/>
        </w:rPr>
      </w:pPr>
      <w:r>
        <w:rPr>
          <w:rFonts w:cs="Times New Roman"/>
        </w:rPr>
        <w:t>Tijdens de 9</w:t>
      </w:r>
      <w:r w:rsidRPr="00046408">
        <w:rPr>
          <w:rFonts w:cs="Times New Roman"/>
          <w:vertAlign w:val="superscript"/>
        </w:rPr>
        <w:t>e</w:t>
      </w:r>
      <w:r>
        <w:rPr>
          <w:rFonts w:cs="Times New Roman"/>
        </w:rPr>
        <w:t xml:space="preserve"> Ministeriële Conferentie van de Wereldhandelsorganisatie (WTO) in Bali, Indonesië, gehouden van 2-7 december 2013 is er een overeenkomst bereikt over handelsfacilitatie: de vereenvoudiging en harmonisatie van internationale handelsprocedures. Op 27 november 2014, heeft de Algemene Raad van de WTO een wijzigingsprotocol aangenomen, opdat de aan het Protocol gehechte “Overeenkomst inzake handelsfacilitatie” (hierna: “de Overeenkomst”) kan worden opgenomen in annex 1A van de op 15 april 1994 tot stand gekomen Overeenkomst van Marrakesh tot oprichting van de Wereldhandelsorganisatie (</w:t>
      </w:r>
      <w:r w:rsidRPr="000B6F5E">
        <w:rPr>
          <w:rFonts w:cs="Times New Roman"/>
          <w:i/>
        </w:rPr>
        <w:t>Trb</w:t>
      </w:r>
      <w:r>
        <w:rPr>
          <w:rFonts w:cs="Times New Roman"/>
        </w:rPr>
        <w:t xml:space="preserve">. 1994, 235). Annex 1A bevat de Multilaterale Overeenkomsten inzake Handel in Goederen waartoe de GATT 1994 behoort.   </w:t>
      </w:r>
    </w:p>
    <w:p w:rsidR="00771528" w:rsidP="00771528" w:rsidRDefault="00771528" w14:paraId="5EC5FA06" w14:textId="77777777">
      <w:pPr>
        <w:spacing w:line="360" w:lineRule="auto"/>
        <w:jc w:val="both"/>
        <w:rPr>
          <w:rFonts w:cs="Times New Roman"/>
        </w:rPr>
      </w:pPr>
    </w:p>
    <w:p w:rsidR="00771528" w:rsidP="00771528" w:rsidRDefault="00771528" w14:paraId="5EC5FA07" w14:textId="22A7A821">
      <w:pPr>
        <w:spacing w:line="360" w:lineRule="auto"/>
        <w:jc w:val="both"/>
        <w:rPr>
          <w:rFonts w:cs="Times New Roman"/>
        </w:rPr>
      </w:pPr>
      <w:r>
        <w:rPr>
          <w:rFonts w:cs="Times New Roman"/>
        </w:rPr>
        <w:t xml:space="preserve">Het Protocol – inclusief de Overeenkomst - zal, zodra het ingevolge punt 4 van het Protocol juncto artikel X, derde lid, van de WTO-oprichtingsovereenkomst van 1994 na aanvaarding door twee derden van de leden in werking is getreden,  onderdeel uitmaken van het WTO-acquis. De WTO-leden die het Protocol nog niet hebben aanvaard op het moment van inwerkingtreding, worden daarom geacht zich alsnog te binden. Wanneer die WTO-leden het Protocol niet aanvaarden kan hun positie binnen de WTO, conform hetzelfde artikel van de WTO-oprichtingsovereenkomst, aan de orde worden gesteld. Tot nu hebben </w:t>
      </w:r>
      <w:r w:rsidR="001C27ED">
        <w:rPr>
          <w:rFonts w:cs="Times New Roman"/>
        </w:rPr>
        <w:t>90</w:t>
      </w:r>
      <w:r w:rsidR="00633ED9">
        <w:rPr>
          <w:rFonts w:cs="Times New Roman"/>
        </w:rPr>
        <w:t xml:space="preserve"> </w:t>
      </w:r>
      <w:r>
        <w:rPr>
          <w:rFonts w:cs="Times New Roman"/>
        </w:rPr>
        <w:t xml:space="preserve"> leden (</w:t>
      </w:r>
      <w:r w:rsidR="00633ED9">
        <w:rPr>
          <w:rFonts w:cs="Times New Roman"/>
        </w:rPr>
        <w:t>waaronder de Europese Unie</w:t>
      </w:r>
      <w:r w:rsidR="001C27ED">
        <w:rPr>
          <w:rFonts w:cs="Times New Roman"/>
        </w:rPr>
        <w:t>, namens de 28 EU-lidstaten</w:t>
      </w:r>
      <w:r>
        <w:rPr>
          <w:rFonts w:cs="Times New Roman"/>
        </w:rPr>
        <w:t xml:space="preserve">) het Protocol aanvaard. </w:t>
      </w:r>
    </w:p>
    <w:p w:rsidR="00771528" w:rsidP="00771528" w:rsidRDefault="00771528" w14:paraId="5EC5FA08" w14:textId="77777777">
      <w:pPr>
        <w:spacing w:line="360" w:lineRule="auto"/>
        <w:rPr>
          <w:rFonts w:cs="Times New Roman"/>
        </w:rPr>
      </w:pPr>
    </w:p>
    <w:p w:rsidR="00771528" w:rsidP="00771528" w:rsidRDefault="00771528" w14:paraId="5EC5FA09" w14:textId="77777777">
      <w:pPr>
        <w:spacing w:line="360" w:lineRule="auto"/>
        <w:jc w:val="both"/>
        <w:rPr>
          <w:rFonts w:cs="Times New Roman"/>
        </w:rPr>
      </w:pPr>
      <w:r>
        <w:rPr>
          <w:rFonts w:cs="Times New Roman"/>
        </w:rPr>
        <w:t>De Overeenkomst heeft als doel om de bestaande artikelen V, VIII en X van het GATT 1994 te verbeteren en te verduidelijken. Dit zijn de bepalingen in de GATT-overeenkomst die toezien op de vrijheid van doorvoer (art V), de vergoedingen die door grensautoriteiten worden gevraagd, de kosten die gemoeid zijn met grensformaliteiten, de strafmaat voor overtredingen in grensprocedures (art VIII) en bepalingen die toezien op transparantie en voorspelbaarheid van handelsprocedures (art X). Daarnaast worden er afspraken gemaakt over samenwerking tussen douaneautoriteiten via onder meer gegevensuitwisseling en fraudebestrijding.</w:t>
      </w:r>
    </w:p>
    <w:p w:rsidR="00771528" w:rsidP="00771528" w:rsidRDefault="00771528" w14:paraId="5EC5FA0A" w14:textId="77777777">
      <w:pPr>
        <w:spacing w:line="360" w:lineRule="auto"/>
        <w:jc w:val="both"/>
        <w:rPr>
          <w:rFonts w:cs="Times New Roman"/>
        </w:rPr>
      </w:pPr>
    </w:p>
    <w:p w:rsidR="00771528" w:rsidP="00771528" w:rsidRDefault="00771528" w14:paraId="5EC5FA0B" w14:textId="77777777">
      <w:pPr>
        <w:spacing w:line="360" w:lineRule="auto"/>
        <w:jc w:val="both"/>
        <w:rPr>
          <w:rFonts w:cs="Times New Roman"/>
        </w:rPr>
      </w:pPr>
      <w:r>
        <w:rPr>
          <w:rFonts w:cs="Times New Roman"/>
        </w:rPr>
        <w:t xml:space="preserve">De Overeenkomst bevat drie delen. Deel I bevat de inhoudelijke bepalingen over handelsfacilitatie. Deze worden in paragraaf II.2 van deze nota nader toegelicht. Deel II bevat bepalingen over speciale en gedifferentieerde behandeling van ontwikkelingslanden. Deze landen krijgen in de Overeenkomst meer tijd of hebben recht op technische assistentie voordat zij gebonden zijn aan de inhoudelijke bepalingen uit deel I. Deel III bevat de institutionele bepalingen waarin een handelsfacilitatiecomité bij het WTO wordt opgericht met als taak om toe te zien op de werking en de implementatie van de Overeenkomst. </w:t>
      </w:r>
    </w:p>
    <w:p w:rsidR="00771528" w:rsidP="00771528" w:rsidRDefault="00771528" w14:paraId="5EC5FA0C" w14:textId="77777777">
      <w:pPr>
        <w:spacing w:line="360" w:lineRule="auto"/>
        <w:jc w:val="both"/>
        <w:rPr>
          <w:rFonts w:cs="Times New Roman"/>
          <w:highlight w:val="yellow"/>
        </w:rPr>
      </w:pPr>
    </w:p>
    <w:p w:rsidR="00027C71" w:rsidP="00771528" w:rsidRDefault="00771528" w14:paraId="5EC5FA0D" w14:textId="4A2BAC62">
      <w:pPr>
        <w:spacing w:line="360" w:lineRule="auto"/>
        <w:jc w:val="both"/>
        <w:rPr>
          <w:rFonts w:cs="Times New Roman"/>
        </w:rPr>
      </w:pPr>
      <w:r>
        <w:rPr>
          <w:rFonts w:cs="Times New Roman"/>
        </w:rPr>
        <w:t xml:space="preserve">De WTO oprichtingsovereenkomst is in 1995 aanvaard voor het gehele Koninkrijk. </w:t>
      </w:r>
    </w:p>
    <w:p w:rsidR="00027C71" w:rsidRDefault="00027C71" w14:paraId="0880FE40" w14:textId="77777777">
      <w:pPr>
        <w:spacing w:after="200" w:line="240" w:lineRule="auto"/>
        <w:rPr>
          <w:rFonts w:cs="Times New Roman"/>
        </w:rPr>
      </w:pPr>
      <w:r>
        <w:rPr>
          <w:rFonts w:cs="Times New Roman"/>
        </w:rPr>
        <w:br w:type="page"/>
      </w:r>
    </w:p>
    <w:p w:rsidRPr="00384B29" w:rsidR="00771528" w:rsidP="00771528" w:rsidRDefault="00771528" w14:paraId="5EC5FA0E" w14:textId="2A97F03B">
      <w:pPr>
        <w:spacing w:line="360" w:lineRule="auto"/>
        <w:jc w:val="both"/>
        <w:rPr>
          <w:rFonts w:cs="Times New Roman"/>
        </w:rPr>
      </w:pPr>
      <w:r>
        <w:rPr>
          <w:rFonts w:cs="Times New Roman"/>
        </w:rPr>
        <w:lastRenderedPageBreak/>
        <w:t xml:space="preserve">Voor het Europese deel van het Koninkrijk </w:t>
      </w:r>
      <w:r w:rsidR="00CA3BCB">
        <w:rPr>
          <w:rFonts w:cs="Times New Roman"/>
        </w:rPr>
        <w:t xml:space="preserve">is </w:t>
      </w:r>
      <w:r>
        <w:rPr>
          <w:rFonts w:cs="Times New Roman"/>
        </w:rPr>
        <w:t>een Europese goedkeuringsprocedure doorlopen. De Overeenkomst valt onder het gemeenschappelijke handelsbeleid en is daarmee exclusieve bevoegdheid van de Europese Unie o.b.v. artikel 2017(4) jo artikel 218(</w:t>
      </w:r>
      <w:r w:rsidRPr="00856915">
        <w:rPr>
          <w:rFonts w:cs="Times New Roman"/>
        </w:rPr>
        <w:t xml:space="preserve">6) van </w:t>
      </w:r>
      <w:r>
        <w:rPr>
          <w:rFonts w:cs="Times New Roman"/>
        </w:rPr>
        <w:t>het Verdrag</w:t>
      </w:r>
      <w:r w:rsidRPr="00856915">
        <w:rPr>
          <w:rFonts w:cs="Times New Roman"/>
        </w:rPr>
        <w:t xml:space="preserve"> betreffende de werking van de Europese Unie. </w:t>
      </w:r>
      <w:r>
        <w:rPr>
          <w:rFonts w:cs="Times New Roman"/>
        </w:rPr>
        <w:t>Europees Nederland zal dus aan de Overeenkomst worden gebonden</w:t>
      </w:r>
      <w:r w:rsidRPr="00B77133">
        <w:rPr>
          <w:rFonts w:cs="Times New Roman"/>
        </w:rPr>
        <w:t xml:space="preserve"> </w:t>
      </w:r>
      <w:r>
        <w:rPr>
          <w:rFonts w:cs="Times New Roman"/>
        </w:rPr>
        <w:t>via de EU. De Overeenkomst</w:t>
      </w:r>
      <w:r w:rsidRPr="00703CFE">
        <w:rPr>
          <w:rFonts w:cs="Times New Roman"/>
        </w:rPr>
        <w:t xml:space="preserve"> wordt </w:t>
      </w:r>
      <w:r>
        <w:rPr>
          <w:rFonts w:cs="Times New Roman"/>
        </w:rPr>
        <w:t xml:space="preserve">daarom alleen ter </w:t>
      </w:r>
      <w:r w:rsidRPr="00703CFE">
        <w:rPr>
          <w:rFonts w:cs="Times New Roman"/>
        </w:rPr>
        <w:t xml:space="preserve">parlementaire goedkeuring </w:t>
      </w:r>
      <w:r>
        <w:rPr>
          <w:rFonts w:cs="Times New Roman"/>
        </w:rPr>
        <w:t>voorgeleg</w:t>
      </w:r>
      <w:r w:rsidRPr="00703CFE">
        <w:rPr>
          <w:rFonts w:cs="Times New Roman"/>
        </w:rPr>
        <w:t xml:space="preserve">d voor </w:t>
      </w:r>
      <w:r>
        <w:rPr>
          <w:rFonts w:cs="Times New Roman"/>
        </w:rPr>
        <w:t xml:space="preserve">Caribisch Nederland en voor </w:t>
      </w:r>
      <w:r w:rsidRPr="00384B29">
        <w:rPr>
          <w:rFonts w:cs="Times New Roman"/>
        </w:rPr>
        <w:t xml:space="preserve">Aruba, Curaçao en Sint-Maarten. </w:t>
      </w:r>
    </w:p>
    <w:p w:rsidRPr="00286E9F" w:rsidR="00771528" w:rsidP="00771528" w:rsidRDefault="00771528" w14:paraId="5EC5FA0F" w14:textId="77777777">
      <w:pPr>
        <w:spacing w:line="360" w:lineRule="auto"/>
        <w:rPr>
          <w:rFonts w:cs="Times New Roman"/>
          <w:highlight w:val="yellow"/>
        </w:rPr>
      </w:pPr>
    </w:p>
    <w:p w:rsidRPr="00107DC6" w:rsidR="00771528" w:rsidP="00771528" w:rsidRDefault="00771528" w14:paraId="5EC5FA10" w14:textId="77777777">
      <w:pPr>
        <w:spacing w:line="360" w:lineRule="auto"/>
        <w:rPr>
          <w:rFonts w:cs="Times New Roman"/>
          <w:b/>
        </w:rPr>
      </w:pPr>
      <w:r w:rsidRPr="00107DC6">
        <w:rPr>
          <w:rFonts w:cs="Times New Roman"/>
          <w:b/>
        </w:rPr>
        <w:t>II.1 De wijziging van het WTO-acquis</w:t>
      </w:r>
    </w:p>
    <w:p w:rsidRPr="00107DC6" w:rsidR="00771528" w:rsidP="00771528" w:rsidRDefault="00771528" w14:paraId="5EC5FA11" w14:textId="77777777">
      <w:pPr>
        <w:spacing w:line="360" w:lineRule="auto"/>
        <w:rPr>
          <w:rFonts w:cs="Times New Roman"/>
        </w:rPr>
      </w:pPr>
    </w:p>
    <w:p w:rsidRPr="00286E9F" w:rsidR="00771528" w:rsidP="00771528" w:rsidRDefault="00771528" w14:paraId="5EC5FA12" w14:textId="77777777">
      <w:pPr>
        <w:spacing w:line="360" w:lineRule="auto"/>
        <w:jc w:val="both"/>
        <w:rPr>
          <w:rFonts w:cs="Times New Roman"/>
          <w:highlight w:val="yellow"/>
        </w:rPr>
      </w:pPr>
      <w:r>
        <w:rPr>
          <w:rFonts w:cs="Times New Roman"/>
        </w:rPr>
        <w:t>De Overeenkomst</w:t>
      </w:r>
      <w:r w:rsidRPr="00107DC6">
        <w:rPr>
          <w:rFonts w:cs="Times New Roman"/>
        </w:rPr>
        <w:t xml:space="preserve"> maakt deel uit van de huidige WTO onderhandelingsronde die in november 2001 van start is gegaan. Deze ronde wordt ook wel de Doha ontwikkelingsronde genoemd. De traditionele focus van WTO-onderhandelingen ligt op de invoertarieven. Naast invoerrechten, zijn veel kosten in het internationale handelsverkeer gemoeid met de procedures en regelgeving. D</w:t>
      </w:r>
      <w:r>
        <w:rPr>
          <w:rFonts w:cs="Times New Roman"/>
        </w:rPr>
        <w:t>eze Overeenkomst</w:t>
      </w:r>
      <w:r w:rsidRPr="00107DC6">
        <w:rPr>
          <w:rFonts w:cs="Times New Roman"/>
        </w:rPr>
        <w:t xml:space="preserve"> probeert deze procedures en regelgeving internationaal te harmoniseren en </w:t>
      </w:r>
      <w:r>
        <w:rPr>
          <w:rFonts w:cs="Times New Roman"/>
        </w:rPr>
        <w:t xml:space="preserve">te </w:t>
      </w:r>
      <w:r w:rsidRPr="00107DC6">
        <w:rPr>
          <w:rFonts w:cs="Times New Roman"/>
        </w:rPr>
        <w:t>stroomlijnen om deze kosten te verkleinen. Aangezien de knelpunten op dit terrein het grootste zijn in ontwikkelingslanden, blijkt uit berekeningen van de OESO dat twee</w:t>
      </w:r>
      <w:r>
        <w:rPr>
          <w:rFonts w:cs="Times New Roman"/>
        </w:rPr>
        <w:t xml:space="preserve"> </w:t>
      </w:r>
      <w:r w:rsidRPr="00107DC6">
        <w:rPr>
          <w:rFonts w:cs="Times New Roman"/>
        </w:rPr>
        <w:t xml:space="preserve">derde van de baten van </w:t>
      </w:r>
      <w:r>
        <w:rPr>
          <w:rFonts w:cs="Times New Roman"/>
        </w:rPr>
        <w:t>deze Overeenkomst</w:t>
      </w:r>
      <w:r w:rsidRPr="00107DC6">
        <w:rPr>
          <w:rFonts w:cs="Times New Roman"/>
        </w:rPr>
        <w:t xml:space="preserve"> ten goede komen aan ontwikkelingslanden. Voor de implementatie van </w:t>
      </w:r>
      <w:r>
        <w:rPr>
          <w:rFonts w:cs="Times New Roman"/>
        </w:rPr>
        <w:t>de Overeenkomst</w:t>
      </w:r>
      <w:r w:rsidRPr="00107DC6">
        <w:rPr>
          <w:rFonts w:cs="Times New Roman"/>
        </w:rPr>
        <w:t xml:space="preserve"> hebben juist ontwikkelingslanden</w:t>
      </w:r>
      <w:r>
        <w:rPr>
          <w:rFonts w:cs="Times New Roman"/>
        </w:rPr>
        <w:t xml:space="preserve"> echter</w:t>
      </w:r>
      <w:r w:rsidRPr="00107DC6">
        <w:rPr>
          <w:rFonts w:cs="Times New Roman"/>
        </w:rPr>
        <w:t xml:space="preserve"> tijd en technische assistentie nodig. Daarom zijn bijzondere bepalingen in </w:t>
      </w:r>
      <w:r>
        <w:rPr>
          <w:rFonts w:cs="Times New Roman"/>
        </w:rPr>
        <w:t>de Overeenkomst</w:t>
      </w:r>
      <w:r w:rsidRPr="00107DC6">
        <w:rPr>
          <w:rFonts w:cs="Times New Roman"/>
        </w:rPr>
        <w:t xml:space="preserve"> opgenomen </w:t>
      </w:r>
      <w:r w:rsidRPr="004A17EB">
        <w:rPr>
          <w:rFonts w:cs="Times New Roman"/>
        </w:rPr>
        <w:t xml:space="preserve">waarmee ontwikkelingslanden zelf het tempo kunnen bepalen waarin </w:t>
      </w:r>
      <w:r>
        <w:rPr>
          <w:rFonts w:cs="Times New Roman"/>
        </w:rPr>
        <w:t>de Overeenkomst</w:t>
      </w:r>
      <w:r w:rsidRPr="004A17EB">
        <w:rPr>
          <w:rFonts w:cs="Times New Roman"/>
        </w:rPr>
        <w:t xml:space="preserve"> voor hen bindend wordt. </w:t>
      </w:r>
      <w:r>
        <w:rPr>
          <w:rFonts w:cs="Times New Roman"/>
        </w:rPr>
        <w:t>De</w:t>
      </w:r>
      <w:r w:rsidRPr="004A17EB">
        <w:rPr>
          <w:rFonts w:cs="Times New Roman"/>
        </w:rPr>
        <w:t xml:space="preserve"> WTO-</w:t>
      </w:r>
      <w:r>
        <w:rPr>
          <w:rFonts w:cs="Times New Roman"/>
        </w:rPr>
        <w:t>overeenkomst</w:t>
      </w:r>
      <w:r w:rsidRPr="004A17EB">
        <w:rPr>
          <w:rFonts w:cs="Times New Roman"/>
        </w:rPr>
        <w:t xml:space="preserve"> is niet </w:t>
      </w:r>
      <w:r>
        <w:rPr>
          <w:rFonts w:cs="Times New Roman"/>
        </w:rPr>
        <w:t>de</w:t>
      </w:r>
      <w:r w:rsidRPr="004A17EB">
        <w:rPr>
          <w:rFonts w:cs="Times New Roman"/>
        </w:rPr>
        <w:t xml:space="preserve"> eerste </w:t>
      </w:r>
      <w:r>
        <w:rPr>
          <w:rFonts w:cs="Times New Roman"/>
        </w:rPr>
        <w:t>overeenkomst</w:t>
      </w:r>
      <w:r w:rsidRPr="004A17EB">
        <w:rPr>
          <w:rFonts w:cs="Times New Roman"/>
        </w:rPr>
        <w:t xml:space="preserve"> over handelsfacilitatie; zo is Nederland in het kader van de Werelddouaneorganisatie ook gebonden aan de </w:t>
      </w:r>
      <w:r>
        <w:rPr>
          <w:rFonts w:cs="Times New Roman"/>
        </w:rPr>
        <w:t>h</w:t>
      </w:r>
      <w:r w:rsidRPr="004A17EB">
        <w:rPr>
          <w:rFonts w:cs="Times New Roman"/>
        </w:rPr>
        <w:t xml:space="preserve">erziene Kyoto Conventie over handelsfacilitatie. Het verschil met dat </w:t>
      </w:r>
      <w:r>
        <w:rPr>
          <w:rFonts w:cs="Times New Roman"/>
        </w:rPr>
        <w:t>verdrag</w:t>
      </w:r>
      <w:r w:rsidRPr="004A17EB">
        <w:rPr>
          <w:rFonts w:cs="Times New Roman"/>
        </w:rPr>
        <w:t xml:space="preserve"> is dat </w:t>
      </w:r>
      <w:r>
        <w:rPr>
          <w:rFonts w:cs="Times New Roman"/>
        </w:rPr>
        <w:t>de</w:t>
      </w:r>
      <w:r w:rsidRPr="004A17EB">
        <w:rPr>
          <w:rFonts w:cs="Times New Roman"/>
        </w:rPr>
        <w:t xml:space="preserve"> WTO-</w:t>
      </w:r>
      <w:r>
        <w:rPr>
          <w:rFonts w:cs="Times New Roman"/>
        </w:rPr>
        <w:t>overeenkomst</w:t>
      </w:r>
      <w:r w:rsidRPr="004A17EB">
        <w:rPr>
          <w:rFonts w:cs="Times New Roman"/>
        </w:rPr>
        <w:t xml:space="preserve"> toeziet op alle andere grensautoriteiten naast de douane</w:t>
      </w:r>
      <w:r>
        <w:rPr>
          <w:rFonts w:cs="Times New Roman"/>
        </w:rPr>
        <w:t xml:space="preserve">, zoals de NVWA en de Inspectie Leefomgeving en Transport </w:t>
      </w:r>
      <w:r w:rsidRPr="004A17EB">
        <w:rPr>
          <w:rFonts w:cs="Times New Roman"/>
        </w:rPr>
        <w:t xml:space="preserve">en dat </w:t>
      </w:r>
      <w:r>
        <w:rPr>
          <w:rFonts w:cs="Times New Roman"/>
        </w:rPr>
        <w:t>de Overeenkomst</w:t>
      </w:r>
      <w:r w:rsidRPr="004A17EB">
        <w:rPr>
          <w:rFonts w:cs="Times New Roman"/>
        </w:rPr>
        <w:t xml:space="preserve"> kan worden afgedwongen via het WTO geschillenbeslechtingsmechanisme.</w:t>
      </w:r>
    </w:p>
    <w:p w:rsidRPr="00286E9F" w:rsidR="00771528" w:rsidP="00771528" w:rsidRDefault="00771528" w14:paraId="5EC5FA13" w14:textId="77777777">
      <w:pPr>
        <w:spacing w:line="360" w:lineRule="auto"/>
        <w:rPr>
          <w:rFonts w:cs="Times New Roman"/>
          <w:highlight w:val="yellow"/>
        </w:rPr>
      </w:pPr>
    </w:p>
    <w:p w:rsidR="00771528" w:rsidP="00771528" w:rsidRDefault="00771528" w14:paraId="5EC5FA14" w14:textId="77777777">
      <w:pPr>
        <w:spacing w:line="360" w:lineRule="auto"/>
        <w:rPr>
          <w:rFonts w:cs="Times New Roman"/>
          <w:b/>
          <w:bCs/>
        </w:rPr>
      </w:pPr>
      <w:r w:rsidRPr="004051FF">
        <w:rPr>
          <w:rFonts w:cs="Times New Roman"/>
          <w:b/>
          <w:bCs/>
        </w:rPr>
        <w:t>II.2 Artikelsgewijze toelichting</w:t>
      </w:r>
    </w:p>
    <w:p w:rsidR="00771528" w:rsidP="00771528" w:rsidRDefault="00771528" w14:paraId="5EC5FA15" w14:textId="77777777">
      <w:pPr>
        <w:spacing w:line="360" w:lineRule="auto"/>
        <w:rPr>
          <w:rFonts w:cs="Times New Roman"/>
          <w:b/>
          <w:bCs/>
        </w:rPr>
      </w:pPr>
    </w:p>
    <w:p w:rsidR="00771528" w:rsidP="00771528" w:rsidRDefault="00771528" w14:paraId="5EC5FA16" w14:textId="77777777">
      <w:pPr>
        <w:spacing w:line="360" w:lineRule="auto"/>
        <w:rPr>
          <w:rFonts w:cs="Times New Roman"/>
          <w:bCs/>
        </w:rPr>
      </w:pPr>
      <w:r w:rsidRPr="00775AC2">
        <w:rPr>
          <w:rFonts w:cs="Times New Roman"/>
          <w:bCs/>
        </w:rPr>
        <w:t>Hieronder volgt een artikelsgewijze toelich</w:t>
      </w:r>
      <w:r>
        <w:rPr>
          <w:rFonts w:cs="Times New Roman"/>
          <w:bCs/>
        </w:rPr>
        <w:t>t</w:t>
      </w:r>
      <w:r w:rsidRPr="00775AC2">
        <w:rPr>
          <w:rFonts w:cs="Times New Roman"/>
          <w:bCs/>
        </w:rPr>
        <w:t xml:space="preserve">ing </w:t>
      </w:r>
      <w:r>
        <w:rPr>
          <w:rFonts w:cs="Times New Roman"/>
          <w:bCs/>
        </w:rPr>
        <w:t>op</w:t>
      </w:r>
      <w:r w:rsidRPr="00775AC2">
        <w:rPr>
          <w:rFonts w:cs="Times New Roman"/>
          <w:bCs/>
        </w:rPr>
        <w:t xml:space="preserve"> </w:t>
      </w:r>
      <w:r>
        <w:rPr>
          <w:rFonts w:cs="Times New Roman"/>
          <w:bCs/>
        </w:rPr>
        <w:t>de Overeenkomst. Deel I bevat</w:t>
      </w:r>
      <w:r w:rsidRPr="00775AC2">
        <w:rPr>
          <w:rFonts w:cs="Times New Roman"/>
          <w:bCs/>
        </w:rPr>
        <w:t xml:space="preserve"> de inhoudelijke bepalingen</w:t>
      </w:r>
      <w:r>
        <w:rPr>
          <w:rFonts w:cs="Times New Roman"/>
          <w:bCs/>
        </w:rPr>
        <w:t xml:space="preserve">. </w:t>
      </w:r>
      <w:r w:rsidRPr="00775AC2">
        <w:rPr>
          <w:rFonts w:cs="Times New Roman"/>
          <w:bCs/>
        </w:rPr>
        <w:t xml:space="preserve">Deel II en III </w:t>
      </w:r>
      <w:r>
        <w:rPr>
          <w:rFonts w:cs="Times New Roman"/>
          <w:bCs/>
        </w:rPr>
        <w:t xml:space="preserve">bevatten </w:t>
      </w:r>
      <w:r w:rsidRPr="00775AC2">
        <w:rPr>
          <w:rFonts w:cs="Times New Roman"/>
          <w:bCs/>
        </w:rPr>
        <w:t xml:space="preserve">respectievelijk de bijzondere voorwaarden voor ontwikkelingslanden en de institutionele bepalingen ten aanzien van de werking van </w:t>
      </w:r>
      <w:r>
        <w:rPr>
          <w:rFonts w:cs="Times New Roman"/>
          <w:bCs/>
        </w:rPr>
        <w:t>de Overeenkomst</w:t>
      </w:r>
      <w:r w:rsidRPr="00775AC2">
        <w:rPr>
          <w:rFonts w:cs="Times New Roman"/>
          <w:bCs/>
        </w:rPr>
        <w:t>.</w:t>
      </w:r>
    </w:p>
    <w:p w:rsidRPr="00775AC2" w:rsidR="00771528" w:rsidP="00771528" w:rsidRDefault="00771528" w14:paraId="5EC5FA17" w14:textId="77777777">
      <w:pPr>
        <w:spacing w:line="360" w:lineRule="auto"/>
        <w:rPr>
          <w:rFonts w:cs="Times New Roman"/>
          <w:bCs/>
        </w:rPr>
      </w:pPr>
    </w:p>
    <w:p w:rsidRPr="00273191" w:rsidR="00771528" w:rsidP="00771528" w:rsidRDefault="00771528" w14:paraId="5EC5FA18" w14:textId="77777777">
      <w:pPr>
        <w:spacing w:line="360" w:lineRule="auto"/>
        <w:rPr>
          <w:rFonts w:cs="Times New Roman"/>
          <w:i/>
          <w:iCs/>
        </w:rPr>
      </w:pPr>
      <w:r w:rsidRPr="00273191">
        <w:rPr>
          <w:rFonts w:cs="Times New Roman"/>
          <w:i/>
          <w:iCs/>
        </w:rPr>
        <w:t>Deel I</w:t>
      </w:r>
    </w:p>
    <w:p w:rsidRPr="004051FF" w:rsidR="00771528" w:rsidP="00771528" w:rsidRDefault="00771528" w14:paraId="5EC5FA19" w14:textId="77777777">
      <w:pPr>
        <w:spacing w:line="360" w:lineRule="auto"/>
        <w:jc w:val="both"/>
        <w:rPr>
          <w:rFonts w:cs="Times New Roman"/>
          <w:b/>
          <w:iCs/>
        </w:rPr>
      </w:pPr>
      <w:r w:rsidRPr="004051FF">
        <w:rPr>
          <w:rFonts w:cs="Times New Roman"/>
          <w:b/>
          <w:iCs/>
        </w:rPr>
        <w:t>Artikel 1 Publicatie en beschikbaarheid van informatie</w:t>
      </w:r>
    </w:p>
    <w:p w:rsidRPr="004051FF" w:rsidR="00771528" w:rsidP="00771528" w:rsidRDefault="00771528" w14:paraId="5EC5FA1A" w14:textId="77777777">
      <w:pPr>
        <w:spacing w:line="360" w:lineRule="auto"/>
        <w:jc w:val="both"/>
        <w:rPr>
          <w:rFonts w:cs="Times New Roman"/>
        </w:rPr>
      </w:pPr>
      <w:r w:rsidRPr="004051FF">
        <w:rPr>
          <w:rFonts w:cs="Times New Roman"/>
        </w:rPr>
        <w:t>Alle procedures, wetgeving, informatie over tarieven, quota’s, vergoedingen, beperkingen, verboden, bezwaar- en beroepsprocedures en andere informatie gerelateerd aan in-, uit- of doorvoer dien</w:t>
      </w:r>
      <w:r>
        <w:rPr>
          <w:rFonts w:cs="Times New Roman"/>
        </w:rPr>
        <w:t>en</w:t>
      </w:r>
      <w:r w:rsidRPr="004051FF">
        <w:rPr>
          <w:rFonts w:cs="Times New Roman"/>
        </w:rPr>
        <w:t xml:space="preserve"> (mede via internet) beschikbaar te worden gesteld aan de handel. Er dient een nationaal contactpunt in het leven te worden geroepen voor vragen vanuit de handel. </w:t>
      </w:r>
    </w:p>
    <w:p w:rsidRPr="004051FF" w:rsidR="00771528" w:rsidP="00771528" w:rsidRDefault="00771528" w14:paraId="5EC5FA1B" w14:textId="77777777">
      <w:pPr>
        <w:spacing w:line="360" w:lineRule="auto"/>
        <w:jc w:val="both"/>
        <w:rPr>
          <w:rFonts w:cs="Times New Roman"/>
        </w:rPr>
      </w:pPr>
    </w:p>
    <w:p w:rsidRPr="004051FF" w:rsidR="00771528" w:rsidP="00771528" w:rsidRDefault="00771528" w14:paraId="5EC5FA1C" w14:textId="23FB7B08">
      <w:pPr>
        <w:spacing w:line="360" w:lineRule="auto"/>
        <w:jc w:val="both"/>
        <w:rPr>
          <w:rFonts w:cs="Times New Roman"/>
          <w:b/>
          <w:iCs/>
        </w:rPr>
      </w:pPr>
      <w:r w:rsidRPr="004051FF">
        <w:rPr>
          <w:rFonts w:cs="Times New Roman"/>
          <w:b/>
          <w:iCs/>
        </w:rPr>
        <w:t xml:space="preserve">Artikel 2 </w:t>
      </w:r>
      <w:r w:rsidR="00E80CFA">
        <w:rPr>
          <w:rFonts w:cs="Times New Roman"/>
          <w:b/>
          <w:iCs/>
        </w:rPr>
        <w:t xml:space="preserve">Gelegenheid te reageren, informatie vóór inwerkintreding en overleg </w:t>
      </w:r>
    </w:p>
    <w:p w:rsidR="00771528" w:rsidP="00C862AA" w:rsidRDefault="00771528" w14:paraId="5EC5FA1D" w14:textId="2EBCA035">
      <w:pPr>
        <w:spacing w:line="360" w:lineRule="auto"/>
        <w:jc w:val="both"/>
        <w:rPr>
          <w:rFonts w:cs="Times New Roman"/>
          <w:b/>
        </w:rPr>
      </w:pPr>
      <w:r w:rsidRPr="004051FF">
        <w:rPr>
          <w:rFonts w:cs="Times New Roman"/>
        </w:rPr>
        <w:t xml:space="preserve">Nieuwe wet- en regelgeving op dit terrein zal zo snel mogelijk </w:t>
      </w:r>
      <w:r w:rsidR="00E352ED">
        <w:rPr>
          <w:rFonts w:cs="Times New Roman"/>
        </w:rPr>
        <w:t>bekend</w:t>
      </w:r>
      <w:r w:rsidRPr="004051FF">
        <w:rPr>
          <w:rFonts w:cs="Times New Roman"/>
        </w:rPr>
        <w:t xml:space="preserve"> worden gemaakt en waar mogelijk krijgen handelaren en andere belanghebbenden voor de inwerkingtreding </w:t>
      </w:r>
      <w:r>
        <w:rPr>
          <w:rFonts w:cs="Times New Roman"/>
        </w:rPr>
        <w:t xml:space="preserve">de </w:t>
      </w:r>
      <w:r w:rsidRPr="004051FF">
        <w:rPr>
          <w:rFonts w:cs="Times New Roman"/>
        </w:rPr>
        <w:t>mogelijkheid om commentaar te leveren. Er dient een regulier overleg plaats te vinden tussen grensa</w:t>
      </w:r>
      <w:r w:rsidR="000D1519">
        <w:rPr>
          <w:rFonts w:cs="Times New Roman"/>
        </w:rPr>
        <w:t>gentschapp</w:t>
      </w:r>
      <w:r w:rsidRPr="004051FF">
        <w:rPr>
          <w:rFonts w:cs="Times New Roman"/>
        </w:rPr>
        <w:t>en, handelaren en overige belanghebbenden.</w:t>
      </w:r>
      <w:r>
        <w:rPr>
          <w:rFonts w:cs="Times New Roman"/>
          <w:b/>
        </w:rPr>
        <w:br w:type="page"/>
      </w:r>
    </w:p>
    <w:p w:rsidRPr="004051FF" w:rsidR="00771528" w:rsidP="00771528" w:rsidRDefault="00771528" w14:paraId="5EC5FA1E" w14:textId="18AE6F8A">
      <w:pPr>
        <w:spacing w:line="360" w:lineRule="auto"/>
        <w:jc w:val="both"/>
        <w:rPr>
          <w:rFonts w:cs="Times New Roman"/>
          <w:b/>
        </w:rPr>
      </w:pPr>
      <w:r w:rsidRPr="004051FF">
        <w:rPr>
          <w:rFonts w:cs="Times New Roman"/>
          <w:b/>
        </w:rPr>
        <w:lastRenderedPageBreak/>
        <w:t xml:space="preserve">Artikel 3 </w:t>
      </w:r>
      <w:r w:rsidR="00117778">
        <w:rPr>
          <w:rFonts w:cs="Times New Roman"/>
          <w:b/>
        </w:rPr>
        <w:t>Voorafgaande besluiten</w:t>
      </w:r>
    </w:p>
    <w:p w:rsidR="00771528" w:rsidP="00771528" w:rsidRDefault="00771528" w14:paraId="5EC5FA1F" w14:textId="76F9CCFF">
      <w:pPr>
        <w:spacing w:line="360" w:lineRule="auto"/>
        <w:jc w:val="both"/>
        <w:rPr>
          <w:rFonts w:cs="Times New Roman"/>
          <w:b/>
          <w:iCs/>
        </w:rPr>
      </w:pPr>
      <w:r>
        <w:rPr>
          <w:rFonts w:cs="Times New Roman"/>
        </w:rPr>
        <w:t>H</w:t>
      </w:r>
      <w:r w:rsidRPr="004051FF">
        <w:rPr>
          <w:rFonts w:cs="Times New Roman"/>
        </w:rPr>
        <w:t xml:space="preserve">andelaren </w:t>
      </w:r>
      <w:r>
        <w:rPr>
          <w:rFonts w:cs="Times New Roman"/>
        </w:rPr>
        <w:t xml:space="preserve">kunnen </w:t>
      </w:r>
      <w:r w:rsidR="001C1F1C">
        <w:rPr>
          <w:rFonts w:cs="Times New Roman"/>
        </w:rPr>
        <w:t xml:space="preserve">voorafgaande besluiten </w:t>
      </w:r>
      <w:r w:rsidRPr="004051FF">
        <w:rPr>
          <w:rFonts w:cs="Times New Roman"/>
        </w:rPr>
        <w:t>ten aanzien van douanetarief en oorsprong aanvragen.</w:t>
      </w:r>
      <w:r>
        <w:rPr>
          <w:rFonts w:cs="Times New Roman"/>
        </w:rPr>
        <w:t xml:space="preserve"> Dit geeft handelaren meer zekerheid over de tarieven die zij bij invoer moeten betalen.</w:t>
      </w:r>
    </w:p>
    <w:p w:rsidR="00771528" w:rsidP="00771528" w:rsidRDefault="00771528" w14:paraId="5EC5FA20" w14:textId="77777777">
      <w:pPr>
        <w:spacing w:line="360" w:lineRule="auto"/>
        <w:jc w:val="both"/>
        <w:rPr>
          <w:rFonts w:cs="Times New Roman"/>
          <w:b/>
          <w:iCs/>
        </w:rPr>
      </w:pPr>
    </w:p>
    <w:p w:rsidRPr="004A17EB" w:rsidR="00771528" w:rsidP="00771528" w:rsidRDefault="00771528" w14:paraId="5EC5FA21" w14:textId="77777777">
      <w:pPr>
        <w:spacing w:line="360" w:lineRule="auto"/>
        <w:jc w:val="both"/>
        <w:rPr>
          <w:rFonts w:cs="Times New Roman"/>
          <w:b/>
          <w:iCs/>
        </w:rPr>
      </w:pPr>
      <w:r w:rsidRPr="004A17EB">
        <w:rPr>
          <w:rFonts w:cs="Times New Roman"/>
          <w:b/>
          <w:iCs/>
        </w:rPr>
        <w:t>Artikel 4 Beroep</w:t>
      </w:r>
      <w:r w:rsidR="0026549A">
        <w:rPr>
          <w:rFonts w:cs="Times New Roman"/>
          <w:b/>
          <w:iCs/>
        </w:rPr>
        <w:t>s-</w:t>
      </w:r>
      <w:r w:rsidRPr="004A17EB">
        <w:rPr>
          <w:rFonts w:cs="Times New Roman"/>
          <w:b/>
          <w:iCs/>
        </w:rPr>
        <w:t xml:space="preserve"> </w:t>
      </w:r>
      <w:r>
        <w:rPr>
          <w:rFonts w:cs="Times New Roman"/>
          <w:b/>
          <w:iCs/>
        </w:rPr>
        <w:t>of toetsing</w:t>
      </w:r>
      <w:r w:rsidR="0026549A">
        <w:rPr>
          <w:rFonts w:cs="Times New Roman"/>
          <w:b/>
          <w:iCs/>
        </w:rPr>
        <w:t>procedures</w:t>
      </w:r>
    </w:p>
    <w:p w:rsidRPr="004A17EB" w:rsidR="00771528" w:rsidP="00771528" w:rsidRDefault="00771528" w14:paraId="5EC5FA22" w14:textId="683A3C3F">
      <w:pPr>
        <w:spacing w:line="360" w:lineRule="auto"/>
        <w:jc w:val="both"/>
        <w:rPr>
          <w:rFonts w:cs="Times New Roman"/>
          <w:iCs/>
        </w:rPr>
      </w:pPr>
      <w:r>
        <w:rPr>
          <w:rFonts w:cs="Times New Roman"/>
          <w:iCs/>
        </w:rPr>
        <w:t xml:space="preserve">Tegen </w:t>
      </w:r>
      <w:r w:rsidRPr="004A17EB">
        <w:rPr>
          <w:rFonts w:cs="Times New Roman"/>
          <w:iCs/>
        </w:rPr>
        <w:t xml:space="preserve">beschikkingen van de douane </w:t>
      </w:r>
      <w:r>
        <w:rPr>
          <w:rFonts w:cs="Times New Roman"/>
          <w:iCs/>
        </w:rPr>
        <w:t>staat voor de betrokkene administratief of rechterlijk beroep of toetsing open</w:t>
      </w:r>
      <w:r w:rsidRPr="004A17EB">
        <w:rPr>
          <w:rFonts w:cs="Times New Roman"/>
          <w:iCs/>
        </w:rPr>
        <w:t xml:space="preserve">. </w:t>
      </w:r>
      <w:r>
        <w:rPr>
          <w:rFonts w:cs="Times New Roman"/>
          <w:iCs/>
        </w:rPr>
        <w:t>Leden kunnen besluiten dat dit artikel ook van toepassing zal zijn op</w:t>
      </w:r>
      <w:r w:rsidRPr="004A17EB">
        <w:rPr>
          <w:rFonts w:cs="Times New Roman"/>
          <w:iCs/>
        </w:rPr>
        <w:t xml:space="preserve"> beschikkingen van andere grensa</w:t>
      </w:r>
      <w:r w:rsidR="00E55CF5">
        <w:rPr>
          <w:rFonts w:cs="Times New Roman"/>
          <w:iCs/>
        </w:rPr>
        <w:t>gentschappe</w:t>
      </w:r>
      <w:r w:rsidRPr="004A17EB">
        <w:rPr>
          <w:rFonts w:cs="Times New Roman"/>
          <w:iCs/>
        </w:rPr>
        <w:t>n</w:t>
      </w:r>
      <w:r>
        <w:rPr>
          <w:rFonts w:cs="Times New Roman"/>
          <w:iCs/>
        </w:rPr>
        <w:t xml:space="preserve"> (zesde lid)</w:t>
      </w:r>
      <w:r w:rsidRPr="004A17EB">
        <w:rPr>
          <w:rFonts w:cs="Times New Roman"/>
          <w:iCs/>
        </w:rPr>
        <w:t>.</w:t>
      </w:r>
    </w:p>
    <w:p w:rsidR="00771528" w:rsidP="00771528" w:rsidRDefault="00771528" w14:paraId="5EC5FA23" w14:textId="77777777">
      <w:pPr>
        <w:spacing w:line="360" w:lineRule="auto"/>
        <w:jc w:val="both"/>
        <w:rPr>
          <w:rFonts w:cs="Times New Roman"/>
          <w:iCs/>
          <w:highlight w:val="yellow"/>
        </w:rPr>
      </w:pPr>
    </w:p>
    <w:p w:rsidRPr="004A17EB" w:rsidR="00771528" w:rsidP="00771528" w:rsidRDefault="00771528" w14:paraId="5EC5FA24" w14:textId="5C450C95">
      <w:pPr>
        <w:spacing w:line="360" w:lineRule="auto"/>
        <w:jc w:val="both"/>
        <w:rPr>
          <w:rFonts w:cs="Times New Roman"/>
          <w:b/>
          <w:iCs/>
        </w:rPr>
      </w:pPr>
      <w:r w:rsidRPr="004A17EB">
        <w:rPr>
          <w:rFonts w:cs="Times New Roman"/>
          <w:b/>
          <w:iCs/>
        </w:rPr>
        <w:t xml:space="preserve">Artikel </w:t>
      </w:r>
      <w:r>
        <w:rPr>
          <w:rFonts w:cs="Times New Roman"/>
          <w:b/>
          <w:iCs/>
        </w:rPr>
        <w:t>5</w:t>
      </w:r>
      <w:r w:rsidRPr="004A17EB">
        <w:rPr>
          <w:rFonts w:cs="Times New Roman"/>
          <w:b/>
          <w:iCs/>
        </w:rPr>
        <w:t xml:space="preserve"> </w:t>
      </w:r>
      <w:r>
        <w:rPr>
          <w:rFonts w:cs="Times New Roman"/>
          <w:b/>
          <w:iCs/>
        </w:rPr>
        <w:t>Andere maatregelen</w:t>
      </w:r>
      <w:r w:rsidR="00334507">
        <w:rPr>
          <w:rFonts w:cs="Times New Roman"/>
          <w:b/>
          <w:iCs/>
        </w:rPr>
        <w:t xml:space="preserve"> ter verbetering van </w:t>
      </w:r>
      <w:r>
        <w:rPr>
          <w:rFonts w:cs="Times New Roman"/>
          <w:b/>
          <w:iCs/>
        </w:rPr>
        <w:t xml:space="preserve">onpartijdigheid, non-discriminatie en transparantie </w:t>
      </w:r>
    </w:p>
    <w:p w:rsidRPr="00C11108" w:rsidR="00771528" w:rsidP="00771528" w:rsidRDefault="00771528" w14:paraId="5EC5FA25" w14:textId="77777777">
      <w:pPr>
        <w:spacing w:line="360" w:lineRule="auto"/>
        <w:jc w:val="both"/>
        <w:rPr>
          <w:rFonts w:cs="Times New Roman"/>
          <w:b/>
          <w:iCs/>
          <w:highlight w:val="yellow"/>
        </w:rPr>
      </w:pPr>
      <w:r>
        <w:rPr>
          <w:rFonts w:cs="Times New Roman"/>
          <w:iCs/>
        </w:rPr>
        <w:t>Het is mogelijk om de controle-intensiteit tijdelijk te verhogen, maar dat dient op een transparante en onderbouwde wijze plaats te vinden</w:t>
      </w:r>
      <w:r w:rsidRPr="004A17EB">
        <w:rPr>
          <w:rFonts w:cs="Times New Roman"/>
          <w:iCs/>
        </w:rPr>
        <w:t>.</w:t>
      </w:r>
      <w:r>
        <w:rPr>
          <w:rFonts w:cs="Times New Roman"/>
          <w:iCs/>
        </w:rPr>
        <w:t xml:space="preserve"> Op het moment dat goederen worden vastgehouden, wordt de importeur daarvan tijdig op de hoogte gesteld. Wanneer onderzoeken aan de goederen zijn vereist voor de invoer, heeft de importeur recht op een second opinion. </w:t>
      </w:r>
    </w:p>
    <w:p w:rsidR="00771528" w:rsidP="00771528" w:rsidRDefault="00771528" w14:paraId="5EC5FA26" w14:textId="77777777">
      <w:pPr>
        <w:spacing w:line="360" w:lineRule="auto"/>
        <w:jc w:val="both"/>
        <w:rPr>
          <w:rFonts w:cs="Times New Roman"/>
          <w:highlight w:val="yellow"/>
        </w:rPr>
      </w:pPr>
    </w:p>
    <w:p w:rsidR="00771528" w:rsidP="00771528" w:rsidRDefault="00771528" w14:paraId="5EC5FA27" w14:textId="54332970">
      <w:pPr>
        <w:spacing w:line="360" w:lineRule="auto"/>
        <w:jc w:val="both"/>
        <w:rPr>
          <w:rFonts w:cs="Times New Roman"/>
          <w:b/>
          <w:iCs/>
        </w:rPr>
      </w:pPr>
      <w:r w:rsidRPr="004A17EB">
        <w:rPr>
          <w:rFonts w:cs="Times New Roman"/>
          <w:b/>
          <w:iCs/>
        </w:rPr>
        <w:t xml:space="preserve">Artikel </w:t>
      </w:r>
      <w:r>
        <w:rPr>
          <w:rFonts w:cs="Times New Roman"/>
          <w:b/>
          <w:iCs/>
        </w:rPr>
        <w:t>6</w:t>
      </w:r>
      <w:r w:rsidRPr="004A17EB">
        <w:rPr>
          <w:rFonts w:cs="Times New Roman"/>
          <w:b/>
          <w:iCs/>
        </w:rPr>
        <w:t xml:space="preserve"> </w:t>
      </w:r>
      <w:r w:rsidR="00A128F5">
        <w:rPr>
          <w:rFonts w:cs="Times New Roman"/>
          <w:b/>
          <w:iCs/>
        </w:rPr>
        <w:t xml:space="preserve">Voorschriften inzake retributies en heffingen ter zake van of </w:t>
      </w:r>
      <w:r>
        <w:rPr>
          <w:rFonts w:cs="Times New Roman"/>
          <w:b/>
          <w:iCs/>
        </w:rPr>
        <w:t xml:space="preserve">in verband met in- en uitvoer </w:t>
      </w:r>
      <w:r w:rsidR="005740E5">
        <w:rPr>
          <w:rFonts w:cs="Times New Roman"/>
          <w:b/>
          <w:iCs/>
        </w:rPr>
        <w:t>alsmede sancties</w:t>
      </w:r>
    </w:p>
    <w:p w:rsidRPr="0064390C" w:rsidR="00771528" w:rsidP="00771528" w:rsidRDefault="00771528" w14:paraId="5EC5FA28" w14:textId="3A7C780E">
      <w:pPr>
        <w:spacing w:line="360" w:lineRule="auto"/>
        <w:jc w:val="both"/>
        <w:rPr>
          <w:rFonts w:cs="Times New Roman"/>
        </w:rPr>
      </w:pPr>
      <w:r w:rsidRPr="0064390C">
        <w:rPr>
          <w:rFonts w:cs="Times New Roman"/>
        </w:rPr>
        <w:t xml:space="preserve">De inning van </w:t>
      </w:r>
      <w:r w:rsidR="00E75264">
        <w:rPr>
          <w:rFonts w:cs="Times New Roman"/>
        </w:rPr>
        <w:t>retributies</w:t>
      </w:r>
      <w:r w:rsidRPr="0064390C">
        <w:rPr>
          <w:rFonts w:cs="Times New Roman"/>
        </w:rPr>
        <w:t xml:space="preserve"> en </w:t>
      </w:r>
      <w:r w:rsidR="00E75264">
        <w:rPr>
          <w:rFonts w:cs="Times New Roman"/>
        </w:rPr>
        <w:t>heffingen</w:t>
      </w:r>
      <w:r w:rsidRPr="0064390C">
        <w:rPr>
          <w:rFonts w:cs="Times New Roman"/>
        </w:rPr>
        <w:t xml:space="preserve"> gerelateerd aan in- en uitvoer – anders dan invoerrechten – </w:t>
      </w:r>
      <w:r>
        <w:rPr>
          <w:rFonts w:cs="Times New Roman"/>
        </w:rPr>
        <w:t xml:space="preserve">vindt op </w:t>
      </w:r>
      <w:r w:rsidRPr="0064390C">
        <w:rPr>
          <w:rFonts w:cs="Times New Roman"/>
        </w:rPr>
        <w:t>transparant</w:t>
      </w:r>
      <w:r>
        <w:rPr>
          <w:rFonts w:cs="Times New Roman"/>
        </w:rPr>
        <w:t>e</w:t>
      </w:r>
      <w:r w:rsidRPr="0064390C">
        <w:rPr>
          <w:rFonts w:cs="Times New Roman"/>
        </w:rPr>
        <w:t xml:space="preserve"> </w:t>
      </w:r>
      <w:r>
        <w:rPr>
          <w:rFonts w:cs="Times New Roman"/>
        </w:rPr>
        <w:t>wijze plaats</w:t>
      </w:r>
      <w:r w:rsidRPr="0064390C">
        <w:rPr>
          <w:rFonts w:cs="Times New Roman"/>
        </w:rPr>
        <w:t>. De vergoedingen staa</w:t>
      </w:r>
      <w:r>
        <w:rPr>
          <w:rFonts w:cs="Times New Roman"/>
        </w:rPr>
        <w:t>n</w:t>
      </w:r>
      <w:r w:rsidRPr="0064390C">
        <w:rPr>
          <w:rFonts w:cs="Times New Roman"/>
        </w:rPr>
        <w:t xml:space="preserve"> in verhouding met de kosten van de geleverde dienst. Opgelegde</w:t>
      </w:r>
      <w:r w:rsidR="00F34F87">
        <w:rPr>
          <w:rFonts w:cs="Times New Roman"/>
        </w:rPr>
        <w:t xml:space="preserve"> </w:t>
      </w:r>
      <w:r w:rsidRPr="0064390C">
        <w:rPr>
          <w:rFonts w:cs="Times New Roman"/>
        </w:rPr>
        <w:t>s</w:t>
      </w:r>
      <w:r w:rsidR="00F34F87">
        <w:rPr>
          <w:rFonts w:cs="Times New Roman"/>
        </w:rPr>
        <w:t>ancties</w:t>
      </w:r>
      <w:r w:rsidRPr="0064390C">
        <w:rPr>
          <w:rFonts w:cs="Times New Roman"/>
        </w:rPr>
        <w:t xml:space="preserve"> worden opgelegd aan de overtreder en staan in verhouding tot de zwaarte van het vergrijp. </w:t>
      </w:r>
    </w:p>
    <w:p w:rsidR="00771528" w:rsidP="00771528" w:rsidRDefault="00771528" w14:paraId="5EC5FA29" w14:textId="77777777">
      <w:pPr>
        <w:spacing w:line="360" w:lineRule="auto"/>
        <w:rPr>
          <w:rFonts w:cs="Times New Roman"/>
          <w:b/>
          <w:iCs/>
        </w:rPr>
      </w:pPr>
    </w:p>
    <w:p w:rsidRPr="004A17EB" w:rsidR="00771528" w:rsidP="00771528" w:rsidRDefault="00771528" w14:paraId="5EC5FA2A" w14:textId="54169138">
      <w:pPr>
        <w:spacing w:line="360" w:lineRule="auto"/>
        <w:jc w:val="both"/>
        <w:rPr>
          <w:rFonts w:cs="Times New Roman"/>
          <w:b/>
          <w:iCs/>
        </w:rPr>
      </w:pPr>
      <w:r w:rsidRPr="004A17EB">
        <w:rPr>
          <w:rFonts w:cs="Times New Roman"/>
          <w:b/>
          <w:iCs/>
        </w:rPr>
        <w:t xml:space="preserve">Artikel </w:t>
      </w:r>
      <w:r>
        <w:rPr>
          <w:rFonts w:cs="Times New Roman"/>
          <w:b/>
          <w:iCs/>
        </w:rPr>
        <w:t>7</w:t>
      </w:r>
      <w:r w:rsidRPr="004A17EB">
        <w:rPr>
          <w:rFonts w:cs="Times New Roman"/>
          <w:b/>
          <w:iCs/>
        </w:rPr>
        <w:t xml:space="preserve"> </w:t>
      </w:r>
      <w:r w:rsidR="00134CF0">
        <w:rPr>
          <w:rFonts w:cs="Times New Roman"/>
          <w:b/>
          <w:iCs/>
        </w:rPr>
        <w:t>V</w:t>
      </w:r>
      <w:r>
        <w:rPr>
          <w:rFonts w:cs="Times New Roman"/>
          <w:b/>
          <w:iCs/>
        </w:rPr>
        <w:t xml:space="preserve">rijgave </w:t>
      </w:r>
      <w:r w:rsidR="00134CF0">
        <w:rPr>
          <w:rFonts w:cs="Times New Roman"/>
          <w:b/>
          <w:iCs/>
        </w:rPr>
        <w:t xml:space="preserve">en inklaring </w:t>
      </w:r>
      <w:r>
        <w:rPr>
          <w:rFonts w:cs="Times New Roman"/>
          <w:b/>
          <w:iCs/>
        </w:rPr>
        <w:t>van goederen</w:t>
      </w:r>
    </w:p>
    <w:p w:rsidRPr="008778F8" w:rsidR="00771528" w:rsidP="00771528" w:rsidRDefault="00771528" w14:paraId="5EC5FA2B" w14:textId="770658C5">
      <w:pPr>
        <w:spacing w:line="360" w:lineRule="auto"/>
        <w:jc w:val="both"/>
        <w:rPr>
          <w:rFonts w:cs="Times New Roman"/>
        </w:rPr>
      </w:pPr>
      <w:r w:rsidRPr="008778F8">
        <w:rPr>
          <w:rFonts w:cs="Times New Roman"/>
        </w:rPr>
        <w:t xml:space="preserve">De afhandeling van de douaneformaliteiten kan al voor de fysieke aankomst van de goederen plaatsvinden op basis van documenten en bescheiden. Elektronische betaling moet mogelijk worden gemaakt. </w:t>
      </w:r>
      <w:r>
        <w:rPr>
          <w:rFonts w:cs="Times New Roman"/>
        </w:rPr>
        <w:t>V</w:t>
      </w:r>
      <w:r w:rsidRPr="008778F8">
        <w:rPr>
          <w:rFonts w:cs="Times New Roman"/>
        </w:rPr>
        <w:t xml:space="preserve">rijmaking van de goederen kan onafhankelijk van de vaststelling van de definitieve douaneschuld plaatsvinden. Er kan een </w:t>
      </w:r>
      <w:r w:rsidR="002710AF">
        <w:rPr>
          <w:rFonts w:cs="Times New Roman"/>
        </w:rPr>
        <w:t xml:space="preserve">zekerheid </w:t>
      </w:r>
      <w:r w:rsidRPr="008778F8">
        <w:rPr>
          <w:rFonts w:cs="Times New Roman"/>
        </w:rPr>
        <w:t>worden gevraagd, maar deze dient in verhouding te staan tot de definitieve douaneschuld. Bij de controle gaat de douane zo veel mogelijk uit van risicomanagement.</w:t>
      </w:r>
      <w:r>
        <w:rPr>
          <w:rFonts w:cs="Times New Roman"/>
        </w:rPr>
        <w:t xml:space="preserve"> De mogelijkheid om de bij de goederen behorende bescheiden en documenten na vrijgave van de goederen te controleren bespoedigt de vrijgave.</w:t>
      </w:r>
      <w:r w:rsidRPr="008778F8">
        <w:rPr>
          <w:rFonts w:cs="Times New Roman"/>
        </w:rPr>
        <w:t xml:space="preserve"> Ieder </w:t>
      </w:r>
      <w:r>
        <w:rPr>
          <w:rFonts w:cs="Times New Roman"/>
        </w:rPr>
        <w:t>lid</w:t>
      </w:r>
      <w:r w:rsidRPr="008778F8">
        <w:rPr>
          <w:rFonts w:cs="Times New Roman"/>
        </w:rPr>
        <w:t xml:space="preserve"> dient gemiddelde </w:t>
      </w:r>
      <w:r w:rsidR="0047635F">
        <w:rPr>
          <w:rFonts w:cs="Times New Roman"/>
        </w:rPr>
        <w:t>vrijgavetermijn</w:t>
      </w:r>
      <w:r w:rsidRPr="008778F8">
        <w:rPr>
          <w:rFonts w:cs="Times New Roman"/>
        </w:rPr>
        <w:t>en te publiceren waarbinnen goederen worden vrijgegeven. Geautoriseerde marktdeelnemers hebben recht op vereenvoudigde en versnelde afwikkeling van douaneprocedures. Ten slotte voorziet het artikel in versnelde afhandeling voor bepaalde goederenstromen (bv. luchttransport) en bederfelijke goederen.</w:t>
      </w:r>
    </w:p>
    <w:p w:rsidR="00771528" w:rsidP="00771528" w:rsidRDefault="00771528" w14:paraId="5EC5FA2C" w14:textId="77777777">
      <w:pPr>
        <w:spacing w:line="360" w:lineRule="auto"/>
        <w:rPr>
          <w:rFonts w:cs="Times New Roman"/>
          <w:highlight w:val="yellow"/>
        </w:rPr>
      </w:pPr>
    </w:p>
    <w:p w:rsidR="00771528" w:rsidP="00771528" w:rsidRDefault="00771528" w14:paraId="5EC5FA2D" w14:textId="49886B43">
      <w:pPr>
        <w:spacing w:line="360" w:lineRule="auto"/>
        <w:jc w:val="both"/>
        <w:rPr>
          <w:rFonts w:cs="Times New Roman"/>
          <w:b/>
          <w:iCs/>
        </w:rPr>
      </w:pPr>
      <w:r w:rsidRPr="004A17EB">
        <w:rPr>
          <w:rFonts w:cs="Times New Roman"/>
          <w:b/>
          <w:iCs/>
        </w:rPr>
        <w:t xml:space="preserve">Artikel </w:t>
      </w:r>
      <w:r>
        <w:rPr>
          <w:rFonts w:cs="Times New Roman"/>
          <w:b/>
          <w:iCs/>
        </w:rPr>
        <w:t>8</w:t>
      </w:r>
      <w:r w:rsidRPr="004A17EB">
        <w:rPr>
          <w:rFonts w:cs="Times New Roman"/>
          <w:b/>
          <w:iCs/>
        </w:rPr>
        <w:t xml:space="preserve"> </w:t>
      </w:r>
      <w:r>
        <w:rPr>
          <w:rFonts w:cs="Times New Roman"/>
          <w:b/>
          <w:iCs/>
        </w:rPr>
        <w:t>Samenwerking tussen grensa</w:t>
      </w:r>
      <w:r w:rsidR="004721CE">
        <w:rPr>
          <w:rFonts w:cs="Times New Roman"/>
          <w:b/>
          <w:iCs/>
        </w:rPr>
        <w:t>gentschapp</w:t>
      </w:r>
      <w:r>
        <w:rPr>
          <w:rFonts w:cs="Times New Roman"/>
          <w:b/>
          <w:iCs/>
        </w:rPr>
        <w:t>en</w:t>
      </w:r>
    </w:p>
    <w:p w:rsidR="00771528" w:rsidP="00771528" w:rsidRDefault="00771528" w14:paraId="5EC5FA2E" w14:textId="219F3EA4">
      <w:pPr>
        <w:spacing w:line="360" w:lineRule="auto"/>
        <w:jc w:val="both"/>
        <w:rPr>
          <w:rFonts w:cs="Times New Roman"/>
        </w:rPr>
      </w:pPr>
      <w:r>
        <w:rPr>
          <w:rFonts w:cs="Times New Roman"/>
        </w:rPr>
        <w:t>Verschillende grensa</w:t>
      </w:r>
      <w:r w:rsidR="00C76CAC">
        <w:rPr>
          <w:rFonts w:cs="Times New Roman"/>
        </w:rPr>
        <w:t>gentschapp</w:t>
      </w:r>
      <w:r>
        <w:rPr>
          <w:rFonts w:cs="Times New Roman"/>
        </w:rPr>
        <w:t>en zullen samenwerken en hun activiteiten coördineren</w:t>
      </w:r>
      <w:r w:rsidRPr="0064390C">
        <w:rPr>
          <w:rFonts w:cs="Times New Roman"/>
        </w:rPr>
        <w:t xml:space="preserve">. </w:t>
      </w:r>
      <w:r>
        <w:rPr>
          <w:rFonts w:cs="Times New Roman"/>
        </w:rPr>
        <w:t>Grensa</w:t>
      </w:r>
      <w:r w:rsidR="00102C96">
        <w:rPr>
          <w:rFonts w:cs="Times New Roman"/>
        </w:rPr>
        <w:t>gentschapp</w:t>
      </w:r>
      <w:r>
        <w:rPr>
          <w:rFonts w:cs="Times New Roman"/>
        </w:rPr>
        <w:t>en aan weerszijde van dezelfde landsgrens zullen zo veel mogelijk samenwerken om dubbele procedures bij dezelfde grenspost te voorkomen.</w:t>
      </w:r>
    </w:p>
    <w:p w:rsidR="00771528" w:rsidP="00771528" w:rsidRDefault="00771528" w14:paraId="5EC5FA2F" w14:textId="77777777">
      <w:pPr>
        <w:spacing w:line="360" w:lineRule="auto"/>
        <w:jc w:val="both"/>
        <w:rPr>
          <w:rFonts w:cs="Times New Roman"/>
        </w:rPr>
      </w:pPr>
    </w:p>
    <w:p w:rsidR="00771528" w:rsidP="00771528" w:rsidRDefault="00771528" w14:paraId="5EC5FA30" w14:textId="77777777">
      <w:pPr>
        <w:spacing w:line="360" w:lineRule="auto"/>
        <w:jc w:val="both"/>
        <w:rPr>
          <w:rFonts w:cs="Times New Roman"/>
          <w:b/>
          <w:iCs/>
        </w:rPr>
      </w:pPr>
    </w:p>
    <w:p w:rsidR="00771528" w:rsidP="00771528" w:rsidRDefault="00771528" w14:paraId="5EC5FA31" w14:textId="77777777">
      <w:pPr>
        <w:spacing w:line="240" w:lineRule="auto"/>
        <w:rPr>
          <w:rFonts w:cs="Times New Roman"/>
          <w:b/>
          <w:iCs/>
        </w:rPr>
      </w:pPr>
      <w:r>
        <w:rPr>
          <w:rFonts w:cs="Times New Roman"/>
          <w:b/>
          <w:iCs/>
        </w:rPr>
        <w:br w:type="page"/>
      </w:r>
    </w:p>
    <w:p w:rsidR="00771528" w:rsidP="00771528" w:rsidRDefault="00771528" w14:paraId="5EC5FA32" w14:textId="602F39EC">
      <w:pPr>
        <w:spacing w:line="360" w:lineRule="auto"/>
        <w:jc w:val="both"/>
        <w:rPr>
          <w:rFonts w:cs="Times New Roman"/>
          <w:b/>
          <w:iCs/>
        </w:rPr>
      </w:pPr>
      <w:r w:rsidRPr="004A17EB">
        <w:rPr>
          <w:rFonts w:cs="Times New Roman"/>
          <w:b/>
          <w:iCs/>
        </w:rPr>
        <w:lastRenderedPageBreak/>
        <w:t xml:space="preserve">Artikel </w:t>
      </w:r>
      <w:r>
        <w:rPr>
          <w:rFonts w:cs="Times New Roman"/>
          <w:b/>
          <w:iCs/>
        </w:rPr>
        <w:t>9</w:t>
      </w:r>
      <w:r w:rsidRPr="004A17EB">
        <w:rPr>
          <w:rFonts w:cs="Times New Roman"/>
          <w:b/>
          <w:iCs/>
        </w:rPr>
        <w:t xml:space="preserve"> </w:t>
      </w:r>
      <w:r w:rsidR="00DE53CE">
        <w:rPr>
          <w:rFonts w:cs="Times New Roman"/>
          <w:b/>
          <w:iCs/>
        </w:rPr>
        <w:t>Verplaatsing onder douanetoezicht</w:t>
      </w:r>
      <w:r w:rsidDel="00DE53CE" w:rsidR="00DE53CE">
        <w:rPr>
          <w:rFonts w:cs="Times New Roman"/>
          <w:b/>
          <w:iCs/>
        </w:rPr>
        <w:t xml:space="preserve"> </w:t>
      </w:r>
      <w:r>
        <w:rPr>
          <w:rFonts w:cs="Times New Roman"/>
          <w:b/>
          <w:iCs/>
        </w:rPr>
        <w:t xml:space="preserve"> </w:t>
      </w:r>
      <w:r w:rsidR="00DE53CE">
        <w:rPr>
          <w:rFonts w:cs="Times New Roman"/>
          <w:b/>
          <w:iCs/>
        </w:rPr>
        <w:t xml:space="preserve">van voor invoer bestemde </w:t>
      </w:r>
      <w:r>
        <w:rPr>
          <w:rFonts w:cs="Times New Roman"/>
          <w:b/>
          <w:iCs/>
        </w:rPr>
        <w:t xml:space="preserve">goederen </w:t>
      </w:r>
    </w:p>
    <w:p w:rsidR="00771528" w:rsidP="00771528" w:rsidRDefault="00771528" w14:paraId="5EC5FA33" w14:textId="77777777">
      <w:pPr>
        <w:spacing w:line="360" w:lineRule="auto"/>
        <w:jc w:val="both"/>
        <w:rPr>
          <w:rFonts w:cs="Times New Roman"/>
        </w:rPr>
      </w:pPr>
      <w:r>
        <w:rPr>
          <w:rFonts w:cs="Times New Roman"/>
        </w:rPr>
        <w:t>Goederen die bestemd zijn voor invoer mogen onder douanetoezicht worden vervoerd van een douanekantoor aan de grens naar een douanekantoor in het achterland zodat de douaneformaliteiten daar kunnen worden uitgevoerd</w:t>
      </w:r>
      <w:r w:rsidRPr="0064390C">
        <w:rPr>
          <w:rFonts w:cs="Times New Roman"/>
        </w:rPr>
        <w:t xml:space="preserve">. </w:t>
      </w:r>
    </w:p>
    <w:p w:rsidRPr="0064390C" w:rsidR="00771528" w:rsidP="00771528" w:rsidRDefault="00771528" w14:paraId="5EC5FA34" w14:textId="77777777">
      <w:pPr>
        <w:spacing w:line="360" w:lineRule="auto"/>
        <w:jc w:val="both"/>
        <w:rPr>
          <w:rFonts w:cs="Times New Roman"/>
        </w:rPr>
      </w:pPr>
    </w:p>
    <w:p w:rsidRPr="00CF42A1" w:rsidR="00771528" w:rsidP="00771528" w:rsidRDefault="00771528" w14:paraId="5EC5FA35" w14:textId="1149636B">
      <w:pPr>
        <w:spacing w:line="360" w:lineRule="auto"/>
        <w:jc w:val="both"/>
        <w:rPr>
          <w:rFonts w:cs="Times New Roman"/>
          <w:b/>
          <w:iCs/>
        </w:rPr>
      </w:pPr>
      <w:r w:rsidRPr="00CF42A1">
        <w:rPr>
          <w:rFonts w:cs="Times New Roman"/>
          <w:b/>
          <w:iCs/>
        </w:rPr>
        <w:t xml:space="preserve">Artikel 10 Formaliteiten </w:t>
      </w:r>
      <w:r w:rsidR="00135CAB">
        <w:rPr>
          <w:rFonts w:cs="Times New Roman"/>
          <w:b/>
          <w:iCs/>
        </w:rPr>
        <w:t xml:space="preserve">in verband met </w:t>
      </w:r>
      <w:r w:rsidRPr="00CF42A1">
        <w:rPr>
          <w:rFonts w:cs="Times New Roman"/>
          <w:b/>
          <w:iCs/>
        </w:rPr>
        <w:t>invoer, uitvoer en doorvoer</w:t>
      </w:r>
    </w:p>
    <w:p w:rsidR="00771528" w:rsidP="00771528" w:rsidRDefault="00771528" w14:paraId="5EC5FA36" w14:textId="77777777">
      <w:pPr>
        <w:spacing w:line="360" w:lineRule="auto"/>
        <w:jc w:val="both"/>
        <w:rPr>
          <w:rFonts w:cs="Times New Roman"/>
        </w:rPr>
      </w:pPr>
      <w:r w:rsidRPr="00CF42A1">
        <w:rPr>
          <w:rFonts w:cs="Times New Roman"/>
        </w:rPr>
        <w:t xml:space="preserve">Procedures en documentatievereisten gerelateerd aan invoer, uitvoer en doorvoer </w:t>
      </w:r>
      <w:r>
        <w:rPr>
          <w:rFonts w:cs="Times New Roman"/>
        </w:rPr>
        <w:t xml:space="preserve">- </w:t>
      </w:r>
      <w:r w:rsidRPr="00CF42A1">
        <w:rPr>
          <w:rFonts w:cs="Times New Roman"/>
        </w:rPr>
        <w:t xml:space="preserve">zullen met in achtneming van beleidsdoelen </w:t>
      </w:r>
      <w:r>
        <w:rPr>
          <w:rFonts w:cs="Times New Roman"/>
        </w:rPr>
        <w:t xml:space="preserve">- </w:t>
      </w:r>
      <w:r w:rsidRPr="00CF42A1">
        <w:rPr>
          <w:rFonts w:cs="Times New Roman"/>
        </w:rPr>
        <w:t xml:space="preserve">regelmatig worden </w:t>
      </w:r>
      <w:r w:rsidRPr="00BE0067">
        <w:rPr>
          <w:rFonts w:cs="Times New Roman"/>
        </w:rPr>
        <w:t>herzien</w:t>
      </w:r>
      <w:r w:rsidRPr="00CF42A1">
        <w:rPr>
          <w:rFonts w:cs="Times New Roman"/>
        </w:rPr>
        <w:t xml:space="preserve"> </w:t>
      </w:r>
      <w:r>
        <w:rPr>
          <w:rFonts w:cs="Times New Roman"/>
        </w:rPr>
        <w:t xml:space="preserve">met als doel </w:t>
      </w:r>
      <w:r w:rsidRPr="00CF42A1">
        <w:rPr>
          <w:rFonts w:cs="Times New Roman"/>
        </w:rPr>
        <w:t xml:space="preserve">de administratieve lasten voor het bedrijfsleven te verlichten. Kopieën van documenten worden geaccepteerd en het gebruik van internationale standaarden wordt gestimuleerd. Er wordt gestreefd naar een loket via welke de handel met alle grensautoriteiten zaken kan doen. </w:t>
      </w:r>
      <w:r>
        <w:rPr>
          <w:rFonts w:cs="Times New Roman"/>
        </w:rPr>
        <w:t>I</w:t>
      </w:r>
      <w:r w:rsidRPr="00CF42A1">
        <w:rPr>
          <w:rFonts w:cs="Times New Roman"/>
        </w:rPr>
        <w:t>nspecties</w:t>
      </w:r>
      <w:r>
        <w:rPr>
          <w:rFonts w:cs="Times New Roman"/>
        </w:rPr>
        <w:t xml:space="preserve"> voor verzending</w:t>
      </w:r>
      <w:r w:rsidRPr="00CF42A1">
        <w:rPr>
          <w:rFonts w:cs="Times New Roman"/>
        </w:rPr>
        <w:t xml:space="preserve"> worden afgeschaft en het verplichte gebruik van douane tussenpersonen wordt zo veel mogelijk beperkt. Douaneprocedures zullen worden geharmoniseerd binnen een douanegebied. Wanneer goederen worden geweigerd, wordt de importeur </w:t>
      </w:r>
      <w:r>
        <w:rPr>
          <w:rFonts w:cs="Times New Roman"/>
        </w:rPr>
        <w:t>d</w:t>
      </w:r>
      <w:r w:rsidRPr="00CF42A1">
        <w:rPr>
          <w:rFonts w:cs="Times New Roman"/>
        </w:rPr>
        <w:t>e mogelijkheid geboden deze terug te sturen naar de exporteur. L</w:t>
      </w:r>
      <w:r>
        <w:rPr>
          <w:rFonts w:cs="Times New Roman"/>
        </w:rPr>
        <w:t>ed</w:t>
      </w:r>
      <w:r w:rsidRPr="00CF42A1">
        <w:rPr>
          <w:rFonts w:cs="Times New Roman"/>
        </w:rPr>
        <w:t>en zullen de mogelijkheid bieden van tijdelijke invoer, actieve en passieve veredeling.</w:t>
      </w:r>
    </w:p>
    <w:p w:rsidR="00771528" w:rsidP="00771528" w:rsidRDefault="00771528" w14:paraId="5EC5FA37" w14:textId="77777777">
      <w:pPr>
        <w:spacing w:line="360" w:lineRule="auto"/>
        <w:jc w:val="both"/>
        <w:rPr>
          <w:rFonts w:cs="Times New Roman"/>
          <w:b/>
          <w:iCs/>
        </w:rPr>
      </w:pPr>
    </w:p>
    <w:p w:rsidRPr="00CF42A1" w:rsidR="00771528" w:rsidP="00771528" w:rsidRDefault="00771528" w14:paraId="5EC5FA38" w14:textId="77777777">
      <w:pPr>
        <w:spacing w:line="360" w:lineRule="auto"/>
        <w:jc w:val="both"/>
        <w:rPr>
          <w:rFonts w:cs="Times New Roman"/>
          <w:b/>
          <w:iCs/>
        </w:rPr>
      </w:pPr>
      <w:r w:rsidRPr="00CF42A1">
        <w:rPr>
          <w:rFonts w:cs="Times New Roman"/>
          <w:b/>
          <w:iCs/>
        </w:rPr>
        <w:t>Artikel 1</w:t>
      </w:r>
      <w:r>
        <w:rPr>
          <w:rFonts w:cs="Times New Roman"/>
          <w:b/>
          <w:iCs/>
        </w:rPr>
        <w:t>1</w:t>
      </w:r>
      <w:r w:rsidRPr="00CF42A1">
        <w:rPr>
          <w:rFonts w:cs="Times New Roman"/>
          <w:b/>
          <w:iCs/>
        </w:rPr>
        <w:t xml:space="preserve"> </w:t>
      </w:r>
      <w:r>
        <w:rPr>
          <w:rFonts w:cs="Times New Roman"/>
          <w:b/>
          <w:iCs/>
        </w:rPr>
        <w:t>Vrijheid van doorvoer</w:t>
      </w:r>
    </w:p>
    <w:p w:rsidR="00771528" w:rsidP="00771528" w:rsidRDefault="00771528" w14:paraId="5EC5FA39" w14:textId="77777777">
      <w:pPr>
        <w:spacing w:line="360" w:lineRule="auto"/>
        <w:jc w:val="both"/>
        <w:rPr>
          <w:rFonts w:cs="Times New Roman"/>
        </w:rPr>
      </w:pPr>
      <w:r>
        <w:rPr>
          <w:rFonts w:cs="Times New Roman"/>
        </w:rPr>
        <w:t>Als uitgangspunt geldt vrijheid van doorvoer</w:t>
      </w:r>
      <w:r w:rsidRPr="00CF42A1">
        <w:rPr>
          <w:rFonts w:cs="Times New Roman"/>
        </w:rPr>
        <w:t>.</w:t>
      </w:r>
      <w:r>
        <w:rPr>
          <w:rFonts w:cs="Times New Roman"/>
        </w:rPr>
        <w:t xml:space="preserve"> Beperkingen aan de doorvoer die niet langer bijdragen aan hun oorspronkelijke doel of waarvoor minder beperkende alternatieven bestaan worden niet langer gehandhaafd. Eventuele maatregelen mogen geen verkapte beperking zijn op doorvoer.</w:t>
      </w:r>
    </w:p>
    <w:p w:rsidR="00771528" w:rsidP="00771528" w:rsidRDefault="00771528" w14:paraId="5EC5FA3A" w14:textId="77777777">
      <w:pPr>
        <w:spacing w:line="360" w:lineRule="auto"/>
        <w:jc w:val="both"/>
        <w:rPr>
          <w:rFonts w:cs="Times New Roman"/>
          <w:b/>
          <w:iCs/>
        </w:rPr>
      </w:pPr>
    </w:p>
    <w:p w:rsidRPr="00CF42A1" w:rsidR="00771528" w:rsidP="00771528" w:rsidRDefault="00771528" w14:paraId="5EC5FA3B" w14:textId="77777777">
      <w:pPr>
        <w:spacing w:line="360" w:lineRule="auto"/>
        <w:jc w:val="both"/>
        <w:rPr>
          <w:rFonts w:cs="Times New Roman"/>
          <w:b/>
          <w:iCs/>
        </w:rPr>
      </w:pPr>
      <w:r w:rsidRPr="00CF42A1">
        <w:rPr>
          <w:rFonts w:cs="Times New Roman"/>
          <w:b/>
          <w:iCs/>
        </w:rPr>
        <w:t>Artikel 1</w:t>
      </w:r>
      <w:r>
        <w:rPr>
          <w:rFonts w:cs="Times New Roman"/>
          <w:b/>
          <w:iCs/>
        </w:rPr>
        <w:t>2</w:t>
      </w:r>
      <w:r w:rsidRPr="00CF42A1">
        <w:rPr>
          <w:rFonts w:cs="Times New Roman"/>
          <w:b/>
          <w:iCs/>
        </w:rPr>
        <w:t xml:space="preserve"> </w:t>
      </w:r>
      <w:r>
        <w:rPr>
          <w:rFonts w:cs="Times New Roman"/>
          <w:b/>
          <w:iCs/>
        </w:rPr>
        <w:t>Douanesamenwerking</w:t>
      </w:r>
    </w:p>
    <w:p w:rsidRPr="00CF42A1" w:rsidR="00771528" w:rsidP="00771528" w:rsidRDefault="00771528" w14:paraId="5EC5FA3C" w14:textId="77777777">
      <w:pPr>
        <w:spacing w:line="360" w:lineRule="auto"/>
        <w:jc w:val="both"/>
        <w:rPr>
          <w:rFonts w:cs="Times New Roman"/>
        </w:rPr>
      </w:pPr>
      <w:r>
        <w:rPr>
          <w:rFonts w:cs="Times New Roman"/>
        </w:rPr>
        <w:t>De verdragspartijen streven ernaar de kennis van handelaren over douaneformaliteiten te vergroten en zullen vrijwillige naleving ervan aanmoedigen. Douaneautoriteiten zullen informatie uitwisselen en samenwerken om de naleving van douanevoorschriften te vergroten. Deze samenwerking vindt plaats onder duidelijke voorwaarden, bijvoorbeeld ten aanzien van de geheimhouding van de informatie en de doeleinden waarvoor de informatie wordt gebruikt</w:t>
      </w:r>
      <w:r w:rsidRPr="00CF42A1">
        <w:rPr>
          <w:rFonts w:cs="Times New Roman"/>
        </w:rPr>
        <w:t>.</w:t>
      </w:r>
    </w:p>
    <w:p w:rsidR="00771528" w:rsidP="00771528" w:rsidRDefault="00771528" w14:paraId="5EC5FA3D" w14:textId="77777777">
      <w:pPr>
        <w:spacing w:line="360" w:lineRule="auto"/>
        <w:rPr>
          <w:rFonts w:cs="Times New Roman"/>
          <w:highlight w:val="yellow"/>
        </w:rPr>
      </w:pPr>
    </w:p>
    <w:p w:rsidRPr="0089658F" w:rsidR="00771528" w:rsidP="00771528" w:rsidRDefault="00771528" w14:paraId="5EC5FA3E" w14:textId="77777777">
      <w:pPr>
        <w:spacing w:line="360" w:lineRule="auto"/>
        <w:rPr>
          <w:rFonts w:cs="Times New Roman"/>
          <w:i/>
        </w:rPr>
      </w:pPr>
      <w:r w:rsidRPr="0089658F">
        <w:rPr>
          <w:rFonts w:cs="Times New Roman"/>
          <w:i/>
        </w:rPr>
        <w:t xml:space="preserve">Deel II </w:t>
      </w:r>
      <w:r w:rsidR="002B386A">
        <w:rPr>
          <w:rFonts w:cs="Times New Roman"/>
          <w:i/>
        </w:rPr>
        <w:t xml:space="preserve">Bepalingen inzake bijzondere en gedifferentieerde behandeling voor leden die ontwikkelingslanden zijn en leden die minst ontwikkelde landen zijn </w:t>
      </w:r>
    </w:p>
    <w:p w:rsidRPr="00CF42A1" w:rsidR="00771528" w:rsidP="00771528" w:rsidRDefault="00771528" w14:paraId="5EC5FA3F" w14:textId="4777A94E">
      <w:pPr>
        <w:spacing w:line="360" w:lineRule="auto"/>
        <w:jc w:val="both"/>
        <w:rPr>
          <w:rFonts w:cs="Times New Roman"/>
          <w:b/>
          <w:iCs/>
        </w:rPr>
      </w:pPr>
      <w:r w:rsidRPr="00CF42A1">
        <w:rPr>
          <w:rFonts w:cs="Times New Roman"/>
          <w:b/>
          <w:iCs/>
        </w:rPr>
        <w:t>Artikel 1</w:t>
      </w:r>
      <w:r>
        <w:rPr>
          <w:rFonts w:cs="Times New Roman"/>
          <w:b/>
          <w:iCs/>
        </w:rPr>
        <w:t>3</w:t>
      </w:r>
      <w:r w:rsidRPr="00CF42A1">
        <w:rPr>
          <w:rFonts w:cs="Times New Roman"/>
          <w:b/>
          <w:iCs/>
        </w:rPr>
        <w:t xml:space="preserve"> </w:t>
      </w:r>
      <w:r>
        <w:rPr>
          <w:rFonts w:cs="Times New Roman"/>
          <w:b/>
          <w:iCs/>
        </w:rPr>
        <w:t xml:space="preserve">Algemene beginselen </w:t>
      </w:r>
    </w:p>
    <w:p w:rsidRPr="00CF42A1" w:rsidR="00771528" w:rsidP="00771528" w:rsidRDefault="00771528" w14:paraId="5EC5FA40" w14:textId="77777777">
      <w:pPr>
        <w:spacing w:line="360" w:lineRule="auto"/>
        <w:jc w:val="both"/>
        <w:rPr>
          <w:rFonts w:cs="Times New Roman"/>
        </w:rPr>
      </w:pPr>
      <w:r>
        <w:rPr>
          <w:rFonts w:cs="Times New Roman"/>
        </w:rPr>
        <w:t>De minst ontwikkelde landen kunnen alleen aan de afspraken uit de Overeenkomst worden gebonden als zij voldoende financiële, administratieve en institutionele capaciteit hebben om de verplichtingen uit te kunnen voeren. Er dient assistentie en bijstand te worden gegeven voor capaciteitsopbouw aan ontwikkelingslanden om hen in staat te stellen aan de verplichtingen van de Overeenkomst te voldoen</w:t>
      </w:r>
      <w:r w:rsidRPr="00CF42A1">
        <w:rPr>
          <w:rFonts w:cs="Times New Roman"/>
        </w:rPr>
        <w:t>.</w:t>
      </w:r>
      <w:r>
        <w:rPr>
          <w:rFonts w:cs="Times New Roman"/>
        </w:rPr>
        <w:t xml:space="preserve"> De implementatieperiode van de Overeenkomst is voor ontwikkelingslanden gebonden aan de implementatiecapaciteit.</w:t>
      </w:r>
    </w:p>
    <w:p w:rsidRPr="0089658F" w:rsidR="00771528" w:rsidP="00771528" w:rsidRDefault="00771528" w14:paraId="5EC5FA41" w14:textId="77777777">
      <w:pPr>
        <w:spacing w:line="360" w:lineRule="auto"/>
        <w:rPr>
          <w:rFonts w:cs="Times New Roman"/>
          <w:highlight w:val="yellow"/>
        </w:rPr>
      </w:pPr>
    </w:p>
    <w:p w:rsidRPr="00CF42A1" w:rsidR="00771528" w:rsidP="00771528" w:rsidRDefault="00771528" w14:paraId="5EC5FA42" w14:textId="77777777">
      <w:pPr>
        <w:spacing w:line="360" w:lineRule="auto"/>
        <w:jc w:val="both"/>
        <w:rPr>
          <w:rFonts w:cs="Times New Roman"/>
          <w:b/>
          <w:iCs/>
        </w:rPr>
      </w:pPr>
      <w:r w:rsidRPr="00CF42A1">
        <w:rPr>
          <w:rFonts w:cs="Times New Roman"/>
          <w:b/>
          <w:iCs/>
        </w:rPr>
        <w:t>Artikel 1</w:t>
      </w:r>
      <w:r>
        <w:rPr>
          <w:rFonts w:cs="Times New Roman"/>
          <w:b/>
          <w:iCs/>
        </w:rPr>
        <w:t>4</w:t>
      </w:r>
      <w:r w:rsidRPr="00CF42A1">
        <w:rPr>
          <w:rFonts w:cs="Times New Roman"/>
          <w:b/>
          <w:iCs/>
        </w:rPr>
        <w:t xml:space="preserve"> </w:t>
      </w:r>
      <w:r>
        <w:rPr>
          <w:rFonts w:cs="Times New Roman"/>
          <w:b/>
          <w:iCs/>
        </w:rPr>
        <w:t>Categorieën bepalingen</w:t>
      </w:r>
    </w:p>
    <w:p w:rsidR="00771528" w:rsidP="00771528" w:rsidRDefault="00771528" w14:paraId="5EC5FA43" w14:textId="77777777">
      <w:pPr>
        <w:spacing w:line="360" w:lineRule="auto"/>
        <w:jc w:val="both"/>
        <w:rPr>
          <w:rFonts w:cs="Times New Roman"/>
        </w:rPr>
      </w:pPr>
      <w:r>
        <w:rPr>
          <w:rFonts w:cs="Times New Roman"/>
        </w:rPr>
        <w:t xml:space="preserve">De bepalingen uit deel I van de Overeenkomst worden ingedeeld in drie categorieën: categorie A bepalingen dienen meteen vanaf inwerkingtreding van de Overeenkomst te worden geïmplementeerd. Voor categorie B bepalingen gelden overgangstermijnen en voor categorie C bepalingen geldt dat </w:t>
      </w:r>
      <w:r>
        <w:rPr>
          <w:rFonts w:cs="Times New Roman"/>
        </w:rPr>
        <w:lastRenderedPageBreak/>
        <w:t>ontwikkelingslanden zowel een overgangstermijn als technische assistentie krijgen voordat zij de bepaling dienen te implementeren</w:t>
      </w:r>
      <w:r w:rsidRPr="00CF42A1">
        <w:rPr>
          <w:rFonts w:cs="Times New Roman"/>
        </w:rPr>
        <w:t>.</w:t>
      </w:r>
    </w:p>
    <w:p w:rsidR="00771528" w:rsidP="00771528" w:rsidRDefault="00771528" w14:paraId="5EC5FA44" w14:textId="77777777">
      <w:pPr>
        <w:spacing w:line="360" w:lineRule="auto"/>
        <w:jc w:val="both"/>
        <w:rPr>
          <w:rFonts w:cs="Times New Roman"/>
        </w:rPr>
      </w:pPr>
    </w:p>
    <w:p w:rsidRPr="00CF42A1" w:rsidR="00771528" w:rsidP="00771528" w:rsidRDefault="00771528" w14:paraId="5EC5FA45" w14:textId="77777777">
      <w:pPr>
        <w:spacing w:line="360" w:lineRule="auto"/>
        <w:jc w:val="both"/>
        <w:rPr>
          <w:rFonts w:cs="Times New Roman"/>
          <w:b/>
          <w:iCs/>
        </w:rPr>
      </w:pPr>
      <w:r w:rsidRPr="00CF42A1">
        <w:rPr>
          <w:rFonts w:cs="Times New Roman"/>
          <w:b/>
          <w:iCs/>
        </w:rPr>
        <w:t xml:space="preserve">Artikel </w:t>
      </w:r>
      <w:r>
        <w:rPr>
          <w:rFonts w:cs="Times New Roman"/>
          <w:b/>
          <w:iCs/>
        </w:rPr>
        <w:t>15-19</w:t>
      </w:r>
      <w:r w:rsidRPr="00CF42A1">
        <w:rPr>
          <w:rFonts w:cs="Times New Roman"/>
          <w:b/>
          <w:iCs/>
        </w:rPr>
        <w:t xml:space="preserve"> </w:t>
      </w:r>
      <w:r>
        <w:rPr>
          <w:rFonts w:cs="Times New Roman"/>
          <w:b/>
          <w:iCs/>
        </w:rPr>
        <w:t>Kennisgeving, uitvoer van de categorieën</w:t>
      </w:r>
    </w:p>
    <w:p w:rsidRPr="00CF42A1" w:rsidR="00771528" w:rsidP="00771528" w:rsidRDefault="00771528" w14:paraId="5EC5FA46" w14:textId="08D954F1">
      <w:pPr>
        <w:spacing w:line="360" w:lineRule="auto"/>
        <w:jc w:val="both"/>
        <w:rPr>
          <w:rFonts w:cs="Times New Roman"/>
        </w:rPr>
      </w:pPr>
      <w:r>
        <w:rPr>
          <w:rFonts w:cs="Times New Roman"/>
        </w:rPr>
        <w:t>Zo moeten artikelen 15-19 als eenheid worden gelezen. Ontwikkelingslanden kunnen zelf aangeven welke bepalingen zij indelen in categorie A, B en C. Zij dienen deze onderverdeling bij de WTO te notificeren (art. 15-16). Hiervoor gelden verschillende termijnen voor ontwikkelingslanden en de minst ontwikkelde landen. Ten aanzien van categorie B bepalingen dienen deze landen aan te geven hoeveel tijd zij extra nodig zullen hebben om de bepalingen te implementeren. Voor categorie C bepalingen dienen de landen aan te geven welke technische assistentie zij behoeven en op welke manier en op welke termijn zij de benodigde capaciteit zullen opbouwen om aan de verplichtingen te kunnen voldoen</w:t>
      </w:r>
      <w:r w:rsidRPr="00CF42A1">
        <w:rPr>
          <w:rFonts w:cs="Times New Roman"/>
        </w:rPr>
        <w:t>.</w:t>
      </w:r>
      <w:r>
        <w:rPr>
          <w:rFonts w:cs="Times New Roman"/>
        </w:rPr>
        <w:t xml:space="preserve"> Het is mogelijk om deze termijnen te verlengen met toestemming van het op te richten WTO handelsfacilitatiecomité (art. 17). Ook is het mogelijk om te wisselen tussen categorie B en C (art. 19). Dit dient te worden onderbouwd en genotificeerd aan het WTO handelsfacilitatiecomité. Art.17 voorziet in een waarschuwingsmechanisme wanneer ontwikkelingslanden deze termijnen dreigen te overschrijden of niet de benodigde technische assistentie ontvangen. Als ontwikkelingslanden de termijnen overschrijden, wordt dit voorgelegd aan een expertgroep welke aanbevelingen </w:t>
      </w:r>
      <w:r w:rsidRPr="00C53B4C">
        <w:rPr>
          <w:rFonts w:cs="Times New Roman"/>
        </w:rPr>
        <w:t>doet</w:t>
      </w:r>
      <w:r>
        <w:rPr>
          <w:rFonts w:cs="Times New Roman"/>
        </w:rPr>
        <w:t xml:space="preserve"> om de situatie zo goed mogelijk te adresseren.</w:t>
      </w:r>
    </w:p>
    <w:p w:rsidR="00771528" w:rsidP="00771528" w:rsidRDefault="00771528" w14:paraId="5EC5FA47" w14:textId="77777777">
      <w:pPr>
        <w:spacing w:line="360" w:lineRule="auto"/>
        <w:jc w:val="both"/>
        <w:rPr>
          <w:rFonts w:cs="Times New Roman"/>
        </w:rPr>
      </w:pPr>
    </w:p>
    <w:p w:rsidRPr="00CF42A1" w:rsidR="00771528" w:rsidP="00771528" w:rsidRDefault="00771528" w14:paraId="5EC5FA48" w14:textId="77777777">
      <w:pPr>
        <w:spacing w:line="360" w:lineRule="auto"/>
        <w:jc w:val="both"/>
        <w:rPr>
          <w:rFonts w:cs="Times New Roman"/>
          <w:b/>
          <w:iCs/>
        </w:rPr>
      </w:pPr>
      <w:r w:rsidRPr="00CF42A1">
        <w:rPr>
          <w:rFonts w:cs="Times New Roman"/>
          <w:b/>
          <w:iCs/>
        </w:rPr>
        <w:t xml:space="preserve">Artikel </w:t>
      </w:r>
      <w:r>
        <w:rPr>
          <w:rFonts w:cs="Times New Roman"/>
          <w:b/>
          <w:iCs/>
        </w:rPr>
        <w:t>20</w:t>
      </w:r>
      <w:r w:rsidRPr="00CF42A1">
        <w:rPr>
          <w:rFonts w:cs="Times New Roman"/>
          <w:b/>
          <w:iCs/>
        </w:rPr>
        <w:t xml:space="preserve"> </w:t>
      </w:r>
      <w:r>
        <w:rPr>
          <w:rFonts w:cs="Times New Roman"/>
          <w:b/>
          <w:iCs/>
        </w:rPr>
        <w:t>Respijtperiode voor het geschillenbeslechtingsmechanisme</w:t>
      </w:r>
    </w:p>
    <w:p w:rsidR="00771528" w:rsidP="00771528" w:rsidRDefault="00771528" w14:paraId="5EC5FA49" w14:textId="77777777">
      <w:pPr>
        <w:spacing w:line="360" w:lineRule="auto"/>
        <w:jc w:val="both"/>
        <w:rPr>
          <w:rFonts w:cs="Times New Roman"/>
        </w:rPr>
      </w:pPr>
      <w:r>
        <w:rPr>
          <w:rFonts w:cs="Times New Roman"/>
        </w:rPr>
        <w:t>Ontwikkelingslanden en minst ontwikkelde landen kunnen gedurende een beperkte termijn niet voor het WTO geschillenbeslechtingsmechanisme worden gedaagd als zij de bepalingen van de Overeenkomst niet of niet juist implementeren</w:t>
      </w:r>
      <w:r w:rsidRPr="00CF42A1">
        <w:rPr>
          <w:rFonts w:cs="Times New Roman"/>
        </w:rPr>
        <w:t>.</w:t>
      </w:r>
      <w:r>
        <w:rPr>
          <w:rFonts w:cs="Times New Roman"/>
        </w:rPr>
        <w:t xml:space="preserve"> De termijnen verschillen tussen ontwikkelingslanden en de minst ontwikkelde landen en tussen de categorieën A/B/C.</w:t>
      </w:r>
    </w:p>
    <w:p w:rsidRPr="00CF42A1" w:rsidR="00771528" w:rsidP="00771528" w:rsidRDefault="00771528" w14:paraId="5EC5FA4A" w14:textId="77777777">
      <w:pPr>
        <w:spacing w:line="360" w:lineRule="auto"/>
        <w:jc w:val="both"/>
        <w:rPr>
          <w:rFonts w:cs="Times New Roman"/>
        </w:rPr>
      </w:pPr>
    </w:p>
    <w:p w:rsidRPr="00CF42A1" w:rsidR="00771528" w:rsidP="00771528" w:rsidRDefault="00771528" w14:paraId="5EC5FA4B" w14:textId="77777777">
      <w:pPr>
        <w:spacing w:line="360" w:lineRule="auto"/>
        <w:jc w:val="both"/>
        <w:rPr>
          <w:rFonts w:cs="Times New Roman"/>
          <w:b/>
          <w:iCs/>
        </w:rPr>
      </w:pPr>
      <w:r w:rsidRPr="00CF42A1">
        <w:rPr>
          <w:rFonts w:cs="Times New Roman"/>
          <w:b/>
          <w:iCs/>
        </w:rPr>
        <w:t xml:space="preserve">Artikel </w:t>
      </w:r>
      <w:r>
        <w:rPr>
          <w:rFonts w:cs="Times New Roman"/>
          <w:b/>
          <w:iCs/>
        </w:rPr>
        <w:t>21</w:t>
      </w:r>
      <w:r w:rsidRPr="00CF42A1">
        <w:rPr>
          <w:rFonts w:cs="Times New Roman"/>
          <w:b/>
          <w:iCs/>
        </w:rPr>
        <w:t xml:space="preserve"> </w:t>
      </w:r>
      <w:r>
        <w:rPr>
          <w:rFonts w:cs="Times New Roman"/>
          <w:b/>
          <w:iCs/>
        </w:rPr>
        <w:t>Verstrekking van bijstand en ondersteuning voor capaciteitsopbouw</w:t>
      </w:r>
    </w:p>
    <w:p w:rsidR="00771528" w:rsidP="00771528" w:rsidRDefault="00771528" w14:paraId="5EC5FA4C" w14:textId="4A65D703">
      <w:pPr>
        <w:spacing w:line="360" w:lineRule="auto"/>
        <w:jc w:val="both"/>
        <w:rPr>
          <w:rFonts w:cs="Times New Roman"/>
        </w:rPr>
      </w:pPr>
      <w:r>
        <w:rPr>
          <w:rFonts w:cs="Times New Roman"/>
        </w:rPr>
        <w:t xml:space="preserve">De verdragspartijen uit donorlanden en ontwikkelingslanden die daartoe in staat zijn, zullen de verstrekking van bijstand en ondersteuning voor capaciteitsopbouw faciliteren ofwel op bilaterale basis </w:t>
      </w:r>
      <w:r w:rsidRPr="0089658F">
        <w:rPr>
          <w:rFonts w:cs="Times New Roman"/>
        </w:rPr>
        <w:t>danwel</w:t>
      </w:r>
      <w:r>
        <w:rPr>
          <w:rFonts w:cs="Times New Roman"/>
        </w:rPr>
        <w:t xml:space="preserve"> via de geschikte internationale organisaties. De donorlanden volgen hierbij de OESO Parijs Principes</w:t>
      </w:r>
      <w:r>
        <w:rPr>
          <w:rStyle w:val="FootnoteReference"/>
        </w:rPr>
        <w:footnoteReference w:id="1"/>
      </w:r>
      <w:r>
        <w:rPr>
          <w:rFonts w:cs="Times New Roman"/>
        </w:rPr>
        <w:t xml:space="preserve"> ten aanzien van effectieve hulp. Het op te richten WTO handelsfacilitatiecomité zal ten minste eenmaal per jaar bijeen komen om het niveau en de voortgang van capaciteitsopbouw te bespreken.</w:t>
      </w:r>
    </w:p>
    <w:p w:rsidR="00771528" w:rsidP="00771528" w:rsidRDefault="00771528" w14:paraId="5EC5FA4D" w14:textId="77777777">
      <w:pPr>
        <w:spacing w:line="360" w:lineRule="auto"/>
        <w:jc w:val="both"/>
        <w:rPr>
          <w:rFonts w:cs="Times New Roman"/>
          <w:b/>
          <w:iCs/>
        </w:rPr>
      </w:pPr>
    </w:p>
    <w:p w:rsidRPr="00CF42A1" w:rsidR="00771528" w:rsidP="00771528" w:rsidRDefault="00771528" w14:paraId="5EC5FA4E" w14:textId="7DE5E981">
      <w:pPr>
        <w:spacing w:line="360" w:lineRule="auto"/>
        <w:jc w:val="both"/>
        <w:rPr>
          <w:rFonts w:cs="Times New Roman"/>
          <w:b/>
          <w:iCs/>
        </w:rPr>
      </w:pPr>
      <w:r w:rsidRPr="00CF42A1">
        <w:rPr>
          <w:rFonts w:cs="Times New Roman"/>
          <w:b/>
          <w:iCs/>
        </w:rPr>
        <w:t xml:space="preserve">Artikel </w:t>
      </w:r>
      <w:r>
        <w:rPr>
          <w:rFonts w:cs="Times New Roman"/>
          <w:b/>
          <w:iCs/>
        </w:rPr>
        <w:t>22</w:t>
      </w:r>
      <w:r w:rsidRPr="00CF42A1">
        <w:rPr>
          <w:rFonts w:cs="Times New Roman"/>
          <w:b/>
          <w:iCs/>
        </w:rPr>
        <w:t xml:space="preserve"> </w:t>
      </w:r>
      <w:r w:rsidR="003D7704">
        <w:rPr>
          <w:rFonts w:cs="Times New Roman"/>
          <w:b/>
          <w:iCs/>
        </w:rPr>
        <w:t>Bij comité in te dienen i</w:t>
      </w:r>
      <w:r>
        <w:rPr>
          <w:rFonts w:cs="Times New Roman"/>
          <w:b/>
          <w:iCs/>
        </w:rPr>
        <w:t>nformatie over bijstand en ondersteuning voor capaciteitsopbouw</w:t>
      </w:r>
    </w:p>
    <w:p w:rsidRPr="00CF42A1" w:rsidR="00771528" w:rsidP="00771528" w:rsidRDefault="00771528" w14:paraId="5EC5FA4F" w14:textId="77777777">
      <w:pPr>
        <w:spacing w:line="360" w:lineRule="auto"/>
        <w:jc w:val="both"/>
        <w:rPr>
          <w:rFonts w:cs="Times New Roman"/>
        </w:rPr>
      </w:pPr>
      <w:r>
        <w:rPr>
          <w:rFonts w:cs="Times New Roman"/>
        </w:rPr>
        <w:t>Donorlanden zullen zo transparant mogelijk zijn ten aanzien van de technische assistentie en bijstand die zij leveren ten behoeve van de implementatie van de Overeenkomst. Zij rapporteren hierover jaarlijks aan het op te richten WTO handelsfacilitatiecomité. Ook internationale (hulp-)organisaties zoals de Wereldbank, OESO, UNCTAD, Werelddouaneorganisatie, IMF en andere relevante organisaties.</w:t>
      </w:r>
    </w:p>
    <w:p w:rsidR="00771528" w:rsidP="00771528" w:rsidRDefault="00771528" w14:paraId="5EC5FA50" w14:textId="77777777">
      <w:pPr>
        <w:spacing w:line="360" w:lineRule="auto"/>
        <w:rPr>
          <w:rFonts w:cs="Times New Roman"/>
          <w:i/>
          <w:highlight w:val="yellow"/>
        </w:rPr>
      </w:pPr>
    </w:p>
    <w:p w:rsidR="00771528" w:rsidP="00771528" w:rsidRDefault="00771528" w14:paraId="5EC5FA51" w14:textId="77777777">
      <w:pPr>
        <w:spacing w:line="240" w:lineRule="auto"/>
        <w:rPr>
          <w:rFonts w:cs="Times New Roman"/>
          <w:i/>
        </w:rPr>
      </w:pPr>
      <w:r>
        <w:rPr>
          <w:rFonts w:cs="Times New Roman"/>
          <w:i/>
        </w:rPr>
        <w:br w:type="page"/>
      </w:r>
    </w:p>
    <w:p w:rsidRPr="0089658F" w:rsidR="00771528" w:rsidP="00771528" w:rsidRDefault="00771528" w14:paraId="5EC5FA52" w14:textId="77777777">
      <w:pPr>
        <w:spacing w:line="360" w:lineRule="auto"/>
        <w:rPr>
          <w:rFonts w:cs="Times New Roman"/>
          <w:i/>
        </w:rPr>
      </w:pPr>
      <w:r w:rsidRPr="0089658F">
        <w:rPr>
          <w:rFonts w:cs="Times New Roman"/>
          <w:i/>
        </w:rPr>
        <w:lastRenderedPageBreak/>
        <w:t>Deel III</w:t>
      </w:r>
      <w:r w:rsidR="00DF18C8">
        <w:rPr>
          <w:rFonts w:cs="Times New Roman"/>
          <w:i/>
        </w:rPr>
        <w:t xml:space="preserve"> Institutionele regelingen </w:t>
      </w:r>
    </w:p>
    <w:p w:rsidRPr="00CF42A1" w:rsidR="00771528" w:rsidP="00771528" w:rsidRDefault="00771528" w14:paraId="5EC5FA53" w14:textId="31C3FB07">
      <w:pPr>
        <w:spacing w:line="360" w:lineRule="auto"/>
        <w:jc w:val="both"/>
        <w:rPr>
          <w:rFonts w:cs="Times New Roman"/>
          <w:b/>
          <w:iCs/>
        </w:rPr>
      </w:pPr>
      <w:r w:rsidRPr="00CF42A1">
        <w:rPr>
          <w:rFonts w:cs="Times New Roman"/>
          <w:b/>
          <w:iCs/>
        </w:rPr>
        <w:t xml:space="preserve">Artikel </w:t>
      </w:r>
      <w:r>
        <w:rPr>
          <w:rFonts w:cs="Times New Roman"/>
          <w:b/>
          <w:iCs/>
        </w:rPr>
        <w:t>23</w:t>
      </w:r>
      <w:r w:rsidRPr="00CF42A1">
        <w:rPr>
          <w:rFonts w:cs="Times New Roman"/>
          <w:b/>
          <w:iCs/>
        </w:rPr>
        <w:t xml:space="preserve"> </w:t>
      </w:r>
      <w:r w:rsidR="00376357">
        <w:rPr>
          <w:rFonts w:cs="Times New Roman"/>
          <w:b/>
          <w:iCs/>
        </w:rPr>
        <w:t>Institutionele regelingen</w:t>
      </w:r>
    </w:p>
    <w:p w:rsidR="00771528" w:rsidP="00771528" w:rsidRDefault="00771528" w14:paraId="5EC5FA54" w14:textId="77777777">
      <w:pPr>
        <w:spacing w:line="360" w:lineRule="auto"/>
        <w:jc w:val="both"/>
        <w:rPr>
          <w:rFonts w:cs="Times New Roman"/>
        </w:rPr>
      </w:pPr>
      <w:r>
        <w:rPr>
          <w:rFonts w:cs="Times New Roman"/>
        </w:rPr>
        <w:t>Bij de WTO wordt een comité opgericht dat toezicht houdt op de implementatie en naleving van de Overeenkomst</w:t>
      </w:r>
      <w:r w:rsidRPr="00CF42A1">
        <w:rPr>
          <w:rFonts w:cs="Times New Roman"/>
        </w:rPr>
        <w:t>.</w:t>
      </w:r>
      <w:r>
        <w:rPr>
          <w:rFonts w:cs="Times New Roman"/>
        </w:rPr>
        <w:t xml:space="preserve"> Lidstaten verbinden zich ertoe ook een nationaal comité op te richten met hetzelfde doel. In Nederland wordt het overleg douane-bedrijfsleven aangewezen als het nationale handelsfacilitatiecomité. Het nationale handelsfacilitatiecomité kan ook door de BES-eilanden worden gebruikt. Er komt in de BES-eilanden dan ook geen specifiek comité.</w:t>
      </w:r>
    </w:p>
    <w:p w:rsidR="00771528" w:rsidP="00771528" w:rsidRDefault="00771528" w14:paraId="5EC5FA55" w14:textId="77777777">
      <w:pPr>
        <w:spacing w:line="360" w:lineRule="auto"/>
        <w:jc w:val="both"/>
        <w:rPr>
          <w:rFonts w:cs="Times New Roman"/>
        </w:rPr>
      </w:pPr>
    </w:p>
    <w:p w:rsidRPr="00CF42A1" w:rsidR="00771528" w:rsidP="00771528" w:rsidRDefault="00771528" w14:paraId="5EC5FA56" w14:textId="77777777">
      <w:pPr>
        <w:spacing w:line="360" w:lineRule="auto"/>
        <w:jc w:val="both"/>
        <w:rPr>
          <w:rFonts w:cs="Times New Roman"/>
          <w:b/>
          <w:iCs/>
        </w:rPr>
      </w:pPr>
      <w:r w:rsidRPr="00CF42A1">
        <w:rPr>
          <w:rFonts w:cs="Times New Roman"/>
          <w:b/>
          <w:iCs/>
        </w:rPr>
        <w:t xml:space="preserve">Artikel </w:t>
      </w:r>
      <w:r>
        <w:rPr>
          <w:rFonts w:cs="Times New Roman"/>
          <w:b/>
          <w:iCs/>
        </w:rPr>
        <w:t>24</w:t>
      </w:r>
      <w:r w:rsidRPr="00CF42A1">
        <w:rPr>
          <w:rFonts w:cs="Times New Roman"/>
          <w:b/>
          <w:iCs/>
        </w:rPr>
        <w:t xml:space="preserve"> </w:t>
      </w:r>
      <w:r>
        <w:rPr>
          <w:rFonts w:cs="Times New Roman"/>
          <w:b/>
          <w:iCs/>
        </w:rPr>
        <w:t>Slotbepalingen</w:t>
      </w:r>
    </w:p>
    <w:p w:rsidR="00771528" w:rsidP="00771528" w:rsidRDefault="00771528" w14:paraId="5EC5FA57" w14:textId="77777777">
      <w:pPr>
        <w:spacing w:line="360" w:lineRule="auto"/>
        <w:jc w:val="both"/>
        <w:rPr>
          <w:rFonts w:cs="Times New Roman"/>
        </w:rPr>
      </w:pPr>
      <w:r>
        <w:rPr>
          <w:rFonts w:cs="Times New Roman"/>
        </w:rPr>
        <w:t>Alle landen zijn gebonden aan de Overeenkomst vanaf het moment van inwerkingtreding, met uitzondering van de speciale voorwaarden voor ontwikkelingslanden (zie deel II)</w:t>
      </w:r>
      <w:r w:rsidRPr="00CF42A1">
        <w:rPr>
          <w:rFonts w:cs="Times New Roman"/>
        </w:rPr>
        <w:t>.</w:t>
      </w:r>
      <w:r>
        <w:rPr>
          <w:rFonts w:cs="Times New Roman"/>
        </w:rPr>
        <w:t xml:space="preserve"> Douane-unies en regionale samenwerkingsverbanden mogen kiezen voor een gezamenlijke implementatie van de Overeenkomst. De Overeenkomst doet geen afbreuk aan bestaande WTO-verplichtingen, zoals de verplichtingen onder GATT1994 of de SPS-overeenkomst.</w:t>
      </w:r>
    </w:p>
    <w:p w:rsidRPr="0000239B" w:rsidR="00771528" w:rsidP="00771528" w:rsidRDefault="00771528" w14:paraId="5EC5FA58" w14:textId="77777777">
      <w:pPr>
        <w:spacing w:line="360" w:lineRule="auto"/>
        <w:jc w:val="both"/>
        <w:rPr>
          <w:rFonts w:cs="Times New Roman"/>
        </w:rPr>
      </w:pPr>
    </w:p>
    <w:p w:rsidR="00771528" w:rsidP="00771528" w:rsidRDefault="00771528" w14:paraId="5EC5FA59" w14:textId="468209B1">
      <w:pPr>
        <w:spacing w:line="360" w:lineRule="auto"/>
        <w:rPr>
          <w:rFonts w:cs="Times New Roman"/>
          <w:b/>
        </w:rPr>
      </w:pPr>
      <w:r w:rsidRPr="0094649F">
        <w:rPr>
          <w:rFonts w:cs="Times New Roman"/>
          <w:b/>
        </w:rPr>
        <w:t>III. Bijlage</w:t>
      </w:r>
    </w:p>
    <w:p w:rsidR="00771528" w:rsidP="00771528" w:rsidRDefault="00771528" w14:paraId="5EC5FA5A" w14:textId="77777777">
      <w:pPr>
        <w:tabs>
          <w:tab w:val="left" w:pos="487"/>
          <w:tab w:val="left" w:pos="1394"/>
        </w:tabs>
        <w:suppressAutoHyphens/>
        <w:jc w:val="both"/>
      </w:pPr>
    </w:p>
    <w:p w:rsidR="00771528" w:rsidP="00771528" w:rsidRDefault="00771528" w14:paraId="5EC5FA5B" w14:textId="732BA6B8">
      <w:pPr>
        <w:spacing w:line="360" w:lineRule="auto"/>
        <w:jc w:val="both"/>
      </w:pPr>
      <w:r w:rsidRPr="00260721">
        <w:rPr>
          <w:rFonts w:cs="Times New Roman"/>
        </w:rPr>
        <w:t xml:space="preserve">De bijlage vormt een integrerend onderdeel van </w:t>
      </w:r>
      <w:r>
        <w:rPr>
          <w:rFonts w:cs="Times New Roman"/>
        </w:rPr>
        <w:t>de Overeenkomst</w:t>
      </w:r>
      <w:r w:rsidRPr="00260721">
        <w:rPr>
          <w:rFonts w:cs="Times New Roman"/>
        </w:rPr>
        <w:t xml:space="preserve"> en is aan te merken als zijnde van uitvoerende aard. </w:t>
      </w:r>
      <w:r>
        <w:rPr>
          <w:rFonts w:cs="Times New Roman"/>
        </w:rPr>
        <w:t xml:space="preserve">De Overeenkomst </w:t>
      </w:r>
      <w:r w:rsidRPr="00260721">
        <w:rPr>
          <w:rFonts w:cs="Times New Roman"/>
        </w:rPr>
        <w:t xml:space="preserve">bevat één bijlage, met onder verwijzing naar artikel 22 een </w:t>
      </w:r>
      <w:r w:rsidR="00C10F5B">
        <w:rPr>
          <w:rFonts w:cs="Times New Roman"/>
        </w:rPr>
        <w:t>model</w:t>
      </w:r>
      <w:r w:rsidRPr="00260721">
        <w:rPr>
          <w:rFonts w:cs="Times New Roman"/>
        </w:rPr>
        <w:t xml:space="preserve"> inzake kennisgeving krachtens paragraaf 1 van artikel 22. De wijziging van deze bijlage behoeft op grond van artikel op grond van artikel 7, onderdeel f, van de Rijkswet goedkeuring en bekendmaking </w:t>
      </w:r>
      <w:r>
        <w:rPr>
          <w:rFonts w:cs="Times New Roman"/>
        </w:rPr>
        <w:t>de Overeenkomst</w:t>
      </w:r>
      <w:r w:rsidRPr="00260721">
        <w:rPr>
          <w:rFonts w:cs="Times New Roman"/>
        </w:rPr>
        <w:t xml:space="preserve">en </w:t>
      </w:r>
      <w:r w:rsidRPr="00AA690D">
        <w:rPr>
          <w:rFonts w:cs="Times New Roman"/>
        </w:rPr>
        <w:t xml:space="preserve">geen parlementaire goedkeuring, tenzij de Staten-Generaal zich thans het recht tot goedkeuring </w:t>
      </w:r>
      <w:r w:rsidRPr="0089658F">
        <w:rPr>
          <w:rFonts w:cs="Times New Roman"/>
        </w:rPr>
        <w:t>terzake</w:t>
      </w:r>
      <w:r w:rsidRPr="008660DC">
        <w:rPr>
          <w:rFonts w:cs="Times New Roman"/>
        </w:rPr>
        <w:t xml:space="preserve"> voorbehouden.</w:t>
      </w:r>
    </w:p>
    <w:p w:rsidRPr="00B77133" w:rsidR="00771528" w:rsidP="00771528" w:rsidRDefault="00771528" w14:paraId="5EC5FA5C" w14:textId="77777777">
      <w:pPr>
        <w:spacing w:line="360" w:lineRule="auto"/>
        <w:rPr>
          <w:rFonts w:cs="Times New Roman"/>
          <w:i/>
          <w:highlight w:val="yellow"/>
        </w:rPr>
      </w:pPr>
    </w:p>
    <w:p w:rsidRPr="00C11108" w:rsidR="00771528" w:rsidP="00771528" w:rsidRDefault="00771528" w14:paraId="5EC5FA5D" w14:textId="77777777">
      <w:pPr>
        <w:spacing w:line="360" w:lineRule="auto"/>
        <w:jc w:val="both"/>
        <w:rPr>
          <w:rFonts w:cs="Times New Roman"/>
          <w:b/>
        </w:rPr>
      </w:pPr>
      <w:r w:rsidRPr="00C11108">
        <w:rPr>
          <w:rFonts w:cs="Times New Roman"/>
          <w:b/>
        </w:rPr>
        <w:t xml:space="preserve">IV. </w:t>
      </w:r>
      <w:r>
        <w:rPr>
          <w:rFonts w:cs="Times New Roman"/>
          <w:b/>
        </w:rPr>
        <w:t>Uitvoering van de Overeenkomst</w:t>
      </w:r>
    </w:p>
    <w:p w:rsidR="00771528" w:rsidP="00771528" w:rsidRDefault="00771528" w14:paraId="5EC5FA5E" w14:textId="77777777">
      <w:pPr>
        <w:spacing w:line="360" w:lineRule="auto"/>
        <w:jc w:val="both"/>
        <w:rPr>
          <w:rFonts w:cs="Times New Roman"/>
        </w:rPr>
      </w:pPr>
    </w:p>
    <w:p w:rsidR="00771528" w:rsidP="00771528" w:rsidRDefault="00771528" w14:paraId="5EC5FA5F" w14:textId="45EBCCA8">
      <w:pPr>
        <w:spacing w:line="360" w:lineRule="auto"/>
        <w:jc w:val="both"/>
        <w:rPr>
          <w:rFonts w:cs="Times New Roman"/>
        </w:rPr>
      </w:pPr>
      <w:r>
        <w:rPr>
          <w:rFonts w:cs="Times New Roman"/>
        </w:rPr>
        <w:t>Voor Europees en Caribisch Nederland geldt dat de bestaande wetgeving reeds voldoet aan de vereisten van de Overeenkomst</w:t>
      </w:r>
      <w:r>
        <w:t xml:space="preserve">. Hieronder wordt </w:t>
      </w:r>
      <w:r w:rsidR="00230F03">
        <w:t xml:space="preserve">ten aanzien van enkele aspecten en per onderwerp </w:t>
      </w:r>
      <w:r w:rsidR="000D502E">
        <w:t xml:space="preserve">een </w:t>
      </w:r>
      <w:r>
        <w:rPr>
          <w:rFonts w:cs="Times New Roman"/>
        </w:rPr>
        <w:t>beschrijving gegeven van de wijze waarop</w:t>
      </w:r>
      <w:r w:rsidR="005736AB">
        <w:rPr>
          <w:rFonts w:cs="Times New Roman"/>
        </w:rPr>
        <w:t xml:space="preserve"> door de douane</w:t>
      </w:r>
      <w:r>
        <w:rPr>
          <w:rFonts w:cs="Times New Roman"/>
        </w:rPr>
        <w:t xml:space="preserve"> uitvoering wordt gegeven aan de verplichtingen van de Overeenkomst voor Caribisch Nederland. </w:t>
      </w:r>
    </w:p>
    <w:p w:rsidR="00771528" w:rsidP="00771528" w:rsidRDefault="00771528" w14:paraId="5EC5FA60" w14:textId="77777777">
      <w:pPr>
        <w:spacing w:line="360" w:lineRule="auto"/>
        <w:jc w:val="both"/>
        <w:rPr>
          <w:rFonts w:cs="Times New Roman"/>
        </w:rPr>
      </w:pPr>
    </w:p>
    <w:p w:rsidR="00771528" w:rsidP="00771528" w:rsidRDefault="00771528" w14:paraId="5EC5FA61" w14:textId="77777777">
      <w:pPr>
        <w:numPr>
          <w:ilvl w:val="0"/>
          <w:numId w:val="3"/>
        </w:numPr>
        <w:spacing w:line="360" w:lineRule="auto"/>
        <w:jc w:val="both"/>
        <w:rPr>
          <w:rFonts w:cs="Times New Roman"/>
        </w:rPr>
      </w:pPr>
      <w:r>
        <w:rPr>
          <w:rFonts w:cs="Times New Roman"/>
        </w:rPr>
        <w:t>Publicatie en beschikbaarheid van informatie:</w:t>
      </w:r>
    </w:p>
    <w:p w:rsidR="00771528" w:rsidP="00771528" w:rsidRDefault="00771528" w14:paraId="5EC5FA62" w14:textId="12998266">
      <w:pPr>
        <w:spacing w:line="360" w:lineRule="auto"/>
        <w:jc w:val="both"/>
        <w:rPr>
          <w:rFonts w:cs="Times New Roman"/>
        </w:rPr>
      </w:pPr>
      <w:r>
        <w:rPr>
          <w:rFonts w:cs="Times New Roman"/>
        </w:rPr>
        <w:t>Naast de informatie die de Douane verstrekt op haar website heeft een ieder op grond van artikel 2.8 van de Douane- en Accijnswet BES het recht aan de inspecteur in</w:t>
      </w:r>
      <w:r w:rsidR="00155DF2">
        <w:rPr>
          <w:rFonts w:cs="Times New Roman"/>
        </w:rPr>
        <w:t>formatie</w:t>
      </w:r>
      <w:r>
        <w:rPr>
          <w:rFonts w:cs="Times New Roman"/>
        </w:rPr>
        <w:t xml:space="preserve"> te vragen over de toepassing van de douanewetgeving. De in</w:t>
      </w:r>
      <w:r w:rsidR="00E960FE">
        <w:rPr>
          <w:rFonts w:cs="Times New Roman"/>
        </w:rPr>
        <w:t>formatie</w:t>
      </w:r>
      <w:r>
        <w:rPr>
          <w:rFonts w:cs="Times New Roman"/>
        </w:rPr>
        <w:t xml:space="preserve"> dien</w:t>
      </w:r>
      <w:r w:rsidR="00E960FE">
        <w:rPr>
          <w:rFonts w:cs="Times New Roman"/>
        </w:rPr>
        <w:t>t</w:t>
      </w:r>
      <w:r>
        <w:rPr>
          <w:rFonts w:cs="Times New Roman"/>
        </w:rPr>
        <w:t xml:space="preserve"> binnen een redelijke termijn te worden verstrekt. </w:t>
      </w:r>
    </w:p>
    <w:p w:rsidR="00771528" w:rsidP="00771528" w:rsidRDefault="00771528" w14:paraId="5EC5FA63" w14:textId="77777777">
      <w:pPr>
        <w:spacing w:line="360" w:lineRule="auto"/>
        <w:jc w:val="both"/>
        <w:rPr>
          <w:rFonts w:cs="Times New Roman"/>
        </w:rPr>
      </w:pPr>
    </w:p>
    <w:p w:rsidR="00771528" w:rsidP="00771528" w:rsidRDefault="00DC3907" w14:paraId="5EC5FA64" w14:textId="262C467E">
      <w:pPr>
        <w:numPr>
          <w:ilvl w:val="0"/>
          <w:numId w:val="3"/>
        </w:numPr>
        <w:spacing w:line="360" w:lineRule="auto"/>
        <w:jc w:val="both"/>
        <w:rPr>
          <w:rFonts w:cs="Times New Roman"/>
        </w:rPr>
      </w:pPr>
      <w:r>
        <w:rPr>
          <w:rFonts w:cs="Times New Roman"/>
        </w:rPr>
        <w:t>Gelegenheid te reageren, informatie vóór inwerkingtreding en overleg</w:t>
      </w:r>
      <w:r w:rsidR="00771528">
        <w:rPr>
          <w:rFonts w:cs="Times New Roman"/>
        </w:rPr>
        <w:t>:</w:t>
      </w:r>
    </w:p>
    <w:p w:rsidR="00771528" w:rsidP="00771528" w:rsidRDefault="00771528" w14:paraId="5EC5FA65" w14:textId="77777777">
      <w:pPr>
        <w:spacing w:line="360" w:lineRule="auto"/>
        <w:jc w:val="both"/>
        <w:rPr>
          <w:rFonts w:cs="Times New Roman"/>
        </w:rPr>
      </w:pPr>
      <w:r>
        <w:rPr>
          <w:rFonts w:cs="Times New Roman"/>
        </w:rPr>
        <w:t xml:space="preserve">Het is reeds bestaande praktijk dat belanghebbenden al in de voorbereidingsfase van nieuwe wettelijke regelingen worden betrokken, onder meer </w:t>
      </w:r>
      <w:r w:rsidRPr="00315467">
        <w:rPr>
          <w:rFonts w:cs="Times New Roman"/>
        </w:rPr>
        <w:t>om</w:t>
      </w:r>
      <w:r>
        <w:rPr>
          <w:rFonts w:cs="Times New Roman"/>
        </w:rPr>
        <w:t xml:space="preserve"> zodoende draagvlak te creëren voor de nieuwe regelgeving.</w:t>
      </w:r>
    </w:p>
    <w:p w:rsidR="00771528" w:rsidP="00771528" w:rsidRDefault="00771528" w14:paraId="5EC5FA66" w14:textId="77777777">
      <w:pPr>
        <w:spacing w:line="360" w:lineRule="auto"/>
        <w:jc w:val="both"/>
        <w:rPr>
          <w:rFonts w:cs="Times New Roman"/>
        </w:rPr>
      </w:pPr>
    </w:p>
    <w:p w:rsidR="00771528" w:rsidP="00771528" w:rsidRDefault="0006207B" w14:paraId="5EC5FA67" w14:textId="0ADBE05F">
      <w:pPr>
        <w:numPr>
          <w:ilvl w:val="0"/>
          <w:numId w:val="3"/>
        </w:numPr>
        <w:spacing w:line="360" w:lineRule="auto"/>
        <w:jc w:val="both"/>
        <w:rPr>
          <w:rFonts w:cs="Times New Roman"/>
        </w:rPr>
      </w:pPr>
      <w:r>
        <w:rPr>
          <w:rFonts w:cs="Times New Roman"/>
        </w:rPr>
        <w:t>Voorafgaande besluiten</w:t>
      </w:r>
      <w:r w:rsidR="00771528">
        <w:rPr>
          <w:rFonts w:cs="Times New Roman"/>
        </w:rPr>
        <w:t>:</w:t>
      </w:r>
    </w:p>
    <w:p w:rsidR="00771528" w:rsidP="00771528" w:rsidRDefault="00771528" w14:paraId="5EC5FA68" w14:textId="303B4772">
      <w:pPr>
        <w:spacing w:line="360" w:lineRule="auto"/>
        <w:jc w:val="both"/>
        <w:rPr>
          <w:rFonts w:cs="Times New Roman"/>
        </w:rPr>
      </w:pPr>
      <w:r>
        <w:rPr>
          <w:rFonts w:cs="Times New Roman"/>
        </w:rPr>
        <w:lastRenderedPageBreak/>
        <w:t xml:space="preserve">Op grond van artikel 2.9 van de Douane- en Accijnswet BES en nader uitgewerkt in artikel 2.7 van de Uitvoeringsregeling Douane- en Accijnswet BES kunnen belanghebbenden aan de inspecteur verzoeken om </w:t>
      </w:r>
      <w:r w:rsidR="00DF2BB7">
        <w:rPr>
          <w:rFonts w:cs="Times New Roman"/>
        </w:rPr>
        <w:t>voorafgaande besluite</w:t>
      </w:r>
      <w:r>
        <w:rPr>
          <w:rFonts w:cs="Times New Roman"/>
        </w:rPr>
        <w:t>n ten aanzien van het douanetarief en de oorsprong van goederen aan hen te verstrekken.</w:t>
      </w:r>
    </w:p>
    <w:p w:rsidR="00771528" w:rsidP="00771528" w:rsidRDefault="00771528" w14:paraId="5EC5FA69" w14:textId="77777777">
      <w:pPr>
        <w:spacing w:line="360" w:lineRule="auto"/>
        <w:jc w:val="both"/>
        <w:rPr>
          <w:rFonts w:cs="Times New Roman"/>
        </w:rPr>
      </w:pPr>
    </w:p>
    <w:p w:rsidRPr="00315467" w:rsidR="00771528" w:rsidP="00771528" w:rsidRDefault="00771528" w14:paraId="5EC5FA6A" w14:textId="77777777">
      <w:pPr>
        <w:numPr>
          <w:ilvl w:val="0"/>
          <w:numId w:val="3"/>
        </w:numPr>
        <w:spacing w:line="360" w:lineRule="auto"/>
        <w:jc w:val="both"/>
        <w:rPr>
          <w:rFonts w:cs="Times New Roman"/>
        </w:rPr>
      </w:pPr>
      <w:r w:rsidRPr="00315467">
        <w:rPr>
          <w:rFonts w:cs="Times New Roman"/>
        </w:rPr>
        <w:t xml:space="preserve">Bezwaar en </w:t>
      </w:r>
      <w:r>
        <w:rPr>
          <w:rFonts w:cs="Times New Roman"/>
        </w:rPr>
        <w:t>toetsing</w:t>
      </w:r>
      <w:r w:rsidRPr="00315467">
        <w:rPr>
          <w:rFonts w:cs="Times New Roman"/>
        </w:rPr>
        <w:t>:</w:t>
      </w:r>
    </w:p>
    <w:p w:rsidR="00771528" w:rsidP="00771528" w:rsidRDefault="00771528" w14:paraId="5EC5FA6B" w14:textId="77777777">
      <w:pPr>
        <w:spacing w:line="360" w:lineRule="auto"/>
        <w:jc w:val="both"/>
        <w:rPr>
          <w:rFonts w:cs="Times New Roman"/>
        </w:rPr>
      </w:pPr>
      <w:r w:rsidRPr="00315467">
        <w:rPr>
          <w:rFonts w:cs="Times New Roman"/>
        </w:rPr>
        <w:t xml:space="preserve">Tegen beschikkingen van de inspecteur is </w:t>
      </w:r>
      <w:r>
        <w:rPr>
          <w:rFonts w:cs="Times New Roman"/>
        </w:rPr>
        <w:t>na een bezwaarprocedure bij de inspecteur of de ontvanger</w:t>
      </w:r>
      <w:r w:rsidRPr="00315467">
        <w:rPr>
          <w:rFonts w:cs="Times New Roman"/>
        </w:rPr>
        <w:t xml:space="preserve"> beroep </w:t>
      </w:r>
      <w:r>
        <w:rPr>
          <w:rFonts w:cs="Times New Roman"/>
        </w:rPr>
        <w:t xml:space="preserve">bij het Gerecht in Eerste Aanleg </w:t>
      </w:r>
      <w:r w:rsidRPr="00315467">
        <w:rPr>
          <w:rFonts w:cs="Times New Roman"/>
        </w:rPr>
        <w:t xml:space="preserve">mogelijk. Dit is </w:t>
      </w:r>
      <w:r>
        <w:rPr>
          <w:rFonts w:cs="Times New Roman"/>
        </w:rPr>
        <w:t>bepaald</w:t>
      </w:r>
      <w:r w:rsidRPr="00315467">
        <w:rPr>
          <w:rFonts w:cs="Times New Roman"/>
        </w:rPr>
        <w:t xml:space="preserve"> in de artikelen 2.8</w:t>
      </w:r>
      <w:r>
        <w:rPr>
          <w:rFonts w:cs="Times New Roman"/>
        </w:rPr>
        <w:t>6</w:t>
      </w:r>
      <w:r w:rsidRPr="00315467">
        <w:rPr>
          <w:rFonts w:cs="Times New Roman"/>
        </w:rPr>
        <w:t xml:space="preserve"> en 2.87, van de Douane- en Accijnswet BES.</w:t>
      </w:r>
      <w:r>
        <w:rPr>
          <w:rFonts w:cs="Times New Roman"/>
        </w:rPr>
        <w:t xml:space="preserve"> </w:t>
      </w:r>
    </w:p>
    <w:p w:rsidR="00771528" w:rsidP="00771528" w:rsidRDefault="00771528" w14:paraId="5EC5FA6C" w14:textId="77777777">
      <w:pPr>
        <w:spacing w:line="360" w:lineRule="auto"/>
        <w:jc w:val="both"/>
        <w:rPr>
          <w:rFonts w:cs="Times New Roman"/>
        </w:rPr>
      </w:pPr>
    </w:p>
    <w:p w:rsidR="00771528" w:rsidP="00771528" w:rsidRDefault="00771528" w14:paraId="5EC5FA6D" w14:textId="5EB583B6">
      <w:pPr>
        <w:numPr>
          <w:ilvl w:val="0"/>
          <w:numId w:val="3"/>
        </w:numPr>
        <w:spacing w:line="360" w:lineRule="auto"/>
        <w:jc w:val="both"/>
        <w:rPr>
          <w:rFonts w:cs="Times New Roman"/>
        </w:rPr>
      </w:pPr>
      <w:r>
        <w:rPr>
          <w:rFonts w:cs="Times New Roman"/>
        </w:rPr>
        <w:t>Andere maatregelen om onpartijdigheid, non-discriminatie en transparantie te ver</w:t>
      </w:r>
      <w:r w:rsidR="00952994">
        <w:rPr>
          <w:rFonts w:cs="Times New Roman"/>
        </w:rPr>
        <w:t>betere</w:t>
      </w:r>
      <w:r>
        <w:rPr>
          <w:rFonts w:cs="Times New Roman"/>
        </w:rPr>
        <w:t>n:</w:t>
      </w:r>
    </w:p>
    <w:p w:rsidR="00771528" w:rsidP="00771528" w:rsidRDefault="00771528" w14:paraId="5EC5FA6E" w14:textId="77777777">
      <w:pPr>
        <w:spacing w:line="360" w:lineRule="auto"/>
        <w:jc w:val="both"/>
        <w:rPr>
          <w:rFonts w:cs="Times New Roman"/>
        </w:rPr>
      </w:pPr>
      <w:r>
        <w:rPr>
          <w:rFonts w:cs="Times New Roman"/>
        </w:rPr>
        <w:t xml:space="preserve">Controle door de douane vindt doorgaans plaats door middel van risico - analyse. Alleen in risicovolle </w:t>
      </w:r>
    </w:p>
    <w:p w:rsidR="00771528" w:rsidP="00771528" w:rsidRDefault="00771528" w14:paraId="5EC5FA70" w14:textId="210A569D">
      <w:pPr>
        <w:spacing w:line="360" w:lineRule="auto"/>
        <w:jc w:val="both"/>
        <w:rPr>
          <w:rFonts w:cs="Times New Roman"/>
        </w:rPr>
      </w:pPr>
      <w:r>
        <w:rPr>
          <w:rFonts w:cs="Times New Roman"/>
        </w:rPr>
        <w:t>(bijv.drugs- gerelateerde) gevallen wordt 100% controle toegepast</w:t>
      </w:r>
      <w:r w:rsidR="001B6F67">
        <w:rPr>
          <w:rFonts w:cs="Times New Roman"/>
        </w:rPr>
        <w:t xml:space="preserve">. </w:t>
      </w:r>
      <w:r>
        <w:rPr>
          <w:rFonts w:cs="Times New Roman"/>
        </w:rPr>
        <w:t>Voor wat betreft het recht van de importeur op een second opinion dient te worden vermeld dat dit recht voor wat betreft het nemen van monsters van goederen is opgenomen in artikel 2.36 van de Uitvoeringsregeling Douane- en Accijnswet BES.</w:t>
      </w:r>
    </w:p>
    <w:p w:rsidR="00771528" w:rsidP="00771528" w:rsidRDefault="00771528" w14:paraId="5EC5FA71" w14:textId="77777777">
      <w:pPr>
        <w:spacing w:line="360" w:lineRule="auto"/>
        <w:jc w:val="both"/>
        <w:rPr>
          <w:rFonts w:cs="Times New Roman"/>
        </w:rPr>
      </w:pPr>
    </w:p>
    <w:p w:rsidR="00771528" w:rsidP="00771528" w:rsidRDefault="00DD2433" w14:paraId="5EC5FA72" w14:textId="75B38903">
      <w:pPr>
        <w:numPr>
          <w:ilvl w:val="0"/>
          <w:numId w:val="3"/>
        </w:numPr>
        <w:spacing w:line="360" w:lineRule="auto"/>
        <w:jc w:val="both"/>
        <w:rPr>
          <w:rFonts w:cs="Times New Roman"/>
        </w:rPr>
      </w:pPr>
      <w:r>
        <w:rPr>
          <w:rFonts w:cs="Times New Roman"/>
        </w:rPr>
        <w:t xml:space="preserve">Voorschriften inzake retributies en heffingen ter zake van of </w:t>
      </w:r>
      <w:r w:rsidR="00771528">
        <w:rPr>
          <w:rFonts w:cs="Times New Roman"/>
        </w:rPr>
        <w:t>in verband met de in- en uitvoer en boetes:</w:t>
      </w:r>
    </w:p>
    <w:p w:rsidR="00771528" w:rsidP="00771528" w:rsidRDefault="00771528" w14:paraId="5EC5FA74" w14:textId="039C1E12">
      <w:pPr>
        <w:spacing w:line="360" w:lineRule="auto"/>
        <w:jc w:val="both"/>
        <w:rPr>
          <w:rFonts w:cs="Times New Roman"/>
        </w:rPr>
      </w:pPr>
      <w:r>
        <w:rPr>
          <w:rFonts w:cs="Times New Roman"/>
        </w:rPr>
        <w:t>In artikel 2.3 van de Douane- en Accijnswet BES is opgenomen dat de verschuldigde kosten de werkelijke kosten zoveel mogelijk benaderen. Het tarief van de kosten is uitgewerkt in artikel 2.1 van de Uitvoeringsregeling Douane- en Accijnswet BES.</w:t>
      </w:r>
      <w:r w:rsidR="00E630E8">
        <w:rPr>
          <w:rFonts w:cs="Times New Roman"/>
        </w:rPr>
        <w:t xml:space="preserve"> </w:t>
      </w:r>
      <w:r>
        <w:rPr>
          <w:rFonts w:cs="Times New Roman"/>
        </w:rPr>
        <w:t xml:space="preserve">De inning van kosten vindt plaats op transparante wijze. Een en ander is opgenomen in de artikelen 2.78 tot en met 2.83 van de Douane- en Accijnswet BES. </w:t>
      </w:r>
    </w:p>
    <w:p w:rsidR="00771528" w:rsidP="00771528" w:rsidRDefault="00771528" w14:paraId="5EC5FA75" w14:textId="77777777">
      <w:pPr>
        <w:spacing w:line="360" w:lineRule="auto"/>
        <w:jc w:val="both"/>
        <w:rPr>
          <w:rFonts w:cs="Times New Roman"/>
        </w:rPr>
      </w:pPr>
      <w:r>
        <w:rPr>
          <w:rFonts w:cs="Times New Roman"/>
        </w:rPr>
        <w:t>Bij de oplegging van bestuurlijke boetes wordt onderscheid gemaakt tussen lichte overtredingen (verzuim) en zwaardere overtredingen waarbij recidive of opzet in het spel is.</w:t>
      </w:r>
    </w:p>
    <w:p w:rsidR="00771528" w:rsidP="00771528" w:rsidRDefault="00771528" w14:paraId="5EC5FA76" w14:textId="77777777">
      <w:pPr>
        <w:spacing w:line="360" w:lineRule="auto"/>
        <w:jc w:val="both"/>
        <w:rPr>
          <w:rFonts w:cs="Times New Roman"/>
        </w:rPr>
      </w:pPr>
    </w:p>
    <w:p w:rsidR="00771528" w:rsidP="00771528" w:rsidRDefault="00D61FF0" w14:paraId="5EC5FA77" w14:textId="173A5442">
      <w:pPr>
        <w:numPr>
          <w:ilvl w:val="0"/>
          <w:numId w:val="3"/>
        </w:numPr>
        <w:spacing w:line="360" w:lineRule="auto"/>
        <w:jc w:val="both"/>
        <w:rPr>
          <w:rFonts w:cs="Times New Roman"/>
        </w:rPr>
      </w:pPr>
      <w:r>
        <w:rPr>
          <w:rFonts w:cs="Times New Roman"/>
        </w:rPr>
        <w:t>V</w:t>
      </w:r>
      <w:r w:rsidR="00771528">
        <w:rPr>
          <w:rFonts w:cs="Times New Roman"/>
        </w:rPr>
        <w:t>rijgave</w:t>
      </w:r>
      <w:r>
        <w:rPr>
          <w:rFonts w:cs="Times New Roman"/>
        </w:rPr>
        <w:t xml:space="preserve"> en inklaring</w:t>
      </w:r>
      <w:r w:rsidR="00771528">
        <w:rPr>
          <w:rFonts w:cs="Times New Roman"/>
        </w:rPr>
        <w:t xml:space="preserve"> van goederen</w:t>
      </w:r>
    </w:p>
    <w:p w:rsidR="00771528" w:rsidP="00771528" w:rsidRDefault="00771528" w14:paraId="5EC5FA79" w14:textId="33BF38E6">
      <w:pPr>
        <w:spacing w:line="360" w:lineRule="auto"/>
        <w:jc w:val="both"/>
        <w:rPr>
          <w:rFonts w:cs="Times New Roman"/>
        </w:rPr>
      </w:pPr>
      <w:r>
        <w:rPr>
          <w:rFonts w:cs="Times New Roman"/>
        </w:rPr>
        <w:t>Het inklaren van goederen kan plaatsvinden voordat de goederen zijn binnengebracht. Dit is opgenomen in artikel 2.46 van de Douane- en Accijnswet BES en nader uitgewerkt in artikel 2.64 van de Uitvoeringsregeling Douane- en Accijnswet BES.</w:t>
      </w:r>
      <w:r w:rsidR="00D73A5E">
        <w:rPr>
          <w:rFonts w:cs="Times New Roman"/>
        </w:rPr>
        <w:t xml:space="preserve"> </w:t>
      </w:r>
      <w:r>
        <w:rPr>
          <w:rFonts w:cs="Times New Roman"/>
        </w:rPr>
        <w:t>De voorwaarden voor de toekenning van de status van geautoriseerde marktdeelnemer is opgenomen in artikel 2.48 van de Douane- en Accijnswet BES.</w:t>
      </w:r>
    </w:p>
    <w:p w:rsidR="00771528" w:rsidP="00771528" w:rsidRDefault="00771528" w14:paraId="5EC5FA7A" w14:textId="77777777">
      <w:pPr>
        <w:spacing w:line="360" w:lineRule="auto"/>
        <w:jc w:val="both"/>
        <w:rPr>
          <w:rFonts w:cs="Times New Roman"/>
        </w:rPr>
      </w:pPr>
    </w:p>
    <w:p w:rsidR="00771528" w:rsidP="00771528" w:rsidRDefault="00771528" w14:paraId="5EC5FA7B" w14:textId="5F4645A0">
      <w:pPr>
        <w:numPr>
          <w:ilvl w:val="0"/>
          <w:numId w:val="3"/>
        </w:numPr>
        <w:spacing w:line="360" w:lineRule="auto"/>
        <w:jc w:val="both"/>
        <w:rPr>
          <w:rFonts w:cs="Times New Roman"/>
        </w:rPr>
      </w:pPr>
      <w:r>
        <w:rPr>
          <w:rFonts w:cs="Times New Roman"/>
        </w:rPr>
        <w:t>Samenwerking tussen grensa</w:t>
      </w:r>
      <w:r w:rsidR="003E5742">
        <w:rPr>
          <w:rFonts w:cs="Times New Roman"/>
        </w:rPr>
        <w:t>gentschapp</w:t>
      </w:r>
      <w:r>
        <w:rPr>
          <w:rFonts w:cs="Times New Roman"/>
        </w:rPr>
        <w:t>en:</w:t>
      </w:r>
    </w:p>
    <w:p w:rsidR="00771528" w:rsidP="00771528" w:rsidRDefault="00771528" w14:paraId="5EC5FA7C" w14:textId="77777777">
      <w:pPr>
        <w:spacing w:line="360" w:lineRule="auto"/>
        <w:jc w:val="both"/>
        <w:rPr>
          <w:rFonts w:cs="Times New Roman"/>
        </w:rPr>
      </w:pPr>
      <w:r>
        <w:rPr>
          <w:rFonts w:cs="Times New Roman"/>
        </w:rPr>
        <w:t>Deze bepaling is op Caribisch Nederland niet van toepassing, aangezien de douane momenteel de enige grensautoriteit is. Mocht dit in de toekomst veranderen, zal er uiteraard zorg worden gedragen voor een goede afstemming en samenwerking.</w:t>
      </w:r>
    </w:p>
    <w:p w:rsidR="00771528" w:rsidP="00771528" w:rsidRDefault="00771528" w14:paraId="5EC5FA7D" w14:textId="77777777">
      <w:pPr>
        <w:spacing w:line="360" w:lineRule="auto"/>
        <w:jc w:val="both"/>
        <w:rPr>
          <w:rFonts w:cs="Times New Roman"/>
        </w:rPr>
      </w:pPr>
    </w:p>
    <w:p w:rsidR="00771528" w:rsidP="00771528" w:rsidRDefault="00771528" w14:paraId="5EC5FA7E" w14:textId="77777777">
      <w:pPr>
        <w:numPr>
          <w:ilvl w:val="0"/>
          <w:numId w:val="3"/>
        </w:numPr>
        <w:spacing w:line="360" w:lineRule="auto"/>
        <w:jc w:val="both"/>
        <w:rPr>
          <w:rFonts w:cs="Times New Roman"/>
        </w:rPr>
      </w:pPr>
      <w:r>
        <w:rPr>
          <w:rFonts w:cs="Times New Roman"/>
        </w:rPr>
        <w:t>Transport van goederen bestemd voor invoer onder douanetoezicht:</w:t>
      </w:r>
    </w:p>
    <w:p w:rsidR="00771528" w:rsidP="00771528" w:rsidRDefault="00771528" w14:paraId="5EC5FA7F" w14:textId="77777777">
      <w:pPr>
        <w:spacing w:line="360" w:lineRule="auto"/>
        <w:jc w:val="both"/>
        <w:rPr>
          <w:rFonts w:cs="Times New Roman"/>
        </w:rPr>
      </w:pPr>
      <w:r>
        <w:rPr>
          <w:rFonts w:cs="Times New Roman"/>
        </w:rPr>
        <w:t>Vervoer onder zekerheidsstelling is toegestaan.</w:t>
      </w:r>
    </w:p>
    <w:p w:rsidR="00771528" w:rsidP="00771528" w:rsidRDefault="00771528" w14:paraId="5EC5FA80" w14:textId="77777777">
      <w:pPr>
        <w:spacing w:line="360" w:lineRule="auto"/>
        <w:jc w:val="both"/>
        <w:rPr>
          <w:rFonts w:cs="Times New Roman"/>
        </w:rPr>
      </w:pPr>
    </w:p>
    <w:p w:rsidR="00771528" w:rsidP="00771528" w:rsidRDefault="00771528" w14:paraId="5EC5FA81" w14:textId="25E9F35A">
      <w:pPr>
        <w:numPr>
          <w:ilvl w:val="0"/>
          <w:numId w:val="3"/>
        </w:numPr>
        <w:spacing w:line="360" w:lineRule="auto"/>
        <w:jc w:val="both"/>
        <w:rPr>
          <w:rFonts w:cs="Times New Roman"/>
        </w:rPr>
      </w:pPr>
      <w:r>
        <w:rPr>
          <w:rFonts w:cs="Times New Roman"/>
        </w:rPr>
        <w:t>Formaliteiten</w:t>
      </w:r>
      <w:r w:rsidR="00D12034">
        <w:rPr>
          <w:rFonts w:cs="Times New Roman"/>
        </w:rPr>
        <w:t xml:space="preserve"> in verband met </w:t>
      </w:r>
      <w:r>
        <w:rPr>
          <w:rFonts w:cs="Times New Roman"/>
        </w:rPr>
        <w:t>invoer, uitvoer en doorvoer:</w:t>
      </w:r>
    </w:p>
    <w:p w:rsidR="00771528" w:rsidP="00771528" w:rsidRDefault="00771528" w14:paraId="5EC5FA85" w14:textId="6A692432">
      <w:pPr>
        <w:spacing w:line="360" w:lineRule="auto"/>
        <w:jc w:val="both"/>
        <w:rPr>
          <w:rFonts w:cs="Times New Roman"/>
        </w:rPr>
      </w:pPr>
      <w:r>
        <w:rPr>
          <w:rFonts w:cs="Times New Roman"/>
        </w:rPr>
        <w:t>In de Douane- en Accijnswet BES wordt beoogd de administratieve lasten voor het bedrijfsleven zo veel mogelijk te verlichten.</w:t>
      </w:r>
      <w:r w:rsidR="008A23A4">
        <w:rPr>
          <w:rFonts w:cs="Times New Roman"/>
        </w:rPr>
        <w:t xml:space="preserve"> </w:t>
      </w:r>
      <w:r>
        <w:rPr>
          <w:rFonts w:cs="Times New Roman"/>
        </w:rPr>
        <w:t xml:space="preserve">Kopieën van bescheiden worden geaccepteerd tenzij er gegronde twijfels zijn ten </w:t>
      </w:r>
      <w:r>
        <w:rPr>
          <w:rFonts w:cs="Times New Roman"/>
        </w:rPr>
        <w:lastRenderedPageBreak/>
        <w:t>aanzien van hun juistheid en volledigheid. De douanebestemmingen tijdelijke invoer, actieve en passieve veredeling zijn op grond van artikel 2.15 van de Douane- en Accijnswet BES toegestaan.</w:t>
      </w:r>
    </w:p>
    <w:p w:rsidR="00771528" w:rsidP="00771528" w:rsidRDefault="00771528" w14:paraId="5EC5FA86" w14:textId="77777777">
      <w:pPr>
        <w:spacing w:line="360" w:lineRule="auto"/>
        <w:jc w:val="both"/>
        <w:rPr>
          <w:rFonts w:cs="Times New Roman"/>
        </w:rPr>
      </w:pPr>
    </w:p>
    <w:p w:rsidR="00771528" w:rsidP="00771528" w:rsidRDefault="00771528" w14:paraId="5EC5FA87" w14:textId="77777777">
      <w:pPr>
        <w:numPr>
          <w:ilvl w:val="0"/>
          <w:numId w:val="3"/>
        </w:numPr>
        <w:spacing w:line="360" w:lineRule="auto"/>
        <w:jc w:val="both"/>
        <w:rPr>
          <w:rFonts w:cs="Times New Roman"/>
        </w:rPr>
      </w:pPr>
      <w:r>
        <w:rPr>
          <w:rFonts w:cs="Times New Roman"/>
        </w:rPr>
        <w:t>Vrijheid van doorvoer:</w:t>
      </w:r>
    </w:p>
    <w:p w:rsidR="00771528" w:rsidP="00771528" w:rsidRDefault="00771528" w14:paraId="5EC5FA88" w14:textId="77777777">
      <w:pPr>
        <w:spacing w:line="360" w:lineRule="auto"/>
        <w:jc w:val="both"/>
        <w:rPr>
          <w:rFonts w:cs="Times New Roman"/>
        </w:rPr>
      </w:pPr>
      <w:r>
        <w:rPr>
          <w:rFonts w:cs="Times New Roman"/>
        </w:rPr>
        <w:t>Doorvoer van goederen is in de Douane- en Accijnswet BES geen belastbaar feit.</w:t>
      </w:r>
    </w:p>
    <w:p w:rsidR="00771528" w:rsidP="00771528" w:rsidRDefault="00771528" w14:paraId="5EC5FA89" w14:textId="77777777">
      <w:pPr>
        <w:spacing w:line="360" w:lineRule="auto"/>
        <w:jc w:val="both"/>
        <w:rPr>
          <w:rFonts w:cs="Times New Roman"/>
        </w:rPr>
      </w:pPr>
    </w:p>
    <w:p w:rsidR="00771528" w:rsidP="00771528" w:rsidRDefault="00771528" w14:paraId="5EC5FA8A" w14:textId="77777777">
      <w:pPr>
        <w:numPr>
          <w:ilvl w:val="0"/>
          <w:numId w:val="3"/>
        </w:numPr>
        <w:spacing w:line="360" w:lineRule="auto"/>
        <w:jc w:val="both"/>
        <w:rPr>
          <w:rFonts w:cs="Times New Roman"/>
        </w:rPr>
      </w:pPr>
      <w:r>
        <w:rPr>
          <w:rFonts w:cs="Times New Roman"/>
        </w:rPr>
        <w:t>Douanesamenwerking:</w:t>
      </w:r>
    </w:p>
    <w:p w:rsidR="00771528" w:rsidP="00771528" w:rsidRDefault="00771528" w14:paraId="5EC5FA8C" w14:textId="6D34DC37">
      <w:pPr>
        <w:spacing w:line="360" w:lineRule="auto"/>
        <w:jc w:val="both"/>
        <w:rPr>
          <w:rFonts w:cs="Times New Roman"/>
        </w:rPr>
      </w:pPr>
      <w:r>
        <w:rPr>
          <w:rFonts w:cs="Times New Roman"/>
        </w:rPr>
        <w:t>De Douane- en Accijnswet BES voorziet in artikel 2.63 in het uitwisselen van informatie met de Douane in het Europese deel van het Koninkrijk.</w:t>
      </w:r>
      <w:r w:rsidR="00FC659F">
        <w:rPr>
          <w:rFonts w:cs="Times New Roman"/>
        </w:rPr>
        <w:t xml:space="preserve"> </w:t>
      </w:r>
      <w:r>
        <w:rPr>
          <w:rFonts w:cs="Times New Roman"/>
        </w:rPr>
        <w:t>Met toepassing van de Rijkswet administratieve bijstand douane (Stb. 1999, 299) kunnen de douaneautoriteiten in het Koninkrijk der Nederlanden met elkaar informatie uitwisselen met de vereiste waarborgen ten aanzien van de geheimhouding.</w:t>
      </w:r>
    </w:p>
    <w:p w:rsidR="00771528" w:rsidP="00771528" w:rsidRDefault="00771528" w14:paraId="5EC5FA8D" w14:textId="77777777">
      <w:pPr>
        <w:spacing w:line="360" w:lineRule="auto"/>
        <w:jc w:val="both"/>
        <w:rPr>
          <w:rFonts w:cs="Times New Roman"/>
        </w:rPr>
      </w:pPr>
      <w:r>
        <w:rPr>
          <w:rFonts w:cs="Times New Roman"/>
        </w:rPr>
        <w:t xml:space="preserve"> </w:t>
      </w:r>
    </w:p>
    <w:p w:rsidR="00771528" w:rsidP="00771528" w:rsidRDefault="00771528" w14:paraId="5EC5FA8E" w14:textId="59CB3689">
      <w:pPr>
        <w:spacing w:line="360" w:lineRule="auto"/>
        <w:jc w:val="both"/>
        <w:rPr>
          <w:rFonts w:cs="Times New Roman"/>
        </w:rPr>
      </w:pPr>
      <w:r>
        <w:rPr>
          <w:rFonts w:cs="Times New Roman"/>
        </w:rPr>
        <w:t xml:space="preserve">Voor Aruba, Curaçao en Sint-Maarten is naar verwachting uitvoeringswetgeving vereist. </w:t>
      </w:r>
      <w:r w:rsidR="00DD059C">
        <w:rPr>
          <w:rFonts w:cs="Times New Roman"/>
        </w:rPr>
        <w:t xml:space="preserve">Indien Aruba en Sint-Maarten medegelding wenselijk achten, dient de </w:t>
      </w:r>
      <w:r>
        <w:rPr>
          <w:rFonts w:cs="Times New Roman"/>
        </w:rPr>
        <w:t>Landsverordening</w:t>
      </w:r>
      <w:r w:rsidR="00B13D2E">
        <w:rPr>
          <w:rFonts w:cs="Times New Roman"/>
        </w:rPr>
        <w:t xml:space="preserve"> i</w:t>
      </w:r>
      <w:r w:rsidR="00DD059C">
        <w:rPr>
          <w:rFonts w:cs="Times New Roman"/>
        </w:rPr>
        <w:t xml:space="preserve">n-, uit- en doorvoer </w:t>
      </w:r>
      <w:r w:rsidR="00B13D2E">
        <w:rPr>
          <w:rFonts w:cs="Times New Roman"/>
        </w:rPr>
        <w:t>gewijzigd</w:t>
      </w:r>
      <w:r w:rsidR="00DD059C">
        <w:rPr>
          <w:rFonts w:cs="Times New Roman"/>
        </w:rPr>
        <w:t xml:space="preserve"> te worden.</w:t>
      </w:r>
      <w:r w:rsidR="004861BA">
        <w:rPr>
          <w:rFonts w:cs="Times New Roman"/>
        </w:rPr>
        <w:t xml:space="preserve"> </w:t>
      </w:r>
    </w:p>
    <w:p w:rsidR="00771528" w:rsidP="00771528" w:rsidRDefault="00771528" w14:paraId="5EC5FA8F" w14:textId="77777777">
      <w:pPr>
        <w:spacing w:line="240" w:lineRule="auto"/>
        <w:jc w:val="both"/>
        <w:rPr>
          <w:rFonts w:cs="Times New Roman"/>
          <w:b/>
        </w:rPr>
      </w:pPr>
    </w:p>
    <w:p w:rsidRPr="00BC4B40" w:rsidR="00771528" w:rsidP="00771528" w:rsidRDefault="00771528" w14:paraId="5EC5FA90" w14:textId="77777777">
      <w:pPr>
        <w:spacing w:line="240" w:lineRule="auto"/>
        <w:jc w:val="both"/>
        <w:rPr>
          <w:rFonts w:cs="Times New Roman"/>
          <w:b/>
        </w:rPr>
      </w:pPr>
      <w:r w:rsidRPr="00BC4B40">
        <w:rPr>
          <w:rFonts w:cs="Times New Roman"/>
          <w:b/>
        </w:rPr>
        <w:t>V. Koninkrijkspositie</w:t>
      </w:r>
    </w:p>
    <w:p w:rsidRPr="00BC4B40" w:rsidR="00771528" w:rsidP="00771528" w:rsidRDefault="00771528" w14:paraId="5EC5FA91" w14:textId="77777777">
      <w:pPr>
        <w:spacing w:line="360" w:lineRule="auto"/>
        <w:rPr>
          <w:rFonts w:cs="Times New Roman"/>
        </w:rPr>
      </w:pPr>
    </w:p>
    <w:p w:rsidR="00771528" w:rsidP="00771528" w:rsidRDefault="007E6078" w14:paraId="5EC5FA92" w14:textId="38E1D27F">
      <w:pPr>
        <w:spacing w:line="360" w:lineRule="auto"/>
        <w:rPr>
          <w:rFonts w:cs="Times New Roman"/>
        </w:rPr>
      </w:pPr>
      <w:r>
        <w:rPr>
          <w:rFonts w:cs="Times New Roman"/>
        </w:rPr>
        <w:t>Het Protocol</w:t>
      </w:r>
      <w:r w:rsidR="00771528">
        <w:rPr>
          <w:rFonts w:cs="Times New Roman"/>
        </w:rPr>
        <w:t xml:space="preserve"> </w:t>
      </w:r>
      <w:r w:rsidR="00CC19A3">
        <w:rPr>
          <w:rFonts w:cs="Times New Roman"/>
        </w:rPr>
        <w:t>is door de EU</w:t>
      </w:r>
      <w:r w:rsidR="00771528">
        <w:rPr>
          <w:rFonts w:cs="Times New Roman"/>
        </w:rPr>
        <w:t xml:space="preserve"> aanvaard </w:t>
      </w:r>
      <w:r w:rsidR="00CC19A3">
        <w:rPr>
          <w:rFonts w:cs="Times New Roman"/>
        </w:rPr>
        <w:t>namens</w:t>
      </w:r>
      <w:r w:rsidRPr="00315467" w:rsidR="00771528">
        <w:rPr>
          <w:rFonts w:cs="Times New Roman"/>
        </w:rPr>
        <w:t xml:space="preserve"> Europees Nederland</w:t>
      </w:r>
      <w:r w:rsidR="00771528">
        <w:rPr>
          <w:rFonts w:cs="Times New Roman"/>
        </w:rPr>
        <w:t>, zie paragraaf I van deze toelichting</w:t>
      </w:r>
      <w:r w:rsidR="00CC19A3">
        <w:rPr>
          <w:rFonts w:cs="Times New Roman"/>
        </w:rPr>
        <w:t>.</w:t>
      </w:r>
      <w:r w:rsidR="00771528">
        <w:rPr>
          <w:rFonts w:cs="Times New Roman"/>
        </w:rPr>
        <w:t xml:space="preserve"> </w:t>
      </w:r>
      <w:r w:rsidR="00CC19A3">
        <w:rPr>
          <w:rFonts w:cs="Times New Roman"/>
        </w:rPr>
        <w:t xml:space="preserve">Het Koninkrijk zal </w:t>
      </w:r>
      <w:r>
        <w:rPr>
          <w:rFonts w:cs="Times New Roman"/>
        </w:rPr>
        <w:t>het Protocol</w:t>
      </w:r>
      <w:r w:rsidR="00CC19A3">
        <w:rPr>
          <w:rFonts w:cs="Times New Roman"/>
        </w:rPr>
        <w:t xml:space="preserve"> </w:t>
      </w:r>
      <w:r w:rsidR="00771528">
        <w:rPr>
          <w:rFonts w:cs="Times New Roman"/>
        </w:rPr>
        <w:t>voor Caribisch Nederland</w:t>
      </w:r>
      <w:r w:rsidR="00CC19A3">
        <w:rPr>
          <w:rFonts w:cs="Times New Roman"/>
        </w:rPr>
        <w:t xml:space="preserve"> aanvaarden</w:t>
      </w:r>
      <w:r w:rsidR="00771528">
        <w:rPr>
          <w:rFonts w:cs="Times New Roman"/>
        </w:rPr>
        <w:t xml:space="preserve">, zie hiervoor ook paragraaf IV van deze toelichting. </w:t>
      </w:r>
    </w:p>
    <w:p w:rsidR="00771528" w:rsidP="00771528" w:rsidRDefault="00771528" w14:paraId="5EC5FA93" w14:textId="77777777">
      <w:pPr>
        <w:spacing w:line="360" w:lineRule="auto"/>
        <w:rPr>
          <w:rFonts w:cs="Times New Roman"/>
        </w:rPr>
      </w:pPr>
    </w:p>
    <w:p w:rsidR="00771528" w:rsidP="00771528" w:rsidRDefault="00771528" w14:paraId="5EC5FA94" w14:textId="77777777">
      <w:pPr>
        <w:spacing w:line="360" w:lineRule="auto"/>
        <w:rPr>
          <w:rFonts w:cs="Times New Roman"/>
        </w:rPr>
      </w:pPr>
      <w:r>
        <w:rPr>
          <w:rFonts w:cs="Times New Roman"/>
        </w:rPr>
        <w:t xml:space="preserve">De regering van Curaçao heeft aangegeven dat medegelding van het Protocol voor Curaçao wenselijk wordt geacht. En dat, ter uitvoering van het Protocol, thans de inwerkingtreding wordt bewerkstelligd van de Algemene landsverordening Douane en Accijnzen. Zodra de Landsverordening in werking zal zijn getreden, zal het Protocol voor Curaçao kunnen worden aanvaard. De regeringen van Aruba en Sint Maarten beraden zich nog over de wenselijkheid van medegelding van de Overeenkomst voor hun respectieve landen. Het Protocol zal voor die landen kunnen worden aanvaard, zodra is aangegeven dat medegelding voor die landen wenselijk is en de interne regelgeving in overeenstemming met het Verdrag (cf. paragraaf IV). </w:t>
      </w:r>
    </w:p>
    <w:p w:rsidR="00771528" w:rsidP="00771528" w:rsidRDefault="00771528" w14:paraId="5EC5FA95" w14:textId="77777777">
      <w:pPr>
        <w:spacing w:line="360" w:lineRule="auto"/>
        <w:rPr>
          <w:rFonts w:cs="Times New Roman"/>
        </w:rPr>
      </w:pPr>
    </w:p>
    <w:p w:rsidR="00771528" w:rsidP="00771528" w:rsidRDefault="00771528" w14:paraId="5EC5FA96" w14:textId="77777777">
      <w:pPr>
        <w:spacing w:line="360" w:lineRule="auto"/>
        <w:rPr>
          <w:rFonts w:cs="Times New Roman"/>
        </w:rPr>
      </w:pPr>
    </w:p>
    <w:p w:rsidRPr="00D34FB2" w:rsidR="00771528" w:rsidP="00771528" w:rsidRDefault="00771528" w14:paraId="5EC5FA97" w14:textId="77777777">
      <w:pPr>
        <w:spacing w:line="360" w:lineRule="auto"/>
        <w:rPr>
          <w:rFonts w:cs="Times New Roman"/>
        </w:rPr>
      </w:pPr>
    </w:p>
    <w:p w:rsidR="00771528" w:rsidP="00771528" w:rsidRDefault="00771528" w14:paraId="5EC5FA98" w14:textId="77777777">
      <w:pPr>
        <w:spacing w:line="360" w:lineRule="auto"/>
        <w:rPr>
          <w:rFonts w:cs="Times New Roman"/>
        </w:rPr>
      </w:pPr>
      <w:r w:rsidRPr="00D34FB2">
        <w:rPr>
          <w:rFonts w:cs="Times New Roman"/>
        </w:rPr>
        <w:t>De Minister v</w:t>
      </w:r>
      <w:r>
        <w:rPr>
          <w:rFonts w:cs="Times New Roman"/>
        </w:rPr>
        <w:t>oor</w:t>
      </w:r>
      <w:r w:rsidRPr="00D34FB2">
        <w:rPr>
          <w:rFonts w:cs="Times New Roman"/>
        </w:rPr>
        <w:t xml:space="preserve"> Buitenlandse </w:t>
      </w:r>
      <w:r>
        <w:rPr>
          <w:rFonts w:cs="Times New Roman"/>
        </w:rPr>
        <w:t>Handel en Ontwikkelingssamenwerking</w:t>
      </w:r>
      <w:r w:rsidRPr="00D34FB2">
        <w:rPr>
          <w:rFonts w:cs="Times New Roman"/>
        </w:rPr>
        <w:t>,</w:t>
      </w:r>
    </w:p>
    <w:p w:rsidR="00771528" w:rsidP="00771528" w:rsidRDefault="00771528" w14:paraId="5EC5FA99" w14:textId="77777777">
      <w:pPr>
        <w:spacing w:line="360" w:lineRule="auto"/>
        <w:rPr>
          <w:rFonts w:cs="Times New Roman"/>
        </w:rPr>
      </w:pPr>
    </w:p>
    <w:p w:rsidR="00771528" w:rsidP="00771528" w:rsidRDefault="00771528" w14:paraId="5EC5FA9A" w14:textId="77777777">
      <w:pPr>
        <w:spacing w:line="360" w:lineRule="auto"/>
        <w:rPr>
          <w:rFonts w:cs="Times New Roman"/>
        </w:rPr>
      </w:pPr>
    </w:p>
    <w:p w:rsidR="00771528" w:rsidP="00771528" w:rsidRDefault="00771528" w14:paraId="5EC5FA9B" w14:textId="77777777">
      <w:pPr>
        <w:spacing w:line="360" w:lineRule="auto"/>
        <w:rPr>
          <w:rFonts w:cs="Times New Roman"/>
        </w:rPr>
      </w:pPr>
    </w:p>
    <w:p w:rsidR="00771528" w:rsidP="00771528" w:rsidRDefault="00771528" w14:paraId="5EC5FA9C" w14:textId="77777777">
      <w:pPr>
        <w:spacing w:line="360" w:lineRule="auto"/>
        <w:rPr>
          <w:rFonts w:cs="Times New Roman"/>
        </w:rPr>
      </w:pPr>
    </w:p>
    <w:p w:rsidR="00771528" w:rsidP="00771528" w:rsidRDefault="00771528" w14:paraId="5EC5FA9D" w14:textId="77777777">
      <w:pPr>
        <w:spacing w:line="360" w:lineRule="auto"/>
        <w:rPr>
          <w:rFonts w:cs="Times New Roman"/>
        </w:rPr>
      </w:pPr>
    </w:p>
    <w:p w:rsidRPr="00D34FB2" w:rsidR="00771528" w:rsidP="00771528" w:rsidRDefault="00771528" w14:paraId="5EC5FA9E" w14:textId="77777777">
      <w:pPr>
        <w:spacing w:line="360" w:lineRule="auto"/>
        <w:rPr>
          <w:rFonts w:cs="Times New Roman"/>
        </w:rPr>
      </w:pPr>
      <w:r>
        <w:rPr>
          <w:rFonts w:cs="Times New Roman"/>
        </w:rPr>
        <w:t>De Minister van Buitenlandse Zaken,</w:t>
      </w:r>
    </w:p>
    <w:p w:rsidR="00D309B7" w:rsidRDefault="00D309B7" w14:paraId="5EC5FA9F" w14:textId="77777777"/>
    <w:sectPr w:rsidR="00D309B7" w:rsidSect="001266B6">
      <w:headerReference w:type="default" r:id="rId11"/>
      <w:footerReference w:type="default" r:id="rId12"/>
      <w:headerReference w:type="first" r:id="rId13"/>
      <w:footerReference w:type="first" r:id="rId14"/>
      <w:pgSz w:w="11906" w:h="16838" w:code="9"/>
      <w:pgMar w:top="1418" w:right="1134" w:bottom="1418" w:left="1134" w:header="567"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FAB3" w14:textId="77777777" w:rsidR="00771528" w:rsidRDefault="00771528" w:rsidP="00771528">
      <w:pPr>
        <w:spacing w:line="240" w:lineRule="auto"/>
      </w:pPr>
      <w:r>
        <w:separator/>
      </w:r>
    </w:p>
  </w:endnote>
  <w:endnote w:type="continuationSeparator" w:id="0">
    <w:p w14:paraId="5EC5FAB4" w14:textId="77777777" w:rsidR="00771528" w:rsidRDefault="00771528" w:rsidP="00771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FAB8" w14:textId="77777777" w:rsidR="00742CAF" w:rsidRDefault="00474AA4">
    <w:pPr>
      <w:pStyle w:val="Footer"/>
      <w:jc w:val="center"/>
    </w:pPr>
    <w:r>
      <w:fldChar w:fldCharType="begin"/>
    </w:r>
    <w:r>
      <w:instrText xml:space="preserve"> PAGE   \* MERGEFORMAT </w:instrText>
    </w:r>
    <w:r>
      <w:fldChar w:fldCharType="separate"/>
    </w:r>
    <w:r w:rsidR="00C46641">
      <w:rPr>
        <w:noProof/>
      </w:rPr>
      <w:t>2</w:t>
    </w:r>
    <w:r>
      <w:rPr>
        <w:noProof/>
      </w:rPr>
      <w:fldChar w:fldCharType="end"/>
    </w:r>
  </w:p>
  <w:p w14:paraId="5EC5FAB9" w14:textId="77777777" w:rsidR="00742CAF" w:rsidRDefault="00C46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4F349" w14:textId="0186EF87" w:rsidR="00027C71" w:rsidRDefault="00027C71" w:rsidP="00027C71">
    <w:pPr>
      <w:pStyle w:val="Footer"/>
      <w:pBdr>
        <w:bottom w:val="single" w:sz="12" w:space="1" w:color="auto"/>
      </w:pBdr>
    </w:pPr>
  </w:p>
  <w:p w14:paraId="5EC5FABB" w14:textId="10D61F99" w:rsidR="00C862AA" w:rsidRPr="00027C71" w:rsidRDefault="00027C71" w:rsidP="00027C71">
    <w:pPr>
      <w:pStyle w:val="Footer"/>
    </w:pPr>
    <w:r w:rsidRPr="00027C71">
      <w:t>Het advies van de Afdeling advisering van de Raad van State van het Koninkrijk wordt niet openbaar gemaakt, omdat het uitsluitend opmerkingen van redactionele aard bevat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5FAB1" w14:textId="77777777" w:rsidR="00771528" w:rsidRDefault="00771528" w:rsidP="00771528">
      <w:pPr>
        <w:spacing w:line="240" w:lineRule="auto"/>
      </w:pPr>
      <w:r>
        <w:separator/>
      </w:r>
    </w:p>
  </w:footnote>
  <w:footnote w:type="continuationSeparator" w:id="0">
    <w:p w14:paraId="5EC5FAB2" w14:textId="77777777" w:rsidR="00771528" w:rsidRDefault="00771528" w:rsidP="00771528">
      <w:pPr>
        <w:spacing w:line="240" w:lineRule="auto"/>
      </w:pPr>
      <w:r>
        <w:continuationSeparator/>
      </w:r>
    </w:p>
  </w:footnote>
  <w:footnote w:id="1">
    <w:p w14:paraId="5EC5FABC" w14:textId="77777777" w:rsidR="00771528" w:rsidRDefault="00771528" w:rsidP="00771528">
      <w:pPr>
        <w:pStyle w:val="FootnoteText"/>
      </w:pPr>
      <w:r>
        <w:rPr>
          <w:rStyle w:val="FootnoteReference"/>
        </w:rPr>
        <w:footnoteRef/>
      </w:r>
      <w:r>
        <w:t xml:space="preserve"> </w:t>
      </w:r>
      <w:hyperlink r:id="rId1" w:history="1">
        <w:r w:rsidRPr="00244F9D">
          <w:rPr>
            <w:rStyle w:val="Hyperlink"/>
          </w:rPr>
          <w:t>http://www.oecd.org/dac/effectiveness/parisdeclarationandaccraagendaforaction.htm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FAB6" w14:textId="77777777" w:rsidR="00742CAF" w:rsidRPr="00397EA0" w:rsidRDefault="00C46641" w:rsidP="005213B9">
    <w:pPr>
      <w:pStyle w:val="Header"/>
      <w:numPr>
        <w:ilvl w:val="0"/>
        <w:numId w:val="0"/>
      </w:numP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FABA" w14:textId="77777777" w:rsidR="00742CAF" w:rsidRDefault="00C46641" w:rsidP="00BB6E78">
    <w:pPr>
      <w:pStyle w:val="Header"/>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D607B"/>
    <w:multiLevelType w:val="hybridMultilevel"/>
    <w:tmpl w:val="10A26B92"/>
    <w:lvl w:ilvl="0" w:tplc="3B4AE50A">
      <w:start w:val="1"/>
      <w:numFmt w:val="decimal"/>
      <w:pStyle w:val="Heading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2B964F50"/>
    <w:multiLevelType w:val="hybridMultilevel"/>
    <w:tmpl w:val="16E24CCC"/>
    <w:lvl w:ilvl="0" w:tplc="04B63686">
      <w:start w:val="28"/>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C83D7E"/>
    <w:multiLevelType w:val="hybridMultilevel"/>
    <w:tmpl w:val="CDD4B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C9219B2"/>
    <w:multiLevelType w:val="hybridMultilevel"/>
    <w:tmpl w:val="D83AC912"/>
    <w:lvl w:ilvl="0" w:tplc="EA0666E4">
      <w:start w:val="1"/>
      <w:numFmt w:val="decimal"/>
      <w:pStyle w:val="Head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28"/>
    <w:rsid w:val="00027C71"/>
    <w:rsid w:val="00031B0B"/>
    <w:rsid w:val="0006072C"/>
    <w:rsid w:val="0006207B"/>
    <w:rsid w:val="00063F24"/>
    <w:rsid w:val="00083C92"/>
    <w:rsid w:val="000A19A5"/>
    <w:rsid w:val="000D1519"/>
    <w:rsid w:val="000D502E"/>
    <w:rsid w:val="000E7C06"/>
    <w:rsid w:val="00102C96"/>
    <w:rsid w:val="00102F9B"/>
    <w:rsid w:val="00117778"/>
    <w:rsid w:val="0013425D"/>
    <w:rsid w:val="00134CF0"/>
    <w:rsid w:val="00135CAB"/>
    <w:rsid w:val="00155DF2"/>
    <w:rsid w:val="00161CCB"/>
    <w:rsid w:val="00186497"/>
    <w:rsid w:val="001B6F67"/>
    <w:rsid w:val="001C1F1C"/>
    <w:rsid w:val="001C27ED"/>
    <w:rsid w:val="001D6040"/>
    <w:rsid w:val="001D78CF"/>
    <w:rsid w:val="001E512F"/>
    <w:rsid w:val="002233F2"/>
    <w:rsid w:val="00227975"/>
    <w:rsid w:val="00230F03"/>
    <w:rsid w:val="0026549A"/>
    <w:rsid w:val="002710AF"/>
    <w:rsid w:val="002714E3"/>
    <w:rsid w:val="002B386A"/>
    <w:rsid w:val="002B5445"/>
    <w:rsid w:val="0031748D"/>
    <w:rsid w:val="00334507"/>
    <w:rsid w:val="003634FC"/>
    <w:rsid w:val="00376357"/>
    <w:rsid w:val="00385B66"/>
    <w:rsid w:val="003B0CA5"/>
    <w:rsid w:val="003B5B07"/>
    <w:rsid w:val="003D5A53"/>
    <w:rsid w:val="003D7704"/>
    <w:rsid w:val="003E27BD"/>
    <w:rsid w:val="003E5742"/>
    <w:rsid w:val="003F3ABC"/>
    <w:rsid w:val="003F49A8"/>
    <w:rsid w:val="00410F31"/>
    <w:rsid w:val="00431A5A"/>
    <w:rsid w:val="0043700A"/>
    <w:rsid w:val="004721CE"/>
    <w:rsid w:val="00474AA4"/>
    <w:rsid w:val="0047635F"/>
    <w:rsid w:val="004861BA"/>
    <w:rsid w:val="005115C7"/>
    <w:rsid w:val="005352FC"/>
    <w:rsid w:val="005736AB"/>
    <w:rsid w:val="005740E5"/>
    <w:rsid w:val="005B7625"/>
    <w:rsid w:val="005D2072"/>
    <w:rsid w:val="00630B96"/>
    <w:rsid w:val="006310C5"/>
    <w:rsid w:val="00633ED9"/>
    <w:rsid w:val="0063631C"/>
    <w:rsid w:val="00647610"/>
    <w:rsid w:val="00647EF0"/>
    <w:rsid w:val="006518EF"/>
    <w:rsid w:val="00677430"/>
    <w:rsid w:val="0068475F"/>
    <w:rsid w:val="00693141"/>
    <w:rsid w:val="006B777C"/>
    <w:rsid w:val="00723E3E"/>
    <w:rsid w:val="00724448"/>
    <w:rsid w:val="00751CF3"/>
    <w:rsid w:val="0076298F"/>
    <w:rsid w:val="007634FF"/>
    <w:rsid w:val="00770B14"/>
    <w:rsid w:val="00771528"/>
    <w:rsid w:val="00791FEE"/>
    <w:rsid w:val="007E6078"/>
    <w:rsid w:val="007F02F5"/>
    <w:rsid w:val="00832E15"/>
    <w:rsid w:val="008A23A4"/>
    <w:rsid w:val="00901F0C"/>
    <w:rsid w:val="00951797"/>
    <w:rsid w:val="00952994"/>
    <w:rsid w:val="00991495"/>
    <w:rsid w:val="009A1A3B"/>
    <w:rsid w:val="009C7722"/>
    <w:rsid w:val="009F0CCD"/>
    <w:rsid w:val="00A00002"/>
    <w:rsid w:val="00A003D5"/>
    <w:rsid w:val="00A050DF"/>
    <w:rsid w:val="00A11FD6"/>
    <w:rsid w:val="00A128F5"/>
    <w:rsid w:val="00A225F8"/>
    <w:rsid w:val="00A70FC0"/>
    <w:rsid w:val="00A976B0"/>
    <w:rsid w:val="00AB4D3D"/>
    <w:rsid w:val="00AB52FC"/>
    <w:rsid w:val="00AF33C0"/>
    <w:rsid w:val="00B10A5E"/>
    <w:rsid w:val="00B13D2E"/>
    <w:rsid w:val="00B14002"/>
    <w:rsid w:val="00BF5FB5"/>
    <w:rsid w:val="00C10F5B"/>
    <w:rsid w:val="00C15646"/>
    <w:rsid w:val="00C44831"/>
    <w:rsid w:val="00C46641"/>
    <w:rsid w:val="00C46B1E"/>
    <w:rsid w:val="00C53675"/>
    <w:rsid w:val="00C76CAC"/>
    <w:rsid w:val="00C862AA"/>
    <w:rsid w:val="00CA3BCB"/>
    <w:rsid w:val="00CC19A3"/>
    <w:rsid w:val="00D12034"/>
    <w:rsid w:val="00D309B7"/>
    <w:rsid w:val="00D459F5"/>
    <w:rsid w:val="00D61FF0"/>
    <w:rsid w:val="00D73A5E"/>
    <w:rsid w:val="00D86AD6"/>
    <w:rsid w:val="00D87C64"/>
    <w:rsid w:val="00D932A2"/>
    <w:rsid w:val="00D973CC"/>
    <w:rsid w:val="00DC3907"/>
    <w:rsid w:val="00DD059C"/>
    <w:rsid w:val="00DD2433"/>
    <w:rsid w:val="00DE04FC"/>
    <w:rsid w:val="00DE53CE"/>
    <w:rsid w:val="00DF18C8"/>
    <w:rsid w:val="00DF2BB7"/>
    <w:rsid w:val="00E24020"/>
    <w:rsid w:val="00E352ED"/>
    <w:rsid w:val="00E55CF5"/>
    <w:rsid w:val="00E56DBE"/>
    <w:rsid w:val="00E630E8"/>
    <w:rsid w:val="00E75264"/>
    <w:rsid w:val="00E80CFA"/>
    <w:rsid w:val="00E960FE"/>
    <w:rsid w:val="00EA521D"/>
    <w:rsid w:val="00EC0ECD"/>
    <w:rsid w:val="00EC40BC"/>
    <w:rsid w:val="00EF48C9"/>
    <w:rsid w:val="00EF56EE"/>
    <w:rsid w:val="00F00E94"/>
    <w:rsid w:val="00F1116D"/>
    <w:rsid w:val="00F12A45"/>
    <w:rsid w:val="00F26887"/>
    <w:rsid w:val="00F31DF4"/>
    <w:rsid w:val="00F33BF5"/>
    <w:rsid w:val="00F34F87"/>
    <w:rsid w:val="00F656BF"/>
    <w:rsid w:val="00F67A18"/>
    <w:rsid w:val="00F92BE3"/>
    <w:rsid w:val="00F95DF7"/>
    <w:rsid w:val="00FC659F"/>
    <w:rsid w:val="00FD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28"/>
    <w:pPr>
      <w:spacing w:after="0" w:line="240" w:lineRule="atLeast"/>
    </w:pPr>
    <w:rPr>
      <w:rFonts w:eastAsia="Verdana" w:cs="Verdana"/>
      <w:szCs w:val="18"/>
      <w:lang w:val="nl-NL"/>
    </w:rPr>
  </w:style>
  <w:style w:type="paragraph" w:styleId="Heading1">
    <w:name w:val="heading 1"/>
    <w:basedOn w:val="Normal"/>
    <w:next w:val="Normal"/>
    <w:link w:val="Heading1Char"/>
    <w:uiPriority w:val="99"/>
    <w:qFormat/>
    <w:rsid w:val="00771528"/>
    <w:pPr>
      <w:keepNext/>
      <w:numPr>
        <w:numId w:val="1"/>
      </w:numPr>
      <w:spacing w:before="240" w:after="60"/>
      <w:outlineLvl w:val="0"/>
    </w:pPr>
    <w:rPr>
      <w:rFonts w:eastAsia="Times New Roman"/>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1528"/>
    <w:rPr>
      <w:rFonts w:eastAsia="Times New Roman" w:cs="Verdana"/>
      <w:kern w:val="32"/>
      <w:sz w:val="24"/>
      <w:szCs w:val="24"/>
      <w:lang w:val="nl-NL"/>
    </w:rPr>
  </w:style>
  <w:style w:type="paragraph" w:styleId="Header">
    <w:name w:val="header"/>
    <w:basedOn w:val="Normal"/>
    <w:link w:val="HeaderChar"/>
    <w:uiPriority w:val="99"/>
    <w:rsid w:val="00771528"/>
    <w:pPr>
      <w:numPr>
        <w:numId w:val="2"/>
      </w:numPr>
      <w:tabs>
        <w:tab w:val="center" w:pos="4536"/>
        <w:tab w:val="right" w:pos="9072"/>
      </w:tabs>
      <w:spacing w:line="240" w:lineRule="auto"/>
    </w:pPr>
  </w:style>
  <w:style w:type="character" w:customStyle="1" w:styleId="HeaderChar">
    <w:name w:val="Header Char"/>
    <w:basedOn w:val="DefaultParagraphFont"/>
    <w:link w:val="Header"/>
    <w:uiPriority w:val="99"/>
    <w:rsid w:val="00771528"/>
    <w:rPr>
      <w:rFonts w:eastAsia="Verdana" w:cs="Verdana"/>
      <w:szCs w:val="18"/>
      <w:lang w:val="nl-NL"/>
    </w:rPr>
  </w:style>
  <w:style w:type="paragraph" w:styleId="Footer">
    <w:name w:val="footer"/>
    <w:basedOn w:val="Normal"/>
    <w:link w:val="FooterChar"/>
    <w:uiPriority w:val="99"/>
    <w:rsid w:val="00771528"/>
    <w:pPr>
      <w:tabs>
        <w:tab w:val="center" w:pos="4536"/>
        <w:tab w:val="right" w:pos="9072"/>
      </w:tabs>
      <w:spacing w:line="240" w:lineRule="auto"/>
    </w:pPr>
  </w:style>
  <w:style w:type="character" w:customStyle="1" w:styleId="FooterChar">
    <w:name w:val="Footer Char"/>
    <w:basedOn w:val="DefaultParagraphFont"/>
    <w:link w:val="Footer"/>
    <w:uiPriority w:val="99"/>
    <w:rsid w:val="00771528"/>
    <w:rPr>
      <w:rFonts w:eastAsia="Verdana" w:cs="Verdana"/>
      <w:szCs w:val="18"/>
      <w:lang w:val="nl-NL"/>
    </w:rPr>
  </w:style>
  <w:style w:type="character" w:styleId="Hyperlink">
    <w:name w:val="Hyperlink"/>
    <w:uiPriority w:val="99"/>
    <w:semiHidden/>
    <w:rsid w:val="00771528"/>
    <w:rPr>
      <w:rFonts w:cs="Times New Roman"/>
      <w:color w:val="003399"/>
      <w:u w:val="single"/>
    </w:rPr>
  </w:style>
  <w:style w:type="character" w:styleId="CommentReference">
    <w:name w:val="annotation reference"/>
    <w:uiPriority w:val="99"/>
    <w:semiHidden/>
    <w:rsid w:val="00771528"/>
    <w:rPr>
      <w:rFonts w:cs="Times New Roman"/>
      <w:sz w:val="16"/>
      <w:szCs w:val="16"/>
    </w:rPr>
  </w:style>
  <w:style w:type="paragraph" w:styleId="CommentText">
    <w:name w:val="annotation text"/>
    <w:basedOn w:val="Normal"/>
    <w:link w:val="CommentTextChar"/>
    <w:uiPriority w:val="99"/>
    <w:semiHidden/>
    <w:rsid w:val="00771528"/>
    <w:pPr>
      <w:spacing w:line="240" w:lineRule="auto"/>
    </w:pPr>
    <w:rPr>
      <w:sz w:val="20"/>
      <w:szCs w:val="20"/>
    </w:rPr>
  </w:style>
  <w:style w:type="character" w:customStyle="1" w:styleId="CommentTextChar">
    <w:name w:val="Comment Text Char"/>
    <w:basedOn w:val="DefaultParagraphFont"/>
    <w:link w:val="CommentText"/>
    <w:uiPriority w:val="99"/>
    <w:semiHidden/>
    <w:rsid w:val="00771528"/>
    <w:rPr>
      <w:rFonts w:eastAsia="Verdana" w:cs="Verdana"/>
      <w:sz w:val="20"/>
      <w:szCs w:val="20"/>
      <w:lang w:val="nl-NL"/>
    </w:rPr>
  </w:style>
  <w:style w:type="paragraph" w:styleId="FootnoteText">
    <w:name w:val="footnote text"/>
    <w:basedOn w:val="Normal"/>
    <w:link w:val="FootnoteTextChar"/>
    <w:uiPriority w:val="99"/>
    <w:semiHidden/>
    <w:rsid w:val="00771528"/>
    <w:pPr>
      <w:spacing w:line="240" w:lineRule="auto"/>
    </w:pPr>
    <w:rPr>
      <w:sz w:val="20"/>
      <w:szCs w:val="20"/>
    </w:rPr>
  </w:style>
  <w:style w:type="character" w:customStyle="1" w:styleId="FootnoteTextChar">
    <w:name w:val="Footnote Text Char"/>
    <w:basedOn w:val="DefaultParagraphFont"/>
    <w:link w:val="FootnoteText"/>
    <w:uiPriority w:val="99"/>
    <w:semiHidden/>
    <w:rsid w:val="00771528"/>
    <w:rPr>
      <w:rFonts w:eastAsia="Verdana" w:cs="Verdana"/>
      <w:sz w:val="20"/>
      <w:szCs w:val="20"/>
      <w:lang w:val="nl-NL"/>
    </w:rPr>
  </w:style>
  <w:style w:type="character" w:styleId="FootnoteReference">
    <w:name w:val="footnote reference"/>
    <w:uiPriority w:val="99"/>
    <w:semiHidden/>
    <w:rsid w:val="00771528"/>
    <w:rPr>
      <w:rFonts w:cs="Times New Roman"/>
      <w:vertAlign w:val="superscript"/>
    </w:rPr>
  </w:style>
  <w:style w:type="character" w:customStyle="1" w:styleId="preformatted">
    <w:name w:val="preformatted"/>
    <w:basedOn w:val="DefaultParagraphFont"/>
    <w:rsid w:val="00771528"/>
  </w:style>
  <w:style w:type="paragraph" w:styleId="BalloonText">
    <w:name w:val="Balloon Text"/>
    <w:basedOn w:val="Normal"/>
    <w:link w:val="BalloonTextChar"/>
    <w:uiPriority w:val="99"/>
    <w:semiHidden/>
    <w:unhideWhenUsed/>
    <w:rsid w:val="007715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28"/>
    <w:rPr>
      <w:rFonts w:ascii="Tahoma" w:eastAsia="Verdana" w:hAnsi="Tahoma" w:cs="Tahoma"/>
      <w:sz w:val="16"/>
      <w:szCs w:val="16"/>
      <w:lang w:val="nl-NL"/>
    </w:rPr>
  </w:style>
  <w:style w:type="paragraph" w:styleId="CommentSubject">
    <w:name w:val="annotation subject"/>
    <w:basedOn w:val="CommentText"/>
    <w:next w:val="CommentText"/>
    <w:link w:val="CommentSubjectChar"/>
    <w:uiPriority w:val="99"/>
    <w:semiHidden/>
    <w:unhideWhenUsed/>
    <w:rsid w:val="00F00E94"/>
    <w:rPr>
      <w:b/>
      <w:bCs/>
    </w:rPr>
  </w:style>
  <w:style w:type="character" w:customStyle="1" w:styleId="CommentSubjectChar">
    <w:name w:val="Comment Subject Char"/>
    <w:basedOn w:val="CommentTextChar"/>
    <w:link w:val="CommentSubject"/>
    <w:uiPriority w:val="99"/>
    <w:semiHidden/>
    <w:rsid w:val="00F00E94"/>
    <w:rPr>
      <w:rFonts w:eastAsia="Verdana" w:cs="Verdana"/>
      <w:b/>
      <w:bCs/>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28"/>
    <w:pPr>
      <w:spacing w:after="0" w:line="240" w:lineRule="atLeast"/>
    </w:pPr>
    <w:rPr>
      <w:rFonts w:eastAsia="Verdana" w:cs="Verdana"/>
      <w:szCs w:val="18"/>
      <w:lang w:val="nl-NL"/>
    </w:rPr>
  </w:style>
  <w:style w:type="paragraph" w:styleId="Heading1">
    <w:name w:val="heading 1"/>
    <w:basedOn w:val="Normal"/>
    <w:next w:val="Normal"/>
    <w:link w:val="Heading1Char"/>
    <w:uiPriority w:val="99"/>
    <w:qFormat/>
    <w:rsid w:val="00771528"/>
    <w:pPr>
      <w:keepNext/>
      <w:numPr>
        <w:numId w:val="1"/>
      </w:numPr>
      <w:spacing w:before="240" w:after="60"/>
      <w:outlineLvl w:val="0"/>
    </w:pPr>
    <w:rPr>
      <w:rFonts w:eastAsia="Times New Roman"/>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1528"/>
    <w:rPr>
      <w:rFonts w:eastAsia="Times New Roman" w:cs="Verdana"/>
      <w:kern w:val="32"/>
      <w:sz w:val="24"/>
      <w:szCs w:val="24"/>
      <w:lang w:val="nl-NL"/>
    </w:rPr>
  </w:style>
  <w:style w:type="paragraph" w:styleId="Header">
    <w:name w:val="header"/>
    <w:basedOn w:val="Normal"/>
    <w:link w:val="HeaderChar"/>
    <w:uiPriority w:val="99"/>
    <w:rsid w:val="00771528"/>
    <w:pPr>
      <w:numPr>
        <w:numId w:val="2"/>
      </w:numPr>
      <w:tabs>
        <w:tab w:val="center" w:pos="4536"/>
        <w:tab w:val="right" w:pos="9072"/>
      </w:tabs>
      <w:spacing w:line="240" w:lineRule="auto"/>
    </w:pPr>
  </w:style>
  <w:style w:type="character" w:customStyle="1" w:styleId="HeaderChar">
    <w:name w:val="Header Char"/>
    <w:basedOn w:val="DefaultParagraphFont"/>
    <w:link w:val="Header"/>
    <w:uiPriority w:val="99"/>
    <w:rsid w:val="00771528"/>
    <w:rPr>
      <w:rFonts w:eastAsia="Verdana" w:cs="Verdana"/>
      <w:szCs w:val="18"/>
      <w:lang w:val="nl-NL"/>
    </w:rPr>
  </w:style>
  <w:style w:type="paragraph" w:styleId="Footer">
    <w:name w:val="footer"/>
    <w:basedOn w:val="Normal"/>
    <w:link w:val="FooterChar"/>
    <w:uiPriority w:val="99"/>
    <w:rsid w:val="00771528"/>
    <w:pPr>
      <w:tabs>
        <w:tab w:val="center" w:pos="4536"/>
        <w:tab w:val="right" w:pos="9072"/>
      </w:tabs>
      <w:spacing w:line="240" w:lineRule="auto"/>
    </w:pPr>
  </w:style>
  <w:style w:type="character" w:customStyle="1" w:styleId="FooterChar">
    <w:name w:val="Footer Char"/>
    <w:basedOn w:val="DefaultParagraphFont"/>
    <w:link w:val="Footer"/>
    <w:uiPriority w:val="99"/>
    <w:rsid w:val="00771528"/>
    <w:rPr>
      <w:rFonts w:eastAsia="Verdana" w:cs="Verdana"/>
      <w:szCs w:val="18"/>
      <w:lang w:val="nl-NL"/>
    </w:rPr>
  </w:style>
  <w:style w:type="character" w:styleId="Hyperlink">
    <w:name w:val="Hyperlink"/>
    <w:uiPriority w:val="99"/>
    <w:semiHidden/>
    <w:rsid w:val="00771528"/>
    <w:rPr>
      <w:rFonts w:cs="Times New Roman"/>
      <w:color w:val="003399"/>
      <w:u w:val="single"/>
    </w:rPr>
  </w:style>
  <w:style w:type="character" w:styleId="CommentReference">
    <w:name w:val="annotation reference"/>
    <w:uiPriority w:val="99"/>
    <w:semiHidden/>
    <w:rsid w:val="00771528"/>
    <w:rPr>
      <w:rFonts w:cs="Times New Roman"/>
      <w:sz w:val="16"/>
      <w:szCs w:val="16"/>
    </w:rPr>
  </w:style>
  <w:style w:type="paragraph" w:styleId="CommentText">
    <w:name w:val="annotation text"/>
    <w:basedOn w:val="Normal"/>
    <w:link w:val="CommentTextChar"/>
    <w:uiPriority w:val="99"/>
    <w:semiHidden/>
    <w:rsid w:val="00771528"/>
    <w:pPr>
      <w:spacing w:line="240" w:lineRule="auto"/>
    </w:pPr>
    <w:rPr>
      <w:sz w:val="20"/>
      <w:szCs w:val="20"/>
    </w:rPr>
  </w:style>
  <w:style w:type="character" w:customStyle="1" w:styleId="CommentTextChar">
    <w:name w:val="Comment Text Char"/>
    <w:basedOn w:val="DefaultParagraphFont"/>
    <w:link w:val="CommentText"/>
    <w:uiPriority w:val="99"/>
    <w:semiHidden/>
    <w:rsid w:val="00771528"/>
    <w:rPr>
      <w:rFonts w:eastAsia="Verdana" w:cs="Verdana"/>
      <w:sz w:val="20"/>
      <w:szCs w:val="20"/>
      <w:lang w:val="nl-NL"/>
    </w:rPr>
  </w:style>
  <w:style w:type="paragraph" w:styleId="FootnoteText">
    <w:name w:val="footnote text"/>
    <w:basedOn w:val="Normal"/>
    <w:link w:val="FootnoteTextChar"/>
    <w:uiPriority w:val="99"/>
    <w:semiHidden/>
    <w:rsid w:val="00771528"/>
    <w:pPr>
      <w:spacing w:line="240" w:lineRule="auto"/>
    </w:pPr>
    <w:rPr>
      <w:sz w:val="20"/>
      <w:szCs w:val="20"/>
    </w:rPr>
  </w:style>
  <w:style w:type="character" w:customStyle="1" w:styleId="FootnoteTextChar">
    <w:name w:val="Footnote Text Char"/>
    <w:basedOn w:val="DefaultParagraphFont"/>
    <w:link w:val="FootnoteText"/>
    <w:uiPriority w:val="99"/>
    <w:semiHidden/>
    <w:rsid w:val="00771528"/>
    <w:rPr>
      <w:rFonts w:eastAsia="Verdana" w:cs="Verdana"/>
      <w:sz w:val="20"/>
      <w:szCs w:val="20"/>
      <w:lang w:val="nl-NL"/>
    </w:rPr>
  </w:style>
  <w:style w:type="character" w:styleId="FootnoteReference">
    <w:name w:val="footnote reference"/>
    <w:uiPriority w:val="99"/>
    <w:semiHidden/>
    <w:rsid w:val="00771528"/>
    <w:rPr>
      <w:rFonts w:cs="Times New Roman"/>
      <w:vertAlign w:val="superscript"/>
    </w:rPr>
  </w:style>
  <w:style w:type="character" w:customStyle="1" w:styleId="preformatted">
    <w:name w:val="preformatted"/>
    <w:basedOn w:val="DefaultParagraphFont"/>
    <w:rsid w:val="00771528"/>
  </w:style>
  <w:style w:type="paragraph" w:styleId="BalloonText">
    <w:name w:val="Balloon Text"/>
    <w:basedOn w:val="Normal"/>
    <w:link w:val="BalloonTextChar"/>
    <w:uiPriority w:val="99"/>
    <w:semiHidden/>
    <w:unhideWhenUsed/>
    <w:rsid w:val="007715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28"/>
    <w:rPr>
      <w:rFonts w:ascii="Tahoma" w:eastAsia="Verdana" w:hAnsi="Tahoma" w:cs="Tahoma"/>
      <w:sz w:val="16"/>
      <w:szCs w:val="16"/>
      <w:lang w:val="nl-NL"/>
    </w:rPr>
  </w:style>
  <w:style w:type="paragraph" w:styleId="CommentSubject">
    <w:name w:val="annotation subject"/>
    <w:basedOn w:val="CommentText"/>
    <w:next w:val="CommentText"/>
    <w:link w:val="CommentSubjectChar"/>
    <w:uiPriority w:val="99"/>
    <w:semiHidden/>
    <w:unhideWhenUsed/>
    <w:rsid w:val="00F00E94"/>
    <w:rPr>
      <w:b/>
      <w:bCs/>
    </w:rPr>
  </w:style>
  <w:style w:type="character" w:customStyle="1" w:styleId="CommentSubjectChar">
    <w:name w:val="Comment Subject Char"/>
    <w:basedOn w:val="CommentTextChar"/>
    <w:link w:val="CommentSubject"/>
    <w:uiPriority w:val="99"/>
    <w:semiHidden/>
    <w:rsid w:val="00F00E94"/>
    <w:rPr>
      <w:rFonts w:eastAsia="Verdana" w:cs="Verdan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oecd.org/dac/effectiveness/parisdeclarationandaccraagendafora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3410</ap:Words>
  <ap:Characters>18760</ap:Characters>
  <ap:DocSecurity>4</ap:DocSecurity>
  <ap:Lines>156</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2016-08-12T10:24:00.0000000Z</lastPrinted>
  <dcterms:created xsi:type="dcterms:W3CDTF">2016-08-31T10:42:00.0000000Z</dcterms:created>
  <dcterms:modified xsi:type="dcterms:W3CDTF">2016-08-31T10:42:00.0000000Z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