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16CFB" w:rsidR="00A0328C" w:rsidP="00B16CFB" w:rsidRDefault="00B16CFB">
      <w:pPr>
        <w:spacing w:after="0" w:line="240" w:lineRule="auto"/>
        <w:jc w:val="center"/>
        <w:rPr>
          <w:sz w:val="28"/>
        </w:rPr>
      </w:pPr>
      <w:r w:rsidRPr="00B16CFB">
        <w:rPr>
          <w:sz w:val="28"/>
        </w:rPr>
        <w:t>De toekomst van het kleuteronderwijs / het onderwijs aan het jonge kind</w:t>
      </w:r>
    </w:p>
    <w:p w:rsidRPr="00B16CFB" w:rsidR="00B16CFB" w:rsidP="00615A44" w:rsidRDefault="00B16CFB">
      <w:pPr>
        <w:spacing w:after="0" w:line="240" w:lineRule="auto"/>
        <w:jc w:val="center"/>
        <w:rPr>
          <w:sz w:val="24"/>
        </w:rPr>
      </w:pPr>
      <w:r w:rsidRPr="00B16CFB">
        <w:rPr>
          <w:sz w:val="24"/>
        </w:rPr>
        <w:t>Statement ten bate van het Rondetafelgesprek - 7 september 2016 - Commissie OCW</w:t>
      </w:r>
    </w:p>
    <w:p w:rsidR="00B16CFB" w:rsidP="00B16CFB" w:rsidRDefault="00B16CFB">
      <w:pPr>
        <w:spacing w:after="0" w:line="240" w:lineRule="auto"/>
      </w:pPr>
    </w:p>
    <w:p w:rsidR="00B16CFB" w:rsidP="00B16CFB" w:rsidRDefault="00B16CFB">
      <w:pPr>
        <w:spacing w:after="0" w:line="240" w:lineRule="auto"/>
      </w:pPr>
    </w:p>
    <w:p w:rsidRPr="00B16CFB" w:rsidR="00B16CFB" w:rsidP="00B16CFB" w:rsidRDefault="00B16CFB">
      <w:pPr>
        <w:spacing w:after="0" w:line="240" w:lineRule="auto"/>
        <w:rPr>
          <w:i/>
          <w:sz w:val="24"/>
        </w:rPr>
      </w:pPr>
      <w:r w:rsidRPr="00B16CFB">
        <w:rPr>
          <w:i/>
          <w:sz w:val="24"/>
        </w:rPr>
        <w:t xml:space="preserve">Bea Pompert, nascholer en onderwijsontwikkelaar De Activiteit, </w:t>
      </w:r>
    </w:p>
    <w:p w:rsidR="00B16CFB" w:rsidP="00B16CFB" w:rsidRDefault="00B16CFB">
      <w:pPr>
        <w:spacing w:after="0" w:line="240" w:lineRule="auto"/>
        <w:rPr>
          <w:sz w:val="24"/>
        </w:rPr>
      </w:pPr>
      <w:r w:rsidRPr="00B16CFB">
        <w:rPr>
          <w:i/>
          <w:sz w:val="24"/>
        </w:rPr>
        <w:tab/>
      </w:r>
      <w:r w:rsidRPr="00B16CFB">
        <w:rPr>
          <w:i/>
          <w:sz w:val="24"/>
        </w:rPr>
        <w:tab/>
      </w:r>
      <w:r w:rsidRPr="00B16CFB">
        <w:rPr>
          <w:i/>
          <w:sz w:val="24"/>
        </w:rPr>
        <w:tab/>
      </w:r>
      <w:r w:rsidRPr="00B16CFB">
        <w:rPr>
          <w:i/>
          <w:sz w:val="24"/>
        </w:rPr>
        <w:tab/>
        <w:t>Landelijk Centrum voor Ontwikkelingsgericht Onderwijs</w:t>
      </w:r>
    </w:p>
    <w:p w:rsidR="00B16CFB" w:rsidP="00B16CFB" w:rsidRDefault="00B16CFB">
      <w:pPr>
        <w:spacing w:after="0" w:line="240" w:lineRule="auto"/>
        <w:rPr>
          <w:sz w:val="24"/>
        </w:rPr>
      </w:pPr>
    </w:p>
    <w:p w:rsidR="00B16CFB" w:rsidP="00B16CFB" w:rsidRDefault="00B16CFB">
      <w:pPr>
        <w:spacing w:after="0" w:line="240" w:lineRule="auto"/>
        <w:rPr>
          <w:sz w:val="24"/>
        </w:rPr>
      </w:pPr>
    </w:p>
    <w:p w:rsidR="00B16CFB" w:rsidP="00B16CFB" w:rsidRDefault="00B16CFB">
      <w:pPr>
        <w:spacing w:after="0" w:line="240" w:lineRule="auto"/>
        <w:rPr>
          <w:sz w:val="24"/>
        </w:rPr>
      </w:pPr>
      <w:r>
        <w:rPr>
          <w:sz w:val="24"/>
        </w:rPr>
        <w:t>Om aan een spelgeoriënteerd curriculum voor jonge kinderen (peuters t/m groep 3) vorm en inhoud te geven is nascholing onontbeerlijk om er voor te zorgen dat de professionals een andere kijk op hun eigen rol kunnen aannemen.</w:t>
      </w:r>
    </w:p>
    <w:p w:rsidR="00B16CFB" w:rsidP="00B16CFB" w:rsidRDefault="00B16CFB">
      <w:pPr>
        <w:spacing w:after="0" w:line="240" w:lineRule="auto"/>
        <w:rPr>
          <w:sz w:val="24"/>
        </w:rPr>
      </w:pPr>
      <w:r>
        <w:rPr>
          <w:sz w:val="24"/>
        </w:rPr>
        <w:t xml:space="preserve">Minder kindvolgend én minder programmagericht. Kinderen veel laten spelen is van groot belang, maar niet genoeg. Kinderen moeten ook </w:t>
      </w:r>
      <w:r w:rsidR="00696E65">
        <w:rPr>
          <w:sz w:val="24"/>
        </w:rPr>
        <w:t xml:space="preserve">leren </w:t>
      </w:r>
      <w:r>
        <w:rPr>
          <w:sz w:val="24"/>
        </w:rPr>
        <w:t xml:space="preserve">spelen en leerkrachten zijn er voor om in spel mogelijkheden te zien </w:t>
      </w:r>
      <w:r w:rsidR="00696E65">
        <w:rPr>
          <w:sz w:val="24"/>
        </w:rPr>
        <w:t>om</w:t>
      </w:r>
      <w:r>
        <w:rPr>
          <w:sz w:val="24"/>
        </w:rPr>
        <w:t xml:space="preserve"> de brede ontwikkeling te bevorderen.</w:t>
      </w:r>
    </w:p>
    <w:p w:rsidR="00CF15E3" w:rsidP="00B16CFB" w:rsidRDefault="00CF15E3">
      <w:pPr>
        <w:spacing w:after="0" w:line="240" w:lineRule="auto"/>
        <w:rPr>
          <w:sz w:val="24"/>
        </w:rPr>
      </w:pPr>
    </w:p>
    <w:p w:rsidR="00B16CFB" w:rsidP="00B16CFB" w:rsidRDefault="00B16CFB">
      <w:pPr>
        <w:spacing w:after="0" w:line="240" w:lineRule="auto"/>
        <w:rPr>
          <w:sz w:val="24"/>
        </w:rPr>
      </w:pPr>
      <w:r>
        <w:rPr>
          <w:sz w:val="24"/>
        </w:rPr>
        <w:t>In onze nascholing zetten wij dat ook in op kennis en vaardigheden om:</w:t>
      </w:r>
    </w:p>
    <w:p w:rsidR="00B16CFB" w:rsidP="00B16CFB" w:rsidRDefault="00B16CFB">
      <w:pPr>
        <w:pStyle w:val="Lijstalinea"/>
        <w:numPr>
          <w:ilvl w:val="0"/>
          <w:numId w:val="1"/>
        </w:numPr>
        <w:spacing w:after="0" w:line="240" w:lineRule="auto"/>
        <w:rPr>
          <w:sz w:val="24"/>
        </w:rPr>
      </w:pPr>
      <w:r>
        <w:rPr>
          <w:sz w:val="24"/>
        </w:rPr>
        <w:t>spelactiviteiten te ontwerpen, waaraan alle kinderen kunnen en willen meedoen</w:t>
      </w:r>
      <w:r w:rsidR="00696E65">
        <w:rPr>
          <w:sz w:val="24"/>
        </w:rPr>
        <w:t xml:space="preserve"> en</w:t>
      </w:r>
      <w:r>
        <w:rPr>
          <w:sz w:val="24"/>
        </w:rPr>
        <w:t xml:space="preserve"> die aansluiten bij hun ontwikkelingsvragen;</w:t>
      </w:r>
    </w:p>
    <w:p w:rsidR="00B16CFB" w:rsidP="00B16CFB" w:rsidRDefault="00B16CFB">
      <w:pPr>
        <w:pStyle w:val="Lijstalinea"/>
        <w:numPr>
          <w:ilvl w:val="0"/>
          <w:numId w:val="1"/>
        </w:numPr>
        <w:spacing w:after="0" w:line="240" w:lineRule="auto"/>
        <w:rPr>
          <w:sz w:val="24"/>
        </w:rPr>
      </w:pPr>
      <w:proofErr w:type="gramStart"/>
      <w:r>
        <w:rPr>
          <w:sz w:val="24"/>
        </w:rPr>
        <w:t>de spelactiviteiten te zien als context voor alle leerprocessen die in de onderbouw van belan</w:t>
      </w:r>
      <w:r w:rsidR="00696E65">
        <w:rPr>
          <w:sz w:val="24"/>
        </w:rPr>
        <w:t>g zijn: motorische, cognitieve</w:t>
      </w:r>
      <w:r>
        <w:rPr>
          <w:sz w:val="24"/>
        </w:rPr>
        <w:t xml:space="preserve">, sociaal-emotionele </w:t>
      </w:r>
      <w:r w:rsidR="00696E65">
        <w:rPr>
          <w:sz w:val="24"/>
        </w:rPr>
        <w:t>ontwikkeling</w:t>
      </w:r>
      <w:r w:rsidR="00696E65">
        <w:rPr>
          <w:sz w:val="24"/>
        </w:rPr>
        <w:t xml:space="preserve"> en </w:t>
      </w:r>
      <w:r w:rsidR="00696E65">
        <w:rPr>
          <w:sz w:val="24"/>
        </w:rPr>
        <w:t>taalontwikkeling</w:t>
      </w:r>
      <w:r>
        <w:rPr>
          <w:sz w:val="24"/>
        </w:rPr>
        <w:t>;</w:t>
      </w:r>
      <w:bookmarkStart w:name="_GoBack" w:id="0"/>
      <w:bookmarkEnd w:id="0"/>
      <w:proofErr w:type="gramEnd"/>
    </w:p>
    <w:p w:rsidR="00B16CFB" w:rsidP="00B16CFB" w:rsidRDefault="00B16CFB">
      <w:pPr>
        <w:pStyle w:val="Lijstalinea"/>
        <w:numPr>
          <w:ilvl w:val="0"/>
          <w:numId w:val="1"/>
        </w:numPr>
        <w:spacing w:after="0" w:line="240" w:lineRule="auto"/>
        <w:rPr>
          <w:sz w:val="24"/>
        </w:rPr>
      </w:pPr>
      <w:r>
        <w:rPr>
          <w:sz w:val="24"/>
        </w:rPr>
        <w:t>deze spelactiviteiten zo te begeleiden dat leerlingen hun spel kunnen verdiepen met elementen uit onze cultuur; zoals taal, symbolen, woordenschat en vakkennis;</w:t>
      </w:r>
    </w:p>
    <w:p w:rsidR="00B16CFB" w:rsidP="00B16CFB" w:rsidRDefault="00B16CFB">
      <w:pPr>
        <w:pStyle w:val="Lijstalinea"/>
        <w:numPr>
          <w:ilvl w:val="0"/>
          <w:numId w:val="1"/>
        </w:numPr>
        <w:spacing w:after="0" w:line="240" w:lineRule="auto"/>
        <w:rPr>
          <w:sz w:val="24"/>
        </w:rPr>
      </w:pPr>
      <w:r>
        <w:rPr>
          <w:sz w:val="24"/>
        </w:rPr>
        <w:t>rond deze spelactiviteiten gesprekken met kleine groepjes leerlingen voeren, waarbij de kwaliteit van het gespreksonderwerp verbetert en de taalproductie van de leerlingen toeneemt</w:t>
      </w:r>
      <w:r w:rsidR="00CF15E3">
        <w:rPr>
          <w:sz w:val="24"/>
        </w:rPr>
        <w:t>;</w:t>
      </w:r>
    </w:p>
    <w:p w:rsidR="00CF15E3" w:rsidP="00B16CFB" w:rsidRDefault="00CF15E3">
      <w:pPr>
        <w:pStyle w:val="Lijstalinea"/>
        <w:numPr>
          <w:ilvl w:val="0"/>
          <w:numId w:val="1"/>
        </w:numPr>
        <w:spacing w:after="0" w:line="240" w:lineRule="auto"/>
        <w:rPr>
          <w:sz w:val="24"/>
        </w:rPr>
      </w:pPr>
      <w:r>
        <w:rPr>
          <w:sz w:val="24"/>
        </w:rPr>
        <w:t>observaties van en tijdens spel gebruiken om niet alleen de ontwikkeling van de kinderen te kunnen evalueren, maar ook kritisch naar het effect van de eigen interventies te kijken.</w:t>
      </w:r>
    </w:p>
    <w:p w:rsidR="00CF15E3" w:rsidP="00CF15E3" w:rsidRDefault="00CF15E3">
      <w:pPr>
        <w:spacing w:after="0" w:line="240" w:lineRule="auto"/>
        <w:rPr>
          <w:sz w:val="24"/>
        </w:rPr>
      </w:pPr>
    </w:p>
    <w:p w:rsidR="00CF15E3" w:rsidP="00CF15E3" w:rsidRDefault="00CF15E3">
      <w:pPr>
        <w:spacing w:after="0" w:line="240" w:lineRule="auto"/>
        <w:rPr>
          <w:sz w:val="24"/>
        </w:rPr>
      </w:pPr>
      <w:r>
        <w:rPr>
          <w:sz w:val="24"/>
        </w:rPr>
        <w:t>Dit zijn vaardigheden die niet van de ene dag op de andere in het repertoire van de professionals belanden. In veel gevallen gaat het om het 'afleren' van ingeslepen routines en handelingen die mindere effectief zijn.</w:t>
      </w:r>
    </w:p>
    <w:p w:rsidR="00CF15E3" w:rsidP="00CF15E3" w:rsidRDefault="00CF15E3">
      <w:pPr>
        <w:spacing w:after="0" w:line="240" w:lineRule="auto"/>
        <w:rPr>
          <w:sz w:val="24"/>
        </w:rPr>
      </w:pPr>
    </w:p>
    <w:p w:rsidR="00CF15E3" w:rsidP="00CF15E3" w:rsidRDefault="00CF15E3">
      <w:pPr>
        <w:spacing w:after="0" w:line="240" w:lineRule="auto"/>
        <w:rPr>
          <w:sz w:val="24"/>
        </w:rPr>
      </w:pPr>
      <w:r>
        <w:rPr>
          <w:sz w:val="24"/>
        </w:rPr>
        <w:t>Naar mijn mening is veel nascholing niet gericht op daadwerkelijke gedragsverandering van professionals met uiteindelijk winst voor kinderen.</w:t>
      </w:r>
    </w:p>
    <w:p w:rsidR="00CF15E3" w:rsidP="00CF15E3" w:rsidRDefault="00CF15E3">
      <w:pPr>
        <w:spacing w:after="0" w:line="240" w:lineRule="auto"/>
        <w:rPr>
          <w:sz w:val="24"/>
        </w:rPr>
      </w:pPr>
      <w:r>
        <w:rPr>
          <w:sz w:val="24"/>
        </w:rPr>
        <w:t>Er is veel aanbod: studiedagen, conferenties, workshops en cursussen. Veel van deze activiteiten zijn kortstondig en raken niet aan de concrete praktijk van alledag.</w:t>
      </w:r>
    </w:p>
    <w:p w:rsidR="00CF15E3" w:rsidP="00CF15E3" w:rsidRDefault="00CF15E3">
      <w:pPr>
        <w:spacing w:after="0" w:line="240" w:lineRule="auto"/>
        <w:rPr>
          <w:sz w:val="24"/>
        </w:rPr>
      </w:pPr>
      <w:r>
        <w:rPr>
          <w:sz w:val="24"/>
        </w:rPr>
        <w:t>En het is nu juist die praktijk waar het moet gebeuren.</w:t>
      </w:r>
    </w:p>
    <w:p w:rsidR="00CF15E3" w:rsidP="00CF15E3" w:rsidRDefault="00CF15E3">
      <w:pPr>
        <w:spacing w:after="0" w:line="240" w:lineRule="auto"/>
        <w:rPr>
          <w:sz w:val="24"/>
        </w:rPr>
      </w:pPr>
      <w:r>
        <w:rPr>
          <w:sz w:val="24"/>
        </w:rPr>
        <w:t>Onderzoek</w:t>
      </w:r>
      <w:r w:rsidR="00696E65">
        <w:rPr>
          <w:sz w:val="24"/>
        </w:rPr>
        <w:t xml:space="preserve">sresultaten </w:t>
      </w:r>
      <w:r>
        <w:rPr>
          <w:sz w:val="24"/>
        </w:rPr>
        <w:t>d</w:t>
      </w:r>
      <w:r w:rsidR="00696E65">
        <w:rPr>
          <w:sz w:val="24"/>
        </w:rPr>
        <w:t>ie in nascholing gebruikt</w:t>
      </w:r>
      <w:r>
        <w:rPr>
          <w:sz w:val="24"/>
        </w:rPr>
        <w:t xml:space="preserve"> moeten worden leid</w:t>
      </w:r>
      <w:r w:rsidR="00696E65">
        <w:rPr>
          <w:sz w:val="24"/>
        </w:rPr>
        <w:t>en</w:t>
      </w:r>
      <w:r>
        <w:rPr>
          <w:sz w:val="24"/>
        </w:rPr>
        <w:t xml:space="preserve"> dikwijls aan hetzelfde euvel.</w:t>
      </w:r>
    </w:p>
    <w:p w:rsidR="00CF15E3" w:rsidP="00CF15E3" w:rsidRDefault="00CF15E3">
      <w:pPr>
        <w:spacing w:after="0" w:line="240" w:lineRule="auto"/>
        <w:rPr>
          <w:sz w:val="24"/>
        </w:rPr>
      </w:pPr>
      <w:r>
        <w:rPr>
          <w:sz w:val="24"/>
        </w:rPr>
        <w:t>Nascholing, onderwijsontwikkeling en onderwijsonderzoek moet</w:t>
      </w:r>
      <w:r w:rsidR="00696E65">
        <w:rPr>
          <w:sz w:val="24"/>
        </w:rPr>
        <w:t>en</w:t>
      </w:r>
      <w:r>
        <w:rPr>
          <w:sz w:val="24"/>
        </w:rPr>
        <w:t xml:space="preserve"> direct verbonden blijven aan de concerns van de professionals en hun actuele denk en handelingswijzen. Iets nieuws </w:t>
      </w:r>
      <w:proofErr w:type="gramStart"/>
      <w:r>
        <w:rPr>
          <w:sz w:val="24"/>
        </w:rPr>
        <w:t>leren</w:t>
      </w:r>
      <w:proofErr w:type="gramEnd"/>
      <w:r>
        <w:rPr>
          <w:sz w:val="24"/>
        </w:rPr>
        <w:t xml:space="preserve"> lukt alleen als het direct uitgeprobeerd wordt in de praktijk en aansluit bij de heersende werkcultuur van een groep (bijvoorbeeld het onderbouwteam). </w:t>
      </w:r>
      <w:r w:rsidR="00696E65">
        <w:rPr>
          <w:sz w:val="24"/>
        </w:rPr>
        <w:t xml:space="preserve">Leren gebeurt het meest betekenisvol in een community of practice. </w:t>
      </w:r>
      <w:r>
        <w:rPr>
          <w:sz w:val="24"/>
        </w:rPr>
        <w:t xml:space="preserve">Het gaat erom dat de nascholing </w:t>
      </w:r>
      <w:r>
        <w:rPr>
          <w:sz w:val="24"/>
        </w:rPr>
        <w:lastRenderedPageBreak/>
        <w:t>handelingsgericht is en verbonden aan het concrete werkproces, zoals samen spelactiviteiten voorbereiden, spelhoeken inrichten, plannen maken voor spelbegeleiding.</w:t>
      </w:r>
    </w:p>
    <w:p w:rsidRPr="00CF15E3" w:rsidR="00CF15E3" w:rsidP="00CF15E3" w:rsidRDefault="00CF15E3">
      <w:pPr>
        <w:spacing w:after="0" w:line="240" w:lineRule="auto"/>
        <w:rPr>
          <w:sz w:val="24"/>
        </w:rPr>
      </w:pPr>
      <w:r>
        <w:rPr>
          <w:sz w:val="24"/>
        </w:rPr>
        <w:t>Coaching van elkaar, interne begeleiders en externe begeleiders/nascholers op de werkvloer is daarvoor de manier. De deelnemers aan nascholing monitoren in het beste geval hun eigen proces, bijvoorbeeld met portfolio assessment in samenwerking met collega's en nascholer.</w:t>
      </w:r>
    </w:p>
    <w:sectPr w:rsidRPr="00CF15E3" w:rsidR="00CF15E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E0AC4"/>
    <w:multiLevelType w:val="hybridMultilevel"/>
    <w:tmpl w:val="626AE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FB"/>
    <w:rsid w:val="00615A44"/>
    <w:rsid w:val="00696E65"/>
    <w:rsid w:val="00A0328C"/>
    <w:rsid w:val="00B16CFB"/>
    <w:rsid w:val="00CF1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6C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492</ap:Words>
  <ap:Characters>2711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2016-09-05T11:18:00.0000000Z</dcterms:created>
  <dcterms:modified xsi:type="dcterms:W3CDTF">2016-09-06T05:55:00.0000000Z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0x010100D847652C04CFDE40B15EB6E356F8286D</vt:lpwstr>
  </property>
</Properties>
</file>