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5A4DE9" w:rsidR="000D39DB" w:rsidP="007B32F9" w:rsidRDefault="00405849">
      <w:pPr>
        <w:pStyle w:val="PlatteTekst"/>
        <w:spacing w:line="240" w:lineRule="auto"/>
        <w:rPr>
          <w:b/>
          <w:szCs w:val="18"/>
          <w:u w:val="single"/>
        </w:rPr>
      </w:pPr>
      <w:r w:rsidRPr="005A4DE9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93DF3E9" wp14:anchorId="1A0A53CF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D67" w:rsidRDefault="00F04D6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F04D67" w:rsidRDefault="00F04D67"/>
                  </w:txbxContent>
                </v:textbox>
                <w10:wrap anchory="page"/>
              </v:shape>
            </w:pict>
          </mc:Fallback>
        </mc:AlternateContent>
      </w:r>
      <w:r w:rsidRPr="005A4DE9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6E2932F" wp14:anchorId="78C2DE99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260" cy="6985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D67" w:rsidP="00B51425" w:rsidRDefault="00F04D6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R.Dijkstra/S. </w:t>
                            </w:r>
                            <w:r>
                              <w:t xml:space="preserve">Van Veldhoven  </w:t>
                            </w:r>
                          </w:p>
                          <w:p w:rsidRPr="00FE7CDD" w:rsidR="00F04D67" w:rsidRDefault="00F04D6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 w:rsidRPr="00FE7CD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">
                <v:textbox style="mso-fit-shape-to-text:t" inset="0,0,0,0">
                  <w:txbxContent>
                    <w:p w:rsidR="00F04D67" w:rsidP="00B51425" w:rsidRDefault="00F04D67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13"/>
                        </w:rPr>
                        <w:t>R.Dijkstra</w:t>
                      </w:r>
                      <w:proofErr w:type="spellEnd"/>
                      <w:r>
                        <w:rPr>
                          <w:szCs w:val="13"/>
                        </w:rPr>
                        <w:t xml:space="preserve">/S. </w:t>
                      </w:r>
                      <w:r>
                        <w:t xml:space="preserve">Van Veldhoven  </w:t>
                      </w:r>
                    </w:p>
                    <w:p w:rsidRPr="00FE7CDD" w:rsidR="00F04D67" w:rsidRDefault="00F04D67">
                      <w:pPr>
                        <w:pStyle w:val="Huisstijl-Afzendgegevens"/>
                        <w:rPr>
                          <w:szCs w:val="13"/>
                        </w:rPr>
                      </w:pPr>
                      <w:r w:rsidRPr="00FE7CDD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4DE9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229C8B70" wp14:anchorId="1D3558CE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123634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236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625D5" w:rsidR="00F04D67" w:rsidRDefault="00F04D67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ab/>
                              <w:t>Memo</w:t>
                            </w:r>
                            <w:r>
                              <w:tab/>
                            </w:r>
                            <w:r w:rsidRPr="00F625D5" w:rsidR="006E3764">
                              <w:t xml:space="preserve">Behandelvoorstel </w:t>
                            </w:r>
                            <w:r w:rsidRPr="00F625D5">
                              <w:t>co-rapporteurs Energie-Unie</w:t>
                            </w:r>
                          </w:p>
                          <w:p w:rsidR="00F04D67" w:rsidRDefault="00F04D67">
                            <w:pPr>
                              <w:pStyle w:val="Huisstijl-Agendatitel"/>
                            </w:pPr>
                            <w:r w:rsidRPr="00F625D5">
                              <w:tab/>
                            </w:r>
                            <w:r w:rsidRPr="00F625D5" w:rsidR="00D565EE">
                              <w:t>E</w:t>
                            </w:r>
                            <w:r w:rsidRPr="00F625D5" w:rsidR="006E3764">
                              <w:t>U-</w:t>
                            </w:r>
                            <w:r w:rsidRPr="00F625D5" w:rsidR="000E0604">
                              <w:t xml:space="preserve">klimaatpakket </w:t>
                            </w:r>
                            <w:r w:rsidR="00F625D5">
                              <w:t xml:space="preserve">d.d. </w:t>
                            </w:r>
                            <w:r w:rsidRPr="00F625D5" w:rsidR="00D565EE">
                              <w:t>20 juli 2016</w:t>
                            </w:r>
                            <w:r w:rsidR="006E3764">
                              <w:t xml:space="preserve"> </w:t>
                            </w:r>
                          </w:p>
                          <w:p w:rsidR="006E3764" w:rsidRDefault="006E3764">
                            <w:pPr>
                              <w:pStyle w:val="Huisstijl-Agendatitel"/>
                            </w:pPr>
                          </w:p>
                          <w:p w:rsidR="00F04D67" w:rsidRDefault="00F04D67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de vaste commissies voor I&amp;M en EZ </w:t>
                            </w:r>
                          </w:p>
                          <w:p w:rsidR="00F04D67" w:rsidRDefault="00F04D67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  <w:t xml:space="preserve">de rapporteurs Energie-Unie, het Lid Dijkstra en het Lid Van Veldhoven </w:t>
                            </w:r>
                          </w:p>
                          <w:p w:rsidRPr="00C13A9E" w:rsidR="00F04D67" w:rsidRDefault="00F04D67">
                            <w:pPr>
                              <w:pStyle w:val="Huisstijl-Agendagegevens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</w:r>
                            <w:r w:rsidRPr="00C13A9E">
                              <w:t xml:space="preserve">de commissies </w:t>
                            </w:r>
                            <w:r>
                              <w:t>EUZA</w:t>
                            </w:r>
                            <w:r w:rsidRPr="00C13A9E">
                              <w:t xml:space="preserve"> en WR</w:t>
                            </w:r>
                          </w:p>
                          <w:p w:rsidRPr="00C13A9E" w:rsidR="00F04D67" w:rsidRDefault="00F04D67">
                            <w:pPr>
                              <w:pStyle w:val="Huisstijl-AgendagegevensW1"/>
                            </w:pPr>
                            <w:r w:rsidRPr="00C13A9E">
                              <w:tab/>
                              <w:t>datum</w:t>
                            </w:r>
                            <w:r w:rsidRPr="00C13A9E"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-178738616"/>
                                <w:dataBinding w:prefixMappings="xmlns:dg='http://docgen.org/date' " w:xpath="/dg:DocgenData[1]/dg:Memo_Datum[1]" w:storeItemID="{3D6BED7C-4D00-430B-A617-55BE0520206B}"/>
                                <w:date w:fullDate="2016-08-31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E3764">
                                  <w:t xml:space="preserve">31 augustus </w:t>
                                </w:r>
                                <w:r>
                                  <w:t>2016</w:t>
                                </w:r>
                              </w:sdtContent>
                            </w:sdt>
                          </w:p>
                          <w:p w:rsidR="00F04D67" w:rsidRDefault="00F04D67">
                            <w:pPr>
                              <w:pStyle w:val="Huisstijl-Agendagegevens"/>
                            </w:pPr>
                            <w:r w:rsidRPr="00C13A9E">
                              <w:tab/>
                              <w:t>te betrekken bij</w:t>
                            </w:r>
                            <w:r w:rsidRPr="00C13A9E">
                              <w:tab/>
                            </w:r>
                            <w:r>
                              <w:t xml:space="preserve">Procedurevergadering I&amp;M d.d. </w:t>
                            </w:r>
                            <w:r w:rsidR="006E3764">
                              <w:t xml:space="preserve">7 september  </w:t>
                            </w:r>
                            <w:r>
                              <w:t>2016</w:t>
                            </w:r>
                          </w:p>
                          <w:p w:rsidR="00F04D67" w:rsidRDefault="00F04D67">
                            <w:pPr>
                              <w:pStyle w:val="Huisstijl-Agendagegevens"/>
                            </w:pP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8.25pt;margin-top:152.25pt;width:318.75pt;height:97.3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">
                <v:textbox style="mso-fit-shape-to-text:t" inset="0,0,0,0">
                  <w:txbxContent>
                    <w:p w:rsidRPr="00F625D5" w:rsidR="00F04D67" w:rsidRDefault="00F04D67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ab/>
                        <w:t>Memo</w:t>
                      </w:r>
                      <w:r>
                        <w:tab/>
                      </w:r>
                      <w:r w:rsidRPr="00F625D5" w:rsidR="006E3764">
                        <w:t xml:space="preserve">Behandelvoorstel </w:t>
                      </w:r>
                      <w:r w:rsidRPr="00F625D5">
                        <w:t>co-rapporteurs Energie-Unie</w:t>
                      </w:r>
                    </w:p>
                    <w:p w:rsidR="00F04D67" w:rsidRDefault="00F04D67">
                      <w:pPr>
                        <w:pStyle w:val="Huisstijl-Agendatitel"/>
                      </w:pPr>
                      <w:r w:rsidRPr="00F625D5">
                        <w:tab/>
                      </w:r>
                      <w:r w:rsidRPr="00F625D5" w:rsidR="00D565EE">
                        <w:t>E</w:t>
                      </w:r>
                      <w:r w:rsidRPr="00F625D5" w:rsidR="006E3764">
                        <w:t>U-</w:t>
                      </w:r>
                      <w:r w:rsidRPr="00F625D5" w:rsidR="000E0604">
                        <w:t xml:space="preserve">klimaatpakket </w:t>
                      </w:r>
                      <w:r w:rsidR="00F625D5">
                        <w:t xml:space="preserve">d.d. </w:t>
                      </w:r>
                      <w:r w:rsidRPr="00F625D5" w:rsidR="00D565EE">
                        <w:t>20 juli 2016</w:t>
                      </w:r>
                      <w:r w:rsidR="006E3764">
                        <w:t xml:space="preserve"> </w:t>
                      </w:r>
                    </w:p>
                    <w:p w:rsidR="006E3764" w:rsidRDefault="006E3764">
                      <w:pPr>
                        <w:pStyle w:val="Huisstijl-Agendatitel"/>
                      </w:pPr>
                    </w:p>
                    <w:p w:rsidR="00F04D67" w:rsidRDefault="00F04D67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  <w:t xml:space="preserve">de vaste commissies voor I&amp;M en EZ </w:t>
                      </w:r>
                    </w:p>
                    <w:p w:rsidR="00F04D67" w:rsidRDefault="00F04D67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  <w:t xml:space="preserve">de rapporteurs Energie-Unie, het Lid Dijkstra en het Lid Van Veldhoven </w:t>
                      </w:r>
                    </w:p>
                    <w:p w:rsidRPr="00C13A9E" w:rsidR="00F04D67" w:rsidRDefault="00F04D67">
                      <w:pPr>
                        <w:pStyle w:val="Huisstijl-Agendagegevens"/>
                      </w:pPr>
                      <w:r>
                        <w:tab/>
                        <w:t>in afschrift aan</w:t>
                      </w:r>
                      <w:r>
                        <w:tab/>
                      </w:r>
                      <w:r w:rsidRPr="00C13A9E">
                        <w:t xml:space="preserve">de commissies </w:t>
                      </w:r>
                      <w:r>
                        <w:t>EUZA</w:t>
                      </w:r>
                      <w:r w:rsidRPr="00C13A9E">
                        <w:t xml:space="preserve"> en WR</w:t>
                      </w:r>
                    </w:p>
                    <w:p w:rsidRPr="00C13A9E" w:rsidR="00F04D67" w:rsidRDefault="00F04D67">
                      <w:pPr>
                        <w:pStyle w:val="Huisstijl-AgendagegevensW1"/>
                      </w:pPr>
                      <w:r w:rsidRPr="00C13A9E">
                        <w:tab/>
                        <w:t>datum</w:t>
                      </w:r>
                      <w:r w:rsidRPr="00C13A9E">
                        <w:tab/>
                      </w:r>
                      <w:sdt>
                        <w:sdtPr>
                          <w:alias w:val="Memo Datum"/>
                          <w:tag w:val="Memo_Datum"/>
                          <w:id w:val="-178738616"/>
                          <w:dataBinding w:prefixMappings="xmlns:dg='http://docgen.org/date' " w:xpath="/dg:DocgenData[1]/dg:Memo_Datum[1]" w:storeItemID="{3D6BED7C-4D00-430B-A617-55BE0520206B}"/>
                          <w:date w:fullDate="2016-08-31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E3764">
                            <w:t xml:space="preserve">31 augustus </w:t>
                          </w:r>
                          <w:r>
                            <w:t>2016</w:t>
                          </w:r>
                        </w:sdtContent>
                      </w:sdt>
                    </w:p>
                    <w:p w:rsidR="00F04D67" w:rsidRDefault="00F04D67">
                      <w:pPr>
                        <w:pStyle w:val="Huisstijl-Agendagegevens"/>
                      </w:pPr>
                      <w:r w:rsidRPr="00C13A9E">
                        <w:tab/>
                        <w:t>te betrekken bij</w:t>
                      </w:r>
                      <w:r w:rsidRPr="00C13A9E">
                        <w:tab/>
                      </w:r>
                      <w:r>
                        <w:t xml:space="preserve">Procedurevergadering I&amp;M d.d. </w:t>
                      </w:r>
                      <w:r w:rsidR="006E3764">
                        <w:t xml:space="preserve">7 september  </w:t>
                      </w:r>
                      <w:r>
                        <w:t>2016</w:t>
                      </w:r>
                    </w:p>
                    <w:p w:rsidR="00F04D67" w:rsidRDefault="00F04D67">
                      <w:pPr>
                        <w:pStyle w:val="Huisstijl-Agendagegevens"/>
                      </w:pP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bookmarkStart w:name="Text1" w:id="1"/>
      <w:r w:rsidRPr="005A4DE9" w:rsidR="00EA0108">
        <w:rPr>
          <w:rFonts w:eastAsia="Verdana" w:cs="Verdana"/>
          <w:noProof/>
          <w:color w:val="000000"/>
          <w:szCs w:val="18"/>
          <w:u w:color="000000"/>
          <w:bdr w:val="nil"/>
          <w:lang w:eastAsia="nl-NL"/>
        </w:rPr>
        <w:drawing>
          <wp:anchor distT="152400" distB="152400" distL="152400" distR="152400" simplePos="0" relativeHeight="251669504" behindDoc="1" locked="0" layoutInCell="1" allowOverlap="1" wp14:editId="36826A02" wp14:anchorId="1D1E8288">
            <wp:simplePos x="0" y="0"/>
            <wp:positionH relativeFrom="page">
              <wp:posOffset>1232535</wp:posOffset>
            </wp:positionH>
            <wp:positionV relativeFrom="page">
              <wp:posOffset>527050</wp:posOffset>
            </wp:positionV>
            <wp:extent cx="3070800" cy="1238400"/>
            <wp:effectExtent l="0" t="0" r="0" b="0"/>
            <wp:wrapNone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00" cy="123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A4DE9">
        <w:rPr>
          <w:b/>
          <w:szCs w:val="18"/>
          <w:u w:val="single"/>
        </w:rPr>
        <w:t>Aan de leden van de commissie</w:t>
      </w:r>
      <w:r w:rsidRPr="005A4DE9" w:rsidR="006064F8">
        <w:rPr>
          <w:b/>
          <w:szCs w:val="18"/>
          <w:u w:val="single"/>
        </w:rPr>
        <w:t>s</w:t>
      </w:r>
      <w:r w:rsidRPr="005A4DE9">
        <w:rPr>
          <w:b/>
          <w:szCs w:val="18"/>
          <w:u w:val="single"/>
        </w:rPr>
        <w:t xml:space="preserve"> </w:t>
      </w:r>
      <w:bookmarkEnd w:id="1"/>
      <w:r w:rsidR="009C5AE6">
        <w:rPr>
          <w:b/>
          <w:szCs w:val="18"/>
          <w:u w:val="single"/>
        </w:rPr>
        <w:t xml:space="preserve">I&amp;M en </w:t>
      </w:r>
      <w:r w:rsidRPr="005A4DE9" w:rsidR="00B51425">
        <w:rPr>
          <w:b/>
          <w:szCs w:val="18"/>
          <w:u w:val="single"/>
        </w:rPr>
        <w:t>EZ</w:t>
      </w:r>
      <w:r w:rsidRPr="005A4DE9" w:rsidR="006064F8">
        <w:rPr>
          <w:b/>
          <w:szCs w:val="18"/>
          <w:u w:val="single"/>
        </w:rPr>
        <w:t xml:space="preserve"> </w:t>
      </w:r>
    </w:p>
    <w:p w:rsidRPr="005A4DE9" w:rsidR="00405849" w:rsidP="00993C3B" w:rsidRDefault="00E20262">
      <w:pPr>
        <w:rPr>
          <w:b/>
          <w:szCs w:val="18"/>
          <w:u w:val="single"/>
        </w:rPr>
      </w:pPr>
      <w:r w:rsidRPr="005A4DE9">
        <w:rPr>
          <w:b/>
          <w:szCs w:val="18"/>
          <w:u w:val="single"/>
        </w:rPr>
        <w:t>In afschrift aan de leden van de commissies EU en WR</w:t>
      </w:r>
    </w:p>
    <w:p w:rsidRPr="005A4DE9" w:rsidR="00EA0108" w:rsidP="00993C3B" w:rsidRDefault="00EA0108">
      <w:pPr>
        <w:rPr>
          <w:b/>
          <w:szCs w:val="18"/>
        </w:rPr>
      </w:pPr>
    </w:p>
    <w:p w:rsidRPr="005A4DE9" w:rsidR="00DE2E50" w:rsidP="00993C3B" w:rsidRDefault="00DE2E50">
      <w:pPr>
        <w:rPr>
          <w:b/>
          <w:szCs w:val="18"/>
        </w:rPr>
      </w:pPr>
      <w:r w:rsidRPr="005A4DE9">
        <w:rPr>
          <w:b/>
          <w:szCs w:val="18"/>
        </w:rPr>
        <w:t>Aanleiding</w:t>
      </w:r>
    </w:p>
    <w:p w:rsidR="00B41C89" w:rsidP="00993C3B" w:rsidRDefault="00010DFA">
      <w:pPr>
        <w:pStyle w:val="Lijstalinea"/>
        <w:numPr>
          <w:ilvl w:val="0"/>
          <w:numId w:val="1"/>
        </w:numPr>
        <w:rPr>
          <w:szCs w:val="18"/>
        </w:rPr>
      </w:pPr>
      <w:r w:rsidRPr="004D7E23">
        <w:rPr>
          <w:szCs w:val="18"/>
        </w:rPr>
        <w:t>Op 20 juli 2016 heeft de Europese Commissie</w:t>
      </w:r>
      <w:r w:rsidRPr="004D7E23" w:rsidR="004D7E23">
        <w:rPr>
          <w:szCs w:val="18"/>
        </w:rPr>
        <w:t xml:space="preserve"> </w:t>
      </w:r>
      <w:r w:rsidR="00E35819">
        <w:rPr>
          <w:szCs w:val="18"/>
        </w:rPr>
        <w:t xml:space="preserve">(EC) </w:t>
      </w:r>
      <w:r w:rsidR="00727FD0">
        <w:rPr>
          <w:szCs w:val="18"/>
        </w:rPr>
        <w:t>e</w:t>
      </w:r>
      <w:r w:rsidR="00D565EE">
        <w:rPr>
          <w:szCs w:val="18"/>
        </w:rPr>
        <w:t xml:space="preserve">en </w:t>
      </w:r>
      <w:r w:rsidR="00B41C89">
        <w:rPr>
          <w:szCs w:val="18"/>
        </w:rPr>
        <w:t>klimaat</w:t>
      </w:r>
      <w:r w:rsidRPr="004D7E23" w:rsidR="004D7E23">
        <w:rPr>
          <w:szCs w:val="18"/>
        </w:rPr>
        <w:t>pakket  gepubliceerd</w:t>
      </w:r>
      <w:r w:rsidR="00B41C89">
        <w:rPr>
          <w:szCs w:val="18"/>
        </w:rPr>
        <w:t xml:space="preserve"> </w:t>
      </w:r>
      <w:r w:rsidR="00DB009D">
        <w:rPr>
          <w:szCs w:val="18"/>
        </w:rPr>
        <w:t xml:space="preserve">dat bestaat uit: </w:t>
      </w:r>
    </w:p>
    <w:p w:rsidRPr="00DB009D" w:rsidR="00DB009D" w:rsidP="00B41C89" w:rsidRDefault="00DB009D">
      <w:pPr>
        <w:pStyle w:val="Lijstalinea"/>
        <w:numPr>
          <w:ilvl w:val="1"/>
          <w:numId w:val="1"/>
        </w:numPr>
        <w:rPr>
          <w:szCs w:val="18"/>
        </w:rPr>
      </w:pPr>
      <w:r>
        <w:rPr>
          <w:szCs w:val="18"/>
        </w:rPr>
        <w:t xml:space="preserve">niet-wetgevende overkoepelende </w:t>
      </w:r>
      <w:r w:rsidR="00FC32E6">
        <w:rPr>
          <w:szCs w:val="18"/>
        </w:rPr>
        <w:t>mededeling om de Europese transitie naar een koolstofarme economie te versnellen;</w:t>
      </w:r>
      <w:r>
        <w:rPr>
          <w:szCs w:val="18"/>
        </w:rPr>
        <w:t xml:space="preserve"> </w:t>
      </w:r>
    </w:p>
    <w:p w:rsidRPr="00B24EFA" w:rsidR="00B24EFA" w:rsidP="00B41C89" w:rsidRDefault="00DB009D">
      <w:pPr>
        <w:pStyle w:val="Lijstalinea"/>
        <w:numPr>
          <w:ilvl w:val="1"/>
          <w:numId w:val="1"/>
        </w:numPr>
        <w:rPr>
          <w:szCs w:val="18"/>
        </w:rPr>
      </w:pPr>
      <w:r>
        <w:rPr>
          <w:szCs w:val="17"/>
        </w:rPr>
        <w:t xml:space="preserve">wetgevend voorstel voor </w:t>
      </w:r>
      <w:r w:rsidR="00FA6E24">
        <w:rPr>
          <w:szCs w:val="17"/>
        </w:rPr>
        <w:t xml:space="preserve">bindende nationale </w:t>
      </w:r>
      <w:r w:rsidRPr="00D33E8D" w:rsidR="00B41C89">
        <w:rPr>
          <w:szCs w:val="17"/>
        </w:rPr>
        <w:t>emissie</w:t>
      </w:r>
      <w:r w:rsidR="005757DE">
        <w:rPr>
          <w:szCs w:val="17"/>
        </w:rPr>
        <w:t>reductie</w:t>
      </w:r>
      <w:r w:rsidR="00FA6E24">
        <w:rPr>
          <w:szCs w:val="17"/>
        </w:rPr>
        <w:t xml:space="preserve">percentages voor de periode 2021-2030 </w:t>
      </w:r>
      <w:r w:rsidRPr="00D33E8D" w:rsidR="00B41C89">
        <w:rPr>
          <w:szCs w:val="17"/>
        </w:rPr>
        <w:t xml:space="preserve">voor sectoren </w:t>
      </w:r>
      <w:r w:rsidR="005757DE">
        <w:rPr>
          <w:szCs w:val="17"/>
        </w:rPr>
        <w:t>die buiten het</w:t>
      </w:r>
      <w:r w:rsidR="00FA6E24">
        <w:rPr>
          <w:szCs w:val="17"/>
        </w:rPr>
        <w:t xml:space="preserve"> </w:t>
      </w:r>
      <w:r w:rsidR="004E5CB2">
        <w:rPr>
          <w:szCs w:val="17"/>
        </w:rPr>
        <w:t>EU-</w:t>
      </w:r>
      <w:r w:rsidR="00FA6E24">
        <w:rPr>
          <w:szCs w:val="17"/>
        </w:rPr>
        <w:t>emissiehandelssysteem vallen;</w:t>
      </w:r>
      <w:r w:rsidR="00B24EFA">
        <w:rPr>
          <w:szCs w:val="17"/>
        </w:rPr>
        <w:t xml:space="preserve"> </w:t>
      </w:r>
    </w:p>
    <w:p w:rsidRPr="00B24EFA" w:rsidR="00B24EFA" w:rsidP="00B41C89" w:rsidRDefault="00DB009D">
      <w:pPr>
        <w:pStyle w:val="Lijstalinea"/>
        <w:numPr>
          <w:ilvl w:val="1"/>
          <w:numId w:val="1"/>
        </w:numPr>
        <w:rPr>
          <w:szCs w:val="18"/>
        </w:rPr>
      </w:pPr>
      <w:r>
        <w:rPr>
          <w:szCs w:val="17"/>
        </w:rPr>
        <w:t xml:space="preserve">wetgevend voorstel voor de </w:t>
      </w:r>
      <w:r w:rsidR="00B24EFA">
        <w:rPr>
          <w:szCs w:val="17"/>
        </w:rPr>
        <w:t>integratie van land</w:t>
      </w:r>
      <w:r w:rsidR="001121CD">
        <w:rPr>
          <w:szCs w:val="17"/>
        </w:rPr>
        <w:t>gebruik en bos</w:t>
      </w:r>
      <w:r w:rsidR="00B24EFA">
        <w:rPr>
          <w:szCs w:val="17"/>
        </w:rPr>
        <w:t>bouw</w:t>
      </w:r>
      <w:r w:rsidR="001121CD">
        <w:rPr>
          <w:szCs w:val="17"/>
        </w:rPr>
        <w:t xml:space="preserve"> </w:t>
      </w:r>
      <w:r w:rsidR="00B24EFA">
        <w:rPr>
          <w:szCs w:val="17"/>
        </w:rPr>
        <w:t>in klimaatbeleid</w:t>
      </w:r>
      <w:r w:rsidR="00FA6E24">
        <w:rPr>
          <w:szCs w:val="17"/>
        </w:rPr>
        <w:t>;</w:t>
      </w:r>
      <w:r w:rsidR="00B24EFA">
        <w:rPr>
          <w:szCs w:val="17"/>
        </w:rPr>
        <w:t xml:space="preserve"> </w:t>
      </w:r>
    </w:p>
    <w:p w:rsidR="004D7E23" w:rsidP="00B41C89" w:rsidRDefault="00DB009D">
      <w:pPr>
        <w:pStyle w:val="Lijstalinea"/>
        <w:numPr>
          <w:ilvl w:val="1"/>
          <w:numId w:val="1"/>
        </w:numPr>
        <w:rPr>
          <w:szCs w:val="18"/>
        </w:rPr>
      </w:pPr>
      <w:r>
        <w:rPr>
          <w:szCs w:val="17"/>
        </w:rPr>
        <w:t xml:space="preserve">niet-wetgevende </w:t>
      </w:r>
      <w:r w:rsidR="001004D0">
        <w:rPr>
          <w:szCs w:val="17"/>
        </w:rPr>
        <w:t>EU</w:t>
      </w:r>
      <w:r w:rsidR="00373DC8">
        <w:rPr>
          <w:szCs w:val="17"/>
        </w:rPr>
        <w:t>-s</w:t>
      </w:r>
      <w:r w:rsidR="009152E9">
        <w:rPr>
          <w:szCs w:val="17"/>
        </w:rPr>
        <w:t xml:space="preserve">trategie </w:t>
      </w:r>
      <w:r w:rsidR="00B24EFA">
        <w:rPr>
          <w:szCs w:val="17"/>
        </w:rPr>
        <w:t>emissiearm tran</w:t>
      </w:r>
      <w:r w:rsidR="00373DC8">
        <w:rPr>
          <w:szCs w:val="17"/>
        </w:rPr>
        <w:t>s</w:t>
      </w:r>
      <w:r w:rsidR="00B24EFA">
        <w:rPr>
          <w:szCs w:val="17"/>
        </w:rPr>
        <w:t>port</w:t>
      </w:r>
      <w:r w:rsidR="00FA6E24">
        <w:rPr>
          <w:szCs w:val="17"/>
        </w:rPr>
        <w:t>.</w:t>
      </w:r>
    </w:p>
    <w:p w:rsidRPr="004D7E23" w:rsidR="004C518F" w:rsidP="00993C3B" w:rsidRDefault="004C518F">
      <w:pPr>
        <w:pStyle w:val="Lijstalinea"/>
        <w:numPr>
          <w:ilvl w:val="0"/>
          <w:numId w:val="1"/>
        </w:numPr>
        <w:rPr>
          <w:szCs w:val="18"/>
        </w:rPr>
      </w:pPr>
      <w:r w:rsidRPr="004D7E23">
        <w:rPr>
          <w:szCs w:val="18"/>
        </w:rPr>
        <w:t xml:space="preserve">Het pakket </w:t>
      </w:r>
      <w:r w:rsidR="00E81470">
        <w:rPr>
          <w:szCs w:val="18"/>
        </w:rPr>
        <w:t xml:space="preserve">is </w:t>
      </w:r>
      <w:r w:rsidR="00727FD0">
        <w:rPr>
          <w:szCs w:val="18"/>
        </w:rPr>
        <w:t>onderdeel van de EU</w:t>
      </w:r>
      <w:r w:rsidR="00373DC8">
        <w:rPr>
          <w:szCs w:val="18"/>
        </w:rPr>
        <w:t>-</w:t>
      </w:r>
      <w:r w:rsidR="00727FD0">
        <w:rPr>
          <w:szCs w:val="18"/>
        </w:rPr>
        <w:t xml:space="preserve">Kaderstrategie Energie-Unie uit 2015 en is </w:t>
      </w:r>
      <w:r w:rsidRPr="004D7E23">
        <w:rPr>
          <w:szCs w:val="18"/>
        </w:rPr>
        <w:t xml:space="preserve">door de </w:t>
      </w:r>
      <w:r w:rsidR="00AD7061">
        <w:rPr>
          <w:szCs w:val="18"/>
        </w:rPr>
        <w:t xml:space="preserve">vaste commissie voor Infrastructuur en Milieu (I&amp;M) </w:t>
      </w:r>
      <w:r w:rsidRPr="004D7E23">
        <w:rPr>
          <w:szCs w:val="18"/>
        </w:rPr>
        <w:t>als prioritair EU-voorstel aangemerkt</w:t>
      </w:r>
      <w:r w:rsidR="00727FD0">
        <w:rPr>
          <w:szCs w:val="18"/>
        </w:rPr>
        <w:t xml:space="preserve">. </w:t>
      </w:r>
    </w:p>
    <w:p w:rsidR="00E201FA" w:rsidP="00993C3B" w:rsidRDefault="00E201FA">
      <w:pPr>
        <w:pStyle w:val="Lijstalinea"/>
        <w:numPr>
          <w:ilvl w:val="0"/>
          <w:numId w:val="1"/>
        </w:numPr>
        <w:rPr>
          <w:szCs w:val="18"/>
        </w:rPr>
      </w:pPr>
      <w:r w:rsidRPr="00B450F3">
        <w:rPr>
          <w:szCs w:val="18"/>
        </w:rPr>
        <w:t xml:space="preserve">De commissie I&amp;M heeft op voorstel van de co-rapporteurs </w:t>
      </w:r>
      <w:r w:rsidR="00D52CA0">
        <w:rPr>
          <w:szCs w:val="18"/>
        </w:rPr>
        <w:t xml:space="preserve">Energie-Unie </w:t>
      </w:r>
      <w:r>
        <w:rPr>
          <w:szCs w:val="18"/>
        </w:rPr>
        <w:t xml:space="preserve">reeds </w:t>
      </w:r>
      <w:r w:rsidRPr="00B450F3">
        <w:rPr>
          <w:szCs w:val="18"/>
        </w:rPr>
        <w:t xml:space="preserve">besloten tot het </w:t>
      </w:r>
      <w:r>
        <w:rPr>
          <w:szCs w:val="18"/>
        </w:rPr>
        <w:t xml:space="preserve">organiseren </w:t>
      </w:r>
      <w:r w:rsidRPr="00B450F3">
        <w:rPr>
          <w:szCs w:val="18"/>
        </w:rPr>
        <w:t>van een technische briefing</w:t>
      </w:r>
      <w:r>
        <w:rPr>
          <w:szCs w:val="18"/>
        </w:rPr>
        <w:t xml:space="preserve"> en een werkbezoek van de co-rapporteurs aan Brussel na het zomerreces.</w:t>
      </w:r>
    </w:p>
    <w:p w:rsidR="00BE0861" w:rsidP="00993C3B" w:rsidRDefault="00012151">
      <w:pPr>
        <w:pStyle w:val="Lijstalinea"/>
        <w:numPr>
          <w:ilvl w:val="0"/>
          <w:numId w:val="1"/>
        </w:numPr>
        <w:rPr>
          <w:szCs w:val="18"/>
        </w:rPr>
      </w:pPr>
      <w:r w:rsidRPr="005A4DE9">
        <w:rPr>
          <w:szCs w:val="18"/>
        </w:rPr>
        <w:t xml:space="preserve">In het kader van </w:t>
      </w:r>
      <w:r w:rsidR="007242F1">
        <w:rPr>
          <w:szCs w:val="18"/>
        </w:rPr>
        <w:t xml:space="preserve">hun </w:t>
      </w:r>
      <w:r w:rsidRPr="005A4DE9" w:rsidR="00BE0861">
        <w:rPr>
          <w:szCs w:val="18"/>
        </w:rPr>
        <w:t>co-</w:t>
      </w:r>
      <w:r w:rsidRPr="005A4DE9">
        <w:rPr>
          <w:szCs w:val="18"/>
        </w:rPr>
        <w:t xml:space="preserve">rapporteurschap Energie-Unie voor de </w:t>
      </w:r>
      <w:r w:rsidRPr="005A4DE9" w:rsidR="002D1612">
        <w:rPr>
          <w:szCs w:val="18"/>
        </w:rPr>
        <w:t xml:space="preserve">vaste commissie voor </w:t>
      </w:r>
      <w:r w:rsidRPr="005A4DE9" w:rsidR="00AD7061">
        <w:rPr>
          <w:szCs w:val="18"/>
        </w:rPr>
        <w:t>I&amp;M</w:t>
      </w:r>
      <w:r w:rsidR="00AD7061">
        <w:rPr>
          <w:szCs w:val="18"/>
        </w:rPr>
        <w:t xml:space="preserve"> </w:t>
      </w:r>
      <w:r w:rsidRPr="005A4DE9" w:rsidR="002D1612">
        <w:rPr>
          <w:szCs w:val="18"/>
        </w:rPr>
        <w:t xml:space="preserve">en de vaste commissie voor </w:t>
      </w:r>
      <w:r w:rsidRPr="005A4DE9" w:rsidR="00AD7061">
        <w:rPr>
          <w:szCs w:val="18"/>
        </w:rPr>
        <w:t xml:space="preserve">Economische Zaken (EZ) </w:t>
      </w:r>
      <w:r w:rsidR="00010DFA">
        <w:rPr>
          <w:szCs w:val="18"/>
        </w:rPr>
        <w:t xml:space="preserve">doen </w:t>
      </w:r>
      <w:r w:rsidR="007242F1">
        <w:rPr>
          <w:szCs w:val="18"/>
        </w:rPr>
        <w:t xml:space="preserve">de Leden Dijkstra en Van Veldhoven u </w:t>
      </w:r>
      <w:r w:rsidR="00010DFA">
        <w:rPr>
          <w:szCs w:val="18"/>
        </w:rPr>
        <w:t xml:space="preserve">hierbij een </w:t>
      </w:r>
      <w:r w:rsidR="00754685">
        <w:rPr>
          <w:szCs w:val="18"/>
        </w:rPr>
        <w:t xml:space="preserve">aanvullend </w:t>
      </w:r>
      <w:r w:rsidR="00010DFA">
        <w:rPr>
          <w:szCs w:val="18"/>
        </w:rPr>
        <w:t xml:space="preserve">behandelvoorstel voor </w:t>
      </w:r>
      <w:r w:rsidR="00AD7061">
        <w:rPr>
          <w:szCs w:val="18"/>
        </w:rPr>
        <w:t xml:space="preserve">het nieuwe klimaatpakket, </w:t>
      </w:r>
      <w:r w:rsidR="0033207F">
        <w:rPr>
          <w:szCs w:val="18"/>
        </w:rPr>
        <w:t>namelijk het plaatsen van een behandelvoorbehoud</w:t>
      </w:r>
      <w:r w:rsidR="00010DFA">
        <w:rPr>
          <w:szCs w:val="18"/>
        </w:rPr>
        <w:t xml:space="preserve">. </w:t>
      </w:r>
    </w:p>
    <w:p w:rsidR="00236661" w:rsidP="00993C3B" w:rsidRDefault="00236661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 xml:space="preserve">Uw commissie had </w:t>
      </w:r>
      <w:r w:rsidR="007562B1">
        <w:rPr>
          <w:szCs w:val="18"/>
        </w:rPr>
        <w:t xml:space="preserve">eind 2015 </w:t>
      </w:r>
      <w:r>
        <w:rPr>
          <w:szCs w:val="18"/>
        </w:rPr>
        <w:t xml:space="preserve">al het voornemen aangegeven om </w:t>
      </w:r>
      <w:r w:rsidR="007562B1">
        <w:rPr>
          <w:szCs w:val="18"/>
        </w:rPr>
        <w:t xml:space="preserve">na publicatie van het pakket een behandelvoorbehoud te plaatsen. </w:t>
      </w:r>
      <w:r>
        <w:rPr>
          <w:szCs w:val="18"/>
        </w:rPr>
        <w:t xml:space="preserve"> </w:t>
      </w:r>
    </w:p>
    <w:p w:rsidRPr="005A4DE9" w:rsidR="00955BBA" w:rsidP="00993C3B" w:rsidRDefault="00955BBA">
      <w:pPr>
        <w:rPr>
          <w:szCs w:val="18"/>
        </w:rPr>
      </w:pPr>
    </w:p>
    <w:p w:rsidR="00955BBA" w:rsidP="00993C3B" w:rsidRDefault="00955BBA">
      <w:pPr>
        <w:rPr>
          <w:b/>
          <w:szCs w:val="18"/>
        </w:rPr>
      </w:pPr>
      <w:r w:rsidRPr="005A4DE9">
        <w:rPr>
          <w:b/>
          <w:szCs w:val="18"/>
        </w:rPr>
        <w:t>Advies</w:t>
      </w:r>
    </w:p>
    <w:p w:rsidRPr="00510B7F" w:rsidR="00510B7F" w:rsidP="00510B7F" w:rsidRDefault="00827435">
      <w:pPr>
        <w:rPr>
          <w:szCs w:val="18"/>
        </w:rPr>
      </w:pPr>
      <w:r w:rsidRPr="00827435">
        <w:rPr>
          <w:szCs w:val="18"/>
        </w:rPr>
        <w:t>U wordt in overweging gegeven om:</w:t>
      </w:r>
    </w:p>
    <w:p w:rsidR="003279F0" w:rsidP="0075000D" w:rsidRDefault="008603B6">
      <w:pPr>
        <w:pStyle w:val="Lijstalinea"/>
        <w:numPr>
          <w:ilvl w:val="0"/>
          <w:numId w:val="29"/>
        </w:numPr>
        <w:rPr>
          <w:szCs w:val="18"/>
        </w:rPr>
      </w:pPr>
      <w:r>
        <w:rPr>
          <w:szCs w:val="18"/>
        </w:rPr>
        <w:t>E</w:t>
      </w:r>
      <w:r w:rsidRPr="0075000D" w:rsidR="007242F1">
        <w:rPr>
          <w:szCs w:val="18"/>
        </w:rPr>
        <w:t xml:space="preserve">en behandelvoorbehoud </w:t>
      </w:r>
      <w:r w:rsidR="00474FC4">
        <w:rPr>
          <w:rStyle w:val="Voetnootmarkering"/>
          <w:szCs w:val="18"/>
        </w:rPr>
        <w:footnoteReference w:id="1"/>
      </w:r>
      <w:r w:rsidR="00474FC4">
        <w:rPr>
          <w:szCs w:val="18"/>
        </w:rPr>
        <w:t xml:space="preserve"> </w:t>
      </w:r>
      <w:r w:rsidRPr="0075000D" w:rsidR="007242F1">
        <w:rPr>
          <w:szCs w:val="18"/>
        </w:rPr>
        <w:t>te plaatsen</w:t>
      </w:r>
      <w:r w:rsidRPr="0075000D" w:rsidR="00827435">
        <w:rPr>
          <w:szCs w:val="18"/>
        </w:rPr>
        <w:t xml:space="preserve"> </w:t>
      </w:r>
      <w:r w:rsidR="003279F0">
        <w:rPr>
          <w:szCs w:val="18"/>
        </w:rPr>
        <w:t>bij de twee wetgevende voorstellen uit het EU-klimaatpakket, namelijk:</w:t>
      </w:r>
    </w:p>
    <w:p w:rsidRPr="00B24EFA" w:rsidR="003279F0" w:rsidP="003279F0" w:rsidRDefault="003279F0">
      <w:pPr>
        <w:pStyle w:val="Lijstalinea"/>
        <w:numPr>
          <w:ilvl w:val="1"/>
          <w:numId w:val="29"/>
        </w:numPr>
        <w:rPr>
          <w:szCs w:val="18"/>
        </w:rPr>
      </w:pPr>
      <w:r>
        <w:rPr>
          <w:szCs w:val="17"/>
        </w:rPr>
        <w:lastRenderedPageBreak/>
        <w:t xml:space="preserve">wetgevend voorstel voor bindende nationale </w:t>
      </w:r>
      <w:r w:rsidRPr="00D33E8D">
        <w:rPr>
          <w:szCs w:val="17"/>
        </w:rPr>
        <w:t>emissie</w:t>
      </w:r>
      <w:r>
        <w:rPr>
          <w:szCs w:val="17"/>
        </w:rPr>
        <w:t xml:space="preserve">reductiepercentages voor de periode 2021-2030 </w:t>
      </w:r>
      <w:r w:rsidRPr="00D33E8D">
        <w:rPr>
          <w:szCs w:val="17"/>
        </w:rPr>
        <w:t xml:space="preserve">voor sectoren </w:t>
      </w:r>
      <w:r>
        <w:rPr>
          <w:szCs w:val="17"/>
        </w:rPr>
        <w:t xml:space="preserve">die buiten het EU-emissiehandelssysteem vallen; </w:t>
      </w:r>
    </w:p>
    <w:p w:rsidRPr="00B24EFA" w:rsidR="003279F0" w:rsidP="003279F0" w:rsidRDefault="003279F0">
      <w:pPr>
        <w:pStyle w:val="Lijstalinea"/>
        <w:numPr>
          <w:ilvl w:val="1"/>
          <w:numId w:val="29"/>
        </w:numPr>
        <w:rPr>
          <w:szCs w:val="18"/>
        </w:rPr>
      </w:pPr>
      <w:r>
        <w:rPr>
          <w:szCs w:val="17"/>
        </w:rPr>
        <w:t xml:space="preserve">wetgevend voorstel voor de integratie van landgebruik en bosbouw in klimaatbeleid; </w:t>
      </w:r>
    </w:p>
    <w:p w:rsidRPr="0075000D" w:rsidR="00827435" w:rsidP="0075000D" w:rsidRDefault="003279F0">
      <w:pPr>
        <w:pStyle w:val="Lijstalinea"/>
        <w:numPr>
          <w:ilvl w:val="0"/>
          <w:numId w:val="29"/>
        </w:numPr>
        <w:rPr>
          <w:szCs w:val="18"/>
        </w:rPr>
      </w:pPr>
      <w:r>
        <w:rPr>
          <w:szCs w:val="18"/>
        </w:rPr>
        <w:t xml:space="preserve">Het </w:t>
      </w:r>
      <w:r w:rsidRPr="0075000D" w:rsidR="00827435">
        <w:rPr>
          <w:szCs w:val="18"/>
        </w:rPr>
        <w:t xml:space="preserve">ministerie van I&amp;M hierover te informeren;  </w:t>
      </w:r>
    </w:p>
    <w:p w:rsidRPr="0075000D" w:rsidR="0033207F" w:rsidP="0075000D" w:rsidRDefault="00B93F0D">
      <w:pPr>
        <w:pStyle w:val="Lijstalinea"/>
        <w:numPr>
          <w:ilvl w:val="0"/>
          <w:numId w:val="29"/>
        </w:numPr>
        <w:rPr>
          <w:szCs w:val="18"/>
        </w:rPr>
      </w:pPr>
      <w:r w:rsidRPr="0075000D">
        <w:rPr>
          <w:szCs w:val="18"/>
        </w:rPr>
        <w:t xml:space="preserve">Het reeds ingeplande AO Milieuraad d.d. 11 oktober 2016 met </w:t>
      </w:r>
      <w:r w:rsidR="0075000D">
        <w:rPr>
          <w:szCs w:val="18"/>
        </w:rPr>
        <w:t xml:space="preserve">één </w:t>
      </w:r>
      <w:r w:rsidRPr="0075000D">
        <w:rPr>
          <w:szCs w:val="18"/>
        </w:rPr>
        <w:t xml:space="preserve">uur te verlengen en dat uur te gebruiken om de Nederlandse inzet in de Brusselse onderhandelingen over het klimaatpakket met staatssecretaris Dijksma van I&amp;M te bespreken en desgewenst aanvullende informatieafspraken met haar te maken over de informatievoorziening </w:t>
      </w:r>
      <w:r w:rsidR="0075000D">
        <w:rPr>
          <w:szCs w:val="18"/>
        </w:rPr>
        <w:t xml:space="preserve">van het kabinet </w:t>
      </w:r>
      <w:r w:rsidRPr="0075000D">
        <w:rPr>
          <w:szCs w:val="18"/>
        </w:rPr>
        <w:t xml:space="preserve">aan de Kamer over cruciale momenten in het verdere onderhandelingstraject. </w:t>
      </w:r>
      <w:r w:rsidRPr="0075000D" w:rsidR="0033207F">
        <w:rPr>
          <w:szCs w:val="18"/>
        </w:rPr>
        <w:t xml:space="preserve"> </w:t>
      </w:r>
    </w:p>
    <w:p w:rsidR="000D00AD" w:rsidP="003E0C91" w:rsidRDefault="000D00AD">
      <w:pPr>
        <w:rPr>
          <w:szCs w:val="17"/>
        </w:rPr>
      </w:pPr>
    </w:p>
    <w:p w:rsidRPr="007E5054" w:rsidR="007E5054" w:rsidP="003E0C91" w:rsidRDefault="007E5054">
      <w:pPr>
        <w:rPr>
          <w:b/>
          <w:szCs w:val="17"/>
        </w:rPr>
      </w:pPr>
      <w:r w:rsidRPr="007E5054">
        <w:rPr>
          <w:b/>
          <w:szCs w:val="17"/>
        </w:rPr>
        <w:t>Toelichting</w:t>
      </w:r>
    </w:p>
    <w:p w:rsidR="00E62B8E" w:rsidP="003E0C91" w:rsidRDefault="00E62B8E">
      <w:pPr>
        <w:rPr>
          <w:szCs w:val="17"/>
        </w:rPr>
      </w:pPr>
    </w:p>
    <w:p w:rsidRPr="007E5054" w:rsidR="00E62B8E" w:rsidP="00E62B8E" w:rsidRDefault="00E62B8E">
      <w:pPr>
        <w:rPr>
          <w:b/>
          <w:i/>
          <w:szCs w:val="17"/>
        </w:rPr>
      </w:pPr>
      <w:r w:rsidRPr="007E5054">
        <w:rPr>
          <w:b/>
          <w:i/>
          <w:szCs w:val="17"/>
        </w:rPr>
        <w:t>Achtergrondinformatie klimaatpakket</w:t>
      </w:r>
    </w:p>
    <w:p w:rsidR="00E62B8E" w:rsidP="003E0C91" w:rsidRDefault="00BB269B">
      <w:pPr>
        <w:rPr>
          <w:szCs w:val="17"/>
        </w:rPr>
      </w:pPr>
      <w:r>
        <w:rPr>
          <w:szCs w:val="17"/>
        </w:rPr>
        <w:t xml:space="preserve">Op 20 juli </w:t>
      </w:r>
      <w:r w:rsidR="00E35819">
        <w:rPr>
          <w:szCs w:val="17"/>
        </w:rPr>
        <w:t>2016 heeft de EC een klimaatpakket uitgebracht gericht op het terugdringen van de uitstoot van broeikasgassen door de sectoren die buiten het EU</w:t>
      </w:r>
      <w:r w:rsidR="004E5CB2">
        <w:rPr>
          <w:szCs w:val="17"/>
        </w:rPr>
        <w:t>-</w:t>
      </w:r>
      <w:r w:rsidR="00E35819">
        <w:rPr>
          <w:szCs w:val="17"/>
        </w:rPr>
        <w:t xml:space="preserve"> emissiehandelssysteem </w:t>
      </w:r>
      <w:r w:rsidR="004E5CB2">
        <w:rPr>
          <w:szCs w:val="17"/>
        </w:rPr>
        <w:t xml:space="preserve">(ETS) </w:t>
      </w:r>
      <w:r w:rsidR="00E35819">
        <w:rPr>
          <w:szCs w:val="17"/>
        </w:rPr>
        <w:t xml:space="preserve">vallen. </w:t>
      </w:r>
    </w:p>
    <w:p w:rsidR="00E35819" w:rsidP="003E0C91" w:rsidRDefault="00E35819">
      <w:pPr>
        <w:rPr>
          <w:szCs w:val="17"/>
        </w:rPr>
      </w:pPr>
    </w:p>
    <w:p w:rsidR="00304EFC" w:rsidP="003E0C91" w:rsidRDefault="00304EFC">
      <w:pPr>
        <w:rPr>
          <w:szCs w:val="17"/>
        </w:rPr>
      </w:pPr>
      <w:r>
        <w:rPr>
          <w:szCs w:val="17"/>
        </w:rPr>
        <w:t xml:space="preserve">Het pakket bestaat uit de volgende </w:t>
      </w:r>
      <w:r w:rsidR="00B13889">
        <w:rPr>
          <w:szCs w:val="17"/>
        </w:rPr>
        <w:t xml:space="preserve">vier </w:t>
      </w:r>
      <w:r>
        <w:rPr>
          <w:szCs w:val="17"/>
        </w:rPr>
        <w:t>onderdelen:</w:t>
      </w:r>
    </w:p>
    <w:p w:rsidR="00304EFC" w:rsidP="00304EFC" w:rsidRDefault="0077592E">
      <w:pPr>
        <w:pStyle w:val="Lijstalinea"/>
        <w:numPr>
          <w:ilvl w:val="0"/>
          <w:numId w:val="31"/>
        </w:numPr>
        <w:rPr>
          <w:szCs w:val="17"/>
        </w:rPr>
      </w:pPr>
      <w:hyperlink w:history="1" r:id="rId11">
        <w:r w:rsidRPr="0059382C" w:rsidR="00304EFC">
          <w:rPr>
            <w:rStyle w:val="Hyperlink"/>
            <w:szCs w:val="17"/>
          </w:rPr>
          <w:t xml:space="preserve">Niet-wetgevend: </w:t>
        </w:r>
        <w:r w:rsidRPr="0059382C" w:rsidR="00E35819">
          <w:rPr>
            <w:rStyle w:val="Hyperlink"/>
            <w:szCs w:val="17"/>
          </w:rPr>
          <w:t xml:space="preserve">overkoepelende </w:t>
        </w:r>
        <w:r w:rsidRPr="0059382C" w:rsidR="00590CAF">
          <w:rPr>
            <w:rStyle w:val="Hyperlink"/>
          </w:rPr>
          <w:t>Mededeling versnellen EU</w:t>
        </w:r>
        <w:r w:rsidRPr="0059382C" w:rsidR="00373DC8">
          <w:rPr>
            <w:rStyle w:val="Hyperlink"/>
          </w:rPr>
          <w:t>-</w:t>
        </w:r>
        <w:r w:rsidRPr="0059382C" w:rsidR="00590CAF">
          <w:rPr>
            <w:rStyle w:val="Hyperlink"/>
          </w:rPr>
          <w:t>transitie koolstofarme economie COM(2016) 500</w:t>
        </w:r>
      </w:hyperlink>
      <w:r w:rsidR="00177D78">
        <w:t xml:space="preserve"> </w:t>
      </w:r>
    </w:p>
    <w:p w:rsidR="00304EFC" w:rsidP="00304EFC" w:rsidRDefault="0077592E">
      <w:pPr>
        <w:pStyle w:val="Lijstalinea"/>
        <w:numPr>
          <w:ilvl w:val="0"/>
          <w:numId w:val="31"/>
        </w:numPr>
        <w:rPr>
          <w:szCs w:val="17"/>
        </w:rPr>
      </w:pPr>
      <w:hyperlink w:history="1" r:id="rId12">
        <w:r w:rsidRPr="0059382C" w:rsidR="00304EFC">
          <w:rPr>
            <w:rStyle w:val="Hyperlink"/>
            <w:szCs w:val="17"/>
          </w:rPr>
          <w:t>Wetgevend:</w:t>
        </w:r>
        <w:r w:rsidRPr="0059382C" w:rsidR="00590CAF">
          <w:rPr>
            <w:rStyle w:val="Hyperlink"/>
          </w:rPr>
          <w:t xml:space="preserve"> Verordening bindende nationale reductiepercentages broeikasgassen 2021-2030 COM (2016) 482</w:t>
        </w:r>
      </w:hyperlink>
      <w:r w:rsidR="00E35819">
        <w:t xml:space="preserve"> </w:t>
      </w:r>
      <w:r w:rsidR="005C7605">
        <w:t>(</w:t>
      </w:r>
      <w:r w:rsidR="00ED1D50">
        <w:t xml:space="preserve">inclusief met bijlage </w:t>
      </w:r>
      <w:r w:rsidR="005C7605">
        <w:t>met de voorgestelde percentages per Lidstaat)</w:t>
      </w:r>
    </w:p>
    <w:p w:rsidR="00304EFC" w:rsidP="00304EFC" w:rsidRDefault="0077592E">
      <w:pPr>
        <w:pStyle w:val="Lijstalinea"/>
        <w:numPr>
          <w:ilvl w:val="0"/>
          <w:numId w:val="31"/>
        </w:numPr>
        <w:rPr>
          <w:szCs w:val="17"/>
        </w:rPr>
      </w:pPr>
      <w:hyperlink w:history="1" r:id="rId13">
        <w:r w:rsidRPr="0059382C" w:rsidR="00304EFC">
          <w:rPr>
            <w:rStyle w:val="Hyperlink"/>
            <w:szCs w:val="17"/>
          </w:rPr>
          <w:t>Wetgevend:</w:t>
        </w:r>
        <w:r w:rsidRPr="0059382C" w:rsidR="00590CAF">
          <w:rPr>
            <w:rStyle w:val="Hyperlink"/>
          </w:rPr>
          <w:t xml:space="preserve"> Verordening integratie LULUCF COM(2016) 479</w:t>
        </w:r>
      </w:hyperlink>
    </w:p>
    <w:p w:rsidRPr="00304EFC" w:rsidR="00304EFC" w:rsidP="00304EFC" w:rsidRDefault="0077592E">
      <w:pPr>
        <w:pStyle w:val="Lijstalinea"/>
        <w:numPr>
          <w:ilvl w:val="0"/>
          <w:numId w:val="31"/>
        </w:numPr>
        <w:rPr>
          <w:szCs w:val="17"/>
        </w:rPr>
      </w:pPr>
      <w:hyperlink w:history="1" r:id="rId14">
        <w:r w:rsidRPr="0059382C" w:rsidR="00304EFC">
          <w:rPr>
            <w:rStyle w:val="Hyperlink"/>
            <w:szCs w:val="17"/>
          </w:rPr>
          <w:t>Niet-wetgevend</w:t>
        </w:r>
        <w:r w:rsidRPr="0059382C" w:rsidR="00590CAF">
          <w:rPr>
            <w:rStyle w:val="Hyperlink"/>
            <w:szCs w:val="17"/>
          </w:rPr>
          <w:t>:</w:t>
        </w:r>
        <w:r w:rsidRPr="0059382C" w:rsidR="00590CAF">
          <w:rPr>
            <w:rStyle w:val="Hyperlink"/>
          </w:rPr>
          <w:t xml:space="preserve"> </w:t>
        </w:r>
        <w:r w:rsidRPr="0059382C" w:rsidR="00373DC8">
          <w:rPr>
            <w:rStyle w:val="Hyperlink"/>
          </w:rPr>
          <w:t>Mededeling EU-</w:t>
        </w:r>
        <w:r w:rsidRPr="0059382C" w:rsidR="00590CAF">
          <w:rPr>
            <w:rStyle w:val="Hyperlink"/>
          </w:rPr>
          <w:t>strategie emissiearm transport COM(2016) 501</w:t>
        </w:r>
      </w:hyperlink>
    </w:p>
    <w:p w:rsidR="002F3765" w:rsidP="00BB269B" w:rsidRDefault="002F3765">
      <w:pPr>
        <w:spacing w:line="284" w:lineRule="exact"/>
        <w:rPr>
          <w:b/>
          <w:i/>
          <w:szCs w:val="18"/>
        </w:rPr>
      </w:pPr>
    </w:p>
    <w:p w:rsidR="004378A0" w:rsidP="00BB269B" w:rsidRDefault="000F5447">
      <w:pPr>
        <w:spacing w:line="284" w:lineRule="exact"/>
        <w:rPr>
          <w:szCs w:val="18"/>
        </w:rPr>
      </w:pPr>
      <w:r>
        <w:rPr>
          <w:szCs w:val="18"/>
        </w:rPr>
        <w:t xml:space="preserve">In haar toelichting schrijft de </w:t>
      </w:r>
      <w:r w:rsidR="00E35819">
        <w:rPr>
          <w:szCs w:val="18"/>
        </w:rPr>
        <w:t>E</w:t>
      </w:r>
      <w:r>
        <w:rPr>
          <w:szCs w:val="18"/>
        </w:rPr>
        <w:t>C d</w:t>
      </w:r>
      <w:r w:rsidR="00E35819">
        <w:rPr>
          <w:szCs w:val="18"/>
        </w:rPr>
        <w:t xml:space="preserve">at bij het vaststellen van de uiteenlopende </w:t>
      </w:r>
      <w:r w:rsidR="004378A0">
        <w:rPr>
          <w:szCs w:val="18"/>
        </w:rPr>
        <w:t xml:space="preserve">nationale </w:t>
      </w:r>
      <w:r w:rsidR="00E35819">
        <w:rPr>
          <w:szCs w:val="18"/>
        </w:rPr>
        <w:t xml:space="preserve">reductiepercentages </w:t>
      </w:r>
      <w:r w:rsidR="004378A0">
        <w:rPr>
          <w:szCs w:val="18"/>
        </w:rPr>
        <w:t xml:space="preserve">(voor 2030 t.o.v. 2005) </w:t>
      </w:r>
      <w:r w:rsidR="00E35819">
        <w:rPr>
          <w:szCs w:val="18"/>
        </w:rPr>
        <w:t xml:space="preserve">is gekeken naar het BNP van de verschillende Lidstaten. Vervolgens is bij de </w:t>
      </w:r>
      <w:r>
        <w:rPr>
          <w:szCs w:val="18"/>
        </w:rPr>
        <w:t xml:space="preserve">vaststelling van </w:t>
      </w:r>
      <w:r w:rsidR="00E35819">
        <w:rPr>
          <w:szCs w:val="18"/>
        </w:rPr>
        <w:t>de percentages o</w:t>
      </w:r>
      <w:r w:rsidR="00D1525C">
        <w:rPr>
          <w:szCs w:val="18"/>
        </w:rPr>
        <w:t xml:space="preserve">nder de rijkere landen ook rekening gehouden met kosteneffeciëntie. </w:t>
      </w:r>
      <w:r w:rsidR="004378A0">
        <w:rPr>
          <w:szCs w:val="18"/>
        </w:rPr>
        <w:t xml:space="preserve">Het voorstel komt voor Nederland neer op een </w:t>
      </w:r>
      <w:r>
        <w:rPr>
          <w:szCs w:val="18"/>
        </w:rPr>
        <w:t xml:space="preserve">vermindering van de  uitstoot door de non EU-ETS sectoren van </w:t>
      </w:r>
      <w:r w:rsidR="004378A0">
        <w:rPr>
          <w:szCs w:val="18"/>
        </w:rPr>
        <w:t xml:space="preserve"> 36% in 2013 t.o.v. 2005. Het overzicht van alle nationale reductiepercentages voor alle Lidstaten is terug te vinden in bijlage 1 bij deze notitie. </w:t>
      </w:r>
    </w:p>
    <w:p w:rsidR="008F24EB" w:rsidP="00BB269B" w:rsidRDefault="008F24EB">
      <w:pPr>
        <w:spacing w:line="284" w:lineRule="exact"/>
        <w:rPr>
          <w:szCs w:val="18"/>
        </w:rPr>
      </w:pPr>
    </w:p>
    <w:p w:rsidR="008F24EB" w:rsidP="00BB269B" w:rsidRDefault="008F24EB">
      <w:pPr>
        <w:spacing w:line="284" w:lineRule="exact"/>
        <w:rPr>
          <w:szCs w:val="18"/>
        </w:rPr>
      </w:pPr>
      <w:r>
        <w:rPr>
          <w:szCs w:val="18"/>
        </w:rPr>
        <w:t>Lidstaten mogen hun verplichte doelstelling ook halen door onderling emissierechten te verhandelen of door te invester</w:t>
      </w:r>
      <w:r w:rsidR="000F5447">
        <w:rPr>
          <w:szCs w:val="18"/>
        </w:rPr>
        <w:t xml:space="preserve">en </w:t>
      </w:r>
      <w:r>
        <w:rPr>
          <w:szCs w:val="18"/>
        </w:rPr>
        <w:t xml:space="preserve">in projecten in andere Lidstaten. </w:t>
      </w:r>
    </w:p>
    <w:p w:rsidR="008F24EB" w:rsidP="00BB269B" w:rsidRDefault="008F24EB">
      <w:pPr>
        <w:spacing w:line="284" w:lineRule="exact"/>
        <w:rPr>
          <w:szCs w:val="18"/>
        </w:rPr>
      </w:pPr>
    </w:p>
    <w:p w:rsidR="0062147F" w:rsidP="00BB269B" w:rsidRDefault="008F24EB">
      <w:pPr>
        <w:spacing w:line="284" w:lineRule="exact"/>
        <w:rPr>
          <w:szCs w:val="18"/>
        </w:rPr>
      </w:pPr>
      <w:r>
        <w:rPr>
          <w:szCs w:val="18"/>
        </w:rPr>
        <w:t>Voor het eerst wordt nu ook landgebruik, verandering in landgebruik en bosbouw in het EU-beleidskader voor energie en klimaat opgenomen. Het voorstel voor de zogeheten Verordening integratie LULUCF bevat hiervoor striktere boekhoudregels.</w:t>
      </w:r>
    </w:p>
    <w:p w:rsidR="0062147F" w:rsidP="00BB269B" w:rsidRDefault="0062147F">
      <w:pPr>
        <w:spacing w:line="284" w:lineRule="exact"/>
        <w:rPr>
          <w:szCs w:val="18"/>
        </w:rPr>
      </w:pPr>
    </w:p>
    <w:p w:rsidR="0062147F" w:rsidP="00BB269B" w:rsidRDefault="0062147F">
      <w:pPr>
        <w:spacing w:line="284" w:lineRule="exact"/>
        <w:rPr>
          <w:szCs w:val="18"/>
        </w:rPr>
      </w:pPr>
      <w:r>
        <w:rPr>
          <w:szCs w:val="18"/>
        </w:rPr>
        <w:t>De EU-strategie emissiearm transport richt zich op het stimuleren van emissiearme en emissieloze voertuigen en alternatieve koolstofarme brandstoffen.</w:t>
      </w:r>
    </w:p>
    <w:p w:rsidR="0062147F" w:rsidP="00BB269B" w:rsidRDefault="0062147F">
      <w:pPr>
        <w:spacing w:line="284" w:lineRule="exact"/>
        <w:rPr>
          <w:szCs w:val="18"/>
        </w:rPr>
      </w:pPr>
    </w:p>
    <w:p w:rsidR="008F24EB" w:rsidP="00BB269B" w:rsidRDefault="0062147F">
      <w:pPr>
        <w:spacing w:line="284" w:lineRule="exact"/>
        <w:rPr>
          <w:szCs w:val="18"/>
        </w:rPr>
      </w:pPr>
      <w:r>
        <w:rPr>
          <w:szCs w:val="18"/>
        </w:rPr>
        <w:t>Wat gebouwen betreft, volgen dit najaar nieuwe voorstellen voor energie-efficiëntie. Ook komt de EC dit jaar nog met een vrijwillig protocol voor het recyclen van bouw- en sloopafval.</w:t>
      </w:r>
      <w:r w:rsidR="008F24EB">
        <w:rPr>
          <w:szCs w:val="18"/>
        </w:rPr>
        <w:t xml:space="preserve"> </w:t>
      </w:r>
    </w:p>
    <w:p w:rsidRPr="00E35819" w:rsidR="00E35819" w:rsidP="00BB269B" w:rsidRDefault="00E35819">
      <w:pPr>
        <w:spacing w:line="284" w:lineRule="exact"/>
        <w:rPr>
          <w:szCs w:val="18"/>
        </w:rPr>
      </w:pPr>
      <w:r>
        <w:rPr>
          <w:szCs w:val="18"/>
        </w:rPr>
        <w:t xml:space="preserve">  </w:t>
      </w:r>
    </w:p>
    <w:p w:rsidR="002F3765" w:rsidP="00BB269B" w:rsidRDefault="00D1525C">
      <w:pPr>
        <w:spacing w:line="284" w:lineRule="exact"/>
        <w:rPr>
          <w:b/>
          <w:i/>
          <w:szCs w:val="18"/>
        </w:rPr>
      </w:pPr>
      <w:r>
        <w:rPr>
          <w:szCs w:val="18"/>
          <w:lang w:eastAsia="nl-NL"/>
        </w:rPr>
        <w:t xml:space="preserve">Voor </w:t>
      </w:r>
      <w:r w:rsidR="005B3897">
        <w:rPr>
          <w:szCs w:val="18"/>
          <w:lang w:eastAsia="nl-NL"/>
        </w:rPr>
        <w:t xml:space="preserve">meer informatie (inclusief factsheets) over </w:t>
      </w:r>
      <w:r>
        <w:rPr>
          <w:szCs w:val="18"/>
          <w:lang w:eastAsia="nl-NL"/>
        </w:rPr>
        <w:t xml:space="preserve">de voorstellen zie: </w:t>
      </w:r>
      <w:hyperlink w:history="1" r:id="rId15">
        <w:r w:rsidRPr="00C00C6C" w:rsidR="006F5340">
          <w:rPr>
            <w:rStyle w:val="Hyperlink"/>
            <w:szCs w:val="18"/>
            <w:lang w:eastAsia="nl-NL"/>
          </w:rPr>
          <w:t>http://europa.eu/rapid/press-release_IP-16-2545_en.htm</w:t>
        </w:r>
      </w:hyperlink>
    </w:p>
    <w:p w:rsidR="002F3765" w:rsidP="00BB269B" w:rsidRDefault="002F3765">
      <w:pPr>
        <w:spacing w:line="284" w:lineRule="exact"/>
        <w:rPr>
          <w:b/>
          <w:i/>
          <w:szCs w:val="18"/>
        </w:rPr>
      </w:pPr>
    </w:p>
    <w:p w:rsidRPr="002E6424" w:rsidR="00BB269B" w:rsidP="00BB269B" w:rsidRDefault="00BB269B">
      <w:pPr>
        <w:spacing w:line="284" w:lineRule="exact"/>
        <w:rPr>
          <w:b/>
          <w:i/>
          <w:szCs w:val="18"/>
        </w:rPr>
      </w:pPr>
      <w:r w:rsidRPr="002E6424">
        <w:rPr>
          <w:b/>
          <w:i/>
          <w:szCs w:val="18"/>
        </w:rPr>
        <w:t xml:space="preserve">Kabinetsstandpunt </w:t>
      </w:r>
    </w:p>
    <w:p w:rsidR="00E62B8E" w:rsidP="003E0C91" w:rsidRDefault="00BB269B">
      <w:pPr>
        <w:rPr>
          <w:szCs w:val="18"/>
        </w:rPr>
      </w:pPr>
      <w:r>
        <w:rPr>
          <w:szCs w:val="18"/>
        </w:rPr>
        <w:t xml:space="preserve">Omdat het klimaatpakket </w:t>
      </w:r>
      <w:r w:rsidR="000152C2">
        <w:rPr>
          <w:szCs w:val="18"/>
        </w:rPr>
        <w:t xml:space="preserve">eerder </w:t>
      </w:r>
      <w:r>
        <w:rPr>
          <w:szCs w:val="18"/>
        </w:rPr>
        <w:t xml:space="preserve">door de commissie I&amp;M als prioritair EU-voorstel is aangemerkt, geldt dat het BNC-fiche </w:t>
      </w:r>
      <w:r w:rsidRPr="002E6424">
        <w:rPr>
          <w:szCs w:val="18"/>
        </w:rPr>
        <w:t xml:space="preserve">met </w:t>
      </w:r>
      <w:r>
        <w:rPr>
          <w:szCs w:val="18"/>
        </w:rPr>
        <w:t xml:space="preserve">het kabinetsstandpunt versneld naar de Kamer wordt gezonden. Het BNC-fiche wordt in de tweede week van september verwacht. </w:t>
      </w:r>
    </w:p>
    <w:p w:rsidR="00BB269B" w:rsidP="003E0C91" w:rsidRDefault="00BB269B">
      <w:pPr>
        <w:rPr>
          <w:szCs w:val="17"/>
        </w:rPr>
      </w:pPr>
    </w:p>
    <w:p w:rsidR="007677C2" w:rsidP="003E0C91" w:rsidRDefault="007677C2">
      <w:pPr>
        <w:rPr>
          <w:b/>
          <w:i/>
          <w:szCs w:val="17"/>
        </w:rPr>
      </w:pPr>
      <w:r w:rsidRPr="007E5054">
        <w:rPr>
          <w:b/>
          <w:i/>
          <w:szCs w:val="17"/>
        </w:rPr>
        <w:t>Stand van zaken reeds besloten commissie-activiteiten</w:t>
      </w:r>
    </w:p>
    <w:p w:rsidRPr="007E5054" w:rsidR="00CB7965" w:rsidP="003E0C91" w:rsidRDefault="00CB7965">
      <w:pPr>
        <w:rPr>
          <w:b/>
          <w:i/>
          <w:szCs w:val="17"/>
        </w:rPr>
      </w:pPr>
    </w:p>
    <w:p w:rsidRPr="00BB269B" w:rsidR="001D05AB" w:rsidP="00BB269B" w:rsidRDefault="001D05AB">
      <w:pPr>
        <w:pStyle w:val="Lijstalinea"/>
        <w:numPr>
          <w:ilvl w:val="0"/>
          <w:numId w:val="30"/>
        </w:numPr>
        <w:rPr>
          <w:szCs w:val="17"/>
          <w:u w:val="single"/>
        </w:rPr>
      </w:pPr>
      <w:r w:rsidRPr="00BB269B">
        <w:rPr>
          <w:szCs w:val="17"/>
          <w:u w:val="single"/>
        </w:rPr>
        <w:t>Technische briefing</w:t>
      </w:r>
    </w:p>
    <w:p w:rsidR="00B450F3" w:rsidP="00B450F3" w:rsidRDefault="00B450F3">
      <w:pPr>
        <w:rPr>
          <w:szCs w:val="18"/>
        </w:rPr>
      </w:pPr>
      <w:r w:rsidRPr="00B450F3">
        <w:rPr>
          <w:szCs w:val="18"/>
        </w:rPr>
        <w:t xml:space="preserve">De commissie I&amp;M heeft eerder op voorstel van de co-rapporteurs besloten tot het houden van een technische briefing door ambtenaren van het ministerie van I&amp;M over </w:t>
      </w:r>
      <w:r w:rsidR="000152C2">
        <w:rPr>
          <w:szCs w:val="18"/>
        </w:rPr>
        <w:t xml:space="preserve">de laatste voorstellen </w:t>
      </w:r>
      <w:r w:rsidRPr="00B450F3">
        <w:rPr>
          <w:szCs w:val="18"/>
        </w:rPr>
        <w:t xml:space="preserve">waarbij ook de link met de voorstellen voor de versterking van het </w:t>
      </w:r>
      <w:r w:rsidR="000152C2">
        <w:rPr>
          <w:szCs w:val="18"/>
        </w:rPr>
        <w:t xml:space="preserve">EU-ETS </w:t>
      </w:r>
      <w:r w:rsidRPr="00B450F3">
        <w:rPr>
          <w:szCs w:val="18"/>
        </w:rPr>
        <w:t>aan de orde komt en een toelichting van de stand van zaken in de Brusselse onderhandelingen daarover. De technische briefing is gepland op 14 september 2016 10.00 – 12.00 uur.</w:t>
      </w:r>
    </w:p>
    <w:p w:rsidRPr="00B450F3" w:rsidR="00D172FE" w:rsidP="00B450F3" w:rsidRDefault="00D172FE">
      <w:pPr>
        <w:rPr>
          <w:szCs w:val="17"/>
        </w:rPr>
      </w:pPr>
    </w:p>
    <w:p w:rsidRPr="00BB269B" w:rsidR="001D05AB" w:rsidP="00BB269B" w:rsidRDefault="001D05AB">
      <w:pPr>
        <w:pStyle w:val="Lijstalinea"/>
        <w:numPr>
          <w:ilvl w:val="0"/>
          <w:numId w:val="30"/>
        </w:numPr>
        <w:rPr>
          <w:szCs w:val="17"/>
          <w:u w:val="single"/>
        </w:rPr>
      </w:pPr>
      <w:r w:rsidRPr="00BB269B">
        <w:rPr>
          <w:szCs w:val="17"/>
          <w:u w:val="single"/>
        </w:rPr>
        <w:t>Werkbezoek Brussel</w:t>
      </w:r>
    </w:p>
    <w:p w:rsidRPr="00E201FA" w:rsidR="00E201FA" w:rsidP="00E201FA" w:rsidRDefault="00E201FA">
      <w:pPr>
        <w:rPr>
          <w:szCs w:val="18"/>
        </w:rPr>
      </w:pPr>
      <w:r w:rsidRPr="00E201FA">
        <w:rPr>
          <w:szCs w:val="18"/>
        </w:rPr>
        <w:t xml:space="preserve">Ook heeft de commissie reeds ingestemd met het voorstel van de co-rapporteurs om na het zomerreces een werkbezoek </w:t>
      </w:r>
      <w:r w:rsidRPr="00E201FA">
        <w:rPr>
          <w:szCs w:val="17"/>
        </w:rPr>
        <w:t>aan Brussel te brengen en daar gesprekken te voeren met de Europese Commissie, met Europarlementariërs (onder meer met EP-rapporteur Ian Duncan -ECR), en met stakeholders uit het veld. Hiervoor wordt nog naar een geschikte datum in oktober gezocht.</w:t>
      </w:r>
    </w:p>
    <w:p w:rsidR="00087237" w:rsidP="00087237" w:rsidRDefault="00087237">
      <w:pPr>
        <w:rPr>
          <w:szCs w:val="17"/>
        </w:rPr>
      </w:pPr>
      <w:r>
        <w:rPr>
          <w:szCs w:val="17"/>
        </w:rPr>
        <w:t xml:space="preserve">De gespreksonderwerpen tijdens het werkbezoek zijn: </w:t>
      </w:r>
      <w:r w:rsidRPr="006D5487">
        <w:rPr>
          <w:szCs w:val="17"/>
        </w:rPr>
        <w:t xml:space="preserve"> </w:t>
      </w:r>
    </w:p>
    <w:p w:rsidR="00087237" w:rsidP="00087237" w:rsidRDefault="00087237">
      <w:pPr>
        <w:rPr>
          <w:szCs w:val="17"/>
        </w:rPr>
      </w:pPr>
      <w:r>
        <w:rPr>
          <w:szCs w:val="17"/>
        </w:rPr>
        <w:t>-  stand van zaken onderhandelingen h</w:t>
      </w:r>
      <w:r w:rsidRPr="00EB216B">
        <w:rPr>
          <w:szCs w:val="17"/>
        </w:rPr>
        <w:t>erziening</w:t>
      </w:r>
      <w:r>
        <w:rPr>
          <w:szCs w:val="17"/>
        </w:rPr>
        <w:t>svoorstel</w:t>
      </w:r>
      <w:r w:rsidRPr="00EB216B">
        <w:rPr>
          <w:szCs w:val="17"/>
        </w:rPr>
        <w:t xml:space="preserve"> van het ETS</w:t>
      </w:r>
      <w:r>
        <w:rPr>
          <w:szCs w:val="17"/>
        </w:rPr>
        <w:t xml:space="preserve">; </w:t>
      </w:r>
    </w:p>
    <w:p w:rsidR="00087237" w:rsidP="00087237" w:rsidRDefault="00087237">
      <w:pPr>
        <w:rPr>
          <w:szCs w:val="17"/>
        </w:rPr>
      </w:pPr>
      <w:r>
        <w:rPr>
          <w:szCs w:val="17"/>
        </w:rPr>
        <w:lastRenderedPageBreak/>
        <w:t xml:space="preserve">-  voorstel voor emissiereducties voor de non-ETS sectoren (de zogeheten ‘effort sharing’) dat eind juli wordt verwacht; </w:t>
      </w:r>
    </w:p>
    <w:p w:rsidRPr="000B1B0A" w:rsidR="00087237" w:rsidP="00087237" w:rsidRDefault="00087237">
      <w:pPr>
        <w:rPr>
          <w:szCs w:val="17"/>
        </w:rPr>
      </w:pPr>
      <w:r>
        <w:rPr>
          <w:szCs w:val="17"/>
        </w:rPr>
        <w:t xml:space="preserve">- </w:t>
      </w:r>
      <w:r w:rsidRPr="000B1B0A">
        <w:rPr>
          <w:szCs w:val="17"/>
        </w:rPr>
        <w:t>stand van zaken onderhandelingen voorstellen over gaslevering en intergouvernementele energie-overeenkomsten</w:t>
      </w:r>
      <w:r>
        <w:rPr>
          <w:szCs w:val="17"/>
        </w:rPr>
        <w:t>.</w:t>
      </w:r>
    </w:p>
    <w:p w:rsidR="00087237" w:rsidP="00087237" w:rsidRDefault="00087237">
      <w:pPr>
        <w:rPr>
          <w:szCs w:val="17"/>
        </w:rPr>
      </w:pPr>
    </w:p>
    <w:p w:rsidR="00D825ED" w:rsidP="003E0C91" w:rsidRDefault="00D825ED">
      <w:pPr>
        <w:rPr>
          <w:szCs w:val="17"/>
        </w:rPr>
      </w:pPr>
    </w:p>
    <w:p w:rsidRPr="007E5054" w:rsidR="00076842" w:rsidP="008A7206" w:rsidRDefault="00C70DEC">
      <w:pPr>
        <w:rPr>
          <w:b/>
          <w:i/>
          <w:szCs w:val="18"/>
        </w:rPr>
      </w:pPr>
      <w:r w:rsidRPr="007E5054">
        <w:rPr>
          <w:b/>
          <w:i/>
          <w:szCs w:val="18"/>
        </w:rPr>
        <w:t>Behandeling in Brussel</w:t>
      </w:r>
    </w:p>
    <w:p w:rsidR="00C70DEC" w:rsidP="008A7206" w:rsidRDefault="00C70DEC">
      <w:pPr>
        <w:rPr>
          <w:b/>
          <w:szCs w:val="18"/>
        </w:rPr>
      </w:pPr>
    </w:p>
    <w:p w:rsidR="00C70DEC" w:rsidP="008A7206" w:rsidRDefault="00C21DE4">
      <w:pPr>
        <w:rPr>
          <w:szCs w:val="18"/>
          <w:u w:val="single"/>
        </w:rPr>
      </w:pPr>
      <w:r w:rsidRPr="00857C8C">
        <w:rPr>
          <w:szCs w:val="18"/>
          <w:u w:val="single"/>
        </w:rPr>
        <w:t>Raad</w:t>
      </w:r>
    </w:p>
    <w:p w:rsidR="007677C2" w:rsidP="008A7206" w:rsidRDefault="00317F8A">
      <w:pPr>
        <w:rPr>
          <w:szCs w:val="18"/>
        </w:rPr>
      </w:pPr>
      <w:r>
        <w:rPr>
          <w:szCs w:val="18"/>
        </w:rPr>
        <w:t xml:space="preserve">Het voortouw voor de raadsbehandeling van het voorgestelde klimaatpakket zal liggen bij de </w:t>
      </w:r>
      <w:r w:rsidRPr="00341A3A">
        <w:rPr>
          <w:szCs w:val="18"/>
          <w:u w:val="single"/>
        </w:rPr>
        <w:t>Milieuraad</w:t>
      </w:r>
      <w:r>
        <w:rPr>
          <w:szCs w:val="18"/>
        </w:rPr>
        <w:t xml:space="preserve">. </w:t>
      </w:r>
      <w:r w:rsidR="00D825ED">
        <w:rPr>
          <w:szCs w:val="18"/>
        </w:rPr>
        <w:t xml:space="preserve">Op </w:t>
      </w:r>
      <w:r w:rsidR="00341A3A">
        <w:rPr>
          <w:szCs w:val="18"/>
        </w:rPr>
        <w:t>de eerstvolgende bijeenkomst van de EU</w:t>
      </w:r>
      <w:r w:rsidR="000152C2">
        <w:rPr>
          <w:szCs w:val="18"/>
        </w:rPr>
        <w:t>-</w:t>
      </w:r>
      <w:r w:rsidR="00341A3A">
        <w:rPr>
          <w:szCs w:val="18"/>
        </w:rPr>
        <w:t>milieuministers op 17 oktober 2016</w:t>
      </w:r>
      <w:r w:rsidR="00D825ED">
        <w:rPr>
          <w:szCs w:val="18"/>
        </w:rPr>
        <w:t xml:space="preserve"> een eerste beleidsdebat geagendeerd over de voo</w:t>
      </w:r>
      <w:r w:rsidR="000152C2">
        <w:rPr>
          <w:szCs w:val="18"/>
        </w:rPr>
        <w:t>rst</w:t>
      </w:r>
      <w:r w:rsidR="00D825ED">
        <w:rPr>
          <w:szCs w:val="18"/>
        </w:rPr>
        <w:t xml:space="preserve">ellen voor de emissiereducties voor </w:t>
      </w:r>
      <w:r w:rsidR="00B71AC5">
        <w:rPr>
          <w:szCs w:val="18"/>
        </w:rPr>
        <w:t xml:space="preserve">de </w:t>
      </w:r>
      <w:r w:rsidR="00D825ED">
        <w:rPr>
          <w:szCs w:val="18"/>
        </w:rPr>
        <w:t xml:space="preserve">non-EU ETS sectoren en het zogenoemde LULUCF voorstel. </w:t>
      </w:r>
    </w:p>
    <w:p w:rsidR="00021301" w:rsidP="008A7206" w:rsidRDefault="00021301">
      <w:pPr>
        <w:rPr>
          <w:szCs w:val="18"/>
        </w:rPr>
      </w:pPr>
    </w:p>
    <w:p w:rsidR="00C74597" w:rsidP="008A7206" w:rsidRDefault="00C74597">
      <w:pPr>
        <w:rPr>
          <w:szCs w:val="18"/>
        </w:rPr>
      </w:pPr>
      <w:r>
        <w:rPr>
          <w:szCs w:val="18"/>
        </w:rPr>
        <w:t>De behandeling van de voorstellen zal de nodige tijd vergen en zeker niet onder Slowaaks EU-voorzitterschap worden afgerond. Bronnen uit Brussel bevestigen dat verschillende Lidstaten de onderhandelingen over de nationale, verplichte reductiepercentages willen linken aan de reeds lopende onderhandelingen over de herziening van het emissiehandelssysteem</w:t>
      </w:r>
      <w:r w:rsidR="00E0702C">
        <w:rPr>
          <w:szCs w:val="18"/>
        </w:rPr>
        <w:t xml:space="preserve"> (ETS)</w:t>
      </w:r>
      <w:r>
        <w:rPr>
          <w:szCs w:val="18"/>
        </w:rPr>
        <w:t>.</w:t>
      </w:r>
      <w:r w:rsidR="00021301">
        <w:rPr>
          <w:rStyle w:val="Voetnootmarkering"/>
          <w:szCs w:val="18"/>
        </w:rPr>
        <w:footnoteReference w:id="2"/>
      </w:r>
      <w:r w:rsidR="008E05A5">
        <w:rPr>
          <w:szCs w:val="18"/>
        </w:rPr>
        <w:t xml:space="preserve"> </w:t>
      </w:r>
      <w:r w:rsidR="00021301">
        <w:rPr>
          <w:szCs w:val="18"/>
        </w:rPr>
        <w:t>Het</w:t>
      </w:r>
      <w:r w:rsidR="007E529A">
        <w:rPr>
          <w:szCs w:val="18"/>
        </w:rPr>
        <w:t xml:space="preserve"> huidige </w:t>
      </w:r>
      <w:r w:rsidR="00021301">
        <w:rPr>
          <w:szCs w:val="18"/>
        </w:rPr>
        <w:t>Slowaaks</w:t>
      </w:r>
      <w:r w:rsidR="00E0702C">
        <w:rPr>
          <w:szCs w:val="18"/>
        </w:rPr>
        <w:t xml:space="preserve"> voorzitterschap h</w:t>
      </w:r>
      <w:r w:rsidR="00764EA0">
        <w:rPr>
          <w:szCs w:val="18"/>
        </w:rPr>
        <w:t xml:space="preserve">eeft evenwel aangegeven </w:t>
      </w:r>
      <w:r w:rsidR="00E0702C">
        <w:rPr>
          <w:szCs w:val="18"/>
        </w:rPr>
        <w:t xml:space="preserve">tijdens de Milieuraad van 19 december 2016 een gezamenlijk standpunt te </w:t>
      </w:r>
      <w:r w:rsidR="00764EA0">
        <w:rPr>
          <w:szCs w:val="18"/>
        </w:rPr>
        <w:t xml:space="preserve">willen </w:t>
      </w:r>
      <w:r w:rsidR="00E0702C">
        <w:rPr>
          <w:szCs w:val="18"/>
        </w:rPr>
        <w:t xml:space="preserve">bereiken over de herziening van het ETS. </w:t>
      </w:r>
    </w:p>
    <w:p w:rsidRPr="00317F8A" w:rsidR="00D825ED" w:rsidP="008A7206" w:rsidRDefault="00D825ED">
      <w:pPr>
        <w:rPr>
          <w:szCs w:val="18"/>
        </w:rPr>
      </w:pPr>
    </w:p>
    <w:p w:rsidR="00317F8A" w:rsidP="008A7206" w:rsidRDefault="00317F8A">
      <w:pPr>
        <w:rPr>
          <w:szCs w:val="18"/>
        </w:rPr>
      </w:pPr>
      <w:r>
        <w:rPr>
          <w:szCs w:val="18"/>
        </w:rPr>
        <w:t>De EU-strategie emissiearm transport wordt besproken in de:</w:t>
      </w:r>
    </w:p>
    <w:p w:rsidR="00317F8A" w:rsidP="00317F8A" w:rsidRDefault="00317F8A">
      <w:pPr>
        <w:pStyle w:val="Lijstalinea"/>
        <w:numPr>
          <w:ilvl w:val="0"/>
          <w:numId w:val="28"/>
        </w:numPr>
        <w:rPr>
          <w:szCs w:val="18"/>
        </w:rPr>
      </w:pPr>
      <w:r w:rsidRPr="00F017CF">
        <w:rPr>
          <w:szCs w:val="18"/>
          <w:u w:val="single"/>
        </w:rPr>
        <w:t>Concurrentiekrachtraad</w:t>
      </w:r>
      <w:r>
        <w:rPr>
          <w:szCs w:val="18"/>
        </w:rPr>
        <w:t xml:space="preserve"> d.d. 29 september 2016: presentatie door de EC</w:t>
      </w:r>
    </w:p>
    <w:p w:rsidR="00317F8A" w:rsidP="00317F8A" w:rsidRDefault="00317F8A">
      <w:pPr>
        <w:pStyle w:val="Lijstalinea"/>
        <w:numPr>
          <w:ilvl w:val="0"/>
          <w:numId w:val="28"/>
        </w:numPr>
        <w:rPr>
          <w:szCs w:val="18"/>
        </w:rPr>
      </w:pPr>
      <w:r w:rsidRPr="00F017CF">
        <w:rPr>
          <w:szCs w:val="18"/>
          <w:u w:val="single"/>
        </w:rPr>
        <w:t>Transportraad</w:t>
      </w:r>
      <w:r>
        <w:rPr>
          <w:szCs w:val="18"/>
        </w:rPr>
        <w:t xml:space="preserve"> van 1 december 2016: informatie door de EC</w:t>
      </w:r>
    </w:p>
    <w:p w:rsidRPr="00F017CF" w:rsidR="00F017CF" w:rsidP="00F017CF" w:rsidRDefault="00F017CF">
      <w:pPr>
        <w:rPr>
          <w:szCs w:val="18"/>
        </w:rPr>
      </w:pPr>
      <w:r>
        <w:rPr>
          <w:szCs w:val="18"/>
        </w:rPr>
        <w:t>Op basis van de laatste informatie van het huidige Slowaakse EU-voorzitterschap is het niet voorzien dat er raadsconclusies over de strategie worden aangenomen.</w:t>
      </w:r>
    </w:p>
    <w:p w:rsidR="00317F8A" w:rsidP="008A7206" w:rsidRDefault="00317F8A">
      <w:pPr>
        <w:rPr>
          <w:szCs w:val="18"/>
          <w:u w:val="single"/>
        </w:rPr>
      </w:pPr>
    </w:p>
    <w:p w:rsidRPr="00317F8A" w:rsidR="00317F8A" w:rsidP="008A7206" w:rsidRDefault="00F017CF">
      <w:pPr>
        <w:rPr>
          <w:szCs w:val="18"/>
        </w:rPr>
      </w:pPr>
      <w:r>
        <w:rPr>
          <w:szCs w:val="18"/>
        </w:rPr>
        <w:t>Tot slot is v</w:t>
      </w:r>
      <w:r w:rsidRPr="00317F8A" w:rsidR="00317F8A">
        <w:rPr>
          <w:szCs w:val="18"/>
        </w:rPr>
        <w:t xml:space="preserve">oor de </w:t>
      </w:r>
      <w:r w:rsidRPr="00F017CF" w:rsidR="00317F8A">
        <w:rPr>
          <w:szCs w:val="18"/>
          <w:u w:val="single"/>
        </w:rPr>
        <w:t>Landbouw</w:t>
      </w:r>
      <w:r w:rsidR="002C0558">
        <w:rPr>
          <w:szCs w:val="18"/>
          <w:u w:val="single"/>
        </w:rPr>
        <w:t>- en Visserij</w:t>
      </w:r>
      <w:r w:rsidRPr="00F017CF" w:rsidR="00317F8A">
        <w:rPr>
          <w:szCs w:val="18"/>
          <w:u w:val="single"/>
        </w:rPr>
        <w:t xml:space="preserve">raad </w:t>
      </w:r>
      <w:r w:rsidRPr="00317F8A" w:rsidR="00317F8A">
        <w:rPr>
          <w:szCs w:val="18"/>
        </w:rPr>
        <w:t>van 14-15 november 2016 een gedachtewisseling over landbouw en klimaat ingepland.</w:t>
      </w:r>
    </w:p>
    <w:p w:rsidRPr="00857C8C" w:rsidR="00317F8A" w:rsidP="008A7206" w:rsidRDefault="00317F8A">
      <w:pPr>
        <w:rPr>
          <w:szCs w:val="18"/>
          <w:u w:val="single"/>
        </w:rPr>
      </w:pPr>
    </w:p>
    <w:p w:rsidRPr="00857C8C" w:rsidR="00C21DE4" w:rsidP="008A7206" w:rsidRDefault="00C21DE4">
      <w:pPr>
        <w:rPr>
          <w:szCs w:val="18"/>
          <w:u w:val="single"/>
        </w:rPr>
      </w:pPr>
      <w:r w:rsidRPr="00857C8C">
        <w:rPr>
          <w:szCs w:val="18"/>
          <w:u w:val="single"/>
        </w:rPr>
        <w:t>Europees Parlement</w:t>
      </w:r>
      <w:r w:rsidR="00CC3967">
        <w:rPr>
          <w:szCs w:val="18"/>
          <w:u w:val="single"/>
        </w:rPr>
        <w:t xml:space="preserve"> </w:t>
      </w:r>
    </w:p>
    <w:p w:rsidR="00C21DE4" w:rsidP="008A7206" w:rsidRDefault="00C21DE4">
      <w:pPr>
        <w:rPr>
          <w:szCs w:val="18"/>
        </w:rPr>
      </w:pPr>
      <w:r w:rsidRPr="00C21DE4">
        <w:rPr>
          <w:szCs w:val="18"/>
        </w:rPr>
        <w:t xml:space="preserve">Het </w:t>
      </w:r>
      <w:r w:rsidR="00CC3967">
        <w:rPr>
          <w:szCs w:val="18"/>
        </w:rPr>
        <w:t>ligt voor de hand d</w:t>
      </w:r>
      <w:r w:rsidRPr="00C21DE4">
        <w:rPr>
          <w:szCs w:val="18"/>
        </w:rPr>
        <w:t>at het voortouw van de behandeling van het pakket EU-voorstellen bij de ENVI commissie (Milieu en Gezondheid) van het Europees Parlement</w:t>
      </w:r>
      <w:r w:rsidR="00CC3967">
        <w:rPr>
          <w:szCs w:val="18"/>
        </w:rPr>
        <w:t xml:space="preserve"> (EP)</w:t>
      </w:r>
      <w:r w:rsidRPr="00C21DE4">
        <w:rPr>
          <w:szCs w:val="18"/>
        </w:rPr>
        <w:t xml:space="preserve"> komt te liggen. </w:t>
      </w:r>
      <w:r w:rsidR="00CC3967">
        <w:rPr>
          <w:szCs w:val="18"/>
        </w:rPr>
        <w:t>Mogelijk zullen andere commissies (onder meer Transport</w:t>
      </w:r>
      <w:r w:rsidR="001121CD">
        <w:rPr>
          <w:szCs w:val="18"/>
        </w:rPr>
        <w:t>, Industrie</w:t>
      </w:r>
      <w:r w:rsidR="00CC3967">
        <w:rPr>
          <w:szCs w:val="18"/>
        </w:rPr>
        <w:t xml:space="preserve"> en Landbouw) ook een bijdrage willen leveren. </w:t>
      </w:r>
      <w:r w:rsidRPr="00C21DE4">
        <w:rPr>
          <w:szCs w:val="18"/>
        </w:rPr>
        <w:t xml:space="preserve">Wie </w:t>
      </w:r>
      <w:r w:rsidR="00CC3967">
        <w:rPr>
          <w:szCs w:val="18"/>
        </w:rPr>
        <w:t xml:space="preserve">namens het EP </w:t>
      </w:r>
      <w:r w:rsidRPr="00C21DE4">
        <w:rPr>
          <w:szCs w:val="18"/>
        </w:rPr>
        <w:t>de rapporteur wordt</w:t>
      </w:r>
      <w:r w:rsidR="00CC3967">
        <w:rPr>
          <w:szCs w:val="18"/>
        </w:rPr>
        <w:t>,</w:t>
      </w:r>
      <w:r w:rsidRPr="00C21DE4">
        <w:rPr>
          <w:szCs w:val="18"/>
        </w:rPr>
        <w:t xml:space="preserve"> is </w:t>
      </w:r>
      <w:r w:rsidR="00CC3967">
        <w:rPr>
          <w:szCs w:val="18"/>
        </w:rPr>
        <w:t xml:space="preserve">op dit moment </w:t>
      </w:r>
      <w:r w:rsidRPr="00C21DE4">
        <w:rPr>
          <w:szCs w:val="18"/>
        </w:rPr>
        <w:t xml:space="preserve">nog niet bekend. </w:t>
      </w:r>
    </w:p>
    <w:p w:rsidR="00A33542" w:rsidP="008A7206" w:rsidRDefault="00A33542">
      <w:pPr>
        <w:rPr>
          <w:szCs w:val="18"/>
        </w:rPr>
      </w:pPr>
    </w:p>
    <w:p w:rsidR="003C29F0" w:rsidP="008A7206" w:rsidRDefault="003C29F0">
      <w:pPr>
        <w:rPr>
          <w:szCs w:val="18"/>
        </w:rPr>
      </w:pPr>
    </w:p>
    <w:p w:rsidR="003C29F0" w:rsidP="008A7206" w:rsidRDefault="003C29F0">
      <w:pPr>
        <w:rPr>
          <w:szCs w:val="18"/>
        </w:rPr>
      </w:pPr>
    </w:p>
    <w:p w:rsidR="006B1196" w:rsidP="008A7206" w:rsidRDefault="006B1196">
      <w:pPr>
        <w:rPr>
          <w:b/>
          <w:i/>
          <w:szCs w:val="18"/>
        </w:rPr>
      </w:pPr>
      <w:r w:rsidRPr="006B1196">
        <w:rPr>
          <w:b/>
          <w:i/>
          <w:szCs w:val="18"/>
        </w:rPr>
        <w:lastRenderedPageBreak/>
        <w:t xml:space="preserve">Interparlementaire conferentie Energie-Unie Slowakije 1 december </w:t>
      </w:r>
    </w:p>
    <w:p w:rsidRPr="00BB1065" w:rsidR="006B1196" w:rsidP="008A7206" w:rsidRDefault="00BB1065">
      <w:pPr>
        <w:rPr>
          <w:szCs w:val="18"/>
        </w:rPr>
      </w:pPr>
      <w:r>
        <w:rPr>
          <w:szCs w:val="18"/>
        </w:rPr>
        <w:t xml:space="preserve">In het kader van het EU-voorzitterschap zal het Slowaaks parlement op 1 december een interparlementaire bijeenkomst over de Energie-Unie organiseren. </w:t>
      </w:r>
      <w:r w:rsidR="007E529A">
        <w:rPr>
          <w:szCs w:val="18"/>
        </w:rPr>
        <w:t>Primaire d</w:t>
      </w:r>
      <w:r>
        <w:rPr>
          <w:szCs w:val="18"/>
        </w:rPr>
        <w:t xml:space="preserve">oelgroep voor deze conferentie zijn de energie- en milieuwoordvoerders uit de nationale parlementen van de EU. </w:t>
      </w:r>
      <w:r w:rsidR="007C19ED">
        <w:rPr>
          <w:szCs w:val="18"/>
        </w:rPr>
        <w:t>Het programma voor de bijeenkomst zal in de loop van het najaar bij de Tweede Kamer binnen komen.</w:t>
      </w:r>
    </w:p>
    <w:p w:rsidR="006B1196" w:rsidP="008A7206" w:rsidRDefault="006B1196">
      <w:pPr>
        <w:rPr>
          <w:szCs w:val="18"/>
        </w:rPr>
      </w:pPr>
    </w:p>
    <w:p w:rsidR="00FE7393" w:rsidRDefault="00FE7393">
      <w:pPr>
        <w:rPr>
          <w:b/>
          <w:i/>
          <w:szCs w:val="18"/>
        </w:rPr>
      </w:pPr>
      <w:r>
        <w:rPr>
          <w:b/>
          <w:i/>
          <w:szCs w:val="18"/>
        </w:rPr>
        <w:br w:type="page"/>
      </w:r>
    </w:p>
    <w:p w:rsidRPr="007E5054" w:rsidR="00955BBA" w:rsidP="00993C3B" w:rsidRDefault="00F14714">
      <w:pPr>
        <w:spacing w:after="200"/>
        <w:rPr>
          <w:b/>
          <w:i/>
          <w:szCs w:val="18"/>
        </w:rPr>
      </w:pPr>
      <w:r w:rsidRPr="007E5054">
        <w:rPr>
          <w:b/>
          <w:i/>
          <w:szCs w:val="18"/>
        </w:rPr>
        <w:lastRenderedPageBreak/>
        <w:t>T</w:t>
      </w:r>
      <w:r w:rsidRPr="007E5054" w:rsidR="00955BBA">
        <w:rPr>
          <w:b/>
          <w:i/>
          <w:szCs w:val="18"/>
        </w:rPr>
        <w:t xml:space="preserve">ijdplanning Kamerbehandeling tot </w:t>
      </w:r>
      <w:r w:rsidRPr="007E5054" w:rsidR="00531BAA">
        <w:rPr>
          <w:b/>
          <w:i/>
          <w:szCs w:val="18"/>
        </w:rPr>
        <w:t>kerstreces 2</w:t>
      </w:r>
      <w:r w:rsidRPr="007E5054" w:rsidR="00157A79">
        <w:rPr>
          <w:b/>
          <w:i/>
          <w:szCs w:val="18"/>
        </w:rPr>
        <w:t>016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58"/>
        <w:gridCol w:w="3012"/>
      </w:tblGrid>
      <w:tr w:rsidRPr="008A0025" w:rsidR="008A0025" w:rsidTr="00F04D67">
        <w:tc>
          <w:tcPr>
            <w:tcW w:w="4858" w:type="dxa"/>
            <w:shd w:val="clear" w:color="000000" w:fill="auto"/>
          </w:tcPr>
          <w:p w:rsidR="00E90DAC" w:rsidP="008A0025" w:rsidRDefault="00E90DAC">
            <w:pPr>
              <w:rPr>
                <w:b/>
                <w:szCs w:val="18"/>
              </w:rPr>
            </w:pPr>
          </w:p>
          <w:p w:rsidRPr="008A0025" w:rsidR="008A0025" w:rsidP="008A0025" w:rsidRDefault="008A0025">
            <w:pPr>
              <w:rPr>
                <w:b/>
                <w:szCs w:val="18"/>
              </w:rPr>
            </w:pPr>
            <w:r w:rsidRPr="008A0025">
              <w:rPr>
                <w:b/>
                <w:szCs w:val="18"/>
              </w:rPr>
              <w:t>Raadsformatie en datum</w:t>
            </w:r>
          </w:p>
        </w:tc>
        <w:tc>
          <w:tcPr>
            <w:tcW w:w="3012" w:type="dxa"/>
            <w:shd w:val="clear" w:color="000000" w:fill="auto"/>
          </w:tcPr>
          <w:p w:rsidR="00E90DAC" w:rsidP="008A0025" w:rsidRDefault="00E90DAC">
            <w:pPr>
              <w:rPr>
                <w:b/>
                <w:szCs w:val="18"/>
              </w:rPr>
            </w:pPr>
          </w:p>
          <w:p w:rsidRPr="008A0025" w:rsidR="008A0025" w:rsidP="008A0025" w:rsidRDefault="008A0025">
            <w:pPr>
              <w:rPr>
                <w:b/>
                <w:szCs w:val="18"/>
              </w:rPr>
            </w:pPr>
            <w:r w:rsidRPr="008A0025">
              <w:rPr>
                <w:b/>
                <w:szCs w:val="18"/>
              </w:rPr>
              <w:t>Datum AO/SO</w:t>
            </w:r>
          </w:p>
        </w:tc>
      </w:tr>
      <w:tr w:rsidRPr="008A0025" w:rsidR="00807D14" w:rsidTr="00F04D67">
        <w:tc>
          <w:tcPr>
            <w:tcW w:w="4858" w:type="dxa"/>
            <w:shd w:val="clear" w:color="000000" w:fill="auto"/>
          </w:tcPr>
          <w:p w:rsidR="00112787" w:rsidP="008A0025" w:rsidRDefault="00112787">
            <w:pPr>
              <w:rPr>
                <w:szCs w:val="18"/>
              </w:rPr>
            </w:pPr>
          </w:p>
          <w:p w:rsidRPr="00807D14" w:rsidR="00112787" w:rsidP="00112787" w:rsidRDefault="00807D14">
            <w:pPr>
              <w:rPr>
                <w:szCs w:val="18"/>
              </w:rPr>
            </w:pPr>
            <w:r>
              <w:rPr>
                <w:szCs w:val="18"/>
              </w:rPr>
              <w:t>Concurrentiekrachtraad 29 september</w:t>
            </w:r>
            <w:r w:rsidR="004576A0">
              <w:rPr>
                <w:szCs w:val="18"/>
              </w:rPr>
              <w:t xml:space="preserve"> 2016</w:t>
            </w:r>
          </w:p>
        </w:tc>
        <w:tc>
          <w:tcPr>
            <w:tcW w:w="3012" w:type="dxa"/>
            <w:shd w:val="clear" w:color="000000" w:fill="auto"/>
          </w:tcPr>
          <w:p w:rsidR="00807D14" w:rsidP="008A0025" w:rsidRDefault="00807D14">
            <w:pPr>
              <w:rPr>
                <w:b/>
                <w:szCs w:val="18"/>
              </w:rPr>
            </w:pPr>
          </w:p>
          <w:p w:rsidRPr="0014498C" w:rsidR="0014498C" w:rsidP="008A0025" w:rsidRDefault="0014498C">
            <w:pPr>
              <w:rPr>
                <w:szCs w:val="18"/>
              </w:rPr>
            </w:pPr>
            <w:r w:rsidRPr="0014498C">
              <w:rPr>
                <w:szCs w:val="18"/>
              </w:rPr>
              <w:t>26 september 2016 (SO)</w:t>
            </w:r>
          </w:p>
        </w:tc>
      </w:tr>
      <w:tr w:rsidRPr="008A0025" w:rsidR="008A0025" w:rsidTr="00F04D67">
        <w:tc>
          <w:tcPr>
            <w:tcW w:w="4858" w:type="dxa"/>
            <w:shd w:val="clear" w:color="000000" w:fill="auto"/>
          </w:tcPr>
          <w:p w:rsidR="00112787" w:rsidP="008A0025" w:rsidRDefault="00112787">
            <w:pPr>
              <w:rPr>
                <w:szCs w:val="18"/>
              </w:rPr>
            </w:pPr>
          </w:p>
          <w:p w:rsidRPr="008A0025" w:rsidR="008A0025" w:rsidP="008A0025" w:rsidRDefault="00366693">
            <w:pPr>
              <w:rPr>
                <w:szCs w:val="18"/>
              </w:rPr>
            </w:pPr>
            <w:r>
              <w:rPr>
                <w:szCs w:val="18"/>
              </w:rPr>
              <w:t>Milieuraad</w:t>
            </w:r>
            <w:r w:rsidR="00807D14">
              <w:rPr>
                <w:szCs w:val="18"/>
              </w:rPr>
              <w:t xml:space="preserve"> 17 oktober </w:t>
            </w:r>
            <w:r w:rsidR="004576A0">
              <w:rPr>
                <w:szCs w:val="18"/>
              </w:rPr>
              <w:t>2016</w:t>
            </w:r>
          </w:p>
        </w:tc>
        <w:tc>
          <w:tcPr>
            <w:tcW w:w="3012" w:type="dxa"/>
            <w:shd w:val="clear" w:color="000000" w:fill="auto"/>
          </w:tcPr>
          <w:p w:rsidR="004576A0" w:rsidP="00366693" w:rsidRDefault="004576A0">
            <w:pPr>
              <w:rPr>
                <w:szCs w:val="18"/>
              </w:rPr>
            </w:pPr>
          </w:p>
          <w:p w:rsidRPr="008A0025" w:rsidR="008A0025" w:rsidP="00366693" w:rsidRDefault="00366693">
            <w:pPr>
              <w:rPr>
                <w:szCs w:val="18"/>
              </w:rPr>
            </w:pPr>
            <w:r>
              <w:rPr>
                <w:szCs w:val="18"/>
              </w:rPr>
              <w:t xml:space="preserve">11 okober 2016 </w:t>
            </w:r>
          </w:p>
        </w:tc>
      </w:tr>
      <w:tr w:rsidRPr="008A0025" w:rsidR="008A0025" w:rsidTr="00F04D67">
        <w:tc>
          <w:tcPr>
            <w:tcW w:w="4858" w:type="dxa"/>
            <w:shd w:val="clear" w:color="000000" w:fill="auto"/>
          </w:tcPr>
          <w:p w:rsidR="00112787" w:rsidP="00807D14" w:rsidRDefault="00112787">
            <w:pPr>
              <w:rPr>
                <w:szCs w:val="18"/>
              </w:rPr>
            </w:pPr>
          </w:p>
          <w:p w:rsidRPr="008A0025" w:rsidR="008A0025" w:rsidP="00807D14" w:rsidRDefault="00807D14">
            <w:pPr>
              <w:rPr>
                <w:szCs w:val="18"/>
              </w:rPr>
            </w:pPr>
            <w:r>
              <w:rPr>
                <w:szCs w:val="18"/>
              </w:rPr>
              <w:t xml:space="preserve">Landbouw- en Visserijraad 14-15 november </w:t>
            </w:r>
            <w:r w:rsidR="004576A0">
              <w:rPr>
                <w:szCs w:val="18"/>
              </w:rPr>
              <w:t>2016</w:t>
            </w:r>
          </w:p>
        </w:tc>
        <w:tc>
          <w:tcPr>
            <w:tcW w:w="3012" w:type="dxa"/>
            <w:shd w:val="clear" w:color="000000" w:fill="auto"/>
          </w:tcPr>
          <w:p w:rsidR="008A0025" w:rsidP="008A0025" w:rsidRDefault="008A0025">
            <w:pPr>
              <w:rPr>
                <w:szCs w:val="18"/>
              </w:rPr>
            </w:pPr>
          </w:p>
          <w:p w:rsidRPr="008A0025" w:rsidR="002A6AAA" w:rsidP="008A0025" w:rsidRDefault="002A6AAA">
            <w:pPr>
              <w:rPr>
                <w:szCs w:val="18"/>
              </w:rPr>
            </w:pPr>
            <w:r>
              <w:rPr>
                <w:szCs w:val="18"/>
              </w:rPr>
              <w:t>9 november 2016</w:t>
            </w:r>
          </w:p>
        </w:tc>
      </w:tr>
      <w:tr w:rsidRPr="008A0025" w:rsidR="00807D14" w:rsidTr="00F04D67">
        <w:tc>
          <w:tcPr>
            <w:tcW w:w="4858" w:type="dxa"/>
            <w:shd w:val="clear" w:color="000000" w:fill="auto"/>
          </w:tcPr>
          <w:p w:rsidR="00112787" w:rsidP="00807D14" w:rsidRDefault="00112787">
            <w:pPr>
              <w:rPr>
                <w:szCs w:val="18"/>
              </w:rPr>
            </w:pPr>
          </w:p>
          <w:p w:rsidR="00807D14" w:rsidP="00807D14" w:rsidRDefault="00807D14">
            <w:pPr>
              <w:rPr>
                <w:szCs w:val="18"/>
              </w:rPr>
            </w:pPr>
            <w:r>
              <w:rPr>
                <w:szCs w:val="18"/>
              </w:rPr>
              <w:t xml:space="preserve">Transportraad 1 december </w:t>
            </w:r>
            <w:r w:rsidR="004576A0">
              <w:rPr>
                <w:szCs w:val="18"/>
              </w:rPr>
              <w:t>2016</w:t>
            </w:r>
          </w:p>
        </w:tc>
        <w:tc>
          <w:tcPr>
            <w:tcW w:w="3012" w:type="dxa"/>
            <w:shd w:val="clear" w:color="000000" w:fill="auto"/>
          </w:tcPr>
          <w:p w:rsidR="00807D14" w:rsidP="008A0025" w:rsidRDefault="00807D14">
            <w:pPr>
              <w:rPr>
                <w:szCs w:val="18"/>
              </w:rPr>
            </w:pPr>
          </w:p>
          <w:p w:rsidRPr="008A0025" w:rsidR="005C6E3C" w:rsidP="008A0025" w:rsidRDefault="005C6E3C">
            <w:pPr>
              <w:rPr>
                <w:szCs w:val="18"/>
              </w:rPr>
            </w:pPr>
            <w:r>
              <w:rPr>
                <w:szCs w:val="18"/>
              </w:rPr>
              <w:t>16 november 2016</w:t>
            </w:r>
          </w:p>
        </w:tc>
      </w:tr>
      <w:tr w:rsidRPr="008A0025" w:rsidR="008A0025" w:rsidTr="00F04D67">
        <w:tc>
          <w:tcPr>
            <w:tcW w:w="4858" w:type="dxa"/>
            <w:shd w:val="clear" w:color="000000" w:fill="auto"/>
          </w:tcPr>
          <w:p w:rsidR="00112787" w:rsidP="008A0025" w:rsidRDefault="00112787">
            <w:pPr>
              <w:rPr>
                <w:szCs w:val="18"/>
              </w:rPr>
            </w:pPr>
          </w:p>
          <w:p w:rsidRPr="008A0025" w:rsidR="008A0025" w:rsidP="008A0025" w:rsidRDefault="00807D14">
            <w:pPr>
              <w:rPr>
                <w:szCs w:val="18"/>
              </w:rPr>
            </w:pPr>
            <w:r>
              <w:rPr>
                <w:szCs w:val="18"/>
              </w:rPr>
              <w:t>Energieraad 5 december 2016</w:t>
            </w:r>
          </w:p>
        </w:tc>
        <w:tc>
          <w:tcPr>
            <w:tcW w:w="3012" w:type="dxa"/>
            <w:shd w:val="clear" w:color="000000" w:fill="auto"/>
          </w:tcPr>
          <w:p w:rsidR="008A0025" w:rsidP="008A0025" w:rsidRDefault="008A0025">
            <w:pPr>
              <w:rPr>
                <w:szCs w:val="18"/>
              </w:rPr>
            </w:pPr>
          </w:p>
          <w:p w:rsidRPr="008A0025" w:rsidR="002569F5" w:rsidP="008A0025" w:rsidRDefault="002569F5">
            <w:pPr>
              <w:rPr>
                <w:szCs w:val="18"/>
              </w:rPr>
            </w:pPr>
            <w:r>
              <w:rPr>
                <w:szCs w:val="18"/>
              </w:rPr>
              <w:t>30 november 2016</w:t>
            </w:r>
          </w:p>
        </w:tc>
      </w:tr>
      <w:tr w:rsidRPr="008A0025" w:rsidR="008A0025" w:rsidTr="00F04D67">
        <w:tc>
          <w:tcPr>
            <w:tcW w:w="4858" w:type="dxa"/>
            <w:shd w:val="clear" w:color="000000" w:fill="auto"/>
          </w:tcPr>
          <w:p w:rsidR="00112787" w:rsidP="008A0025" w:rsidRDefault="00112787">
            <w:pPr>
              <w:rPr>
                <w:szCs w:val="18"/>
              </w:rPr>
            </w:pPr>
          </w:p>
          <w:p w:rsidRPr="008A0025" w:rsidR="008A0025" w:rsidP="008A0025" w:rsidRDefault="00C70DEC">
            <w:pPr>
              <w:rPr>
                <w:szCs w:val="18"/>
              </w:rPr>
            </w:pPr>
            <w:r>
              <w:rPr>
                <w:szCs w:val="18"/>
              </w:rPr>
              <w:t xml:space="preserve">Milieuraad </w:t>
            </w:r>
            <w:r w:rsidR="00807D14">
              <w:rPr>
                <w:szCs w:val="18"/>
              </w:rPr>
              <w:t xml:space="preserve">19 </w:t>
            </w:r>
            <w:r>
              <w:rPr>
                <w:szCs w:val="18"/>
              </w:rPr>
              <w:t>december</w:t>
            </w:r>
            <w:r w:rsidR="004576A0">
              <w:rPr>
                <w:szCs w:val="18"/>
              </w:rPr>
              <w:t xml:space="preserve"> 2016</w:t>
            </w:r>
          </w:p>
        </w:tc>
        <w:tc>
          <w:tcPr>
            <w:tcW w:w="3012" w:type="dxa"/>
            <w:shd w:val="clear" w:color="000000" w:fill="auto"/>
          </w:tcPr>
          <w:p w:rsidR="008A0025" w:rsidP="008A0025" w:rsidRDefault="008A0025">
            <w:pPr>
              <w:rPr>
                <w:szCs w:val="18"/>
              </w:rPr>
            </w:pPr>
          </w:p>
          <w:p w:rsidRPr="008A0025" w:rsidR="0057185B" w:rsidP="008A0025" w:rsidRDefault="0057185B">
            <w:pPr>
              <w:rPr>
                <w:szCs w:val="18"/>
              </w:rPr>
            </w:pPr>
            <w:r>
              <w:rPr>
                <w:szCs w:val="18"/>
              </w:rPr>
              <w:t>6 december 2016</w:t>
            </w:r>
          </w:p>
        </w:tc>
      </w:tr>
    </w:tbl>
    <w:p w:rsidR="002E72DB" w:rsidP="001348C0" w:rsidRDefault="002E72DB">
      <w:pPr>
        <w:widowControl w:val="0"/>
        <w:tabs>
          <w:tab w:val="left" w:pos="0"/>
        </w:tabs>
        <w:suppressAutoHyphens/>
        <w:autoSpaceDN w:val="0"/>
        <w:spacing w:line="276" w:lineRule="auto"/>
        <w:textAlignment w:val="baseline"/>
        <w:outlineLvl w:val="0"/>
        <w:rPr>
          <w:rFonts w:eastAsia="DejaVu Sans" w:cs="Lohit Hindi"/>
          <w:b/>
          <w:kern w:val="3"/>
          <w:szCs w:val="18"/>
          <w:lang w:eastAsia="zh-CN" w:bidi="hi-IN"/>
        </w:rPr>
      </w:pPr>
    </w:p>
    <w:p w:rsidR="00AC191D" w:rsidP="00AC191D" w:rsidRDefault="00AC191D"/>
    <w:p w:rsidRPr="002B271B" w:rsidR="00AC191D" w:rsidP="00AC191D" w:rsidRDefault="00AC191D">
      <w:r w:rsidRPr="002B271B">
        <w:t xml:space="preserve">De </w:t>
      </w:r>
      <w:r>
        <w:t>co-rapporteurs Energie-Unie,</w:t>
      </w:r>
    </w:p>
    <w:p w:rsidR="00AC191D" w:rsidP="00AC191D" w:rsidRDefault="00AC191D"/>
    <w:p w:rsidRPr="002B271B" w:rsidR="00AC191D" w:rsidP="00AC191D" w:rsidRDefault="00AC191D">
      <w:r>
        <w:t>Remco Dijkstra (namens de commissie I&amp;M)</w:t>
      </w:r>
    </w:p>
    <w:p w:rsidR="007513BC" w:rsidP="00AC191D" w:rsidRDefault="00AC191D">
      <w:r>
        <w:t>Stientje van Veldhoven (namens de commissie EZ)</w:t>
      </w:r>
    </w:p>
    <w:p w:rsidR="007513BC" w:rsidRDefault="007513BC">
      <w:r>
        <w:br w:type="page"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761"/>
      </w:tblGrid>
      <w:tr w:rsidRPr="004A2780" w:rsidR="007513BC" w:rsidTr="00541118">
        <w:trPr>
          <w:trHeight w:val="178"/>
        </w:trPr>
        <w:tc>
          <w:tcPr>
            <w:tcW w:w="9521" w:type="dxa"/>
            <w:gridSpan w:val="2"/>
          </w:tcPr>
          <w:p w:rsidRPr="004A2780" w:rsidR="00FB71EA" w:rsidP="00FB71EA" w:rsidRDefault="00FB71EA">
            <w:pPr>
              <w:pStyle w:val="Default"/>
              <w:rPr>
                <w:b/>
                <w:iCs/>
                <w:sz w:val="23"/>
                <w:szCs w:val="23"/>
              </w:rPr>
            </w:pPr>
            <w:r w:rsidRPr="004A2780">
              <w:rPr>
                <w:b/>
                <w:iCs/>
                <w:sz w:val="23"/>
                <w:szCs w:val="23"/>
              </w:rPr>
              <w:lastRenderedPageBreak/>
              <w:t xml:space="preserve">Bijlage 1: </w:t>
            </w:r>
          </w:p>
          <w:p w:rsidRPr="004A2780" w:rsidR="00FB71EA" w:rsidP="00FB71EA" w:rsidRDefault="00FB71EA">
            <w:pPr>
              <w:pStyle w:val="Default"/>
              <w:rPr>
                <w:b/>
                <w:i/>
                <w:iCs/>
                <w:sz w:val="23"/>
                <w:szCs w:val="23"/>
              </w:rPr>
            </w:pPr>
          </w:p>
          <w:p w:rsidRPr="004A2780" w:rsidR="007513BC" w:rsidP="00942B55" w:rsidRDefault="00942B5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Emissiereductie percentages per Lidstaat voor 2030 t.o.v. 2005: </w:t>
            </w:r>
            <w:r w:rsidRPr="004A2780" w:rsidR="007513B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FB71EA" w:rsidP="00FB71EA" w:rsidRDefault="00FB71EA">
            <w:pPr>
              <w:pStyle w:val="Default"/>
              <w:rPr>
                <w:sz w:val="20"/>
                <w:szCs w:val="20"/>
              </w:rPr>
            </w:pPr>
          </w:p>
          <w:p w:rsidR="007513BC" w:rsidP="00AF370F" w:rsidRDefault="00FB71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42B55">
              <w:rPr>
                <w:sz w:val="20"/>
                <w:szCs w:val="20"/>
              </w:rPr>
              <w:t>elgi</w:t>
            </w:r>
            <w:r w:rsidR="00AF370F">
              <w:rPr>
                <w:sz w:val="20"/>
                <w:szCs w:val="20"/>
              </w:rPr>
              <w:t xml:space="preserve">ë </w:t>
            </w:r>
            <w:r w:rsidR="00942B55">
              <w:rPr>
                <w:sz w:val="20"/>
                <w:szCs w:val="20"/>
              </w:rPr>
              <w:t xml:space="preserve">  </w:t>
            </w:r>
            <w:r w:rsidR="007513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FB71EA" w:rsidP="00541118" w:rsidRDefault="00FB71EA">
            <w:pPr>
              <w:pStyle w:val="Default"/>
              <w:rPr>
                <w:sz w:val="20"/>
                <w:szCs w:val="20"/>
              </w:rPr>
            </w:pPr>
          </w:p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-35%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Bulgar</w:t>
            </w:r>
            <w:r w:rsidR="00AF370F">
              <w:rPr>
                <w:sz w:val="20"/>
                <w:szCs w:val="20"/>
              </w:rPr>
              <w:t xml:space="preserve">ije </w:t>
            </w:r>
            <w:r w:rsidR="00942B5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AF37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Tsjechië </w:t>
            </w:r>
            <w:r w:rsidR="007513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-14%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</w:t>
            </w:r>
            <w:r w:rsidR="00AF370F">
              <w:rPr>
                <w:sz w:val="20"/>
                <w:szCs w:val="20"/>
              </w:rPr>
              <w:t xml:space="preserve">emarken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-39%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AF37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Duitsland </w:t>
            </w:r>
            <w:r w:rsidR="007513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-38%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</w:t>
            </w:r>
            <w:r w:rsidR="00AF370F">
              <w:rPr>
                <w:sz w:val="20"/>
                <w:szCs w:val="20"/>
              </w:rPr>
              <w:t xml:space="preserve">land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-13%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F370F">
              <w:rPr>
                <w:sz w:val="20"/>
                <w:szCs w:val="20"/>
              </w:rPr>
              <w:t xml:space="preserve">erland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-30%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</w:t>
            </w:r>
            <w:r w:rsidR="00AF370F">
              <w:rPr>
                <w:sz w:val="20"/>
                <w:szCs w:val="20"/>
              </w:rPr>
              <w:t xml:space="preserve">iekenland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-16%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</w:t>
            </w:r>
            <w:r w:rsidR="00AF370F">
              <w:rPr>
                <w:sz w:val="20"/>
                <w:szCs w:val="20"/>
              </w:rPr>
              <w:t xml:space="preserve">nje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-26%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</w:t>
            </w:r>
            <w:r w:rsidR="00AF370F">
              <w:rPr>
                <w:sz w:val="20"/>
                <w:szCs w:val="20"/>
              </w:rPr>
              <w:t xml:space="preserve">krijk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-37%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AF37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Kroatië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</w:t>
            </w:r>
            <w:r w:rsidR="00AF370F">
              <w:rPr>
                <w:sz w:val="20"/>
                <w:szCs w:val="20"/>
              </w:rPr>
              <w:t xml:space="preserve">ië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-33%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Cyprus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-24%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AF370F">
              <w:rPr>
                <w:sz w:val="20"/>
                <w:szCs w:val="20"/>
              </w:rPr>
              <w:t xml:space="preserve">etland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</w:t>
            </w:r>
            <w:r w:rsidR="00AF370F">
              <w:rPr>
                <w:sz w:val="20"/>
                <w:szCs w:val="20"/>
              </w:rPr>
              <w:t xml:space="preserve">ouwen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-9%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Luxemburg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-40%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</w:t>
            </w:r>
            <w:r w:rsidR="00AF370F">
              <w:rPr>
                <w:sz w:val="20"/>
                <w:szCs w:val="20"/>
              </w:rPr>
              <w:t xml:space="preserve">ije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Malta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-19%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  <w:r w:rsidR="00AF370F">
              <w:rPr>
                <w:sz w:val="20"/>
                <w:szCs w:val="20"/>
              </w:rPr>
              <w:t xml:space="preserve">derland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-36%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AF37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Oostenrijk </w:t>
            </w:r>
            <w:r w:rsidR="007513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-36%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</w:t>
            </w:r>
            <w:r w:rsidR="00AF370F">
              <w:rPr>
                <w:sz w:val="20"/>
                <w:szCs w:val="20"/>
              </w:rPr>
              <w:t xml:space="preserve">en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Portugal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-17%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</w:t>
            </w:r>
            <w:r w:rsidR="00AF370F">
              <w:rPr>
                <w:sz w:val="20"/>
                <w:szCs w:val="20"/>
              </w:rPr>
              <w:t xml:space="preserve">enië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Sloveni</w:t>
            </w:r>
            <w:r w:rsidR="00AF370F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-15%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</w:t>
            </w:r>
            <w:r w:rsidR="00AF370F">
              <w:rPr>
                <w:sz w:val="20"/>
                <w:szCs w:val="20"/>
              </w:rPr>
              <w:t xml:space="preserve">wakijke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-12%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Finland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-39%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AF37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7513BC">
              <w:rPr>
                <w:sz w:val="20"/>
                <w:szCs w:val="20"/>
              </w:rPr>
              <w:t xml:space="preserve">weden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-40% </w:t>
            </w:r>
          </w:p>
        </w:tc>
      </w:tr>
      <w:tr w:rsidR="007513BC" w:rsidTr="00541118">
        <w:trPr>
          <w:trHeight w:val="91"/>
        </w:trPr>
        <w:tc>
          <w:tcPr>
            <w:tcW w:w="4760" w:type="dxa"/>
          </w:tcPr>
          <w:p w:rsidR="007513BC" w:rsidP="00AF370F" w:rsidRDefault="00AF37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Verenigd Koninkrijk</w:t>
            </w:r>
            <w:r w:rsidR="007513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</w:tcPr>
          <w:p w:rsidR="007513BC" w:rsidP="00541118" w:rsidRDefault="007513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-37% </w:t>
            </w:r>
          </w:p>
        </w:tc>
      </w:tr>
    </w:tbl>
    <w:p w:rsidR="00AC191D" w:rsidP="00AC191D" w:rsidRDefault="00AC191D"/>
    <w:p w:rsidR="002642FC" w:rsidRDefault="002642FC">
      <w:pPr>
        <w:rPr>
          <w:rFonts w:eastAsia="DejaVu Sans" w:cs="Lohit Hindi"/>
          <w:b/>
          <w:kern w:val="3"/>
          <w:szCs w:val="18"/>
          <w:lang w:eastAsia="zh-CN" w:bidi="hi-IN"/>
        </w:rPr>
      </w:pPr>
    </w:p>
    <w:sectPr w:rsidR="002642FC" w:rsidSect="009B54E7">
      <w:headerReference w:type="default" r:id="rId16"/>
      <w:footerReference w:type="default" r:id="rId17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67" w:rsidRDefault="00F04D67">
      <w:r>
        <w:separator/>
      </w:r>
    </w:p>
  </w:endnote>
  <w:endnote w:type="continuationSeparator" w:id="0">
    <w:p w:rsidR="00F04D67" w:rsidRDefault="00F0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FiraSans-Ligh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134099"/>
      <w:docPartObj>
        <w:docPartGallery w:val="Page Numbers (Bottom of Page)"/>
        <w:docPartUnique/>
      </w:docPartObj>
    </w:sdtPr>
    <w:sdtEndPr/>
    <w:sdtContent>
      <w:p w:rsidR="00F04D67" w:rsidRDefault="00F04D6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92E">
          <w:rPr>
            <w:noProof/>
          </w:rPr>
          <w:t>1</w:t>
        </w:r>
        <w:r>
          <w:fldChar w:fldCharType="end"/>
        </w:r>
      </w:p>
    </w:sdtContent>
  </w:sdt>
  <w:p w:rsidR="00F04D67" w:rsidRDefault="00F04D6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67" w:rsidRDefault="00F04D67">
      <w:r>
        <w:separator/>
      </w:r>
    </w:p>
  </w:footnote>
  <w:footnote w:type="continuationSeparator" w:id="0">
    <w:p w:rsidR="00F04D67" w:rsidRDefault="00F04D67">
      <w:r>
        <w:continuationSeparator/>
      </w:r>
    </w:p>
  </w:footnote>
  <w:footnote w:id="1">
    <w:p w:rsidR="00474FC4" w:rsidRPr="00827435" w:rsidRDefault="00474FC4" w:rsidP="00474FC4">
      <w:pPr>
        <w:pStyle w:val="Voetnoottekst"/>
        <w:rPr>
          <w:sz w:val="16"/>
          <w:szCs w:val="16"/>
        </w:rPr>
      </w:pPr>
      <w:r w:rsidRPr="00827435">
        <w:rPr>
          <w:rStyle w:val="Voetnootmarkering"/>
          <w:sz w:val="16"/>
          <w:szCs w:val="16"/>
        </w:rPr>
        <w:footnoteRef/>
      </w:r>
      <w:r w:rsidRPr="00827435">
        <w:rPr>
          <w:sz w:val="16"/>
          <w:szCs w:val="16"/>
        </w:rPr>
        <w:t xml:space="preserve"> Het plaatsen van een behandelvoorbehoud geeft de Kamer de mogelijkheid om in </w:t>
      </w:r>
      <w:r>
        <w:rPr>
          <w:sz w:val="16"/>
          <w:szCs w:val="16"/>
        </w:rPr>
        <w:t xml:space="preserve">een </w:t>
      </w:r>
      <w:r w:rsidRPr="00827435">
        <w:rPr>
          <w:sz w:val="16"/>
          <w:szCs w:val="16"/>
        </w:rPr>
        <w:t xml:space="preserve">vroeg stadium </w:t>
      </w:r>
      <w:r>
        <w:rPr>
          <w:sz w:val="16"/>
          <w:szCs w:val="16"/>
        </w:rPr>
        <w:t xml:space="preserve">tijdens een zogeheten algemeen overleg (AO) behandelvoorbehoud </w:t>
      </w:r>
      <w:r w:rsidRPr="00827435">
        <w:rPr>
          <w:sz w:val="16"/>
          <w:szCs w:val="16"/>
        </w:rPr>
        <w:t xml:space="preserve">met de betreffende bewindspersoon de Nederlandse inzet in de Brusselse onderhandelingen te bespreken en eventueel afspraken te maken over de informatievoorziening </w:t>
      </w:r>
      <w:r>
        <w:rPr>
          <w:sz w:val="16"/>
          <w:szCs w:val="16"/>
        </w:rPr>
        <w:t xml:space="preserve">van het kabinet </w:t>
      </w:r>
      <w:r w:rsidRPr="00827435">
        <w:rPr>
          <w:sz w:val="16"/>
          <w:szCs w:val="16"/>
        </w:rPr>
        <w:t>aan de Kamer gedurende het onderhandelingstraject</w:t>
      </w:r>
      <w:r>
        <w:rPr>
          <w:sz w:val="16"/>
          <w:szCs w:val="16"/>
        </w:rPr>
        <w:t>.</w:t>
      </w:r>
      <w:r w:rsidRPr="00827435">
        <w:rPr>
          <w:color w:val="000000"/>
          <w:szCs w:val="18"/>
        </w:rPr>
        <w:t xml:space="preserve"> </w:t>
      </w:r>
      <w:r w:rsidRPr="00827435">
        <w:rPr>
          <w:color w:val="000000"/>
          <w:sz w:val="16"/>
          <w:szCs w:val="16"/>
        </w:rPr>
        <w:t>Totdat het zogeheten AO behandelvoorbehoud heeft plaatsgevonden, mag het Nederlandse kabinet geen onomkeerbare stappen in de Brusselse onderhandelingen zetten</w:t>
      </w:r>
      <w:r>
        <w:rPr>
          <w:color w:val="000000"/>
          <w:sz w:val="16"/>
          <w:szCs w:val="16"/>
        </w:rPr>
        <w:t>.</w:t>
      </w:r>
    </w:p>
  </w:footnote>
  <w:footnote w:id="2">
    <w:p w:rsidR="00021301" w:rsidRPr="002F2F7A" w:rsidRDefault="00021301">
      <w:pPr>
        <w:pStyle w:val="Voetnoottekst"/>
        <w:rPr>
          <w:sz w:val="16"/>
          <w:szCs w:val="16"/>
        </w:rPr>
      </w:pPr>
      <w:r w:rsidRPr="002F2F7A">
        <w:rPr>
          <w:rStyle w:val="Voetnootmarkering"/>
          <w:sz w:val="16"/>
          <w:szCs w:val="16"/>
        </w:rPr>
        <w:footnoteRef/>
      </w:r>
      <w:r w:rsidRPr="002F2F7A">
        <w:rPr>
          <w:sz w:val="16"/>
          <w:szCs w:val="16"/>
        </w:rPr>
        <w:t xml:space="preserve"> Voor meer informatie hierover zie </w:t>
      </w:r>
      <w:r w:rsidR="002F2F7A">
        <w:rPr>
          <w:sz w:val="16"/>
          <w:szCs w:val="16"/>
        </w:rPr>
        <w:t xml:space="preserve">ook </w:t>
      </w:r>
      <w:r w:rsidRPr="002F2F7A">
        <w:rPr>
          <w:sz w:val="16"/>
          <w:szCs w:val="16"/>
        </w:rPr>
        <w:t xml:space="preserve">de </w:t>
      </w:r>
      <w:hyperlink r:id="rId1" w:history="1">
        <w:r w:rsidRPr="002F2F7A">
          <w:rPr>
            <w:rStyle w:val="Hyperlink"/>
            <w:sz w:val="16"/>
            <w:szCs w:val="16"/>
          </w:rPr>
          <w:t xml:space="preserve">tussenrapportage van de co-rapporteurs Energie-Unie d.d. </w:t>
        </w:r>
        <w:r w:rsidR="00B94CF8" w:rsidRPr="002F2F7A">
          <w:rPr>
            <w:rStyle w:val="Hyperlink"/>
            <w:sz w:val="16"/>
            <w:szCs w:val="16"/>
          </w:rPr>
          <w:t>10</w:t>
        </w:r>
        <w:r w:rsidRPr="002F2F7A">
          <w:rPr>
            <w:rStyle w:val="Hyperlink"/>
            <w:sz w:val="16"/>
            <w:szCs w:val="16"/>
          </w:rPr>
          <w:t xml:space="preserve"> maart 2016</w:t>
        </w:r>
      </w:hyperlink>
      <w:r w:rsidRPr="002F2F7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67" w:rsidRDefault="00F04D6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2064" behindDoc="1" locked="0" layoutInCell="1" allowOverlap="1" wp14:anchorId="4B00F672" wp14:editId="7EFB59D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07AC"/>
    <w:multiLevelType w:val="hybridMultilevel"/>
    <w:tmpl w:val="B74A13B4"/>
    <w:lvl w:ilvl="0" w:tplc="2F7CF4E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5" w:hanging="360"/>
      </w:pPr>
    </w:lvl>
    <w:lvl w:ilvl="2" w:tplc="0413001B" w:tentative="1">
      <w:start w:val="1"/>
      <w:numFmt w:val="lowerRoman"/>
      <w:lvlText w:val="%3."/>
      <w:lvlJc w:val="right"/>
      <w:pPr>
        <w:ind w:left="1855" w:hanging="180"/>
      </w:pPr>
    </w:lvl>
    <w:lvl w:ilvl="3" w:tplc="0413000F" w:tentative="1">
      <w:start w:val="1"/>
      <w:numFmt w:val="decimal"/>
      <w:lvlText w:val="%4."/>
      <w:lvlJc w:val="left"/>
      <w:pPr>
        <w:ind w:left="2575" w:hanging="360"/>
      </w:pPr>
    </w:lvl>
    <w:lvl w:ilvl="4" w:tplc="04130019" w:tentative="1">
      <w:start w:val="1"/>
      <w:numFmt w:val="lowerLetter"/>
      <w:lvlText w:val="%5."/>
      <w:lvlJc w:val="left"/>
      <w:pPr>
        <w:ind w:left="3295" w:hanging="360"/>
      </w:pPr>
    </w:lvl>
    <w:lvl w:ilvl="5" w:tplc="0413001B" w:tentative="1">
      <w:start w:val="1"/>
      <w:numFmt w:val="lowerRoman"/>
      <w:lvlText w:val="%6."/>
      <w:lvlJc w:val="right"/>
      <w:pPr>
        <w:ind w:left="4015" w:hanging="180"/>
      </w:pPr>
    </w:lvl>
    <w:lvl w:ilvl="6" w:tplc="0413000F" w:tentative="1">
      <w:start w:val="1"/>
      <w:numFmt w:val="decimal"/>
      <w:lvlText w:val="%7."/>
      <w:lvlJc w:val="left"/>
      <w:pPr>
        <w:ind w:left="4735" w:hanging="360"/>
      </w:pPr>
    </w:lvl>
    <w:lvl w:ilvl="7" w:tplc="04130019" w:tentative="1">
      <w:start w:val="1"/>
      <w:numFmt w:val="lowerLetter"/>
      <w:lvlText w:val="%8."/>
      <w:lvlJc w:val="left"/>
      <w:pPr>
        <w:ind w:left="5455" w:hanging="360"/>
      </w:pPr>
    </w:lvl>
    <w:lvl w:ilvl="8" w:tplc="0413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1A032527"/>
    <w:multiLevelType w:val="multilevel"/>
    <w:tmpl w:val="50146636"/>
    <w:lvl w:ilvl="0">
      <w:start w:val="1"/>
      <w:numFmt w:val="decimal"/>
      <w:pStyle w:val="Paragraaf-Huisstij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cs="Times New Roman" w:hint="default"/>
      </w:rPr>
    </w:lvl>
    <w:lvl w:ilvl="4">
      <w:start w:val="1"/>
      <w:numFmt w:val="none"/>
      <w:lvlText w:val="%5"/>
      <w:lvlJc w:val="left"/>
      <w:pPr>
        <w:ind w:left="340" w:hanging="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ind w:left="340" w:hanging="34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40" w:hanging="34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40" w:hanging="34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40" w:hanging="340"/>
      </w:pPr>
      <w:rPr>
        <w:rFonts w:cs="Times New Roman" w:hint="default"/>
      </w:rPr>
    </w:lvl>
  </w:abstractNum>
  <w:abstractNum w:abstractNumId="2">
    <w:nsid w:val="1A735645"/>
    <w:multiLevelType w:val="hybridMultilevel"/>
    <w:tmpl w:val="BB4251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15F35"/>
    <w:multiLevelType w:val="hybridMultilevel"/>
    <w:tmpl w:val="54ACD0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25B2"/>
    <w:multiLevelType w:val="hybridMultilevel"/>
    <w:tmpl w:val="7D0A4840"/>
    <w:lvl w:ilvl="0" w:tplc="250E0F4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5" w:hanging="360"/>
      </w:pPr>
    </w:lvl>
    <w:lvl w:ilvl="2" w:tplc="0413001B" w:tentative="1">
      <w:start w:val="1"/>
      <w:numFmt w:val="lowerRoman"/>
      <w:lvlText w:val="%3."/>
      <w:lvlJc w:val="right"/>
      <w:pPr>
        <w:ind w:left="1855" w:hanging="180"/>
      </w:pPr>
    </w:lvl>
    <w:lvl w:ilvl="3" w:tplc="0413000F" w:tentative="1">
      <w:start w:val="1"/>
      <w:numFmt w:val="decimal"/>
      <w:lvlText w:val="%4."/>
      <w:lvlJc w:val="left"/>
      <w:pPr>
        <w:ind w:left="2575" w:hanging="360"/>
      </w:pPr>
    </w:lvl>
    <w:lvl w:ilvl="4" w:tplc="04130019" w:tentative="1">
      <w:start w:val="1"/>
      <w:numFmt w:val="lowerLetter"/>
      <w:lvlText w:val="%5."/>
      <w:lvlJc w:val="left"/>
      <w:pPr>
        <w:ind w:left="3295" w:hanging="360"/>
      </w:pPr>
    </w:lvl>
    <w:lvl w:ilvl="5" w:tplc="0413001B" w:tentative="1">
      <w:start w:val="1"/>
      <w:numFmt w:val="lowerRoman"/>
      <w:lvlText w:val="%6."/>
      <w:lvlJc w:val="right"/>
      <w:pPr>
        <w:ind w:left="4015" w:hanging="180"/>
      </w:pPr>
    </w:lvl>
    <w:lvl w:ilvl="6" w:tplc="0413000F" w:tentative="1">
      <w:start w:val="1"/>
      <w:numFmt w:val="decimal"/>
      <w:lvlText w:val="%7."/>
      <w:lvlJc w:val="left"/>
      <w:pPr>
        <w:ind w:left="4735" w:hanging="360"/>
      </w:pPr>
    </w:lvl>
    <w:lvl w:ilvl="7" w:tplc="04130019" w:tentative="1">
      <w:start w:val="1"/>
      <w:numFmt w:val="lowerLetter"/>
      <w:lvlText w:val="%8."/>
      <w:lvlJc w:val="left"/>
      <w:pPr>
        <w:ind w:left="5455" w:hanging="360"/>
      </w:pPr>
    </w:lvl>
    <w:lvl w:ilvl="8" w:tplc="0413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>
    <w:nsid w:val="2B406075"/>
    <w:multiLevelType w:val="hybridMultilevel"/>
    <w:tmpl w:val="669E46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F589F"/>
    <w:multiLevelType w:val="hybridMultilevel"/>
    <w:tmpl w:val="E81C3B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632F7"/>
    <w:multiLevelType w:val="hybridMultilevel"/>
    <w:tmpl w:val="453EB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E6EE4"/>
    <w:multiLevelType w:val="hybridMultilevel"/>
    <w:tmpl w:val="A74CA1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D436C"/>
    <w:multiLevelType w:val="hybridMultilevel"/>
    <w:tmpl w:val="8294D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60E84"/>
    <w:multiLevelType w:val="hybridMultilevel"/>
    <w:tmpl w:val="4F060B00"/>
    <w:lvl w:ilvl="0" w:tplc="08F4C3A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5" w:hanging="360"/>
      </w:pPr>
    </w:lvl>
    <w:lvl w:ilvl="2" w:tplc="0413001B" w:tentative="1">
      <w:start w:val="1"/>
      <w:numFmt w:val="lowerRoman"/>
      <w:lvlText w:val="%3."/>
      <w:lvlJc w:val="right"/>
      <w:pPr>
        <w:ind w:left="1855" w:hanging="180"/>
      </w:pPr>
    </w:lvl>
    <w:lvl w:ilvl="3" w:tplc="0413000F" w:tentative="1">
      <w:start w:val="1"/>
      <w:numFmt w:val="decimal"/>
      <w:lvlText w:val="%4."/>
      <w:lvlJc w:val="left"/>
      <w:pPr>
        <w:ind w:left="2575" w:hanging="360"/>
      </w:pPr>
    </w:lvl>
    <w:lvl w:ilvl="4" w:tplc="04130019" w:tentative="1">
      <w:start w:val="1"/>
      <w:numFmt w:val="lowerLetter"/>
      <w:lvlText w:val="%5."/>
      <w:lvlJc w:val="left"/>
      <w:pPr>
        <w:ind w:left="3295" w:hanging="360"/>
      </w:pPr>
    </w:lvl>
    <w:lvl w:ilvl="5" w:tplc="0413001B" w:tentative="1">
      <w:start w:val="1"/>
      <w:numFmt w:val="lowerRoman"/>
      <w:lvlText w:val="%6."/>
      <w:lvlJc w:val="right"/>
      <w:pPr>
        <w:ind w:left="4015" w:hanging="180"/>
      </w:pPr>
    </w:lvl>
    <w:lvl w:ilvl="6" w:tplc="0413000F" w:tentative="1">
      <w:start w:val="1"/>
      <w:numFmt w:val="decimal"/>
      <w:lvlText w:val="%7."/>
      <w:lvlJc w:val="left"/>
      <w:pPr>
        <w:ind w:left="4735" w:hanging="360"/>
      </w:pPr>
    </w:lvl>
    <w:lvl w:ilvl="7" w:tplc="04130019" w:tentative="1">
      <w:start w:val="1"/>
      <w:numFmt w:val="lowerLetter"/>
      <w:lvlText w:val="%8."/>
      <w:lvlJc w:val="left"/>
      <w:pPr>
        <w:ind w:left="5455" w:hanging="360"/>
      </w:pPr>
    </w:lvl>
    <w:lvl w:ilvl="8" w:tplc="0413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>
    <w:nsid w:val="41853F7E"/>
    <w:multiLevelType w:val="hybridMultilevel"/>
    <w:tmpl w:val="848086BA"/>
    <w:lvl w:ilvl="0" w:tplc="2C16C03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2194C"/>
    <w:multiLevelType w:val="hybridMultilevel"/>
    <w:tmpl w:val="6BFE7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84475"/>
    <w:multiLevelType w:val="hybridMultilevel"/>
    <w:tmpl w:val="5F7CAA00"/>
    <w:lvl w:ilvl="0" w:tplc="F10AA7D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5" w:hanging="360"/>
      </w:pPr>
    </w:lvl>
    <w:lvl w:ilvl="2" w:tplc="0413001B" w:tentative="1">
      <w:start w:val="1"/>
      <w:numFmt w:val="lowerRoman"/>
      <w:lvlText w:val="%3."/>
      <w:lvlJc w:val="right"/>
      <w:pPr>
        <w:ind w:left="1855" w:hanging="180"/>
      </w:pPr>
    </w:lvl>
    <w:lvl w:ilvl="3" w:tplc="0413000F" w:tentative="1">
      <w:start w:val="1"/>
      <w:numFmt w:val="decimal"/>
      <w:lvlText w:val="%4."/>
      <w:lvlJc w:val="left"/>
      <w:pPr>
        <w:ind w:left="2575" w:hanging="360"/>
      </w:pPr>
    </w:lvl>
    <w:lvl w:ilvl="4" w:tplc="04130019" w:tentative="1">
      <w:start w:val="1"/>
      <w:numFmt w:val="lowerLetter"/>
      <w:lvlText w:val="%5."/>
      <w:lvlJc w:val="left"/>
      <w:pPr>
        <w:ind w:left="3295" w:hanging="360"/>
      </w:pPr>
    </w:lvl>
    <w:lvl w:ilvl="5" w:tplc="0413001B" w:tentative="1">
      <w:start w:val="1"/>
      <w:numFmt w:val="lowerRoman"/>
      <w:lvlText w:val="%6."/>
      <w:lvlJc w:val="right"/>
      <w:pPr>
        <w:ind w:left="4015" w:hanging="180"/>
      </w:pPr>
    </w:lvl>
    <w:lvl w:ilvl="6" w:tplc="0413000F" w:tentative="1">
      <w:start w:val="1"/>
      <w:numFmt w:val="decimal"/>
      <w:lvlText w:val="%7."/>
      <w:lvlJc w:val="left"/>
      <w:pPr>
        <w:ind w:left="4735" w:hanging="360"/>
      </w:pPr>
    </w:lvl>
    <w:lvl w:ilvl="7" w:tplc="04130019" w:tentative="1">
      <w:start w:val="1"/>
      <w:numFmt w:val="lowerLetter"/>
      <w:lvlText w:val="%8."/>
      <w:lvlJc w:val="left"/>
      <w:pPr>
        <w:ind w:left="5455" w:hanging="360"/>
      </w:pPr>
    </w:lvl>
    <w:lvl w:ilvl="8" w:tplc="0413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4">
    <w:nsid w:val="4FA11290"/>
    <w:multiLevelType w:val="hybridMultilevel"/>
    <w:tmpl w:val="C6DA2046"/>
    <w:lvl w:ilvl="0" w:tplc="A12469A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5" w:hanging="360"/>
      </w:pPr>
    </w:lvl>
    <w:lvl w:ilvl="2" w:tplc="0413001B" w:tentative="1">
      <w:start w:val="1"/>
      <w:numFmt w:val="lowerRoman"/>
      <w:lvlText w:val="%3."/>
      <w:lvlJc w:val="right"/>
      <w:pPr>
        <w:ind w:left="1855" w:hanging="180"/>
      </w:pPr>
    </w:lvl>
    <w:lvl w:ilvl="3" w:tplc="0413000F" w:tentative="1">
      <w:start w:val="1"/>
      <w:numFmt w:val="decimal"/>
      <w:lvlText w:val="%4."/>
      <w:lvlJc w:val="left"/>
      <w:pPr>
        <w:ind w:left="2575" w:hanging="360"/>
      </w:pPr>
    </w:lvl>
    <w:lvl w:ilvl="4" w:tplc="04130019" w:tentative="1">
      <w:start w:val="1"/>
      <w:numFmt w:val="lowerLetter"/>
      <w:lvlText w:val="%5."/>
      <w:lvlJc w:val="left"/>
      <w:pPr>
        <w:ind w:left="3295" w:hanging="360"/>
      </w:pPr>
    </w:lvl>
    <w:lvl w:ilvl="5" w:tplc="0413001B" w:tentative="1">
      <w:start w:val="1"/>
      <w:numFmt w:val="lowerRoman"/>
      <w:lvlText w:val="%6."/>
      <w:lvlJc w:val="right"/>
      <w:pPr>
        <w:ind w:left="4015" w:hanging="180"/>
      </w:pPr>
    </w:lvl>
    <w:lvl w:ilvl="6" w:tplc="0413000F" w:tentative="1">
      <w:start w:val="1"/>
      <w:numFmt w:val="decimal"/>
      <w:lvlText w:val="%7."/>
      <w:lvlJc w:val="left"/>
      <w:pPr>
        <w:ind w:left="4735" w:hanging="360"/>
      </w:pPr>
    </w:lvl>
    <w:lvl w:ilvl="7" w:tplc="04130019" w:tentative="1">
      <w:start w:val="1"/>
      <w:numFmt w:val="lowerLetter"/>
      <w:lvlText w:val="%8."/>
      <w:lvlJc w:val="left"/>
      <w:pPr>
        <w:ind w:left="5455" w:hanging="360"/>
      </w:pPr>
    </w:lvl>
    <w:lvl w:ilvl="8" w:tplc="0413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5">
    <w:nsid w:val="50564C81"/>
    <w:multiLevelType w:val="hybridMultilevel"/>
    <w:tmpl w:val="853CEDEE"/>
    <w:lvl w:ilvl="0" w:tplc="1096C7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5" w:hanging="360"/>
      </w:pPr>
    </w:lvl>
    <w:lvl w:ilvl="2" w:tplc="0413001B" w:tentative="1">
      <w:start w:val="1"/>
      <w:numFmt w:val="lowerRoman"/>
      <w:lvlText w:val="%3."/>
      <w:lvlJc w:val="right"/>
      <w:pPr>
        <w:ind w:left="1855" w:hanging="180"/>
      </w:pPr>
    </w:lvl>
    <w:lvl w:ilvl="3" w:tplc="0413000F" w:tentative="1">
      <w:start w:val="1"/>
      <w:numFmt w:val="decimal"/>
      <w:lvlText w:val="%4."/>
      <w:lvlJc w:val="left"/>
      <w:pPr>
        <w:ind w:left="2575" w:hanging="360"/>
      </w:pPr>
    </w:lvl>
    <w:lvl w:ilvl="4" w:tplc="04130019" w:tentative="1">
      <w:start w:val="1"/>
      <w:numFmt w:val="lowerLetter"/>
      <w:lvlText w:val="%5."/>
      <w:lvlJc w:val="left"/>
      <w:pPr>
        <w:ind w:left="3295" w:hanging="360"/>
      </w:pPr>
    </w:lvl>
    <w:lvl w:ilvl="5" w:tplc="0413001B" w:tentative="1">
      <w:start w:val="1"/>
      <w:numFmt w:val="lowerRoman"/>
      <w:lvlText w:val="%6."/>
      <w:lvlJc w:val="right"/>
      <w:pPr>
        <w:ind w:left="4015" w:hanging="180"/>
      </w:pPr>
    </w:lvl>
    <w:lvl w:ilvl="6" w:tplc="0413000F" w:tentative="1">
      <w:start w:val="1"/>
      <w:numFmt w:val="decimal"/>
      <w:lvlText w:val="%7."/>
      <w:lvlJc w:val="left"/>
      <w:pPr>
        <w:ind w:left="4735" w:hanging="360"/>
      </w:pPr>
    </w:lvl>
    <w:lvl w:ilvl="7" w:tplc="04130019" w:tentative="1">
      <w:start w:val="1"/>
      <w:numFmt w:val="lowerLetter"/>
      <w:lvlText w:val="%8."/>
      <w:lvlJc w:val="left"/>
      <w:pPr>
        <w:ind w:left="5455" w:hanging="360"/>
      </w:pPr>
    </w:lvl>
    <w:lvl w:ilvl="8" w:tplc="0413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6">
    <w:nsid w:val="51E80806"/>
    <w:multiLevelType w:val="hybridMultilevel"/>
    <w:tmpl w:val="86120974"/>
    <w:lvl w:ilvl="0" w:tplc="F5F68B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819FC"/>
    <w:multiLevelType w:val="hybridMultilevel"/>
    <w:tmpl w:val="18D8A09C"/>
    <w:lvl w:ilvl="0" w:tplc="4A20264A">
      <w:numFmt w:val="bullet"/>
      <w:lvlText w:val="-"/>
      <w:lvlJc w:val="left"/>
      <w:pPr>
        <w:ind w:left="397" w:hanging="397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E081E"/>
    <w:multiLevelType w:val="hybridMultilevel"/>
    <w:tmpl w:val="46C8B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D2450"/>
    <w:multiLevelType w:val="hybridMultilevel"/>
    <w:tmpl w:val="A7641A62"/>
    <w:lvl w:ilvl="0" w:tplc="4A20264A">
      <w:numFmt w:val="bullet"/>
      <w:lvlText w:val="-"/>
      <w:lvlJc w:val="left"/>
      <w:pPr>
        <w:ind w:left="397" w:hanging="397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025DC"/>
    <w:multiLevelType w:val="hybridMultilevel"/>
    <w:tmpl w:val="5574B750"/>
    <w:lvl w:ilvl="0" w:tplc="C23630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5F0D4C99"/>
    <w:multiLevelType w:val="hybridMultilevel"/>
    <w:tmpl w:val="F440C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E48BA"/>
    <w:multiLevelType w:val="hybridMultilevel"/>
    <w:tmpl w:val="72A0D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BD49E4"/>
    <w:multiLevelType w:val="hybridMultilevel"/>
    <w:tmpl w:val="B1F6A42E"/>
    <w:lvl w:ilvl="0" w:tplc="BD80885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5" w:hanging="360"/>
      </w:pPr>
    </w:lvl>
    <w:lvl w:ilvl="2" w:tplc="0413001B" w:tentative="1">
      <w:start w:val="1"/>
      <w:numFmt w:val="lowerRoman"/>
      <w:lvlText w:val="%3."/>
      <w:lvlJc w:val="right"/>
      <w:pPr>
        <w:ind w:left="1855" w:hanging="180"/>
      </w:pPr>
    </w:lvl>
    <w:lvl w:ilvl="3" w:tplc="0413000F" w:tentative="1">
      <w:start w:val="1"/>
      <w:numFmt w:val="decimal"/>
      <w:lvlText w:val="%4."/>
      <w:lvlJc w:val="left"/>
      <w:pPr>
        <w:ind w:left="2575" w:hanging="360"/>
      </w:pPr>
    </w:lvl>
    <w:lvl w:ilvl="4" w:tplc="04130019" w:tentative="1">
      <w:start w:val="1"/>
      <w:numFmt w:val="lowerLetter"/>
      <w:lvlText w:val="%5."/>
      <w:lvlJc w:val="left"/>
      <w:pPr>
        <w:ind w:left="3295" w:hanging="360"/>
      </w:pPr>
    </w:lvl>
    <w:lvl w:ilvl="5" w:tplc="0413001B" w:tentative="1">
      <w:start w:val="1"/>
      <w:numFmt w:val="lowerRoman"/>
      <w:lvlText w:val="%6."/>
      <w:lvlJc w:val="right"/>
      <w:pPr>
        <w:ind w:left="4015" w:hanging="180"/>
      </w:pPr>
    </w:lvl>
    <w:lvl w:ilvl="6" w:tplc="0413000F" w:tentative="1">
      <w:start w:val="1"/>
      <w:numFmt w:val="decimal"/>
      <w:lvlText w:val="%7."/>
      <w:lvlJc w:val="left"/>
      <w:pPr>
        <w:ind w:left="4735" w:hanging="360"/>
      </w:pPr>
    </w:lvl>
    <w:lvl w:ilvl="7" w:tplc="04130019" w:tentative="1">
      <w:start w:val="1"/>
      <w:numFmt w:val="lowerLetter"/>
      <w:lvlText w:val="%8."/>
      <w:lvlJc w:val="left"/>
      <w:pPr>
        <w:ind w:left="5455" w:hanging="360"/>
      </w:pPr>
    </w:lvl>
    <w:lvl w:ilvl="8" w:tplc="0413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4">
    <w:nsid w:val="6BF017DA"/>
    <w:multiLevelType w:val="hybridMultilevel"/>
    <w:tmpl w:val="6CD468DC"/>
    <w:lvl w:ilvl="0" w:tplc="8932E1F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5" w:hanging="360"/>
      </w:pPr>
    </w:lvl>
    <w:lvl w:ilvl="2" w:tplc="0413001B" w:tentative="1">
      <w:start w:val="1"/>
      <w:numFmt w:val="lowerRoman"/>
      <w:lvlText w:val="%3."/>
      <w:lvlJc w:val="right"/>
      <w:pPr>
        <w:ind w:left="1855" w:hanging="180"/>
      </w:pPr>
    </w:lvl>
    <w:lvl w:ilvl="3" w:tplc="0413000F" w:tentative="1">
      <w:start w:val="1"/>
      <w:numFmt w:val="decimal"/>
      <w:lvlText w:val="%4."/>
      <w:lvlJc w:val="left"/>
      <w:pPr>
        <w:ind w:left="2575" w:hanging="360"/>
      </w:pPr>
    </w:lvl>
    <w:lvl w:ilvl="4" w:tplc="04130019" w:tentative="1">
      <w:start w:val="1"/>
      <w:numFmt w:val="lowerLetter"/>
      <w:lvlText w:val="%5."/>
      <w:lvlJc w:val="left"/>
      <w:pPr>
        <w:ind w:left="3295" w:hanging="360"/>
      </w:pPr>
    </w:lvl>
    <w:lvl w:ilvl="5" w:tplc="0413001B" w:tentative="1">
      <w:start w:val="1"/>
      <w:numFmt w:val="lowerRoman"/>
      <w:lvlText w:val="%6."/>
      <w:lvlJc w:val="right"/>
      <w:pPr>
        <w:ind w:left="4015" w:hanging="180"/>
      </w:pPr>
    </w:lvl>
    <w:lvl w:ilvl="6" w:tplc="0413000F" w:tentative="1">
      <w:start w:val="1"/>
      <w:numFmt w:val="decimal"/>
      <w:lvlText w:val="%7."/>
      <w:lvlJc w:val="left"/>
      <w:pPr>
        <w:ind w:left="4735" w:hanging="360"/>
      </w:pPr>
    </w:lvl>
    <w:lvl w:ilvl="7" w:tplc="04130019" w:tentative="1">
      <w:start w:val="1"/>
      <w:numFmt w:val="lowerLetter"/>
      <w:lvlText w:val="%8."/>
      <w:lvlJc w:val="left"/>
      <w:pPr>
        <w:ind w:left="5455" w:hanging="360"/>
      </w:pPr>
    </w:lvl>
    <w:lvl w:ilvl="8" w:tplc="0413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5">
    <w:nsid w:val="6BFD06B6"/>
    <w:multiLevelType w:val="hybridMultilevel"/>
    <w:tmpl w:val="721402FC"/>
    <w:lvl w:ilvl="0" w:tplc="4A20264A">
      <w:numFmt w:val="bullet"/>
      <w:lvlText w:val="-"/>
      <w:lvlJc w:val="left"/>
      <w:pPr>
        <w:ind w:left="397" w:hanging="397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81536"/>
    <w:multiLevelType w:val="hybridMultilevel"/>
    <w:tmpl w:val="C64493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F2257"/>
    <w:multiLevelType w:val="hybridMultilevel"/>
    <w:tmpl w:val="A11AE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74B91"/>
    <w:multiLevelType w:val="hybridMultilevel"/>
    <w:tmpl w:val="741A68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926AA"/>
    <w:multiLevelType w:val="hybridMultilevel"/>
    <w:tmpl w:val="0F908484"/>
    <w:lvl w:ilvl="0" w:tplc="170C7BFC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8D8481A"/>
    <w:multiLevelType w:val="hybridMultilevel"/>
    <w:tmpl w:val="4D9E0C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1"/>
  </w:num>
  <w:num w:numId="4">
    <w:abstractNumId w:val="21"/>
  </w:num>
  <w:num w:numId="5">
    <w:abstractNumId w:val="3"/>
  </w:num>
  <w:num w:numId="6">
    <w:abstractNumId w:val="17"/>
  </w:num>
  <w:num w:numId="7">
    <w:abstractNumId w:val="9"/>
  </w:num>
  <w:num w:numId="8">
    <w:abstractNumId w:val="19"/>
  </w:num>
  <w:num w:numId="9">
    <w:abstractNumId w:val="6"/>
  </w:num>
  <w:num w:numId="10">
    <w:abstractNumId w:val="5"/>
  </w:num>
  <w:num w:numId="11">
    <w:abstractNumId w:val="26"/>
  </w:num>
  <w:num w:numId="12">
    <w:abstractNumId w:val="18"/>
  </w:num>
  <w:num w:numId="13">
    <w:abstractNumId w:val="22"/>
  </w:num>
  <w:num w:numId="14">
    <w:abstractNumId w:val="8"/>
  </w:num>
  <w:num w:numId="15">
    <w:abstractNumId w:val="29"/>
  </w:num>
  <w:num w:numId="16">
    <w:abstractNumId w:val="1"/>
  </w:num>
  <w:num w:numId="17">
    <w:abstractNumId w:val="12"/>
  </w:num>
  <w:num w:numId="18">
    <w:abstractNumId w:val="20"/>
  </w:num>
  <w:num w:numId="19">
    <w:abstractNumId w:val="15"/>
  </w:num>
  <w:num w:numId="20">
    <w:abstractNumId w:val="14"/>
  </w:num>
  <w:num w:numId="21">
    <w:abstractNumId w:val="23"/>
  </w:num>
  <w:num w:numId="22">
    <w:abstractNumId w:val="4"/>
  </w:num>
  <w:num w:numId="23">
    <w:abstractNumId w:val="0"/>
  </w:num>
  <w:num w:numId="24">
    <w:abstractNumId w:val="10"/>
  </w:num>
  <w:num w:numId="25">
    <w:abstractNumId w:val="13"/>
  </w:num>
  <w:num w:numId="26">
    <w:abstractNumId w:val="24"/>
  </w:num>
  <w:num w:numId="27">
    <w:abstractNumId w:val="30"/>
  </w:num>
  <w:num w:numId="28">
    <w:abstractNumId w:val="28"/>
  </w:num>
  <w:num w:numId="29">
    <w:abstractNumId w:val="7"/>
  </w:num>
  <w:num w:numId="30">
    <w:abstractNumId w:val="27"/>
  </w:num>
  <w:num w:numId="3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DB"/>
    <w:rsid w:val="000033E5"/>
    <w:rsid w:val="00010DFA"/>
    <w:rsid w:val="0001201F"/>
    <w:rsid w:val="00012151"/>
    <w:rsid w:val="0001529F"/>
    <w:rsid w:val="000152C2"/>
    <w:rsid w:val="0001561F"/>
    <w:rsid w:val="00021301"/>
    <w:rsid w:val="00021664"/>
    <w:rsid w:val="00022CF4"/>
    <w:rsid w:val="00024CB3"/>
    <w:rsid w:val="00030C6E"/>
    <w:rsid w:val="000337AA"/>
    <w:rsid w:val="000338BD"/>
    <w:rsid w:val="00036AFB"/>
    <w:rsid w:val="0003765D"/>
    <w:rsid w:val="00041255"/>
    <w:rsid w:val="00041CED"/>
    <w:rsid w:val="00044630"/>
    <w:rsid w:val="00044F16"/>
    <w:rsid w:val="00046619"/>
    <w:rsid w:val="000522CB"/>
    <w:rsid w:val="00052AA7"/>
    <w:rsid w:val="0006193A"/>
    <w:rsid w:val="00063064"/>
    <w:rsid w:val="00063767"/>
    <w:rsid w:val="000647AC"/>
    <w:rsid w:val="00076842"/>
    <w:rsid w:val="00077D08"/>
    <w:rsid w:val="0008103C"/>
    <w:rsid w:val="00081D45"/>
    <w:rsid w:val="00085B38"/>
    <w:rsid w:val="00086E10"/>
    <w:rsid w:val="00087237"/>
    <w:rsid w:val="0008777A"/>
    <w:rsid w:val="000A140A"/>
    <w:rsid w:val="000A18CF"/>
    <w:rsid w:val="000A211E"/>
    <w:rsid w:val="000A21BD"/>
    <w:rsid w:val="000A5C48"/>
    <w:rsid w:val="000A60C0"/>
    <w:rsid w:val="000A7D65"/>
    <w:rsid w:val="000B62DD"/>
    <w:rsid w:val="000B6CC2"/>
    <w:rsid w:val="000B73BE"/>
    <w:rsid w:val="000B790D"/>
    <w:rsid w:val="000C0783"/>
    <w:rsid w:val="000D00AD"/>
    <w:rsid w:val="000D08B3"/>
    <w:rsid w:val="000D1228"/>
    <w:rsid w:val="000D1765"/>
    <w:rsid w:val="000D28D6"/>
    <w:rsid w:val="000D39B8"/>
    <w:rsid w:val="000D39DB"/>
    <w:rsid w:val="000D6BFD"/>
    <w:rsid w:val="000D7A35"/>
    <w:rsid w:val="000E0604"/>
    <w:rsid w:val="000E0ED1"/>
    <w:rsid w:val="000F0095"/>
    <w:rsid w:val="000F00F7"/>
    <w:rsid w:val="000F5447"/>
    <w:rsid w:val="001004D0"/>
    <w:rsid w:val="00100A53"/>
    <w:rsid w:val="0010285C"/>
    <w:rsid w:val="00105C0C"/>
    <w:rsid w:val="0011157E"/>
    <w:rsid w:val="001121CD"/>
    <w:rsid w:val="00112787"/>
    <w:rsid w:val="001172CB"/>
    <w:rsid w:val="00121458"/>
    <w:rsid w:val="00123A0E"/>
    <w:rsid w:val="00131D07"/>
    <w:rsid w:val="00133DB7"/>
    <w:rsid w:val="00133E5C"/>
    <w:rsid w:val="001348C0"/>
    <w:rsid w:val="0013611C"/>
    <w:rsid w:val="001425A2"/>
    <w:rsid w:val="00142FB1"/>
    <w:rsid w:val="0014498C"/>
    <w:rsid w:val="0015350D"/>
    <w:rsid w:val="00157A79"/>
    <w:rsid w:val="00160423"/>
    <w:rsid w:val="00170401"/>
    <w:rsid w:val="00177D78"/>
    <w:rsid w:val="001842E4"/>
    <w:rsid w:val="00185E0D"/>
    <w:rsid w:val="00187B93"/>
    <w:rsid w:val="0019120A"/>
    <w:rsid w:val="001922D1"/>
    <w:rsid w:val="00193A79"/>
    <w:rsid w:val="001954F2"/>
    <w:rsid w:val="001B090D"/>
    <w:rsid w:val="001B4B5A"/>
    <w:rsid w:val="001B5C08"/>
    <w:rsid w:val="001C00E9"/>
    <w:rsid w:val="001C04E5"/>
    <w:rsid w:val="001D05AB"/>
    <w:rsid w:val="001D2596"/>
    <w:rsid w:val="001D4185"/>
    <w:rsid w:val="001E0683"/>
    <w:rsid w:val="001E524D"/>
    <w:rsid w:val="001F2ABD"/>
    <w:rsid w:val="001F3022"/>
    <w:rsid w:val="001F3E09"/>
    <w:rsid w:val="001F7660"/>
    <w:rsid w:val="0020340A"/>
    <w:rsid w:val="002039FE"/>
    <w:rsid w:val="00214EC9"/>
    <w:rsid w:val="00215DF9"/>
    <w:rsid w:val="002214FE"/>
    <w:rsid w:val="002240D8"/>
    <w:rsid w:val="00226B19"/>
    <w:rsid w:val="00226EC2"/>
    <w:rsid w:val="00230376"/>
    <w:rsid w:val="002343A5"/>
    <w:rsid w:val="00236661"/>
    <w:rsid w:val="00237753"/>
    <w:rsid w:val="00240DD7"/>
    <w:rsid w:val="00245667"/>
    <w:rsid w:val="002569F5"/>
    <w:rsid w:val="002642FC"/>
    <w:rsid w:val="00271594"/>
    <w:rsid w:val="00273CDF"/>
    <w:rsid w:val="00275BD1"/>
    <w:rsid w:val="00275F14"/>
    <w:rsid w:val="00276A98"/>
    <w:rsid w:val="00277DBC"/>
    <w:rsid w:val="00280C0D"/>
    <w:rsid w:val="00281BEC"/>
    <w:rsid w:val="00286646"/>
    <w:rsid w:val="00292D3D"/>
    <w:rsid w:val="002A2B50"/>
    <w:rsid w:val="002A6423"/>
    <w:rsid w:val="002A6AAA"/>
    <w:rsid w:val="002A6F16"/>
    <w:rsid w:val="002B3BCE"/>
    <w:rsid w:val="002B497A"/>
    <w:rsid w:val="002C0558"/>
    <w:rsid w:val="002C3821"/>
    <w:rsid w:val="002C4CAF"/>
    <w:rsid w:val="002C7E3A"/>
    <w:rsid w:val="002D12AC"/>
    <w:rsid w:val="002D1612"/>
    <w:rsid w:val="002D288E"/>
    <w:rsid w:val="002D3410"/>
    <w:rsid w:val="002D4F6B"/>
    <w:rsid w:val="002D5755"/>
    <w:rsid w:val="002D6866"/>
    <w:rsid w:val="002E72DB"/>
    <w:rsid w:val="002F18C5"/>
    <w:rsid w:val="002F1FDE"/>
    <w:rsid w:val="002F2F7A"/>
    <w:rsid w:val="002F3765"/>
    <w:rsid w:val="00301BAD"/>
    <w:rsid w:val="00304EFC"/>
    <w:rsid w:val="00304F71"/>
    <w:rsid w:val="003126D4"/>
    <w:rsid w:val="00313C5E"/>
    <w:rsid w:val="003163A9"/>
    <w:rsid w:val="00316637"/>
    <w:rsid w:val="00317F8A"/>
    <w:rsid w:val="00320013"/>
    <w:rsid w:val="00323D35"/>
    <w:rsid w:val="003247DE"/>
    <w:rsid w:val="003279F0"/>
    <w:rsid w:val="003309AD"/>
    <w:rsid w:val="00330BB2"/>
    <w:rsid w:val="0033115A"/>
    <w:rsid w:val="0033207F"/>
    <w:rsid w:val="003363CE"/>
    <w:rsid w:val="00337BB2"/>
    <w:rsid w:val="00341A3A"/>
    <w:rsid w:val="00341DFE"/>
    <w:rsid w:val="00345340"/>
    <w:rsid w:val="00346AA8"/>
    <w:rsid w:val="00351733"/>
    <w:rsid w:val="00352778"/>
    <w:rsid w:val="0035424F"/>
    <w:rsid w:val="0035484F"/>
    <w:rsid w:val="00354AD4"/>
    <w:rsid w:val="00356BEF"/>
    <w:rsid w:val="003576EE"/>
    <w:rsid w:val="00363167"/>
    <w:rsid w:val="00365647"/>
    <w:rsid w:val="003658D8"/>
    <w:rsid w:val="00366693"/>
    <w:rsid w:val="00366CCA"/>
    <w:rsid w:val="00366F54"/>
    <w:rsid w:val="00367975"/>
    <w:rsid w:val="003705FD"/>
    <w:rsid w:val="00373DC8"/>
    <w:rsid w:val="00376F19"/>
    <w:rsid w:val="00380735"/>
    <w:rsid w:val="003814ED"/>
    <w:rsid w:val="00381668"/>
    <w:rsid w:val="00382EE9"/>
    <w:rsid w:val="00382F58"/>
    <w:rsid w:val="00384AAF"/>
    <w:rsid w:val="00384CE0"/>
    <w:rsid w:val="00385C4B"/>
    <w:rsid w:val="003923FB"/>
    <w:rsid w:val="00396643"/>
    <w:rsid w:val="003A62E9"/>
    <w:rsid w:val="003A64CD"/>
    <w:rsid w:val="003A666A"/>
    <w:rsid w:val="003B4DCB"/>
    <w:rsid w:val="003B773A"/>
    <w:rsid w:val="003C1851"/>
    <w:rsid w:val="003C2841"/>
    <w:rsid w:val="003C29F0"/>
    <w:rsid w:val="003C3EDC"/>
    <w:rsid w:val="003C5957"/>
    <w:rsid w:val="003C5D96"/>
    <w:rsid w:val="003C5FA4"/>
    <w:rsid w:val="003D0433"/>
    <w:rsid w:val="003D104E"/>
    <w:rsid w:val="003D15CD"/>
    <w:rsid w:val="003D1733"/>
    <w:rsid w:val="003D691A"/>
    <w:rsid w:val="003E0C91"/>
    <w:rsid w:val="003E1C77"/>
    <w:rsid w:val="003E37B9"/>
    <w:rsid w:val="003E3964"/>
    <w:rsid w:val="003E7681"/>
    <w:rsid w:val="003E76A0"/>
    <w:rsid w:val="003F021A"/>
    <w:rsid w:val="003F2D84"/>
    <w:rsid w:val="003F3485"/>
    <w:rsid w:val="003F5835"/>
    <w:rsid w:val="003F69A2"/>
    <w:rsid w:val="003F6E47"/>
    <w:rsid w:val="003F753D"/>
    <w:rsid w:val="0040271B"/>
    <w:rsid w:val="00405849"/>
    <w:rsid w:val="004207C4"/>
    <w:rsid w:val="00421096"/>
    <w:rsid w:val="004212DC"/>
    <w:rsid w:val="00422EF6"/>
    <w:rsid w:val="00423A30"/>
    <w:rsid w:val="00423DC2"/>
    <w:rsid w:val="00424253"/>
    <w:rsid w:val="004253B2"/>
    <w:rsid w:val="00430629"/>
    <w:rsid w:val="0043333D"/>
    <w:rsid w:val="0043519C"/>
    <w:rsid w:val="004378A0"/>
    <w:rsid w:val="0044438F"/>
    <w:rsid w:val="00445B6F"/>
    <w:rsid w:val="00451047"/>
    <w:rsid w:val="0045714A"/>
    <w:rsid w:val="004576A0"/>
    <w:rsid w:val="004578C8"/>
    <w:rsid w:val="0046510C"/>
    <w:rsid w:val="004671FF"/>
    <w:rsid w:val="00467B4D"/>
    <w:rsid w:val="00474FC4"/>
    <w:rsid w:val="00475F7D"/>
    <w:rsid w:val="0047698B"/>
    <w:rsid w:val="004805AB"/>
    <w:rsid w:val="00480C20"/>
    <w:rsid w:val="00487272"/>
    <w:rsid w:val="004916DB"/>
    <w:rsid w:val="00492856"/>
    <w:rsid w:val="00493D30"/>
    <w:rsid w:val="00496CD0"/>
    <w:rsid w:val="0049747C"/>
    <w:rsid w:val="004A0604"/>
    <w:rsid w:val="004A2780"/>
    <w:rsid w:val="004A45B4"/>
    <w:rsid w:val="004A4B7F"/>
    <w:rsid w:val="004B09D0"/>
    <w:rsid w:val="004B44C1"/>
    <w:rsid w:val="004B69C6"/>
    <w:rsid w:val="004C23AC"/>
    <w:rsid w:val="004C518F"/>
    <w:rsid w:val="004C71AD"/>
    <w:rsid w:val="004D36F1"/>
    <w:rsid w:val="004D44BB"/>
    <w:rsid w:val="004D6215"/>
    <w:rsid w:val="004D67BD"/>
    <w:rsid w:val="004D7E23"/>
    <w:rsid w:val="004E0C39"/>
    <w:rsid w:val="004E3AFD"/>
    <w:rsid w:val="004E54F4"/>
    <w:rsid w:val="004E5CB2"/>
    <w:rsid w:val="004E72EB"/>
    <w:rsid w:val="004E77AD"/>
    <w:rsid w:val="004F6751"/>
    <w:rsid w:val="004F7393"/>
    <w:rsid w:val="00501600"/>
    <w:rsid w:val="00501A24"/>
    <w:rsid w:val="00501B8B"/>
    <w:rsid w:val="00502984"/>
    <w:rsid w:val="00502BA2"/>
    <w:rsid w:val="00503180"/>
    <w:rsid w:val="005033EF"/>
    <w:rsid w:val="00504ACD"/>
    <w:rsid w:val="005064CA"/>
    <w:rsid w:val="00507531"/>
    <w:rsid w:val="00510B7F"/>
    <w:rsid w:val="00513F96"/>
    <w:rsid w:val="00521541"/>
    <w:rsid w:val="00521B1D"/>
    <w:rsid w:val="00522B08"/>
    <w:rsid w:val="005268E0"/>
    <w:rsid w:val="00527700"/>
    <w:rsid w:val="00531B81"/>
    <w:rsid w:val="00531BAA"/>
    <w:rsid w:val="00531DCB"/>
    <w:rsid w:val="005350AE"/>
    <w:rsid w:val="005359AD"/>
    <w:rsid w:val="00535B1B"/>
    <w:rsid w:val="00541584"/>
    <w:rsid w:val="00545539"/>
    <w:rsid w:val="0055036D"/>
    <w:rsid w:val="00556437"/>
    <w:rsid w:val="00556A98"/>
    <w:rsid w:val="00557B9E"/>
    <w:rsid w:val="0056275F"/>
    <w:rsid w:val="00563BB1"/>
    <w:rsid w:val="00564178"/>
    <w:rsid w:val="00570CD6"/>
    <w:rsid w:val="0057185B"/>
    <w:rsid w:val="005719C8"/>
    <w:rsid w:val="00572225"/>
    <w:rsid w:val="00573B34"/>
    <w:rsid w:val="005757DE"/>
    <w:rsid w:val="005904B2"/>
    <w:rsid w:val="00590CAF"/>
    <w:rsid w:val="0059348B"/>
    <w:rsid w:val="0059382C"/>
    <w:rsid w:val="005968D3"/>
    <w:rsid w:val="005A0F1C"/>
    <w:rsid w:val="005A2A68"/>
    <w:rsid w:val="005A3537"/>
    <w:rsid w:val="005A47A3"/>
    <w:rsid w:val="005A4DE9"/>
    <w:rsid w:val="005A54B0"/>
    <w:rsid w:val="005A587B"/>
    <w:rsid w:val="005A7E97"/>
    <w:rsid w:val="005B20B8"/>
    <w:rsid w:val="005B3897"/>
    <w:rsid w:val="005C367D"/>
    <w:rsid w:val="005C5EDA"/>
    <w:rsid w:val="005C6E3C"/>
    <w:rsid w:val="005C7605"/>
    <w:rsid w:val="005D0577"/>
    <w:rsid w:val="005D3F7C"/>
    <w:rsid w:val="005D4AE8"/>
    <w:rsid w:val="005E1E0E"/>
    <w:rsid w:val="005E4CCA"/>
    <w:rsid w:val="005E5F98"/>
    <w:rsid w:val="005E61A2"/>
    <w:rsid w:val="005E6DB7"/>
    <w:rsid w:val="005E7110"/>
    <w:rsid w:val="005F16C0"/>
    <w:rsid w:val="005F1FDF"/>
    <w:rsid w:val="005F5474"/>
    <w:rsid w:val="005F5A5D"/>
    <w:rsid w:val="005F5B43"/>
    <w:rsid w:val="0060121B"/>
    <w:rsid w:val="00601690"/>
    <w:rsid w:val="006020E6"/>
    <w:rsid w:val="00605C1C"/>
    <w:rsid w:val="006064F8"/>
    <w:rsid w:val="00607475"/>
    <w:rsid w:val="00610391"/>
    <w:rsid w:val="00610BB2"/>
    <w:rsid w:val="00611521"/>
    <w:rsid w:val="006120AC"/>
    <w:rsid w:val="0062147F"/>
    <w:rsid w:val="0062326A"/>
    <w:rsid w:val="00623D7E"/>
    <w:rsid w:val="006244E9"/>
    <w:rsid w:val="006268AE"/>
    <w:rsid w:val="006300D3"/>
    <w:rsid w:val="006343E0"/>
    <w:rsid w:val="0063558D"/>
    <w:rsid w:val="00641842"/>
    <w:rsid w:val="0064311A"/>
    <w:rsid w:val="006466A1"/>
    <w:rsid w:val="006501A9"/>
    <w:rsid w:val="00651600"/>
    <w:rsid w:val="00654256"/>
    <w:rsid w:val="00655C7A"/>
    <w:rsid w:val="006560DE"/>
    <w:rsid w:val="006625EE"/>
    <w:rsid w:val="00663912"/>
    <w:rsid w:val="00663EF8"/>
    <w:rsid w:val="00666A9C"/>
    <w:rsid w:val="0066751D"/>
    <w:rsid w:val="00667C54"/>
    <w:rsid w:val="0067173A"/>
    <w:rsid w:val="00672601"/>
    <w:rsid w:val="0067456B"/>
    <w:rsid w:val="00680438"/>
    <w:rsid w:val="00680718"/>
    <w:rsid w:val="006813CC"/>
    <w:rsid w:val="00682BA9"/>
    <w:rsid w:val="00683CCD"/>
    <w:rsid w:val="00687C77"/>
    <w:rsid w:val="00690420"/>
    <w:rsid w:val="00692C52"/>
    <w:rsid w:val="006932A3"/>
    <w:rsid w:val="00694154"/>
    <w:rsid w:val="006955C7"/>
    <w:rsid w:val="00697DFB"/>
    <w:rsid w:val="006A4CA8"/>
    <w:rsid w:val="006B07B6"/>
    <w:rsid w:val="006B1135"/>
    <w:rsid w:val="006B1196"/>
    <w:rsid w:val="006B16C6"/>
    <w:rsid w:val="006B1749"/>
    <w:rsid w:val="006B2D37"/>
    <w:rsid w:val="006B4CBF"/>
    <w:rsid w:val="006B5BC1"/>
    <w:rsid w:val="006B7934"/>
    <w:rsid w:val="006C7FE6"/>
    <w:rsid w:val="006D0D77"/>
    <w:rsid w:val="006D4F95"/>
    <w:rsid w:val="006D5430"/>
    <w:rsid w:val="006D73FD"/>
    <w:rsid w:val="006E03B1"/>
    <w:rsid w:val="006E0491"/>
    <w:rsid w:val="006E34E2"/>
    <w:rsid w:val="006E3764"/>
    <w:rsid w:val="006E66FD"/>
    <w:rsid w:val="006E6E43"/>
    <w:rsid w:val="006F0D1A"/>
    <w:rsid w:val="006F31BE"/>
    <w:rsid w:val="006F52B8"/>
    <w:rsid w:val="006F5340"/>
    <w:rsid w:val="00700E88"/>
    <w:rsid w:val="00705CF5"/>
    <w:rsid w:val="00711B91"/>
    <w:rsid w:val="007242F1"/>
    <w:rsid w:val="00724A1E"/>
    <w:rsid w:val="007279DD"/>
    <w:rsid w:val="00727FD0"/>
    <w:rsid w:val="00732288"/>
    <w:rsid w:val="007405EC"/>
    <w:rsid w:val="007409C1"/>
    <w:rsid w:val="007467CF"/>
    <w:rsid w:val="00746A64"/>
    <w:rsid w:val="0075000D"/>
    <w:rsid w:val="00750077"/>
    <w:rsid w:val="00750905"/>
    <w:rsid w:val="007513BC"/>
    <w:rsid w:val="00751D0A"/>
    <w:rsid w:val="00752C4D"/>
    <w:rsid w:val="00754685"/>
    <w:rsid w:val="00756252"/>
    <w:rsid w:val="007562B1"/>
    <w:rsid w:val="00756AFD"/>
    <w:rsid w:val="00761A83"/>
    <w:rsid w:val="00763C2E"/>
    <w:rsid w:val="007644A8"/>
    <w:rsid w:val="00764EA0"/>
    <w:rsid w:val="0076523F"/>
    <w:rsid w:val="00766D17"/>
    <w:rsid w:val="007677C2"/>
    <w:rsid w:val="007728F6"/>
    <w:rsid w:val="0077298B"/>
    <w:rsid w:val="00773E12"/>
    <w:rsid w:val="0077592E"/>
    <w:rsid w:val="00775D7F"/>
    <w:rsid w:val="00775EB2"/>
    <w:rsid w:val="00775FE5"/>
    <w:rsid w:val="007777A8"/>
    <w:rsid w:val="00777DD4"/>
    <w:rsid w:val="00780452"/>
    <w:rsid w:val="007824AD"/>
    <w:rsid w:val="00785475"/>
    <w:rsid w:val="00786538"/>
    <w:rsid w:val="007901CA"/>
    <w:rsid w:val="00795AB1"/>
    <w:rsid w:val="007A2112"/>
    <w:rsid w:val="007A2142"/>
    <w:rsid w:val="007A2E4B"/>
    <w:rsid w:val="007A37AA"/>
    <w:rsid w:val="007A3844"/>
    <w:rsid w:val="007A4CFA"/>
    <w:rsid w:val="007A5CEF"/>
    <w:rsid w:val="007A6DFD"/>
    <w:rsid w:val="007B10FB"/>
    <w:rsid w:val="007B32F9"/>
    <w:rsid w:val="007B3B6C"/>
    <w:rsid w:val="007B48EC"/>
    <w:rsid w:val="007B4B7E"/>
    <w:rsid w:val="007B6665"/>
    <w:rsid w:val="007B67DA"/>
    <w:rsid w:val="007B76E0"/>
    <w:rsid w:val="007C19ED"/>
    <w:rsid w:val="007C39A5"/>
    <w:rsid w:val="007C7189"/>
    <w:rsid w:val="007D0655"/>
    <w:rsid w:val="007D17FF"/>
    <w:rsid w:val="007D5939"/>
    <w:rsid w:val="007D7AD4"/>
    <w:rsid w:val="007E13F7"/>
    <w:rsid w:val="007E5054"/>
    <w:rsid w:val="007E529A"/>
    <w:rsid w:val="007E63E3"/>
    <w:rsid w:val="007E6764"/>
    <w:rsid w:val="007E7409"/>
    <w:rsid w:val="007E7B39"/>
    <w:rsid w:val="007F39F7"/>
    <w:rsid w:val="007F72CB"/>
    <w:rsid w:val="007F7CCE"/>
    <w:rsid w:val="008020EC"/>
    <w:rsid w:val="00803CAA"/>
    <w:rsid w:val="00807198"/>
    <w:rsid w:val="00807D14"/>
    <w:rsid w:val="00810B81"/>
    <w:rsid w:val="00813009"/>
    <w:rsid w:val="008134A3"/>
    <w:rsid w:val="0081492D"/>
    <w:rsid w:val="00820ED6"/>
    <w:rsid w:val="00821715"/>
    <w:rsid w:val="00824C42"/>
    <w:rsid w:val="00827435"/>
    <w:rsid w:val="00831CE9"/>
    <w:rsid w:val="00835C89"/>
    <w:rsid w:val="00836F75"/>
    <w:rsid w:val="0084084B"/>
    <w:rsid w:val="00842A29"/>
    <w:rsid w:val="00843B2D"/>
    <w:rsid w:val="008458BA"/>
    <w:rsid w:val="00847798"/>
    <w:rsid w:val="00852DDC"/>
    <w:rsid w:val="00856C58"/>
    <w:rsid w:val="008570ED"/>
    <w:rsid w:val="00857C8C"/>
    <w:rsid w:val="008603B6"/>
    <w:rsid w:val="0086136E"/>
    <w:rsid w:val="008643F0"/>
    <w:rsid w:val="008754D1"/>
    <w:rsid w:val="00882B15"/>
    <w:rsid w:val="00883CF0"/>
    <w:rsid w:val="008844C5"/>
    <w:rsid w:val="0088590A"/>
    <w:rsid w:val="0089176B"/>
    <w:rsid w:val="008A0025"/>
    <w:rsid w:val="008A1817"/>
    <w:rsid w:val="008A37EF"/>
    <w:rsid w:val="008A62D2"/>
    <w:rsid w:val="008A7206"/>
    <w:rsid w:val="008B07A5"/>
    <w:rsid w:val="008C3D91"/>
    <w:rsid w:val="008C45E9"/>
    <w:rsid w:val="008C4C3F"/>
    <w:rsid w:val="008C61D8"/>
    <w:rsid w:val="008D1A08"/>
    <w:rsid w:val="008D4064"/>
    <w:rsid w:val="008D40CB"/>
    <w:rsid w:val="008D4995"/>
    <w:rsid w:val="008D6F18"/>
    <w:rsid w:val="008D7A68"/>
    <w:rsid w:val="008E05A5"/>
    <w:rsid w:val="008E093D"/>
    <w:rsid w:val="008E1539"/>
    <w:rsid w:val="008E5299"/>
    <w:rsid w:val="008E57B3"/>
    <w:rsid w:val="008F24D6"/>
    <w:rsid w:val="008F24EB"/>
    <w:rsid w:val="008F3053"/>
    <w:rsid w:val="008F3116"/>
    <w:rsid w:val="008F4E34"/>
    <w:rsid w:val="008F765E"/>
    <w:rsid w:val="009005A2"/>
    <w:rsid w:val="00901026"/>
    <w:rsid w:val="009057CC"/>
    <w:rsid w:val="009062AB"/>
    <w:rsid w:val="009102F8"/>
    <w:rsid w:val="009108AE"/>
    <w:rsid w:val="009152E9"/>
    <w:rsid w:val="00921744"/>
    <w:rsid w:val="0092366B"/>
    <w:rsid w:val="00924A74"/>
    <w:rsid w:val="00925854"/>
    <w:rsid w:val="00925E8B"/>
    <w:rsid w:val="00930507"/>
    <w:rsid w:val="00930E0B"/>
    <w:rsid w:val="00931B15"/>
    <w:rsid w:val="009376A9"/>
    <w:rsid w:val="00942B55"/>
    <w:rsid w:val="009444DA"/>
    <w:rsid w:val="009465D7"/>
    <w:rsid w:val="00951543"/>
    <w:rsid w:val="00955BBA"/>
    <w:rsid w:val="00960587"/>
    <w:rsid w:val="009609C1"/>
    <w:rsid w:val="009664A2"/>
    <w:rsid w:val="00971208"/>
    <w:rsid w:val="009721BB"/>
    <w:rsid w:val="0097431D"/>
    <w:rsid w:val="00974B62"/>
    <w:rsid w:val="009753A8"/>
    <w:rsid w:val="009827E9"/>
    <w:rsid w:val="009862D3"/>
    <w:rsid w:val="00991ED8"/>
    <w:rsid w:val="00993C3B"/>
    <w:rsid w:val="009972CA"/>
    <w:rsid w:val="00997D61"/>
    <w:rsid w:val="009A097C"/>
    <w:rsid w:val="009A1360"/>
    <w:rsid w:val="009A5C37"/>
    <w:rsid w:val="009B1359"/>
    <w:rsid w:val="009B54E7"/>
    <w:rsid w:val="009C1C9E"/>
    <w:rsid w:val="009C1D2B"/>
    <w:rsid w:val="009C58E6"/>
    <w:rsid w:val="009C5AE6"/>
    <w:rsid w:val="009C7076"/>
    <w:rsid w:val="009D0B86"/>
    <w:rsid w:val="009D1CC0"/>
    <w:rsid w:val="009D27DD"/>
    <w:rsid w:val="009D342D"/>
    <w:rsid w:val="009D41BA"/>
    <w:rsid w:val="009D4F50"/>
    <w:rsid w:val="009D7421"/>
    <w:rsid w:val="009E0206"/>
    <w:rsid w:val="009E0477"/>
    <w:rsid w:val="009E2012"/>
    <w:rsid w:val="009F0F88"/>
    <w:rsid w:val="009F1027"/>
    <w:rsid w:val="009F5819"/>
    <w:rsid w:val="009F60DE"/>
    <w:rsid w:val="009F6B3F"/>
    <w:rsid w:val="009F7D9F"/>
    <w:rsid w:val="00A0059E"/>
    <w:rsid w:val="00A07340"/>
    <w:rsid w:val="00A073FE"/>
    <w:rsid w:val="00A20F33"/>
    <w:rsid w:val="00A20F50"/>
    <w:rsid w:val="00A2428E"/>
    <w:rsid w:val="00A264A8"/>
    <w:rsid w:val="00A26BD3"/>
    <w:rsid w:val="00A26EF2"/>
    <w:rsid w:val="00A27BE9"/>
    <w:rsid w:val="00A30D86"/>
    <w:rsid w:val="00A318D3"/>
    <w:rsid w:val="00A31BCD"/>
    <w:rsid w:val="00A32BE3"/>
    <w:rsid w:val="00A33542"/>
    <w:rsid w:val="00A336F7"/>
    <w:rsid w:val="00A37888"/>
    <w:rsid w:val="00A44B73"/>
    <w:rsid w:val="00A4643E"/>
    <w:rsid w:val="00A46865"/>
    <w:rsid w:val="00A46E86"/>
    <w:rsid w:val="00A46EC8"/>
    <w:rsid w:val="00A47ED4"/>
    <w:rsid w:val="00A50180"/>
    <w:rsid w:val="00A5079D"/>
    <w:rsid w:val="00A55583"/>
    <w:rsid w:val="00A55B0A"/>
    <w:rsid w:val="00A601F5"/>
    <w:rsid w:val="00A65FF9"/>
    <w:rsid w:val="00A66ECF"/>
    <w:rsid w:val="00A7653B"/>
    <w:rsid w:val="00A81317"/>
    <w:rsid w:val="00A82F28"/>
    <w:rsid w:val="00A867A0"/>
    <w:rsid w:val="00A9089A"/>
    <w:rsid w:val="00A96CBD"/>
    <w:rsid w:val="00AA4260"/>
    <w:rsid w:val="00AA61D5"/>
    <w:rsid w:val="00AA6225"/>
    <w:rsid w:val="00AB0B7D"/>
    <w:rsid w:val="00AB15E8"/>
    <w:rsid w:val="00AB1644"/>
    <w:rsid w:val="00AB2B9E"/>
    <w:rsid w:val="00AB50B8"/>
    <w:rsid w:val="00AC0DEB"/>
    <w:rsid w:val="00AC191D"/>
    <w:rsid w:val="00AC2E76"/>
    <w:rsid w:val="00AC7C13"/>
    <w:rsid w:val="00AD08BE"/>
    <w:rsid w:val="00AD392F"/>
    <w:rsid w:val="00AD45CB"/>
    <w:rsid w:val="00AD49F7"/>
    <w:rsid w:val="00AD518F"/>
    <w:rsid w:val="00AD7061"/>
    <w:rsid w:val="00AF07DF"/>
    <w:rsid w:val="00AF370F"/>
    <w:rsid w:val="00AF6634"/>
    <w:rsid w:val="00B004E8"/>
    <w:rsid w:val="00B008B8"/>
    <w:rsid w:val="00B04958"/>
    <w:rsid w:val="00B13889"/>
    <w:rsid w:val="00B13B8D"/>
    <w:rsid w:val="00B14760"/>
    <w:rsid w:val="00B16FC7"/>
    <w:rsid w:val="00B179D3"/>
    <w:rsid w:val="00B2134E"/>
    <w:rsid w:val="00B23058"/>
    <w:rsid w:val="00B24EFA"/>
    <w:rsid w:val="00B3122B"/>
    <w:rsid w:val="00B36367"/>
    <w:rsid w:val="00B37961"/>
    <w:rsid w:val="00B404C0"/>
    <w:rsid w:val="00B41C89"/>
    <w:rsid w:val="00B421AC"/>
    <w:rsid w:val="00B450F3"/>
    <w:rsid w:val="00B5060F"/>
    <w:rsid w:val="00B5132A"/>
    <w:rsid w:val="00B51425"/>
    <w:rsid w:val="00B53CF0"/>
    <w:rsid w:val="00B5406B"/>
    <w:rsid w:val="00B555FE"/>
    <w:rsid w:val="00B5579D"/>
    <w:rsid w:val="00B6186F"/>
    <w:rsid w:val="00B623EB"/>
    <w:rsid w:val="00B71AC5"/>
    <w:rsid w:val="00B73701"/>
    <w:rsid w:val="00B75BF8"/>
    <w:rsid w:val="00B83D23"/>
    <w:rsid w:val="00B86DEA"/>
    <w:rsid w:val="00B90A02"/>
    <w:rsid w:val="00B91860"/>
    <w:rsid w:val="00B93F0D"/>
    <w:rsid w:val="00B94CF8"/>
    <w:rsid w:val="00B975E1"/>
    <w:rsid w:val="00BA11CA"/>
    <w:rsid w:val="00BA5052"/>
    <w:rsid w:val="00BA64CE"/>
    <w:rsid w:val="00BA6533"/>
    <w:rsid w:val="00BB1065"/>
    <w:rsid w:val="00BB269B"/>
    <w:rsid w:val="00BB2B52"/>
    <w:rsid w:val="00BD01A4"/>
    <w:rsid w:val="00BD0ACA"/>
    <w:rsid w:val="00BD0BFC"/>
    <w:rsid w:val="00BD3C32"/>
    <w:rsid w:val="00BD54A5"/>
    <w:rsid w:val="00BD77C3"/>
    <w:rsid w:val="00BE0196"/>
    <w:rsid w:val="00BE0861"/>
    <w:rsid w:val="00BE2881"/>
    <w:rsid w:val="00BF50F0"/>
    <w:rsid w:val="00C00C6C"/>
    <w:rsid w:val="00C017CC"/>
    <w:rsid w:val="00C03FA8"/>
    <w:rsid w:val="00C04466"/>
    <w:rsid w:val="00C0610A"/>
    <w:rsid w:val="00C13208"/>
    <w:rsid w:val="00C136B8"/>
    <w:rsid w:val="00C13A9E"/>
    <w:rsid w:val="00C14D73"/>
    <w:rsid w:val="00C17BE3"/>
    <w:rsid w:val="00C213D1"/>
    <w:rsid w:val="00C21D9B"/>
    <w:rsid w:val="00C21DE4"/>
    <w:rsid w:val="00C228D8"/>
    <w:rsid w:val="00C252DF"/>
    <w:rsid w:val="00C2596F"/>
    <w:rsid w:val="00C32795"/>
    <w:rsid w:val="00C32FA9"/>
    <w:rsid w:val="00C36CD8"/>
    <w:rsid w:val="00C406F0"/>
    <w:rsid w:val="00C460FC"/>
    <w:rsid w:val="00C461C4"/>
    <w:rsid w:val="00C516FD"/>
    <w:rsid w:val="00C51BF6"/>
    <w:rsid w:val="00C578CB"/>
    <w:rsid w:val="00C57FB5"/>
    <w:rsid w:val="00C600C6"/>
    <w:rsid w:val="00C62FA0"/>
    <w:rsid w:val="00C67AE6"/>
    <w:rsid w:val="00C707A2"/>
    <w:rsid w:val="00C70D5B"/>
    <w:rsid w:val="00C70DEC"/>
    <w:rsid w:val="00C716B5"/>
    <w:rsid w:val="00C724D4"/>
    <w:rsid w:val="00C72CD5"/>
    <w:rsid w:val="00C72D1F"/>
    <w:rsid w:val="00C74597"/>
    <w:rsid w:val="00C90855"/>
    <w:rsid w:val="00C956DB"/>
    <w:rsid w:val="00CA0C44"/>
    <w:rsid w:val="00CA0F7C"/>
    <w:rsid w:val="00CA14C0"/>
    <w:rsid w:val="00CA3528"/>
    <w:rsid w:val="00CA522A"/>
    <w:rsid w:val="00CA7190"/>
    <w:rsid w:val="00CB2A2E"/>
    <w:rsid w:val="00CB2C74"/>
    <w:rsid w:val="00CB3E71"/>
    <w:rsid w:val="00CB5716"/>
    <w:rsid w:val="00CB65FD"/>
    <w:rsid w:val="00CB7965"/>
    <w:rsid w:val="00CC1E0C"/>
    <w:rsid w:val="00CC3967"/>
    <w:rsid w:val="00CC4B38"/>
    <w:rsid w:val="00CC5ABD"/>
    <w:rsid w:val="00CC68DA"/>
    <w:rsid w:val="00CD4FEF"/>
    <w:rsid w:val="00CD5482"/>
    <w:rsid w:val="00CD7B04"/>
    <w:rsid w:val="00CE021A"/>
    <w:rsid w:val="00CE225D"/>
    <w:rsid w:val="00CE4F66"/>
    <w:rsid w:val="00CE618C"/>
    <w:rsid w:val="00CE70AD"/>
    <w:rsid w:val="00CF0122"/>
    <w:rsid w:val="00CF552B"/>
    <w:rsid w:val="00CF640C"/>
    <w:rsid w:val="00D00044"/>
    <w:rsid w:val="00D00D10"/>
    <w:rsid w:val="00D0447B"/>
    <w:rsid w:val="00D04A6B"/>
    <w:rsid w:val="00D059DA"/>
    <w:rsid w:val="00D05C73"/>
    <w:rsid w:val="00D12C62"/>
    <w:rsid w:val="00D1340C"/>
    <w:rsid w:val="00D13C0A"/>
    <w:rsid w:val="00D1525C"/>
    <w:rsid w:val="00D16B30"/>
    <w:rsid w:val="00D172FE"/>
    <w:rsid w:val="00D17E31"/>
    <w:rsid w:val="00D21B6F"/>
    <w:rsid w:val="00D22FEC"/>
    <w:rsid w:val="00D3385B"/>
    <w:rsid w:val="00D33E8D"/>
    <w:rsid w:val="00D340D2"/>
    <w:rsid w:val="00D34341"/>
    <w:rsid w:val="00D3475A"/>
    <w:rsid w:val="00D34AD4"/>
    <w:rsid w:val="00D37222"/>
    <w:rsid w:val="00D46E21"/>
    <w:rsid w:val="00D4730A"/>
    <w:rsid w:val="00D52CA0"/>
    <w:rsid w:val="00D54112"/>
    <w:rsid w:val="00D54B20"/>
    <w:rsid w:val="00D565EE"/>
    <w:rsid w:val="00D60210"/>
    <w:rsid w:val="00D63A18"/>
    <w:rsid w:val="00D66976"/>
    <w:rsid w:val="00D7223A"/>
    <w:rsid w:val="00D73CBB"/>
    <w:rsid w:val="00D76BC2"/>
    <w:rsid w:val="00D81945"/>
    <w:rsid w:val="00D81F3E"/>
    <w:rsid w:val="00D825ED"/>
    <w:rsid w:val="00D82AAD"/>
    <w:rsid w:val="00D82BCE"/>
    <w:rsid w:val="00D84905"/>
    <w:rsid w:val="00D84AF1"/>
    <w:rsid w:val="00D86F6E"/>
    <w:rsid w:val="00D95C8D"/>
    <w:rsid w:val="00DA03CB"/>
    <w:rsid w:val="00DA3FE1"/>
    <w:rsid w:val="00DA3FEA"/>
    <w:rsid w:val="00DA6621"/>
    <w:rsid w:val="00DB009D"/>
    <w:rsid w:val="00DB6269"/>
    <w:rsid w:val="00DB6783"/>
    <w:rsid w:val="00DC42FD"/>
    <w:rsid w:val="00DC442D"/>
    <w:rsid w:val="00DC782F"/>
    <w:rsid w:val="00DD1D9A"/>
    <w:rsid w:val="00DD5F62"/>
    <w:rsid w:val="00DD7367"/>
    <w:rsid w:val="00DE2E50"/>
    <w:rsid w:val="00DF1D64"/>
    <w:rsid w:val="00DF2BFB"/>
    <w:rsid w:val="00DF2D26"/>
    <w:rsid w:val="00DF44B4"/>
    <w:rsid w:val="00DF45E7"/>
    <w:rsid w:val="00DF4CF7"/>
    <w:rsid w:val="00DF597F"/>
    <w:rsid w:val="00DF6F1E"/>
    <w:rsid w:val="00E001DC"/>
    <w:rsid w:val="00E029DE"/>
    <w:rsid w:val="00E02EF3"/>
    <w:rsid w:val="00E03E66"/>
    <w:rsid w:val="00E0702C"/>
    <w:rsid w:val="00E201FA"/>
    <w:rsid w:val="00E20262"/>
    <w:rsid w:val="00E20573"/>
    <w:rsid w:val="00E23FC6"/>
    <w:rsid w:val="00E25605"/>
    <w:rsid w:val="00E25F4B"/>
    <w:rsid w:val="00E34F63"/>
    <w:rsid w:val="00E35819"/>
    <w:rsid w:val="00E36228"/>
    <w:rsid w:val="00E40F04"/>
    <w:rsid w:val="00E469A0"/>
    <w:rsid w:val="00E50664"/>
    <w:rsid w:val="00E511D7"/>
    <w:rsid w:val="00E52D60"/>
    <w:rsid w:val="00E54658"/>
    <w:rsid w:val="00E54AFE"/>
    <w:rsid w:val="00E61951"/>
    <w:rsid w:val="00E62B8E"/>
    <w:rsid w:val="00E6476B"/>
    <w:rsid w:val="00E65834"/>
    <w:rsid w:val="00E65A9B"/>
    <w:rsid w:val="00E71D65"/>
    <w:rsid w:val="00E748FB"/>
    <w:rsid w:val="00E7649A"/>
    <w:rsid w:val="00E80602"/>
    <w:rsid w:val="00E81470"/>
    <w:rsid w:val="00E8681E"/>
    <w:rsid w:val="00E90DAC"/>
    <w:rsid w:val="00E92FCB"/>
    <w:rsid w:val="00E93F2C"/>
    <w:rsid w:val="00E95DB4"/>
    <w:rsid w:val="00EA0108"/>
    <w:rsid w:val="00EA1F51"/>
    <w:rsid w:val="00EA5E14"/>
    <w:rsid w:val="00EB02CC"/>
    <w:rsid w:val="00EB5706"/>
    <w:rsid w:val="00EC2F2C"/>
    <w:rsid w:val="00ED176F"/>
    <w:rsid w:val="00ED1D50"/>
    <w:rsid w:val="00ED2F10"/>
    <w:rsid w:val="00ED3785"/>
    <w:rsid w:val="00ED47E7"/>
    <w:rsid w:val="00EE2261"/>
    <w:rsid w:val="00EE477C"/>
    <w:rsid w:val="00EE4CBA"/>
    <w:rsid w:val="00EF1E0B"/>
    <w:rsid w:val="00EF4DD1"/>
    <w:rsid w:val="00EF6A66"/>
    <w:rsid w:val="00F01218"/>
    <w:rsid w:val="00F017CF"/>
    <w:rsid w:val="00F028A9"/>
    <w:rsid w:val="00F04D67"/>
    <w:rsid w:val="00F06D78"/>
    <w:rsid w:val="00F105F1"/>
    <w:rsid w:val="00F14714"/>
    <w:rsid w:val="00F21837"/>
    <w:rsid w:val="00F24A3C"/>
    <w:rsid w:val="00F31781"/>
    <w:rsid w:val="00F34EF1"/>
    <w:rsid w:val="00F37B15"/>
    <w:rsid w:val="00F45D40"/>
    <w:rsid w:val="00F46185"/>
    <w:rsid w:val="00F475E1"/>
    <w:rsid w:val="00F5306D"/>
    <w:rsid w:val="00F5471A"/>
    <w:rsid w:val="00F625D5"/>
    <w:rsid w:val="00F667DA"/>
    <w:rsid w:val="00F70A63"/>
    <w:rsid w:val="00F73949"/>
    <w:rsid w:val="00F754F0"/>
    <w:rsid w:val="00F82A62"/>
    <w:rsid w:val="00F82B70"/>
    <w:rsid w:val="00F83906"/>
    <w:rsid w:val="00F83E87"/>
    <w:rsid w:val="00F84DC0"/>
    <w:rsid w:val="00F86461"/>
    <w:rsid w:val="00F872AD"/>
    <w:rsid w:val="00F917E3"/>
    <w:rsid w:val="00F92709"/>
    <w:rsid w:val="00F93698"/>
    <w:rsid w:val="00F9476A"/>
    <w:rsid w:val="00F96979"/>
    <w:rsid w:val="00F9748D"/>
    <w:rsid w:val="00FA0BDF"/>
    <w:rsid w:val="00FA5D63"/>
    <w:rsid w:val="00FA6E24"/>
    <w:rsid w:val="00FB2093"/>
    <w:rsid w:val="00FB3C4E"/>
    <w:rsid w:val="00FB4C38"/>
    <w:rsid w:val="00FB71EA"/>
    <w:rsid w:val="00FC12E2"/>
    <w:rsid w:val="00FC16C8"/>
    <w:rsid w:val="00FC251F"/>
    <w:rsid w:val="00FC32E6"/>
    <w:rsid w:val="00FD117D"/>
    <w:rsid w:val="00FD273F"/>
    <w:rsid w:val="00FD33DD"/>
    <w:rsid w:val="00FD6BEA"/>
    <w:rsid w:val="00FE604A"/>
    <w:rsid w:val="00FE7393"/>
    <w:rsid w:val="00FE7CDD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74B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4B6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4B6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4B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4B62"/>
    <w:rPr>
      <w:rFonts w:ascii="Verdana" w:hAnsi="Verdana"/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4E0C3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04F7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2841"/>
    <w:rPr>
      <w:color w:val="800080" w:themeColor="followedHyperlink"/>
      <w:u w:val="single"/>
    </w:rPr>
  </w:style>
  <w:style w:type="paragraph" w:customStyle="1" w:styleId="Text1">
    <w:name w:val="Text 1"/>
    <w:basedOn w:val="Standaard"/>
    <w:link w:val="Text1Char"/>
    <w:rsid w:val="00ED2F10"/>
    <w:pPr>
      <w:spacing w:after="240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Text1Char">
    <w:name w:val="Text 1 Char"/>
    <w:link w:val="Text1"/>
    <w:rsid w:val="00ED2F10"/>
    <w:rPr>
      <w:rFonts w:ascii="Times New Roman" w:eastAsia="Times New Roman" w:hAnsi="Times New Roman"/>
      <w:sz w:val="24"/>
      <w:lang w:val="en-GB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164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1644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1644"/>
    <w:rPr>
      <w:vertAlign w:val="superscript"/>
    </w:rPr>
  </w:style>
  <w:style w:type="paragraph" w:customStyle="1" w:styleId="Default">
    <w:name w:val="Default"/>
    <w:rsid w:val="007A2E4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ragraaf-Huisstijl">
    <w:name w:val="Paragraaf - Huisstijl"/>
    <w:basedOn w:val="Standaard"/>
    <w:next w:val="Standaard"/>
    <w:uiPriority w:val="3"/>
    <w:qFormat/>
    <w:rsid w:val="007D5939"/>
    <w:pPr>
      <w:widowControl w:val="0"/>
      <w:numPr>
        <w:numId w:val="16"/>
      </w:numPr>
      <w:tabs>
        <w:tab w:val="left" w:pos="0"/>
      </w:tabs>
      <w:suppressAutoHyphens/>
      <w:autoSpaceDN w:val="0"/>
      <w:spacing w:before="200" w:line="284" w:lineRule="exact"/>
      <w:textAlignment w:val="baseline"/>
      <w:outlineLvl w:val="0"/>
    </w:pPr>
    <w:rPr>
      <w:rFonts w:eastAsia="DejaVu Sans" w:cs="Lohit Hindi"/>
      <w:b/>
      <w:kern w:val="3"/>
      <w:sz w:val="17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4"/>
    <w:qFormat/>
    <w:rsid w:val="007D5939"/>
    <w:pPr>
      <w:numPr>
        <w:ilvl w:val="1"/>
      </w:numPr>
      <w:outlineLvl w:val="1"/>
    </w:pPr>
    <w:rPr>
      <w:b w:val="0"/>
      <w:i/>
    </w:rPr>
  </w:style>
  <w:style w:type="paragraph" w:styleId="Normaalweb">
    <w:name w:val="Normal (Web)"/>
    <w:basedOn w:val="Standaard"/>
    <w:uiPriority w:val="99"/>
    <w:semiHidden/>
    <w:unhideWhenUsed/>
    <w:rsid w:val="007D5939"/>
    <w:pPr>
      <w:spacing w:after="150"/>
    </w:pPr>
    <w:rPr>
      <w:rFonts w:ascii="FiraSans-Light" w:eastAsia="Times New Roman" w:hAnsi="FiraSans-Light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74B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4B6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4B6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4B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4B62"/>
    <w:rPr>
      <w:rFonts w:ascii="Verdana" w:hAnsi="Verdana"/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4E0C3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04F7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2841"/>
    <w:rPr>
      <w:color w:val="800080" w:themeColor="followedHyperlink"/>
      <w:u w:val="single"/>
    </w:rPr>
  </w:style>
  <w:style w:type="paragraph" w:customStyle="1" w:styleId="Text1">
    <w:name w:val="Text 1"/>
    <w:basedOn w:val="Standaard"/>
    <w:link w:val="Text1Char"/>
    <w:rsid w:val="00ED2F10"/>
    <w:pPr>
      <w:spacing w:after="240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Text1Char">
    <w:name w:val="Text 1 Char"/>
    <w:link w:val="Text1"/>
    <w:rsid w:val="00ED2F10"/>
    <w:rPr>
      <w:rFonts w:ascii="Times New Roman" w:eastAsia="Times New Roman" w:hAnsi="Times New Roman"/>
      <w:sz w:val="24"/>
      <w:lang w:val="en-GB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164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1644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1644"/>
    <w:rPr>
      <w:vertAlign w:val="superscript"/>
    </w:rPr>
  </w:style>
  <w:style w:type="paragraph" w:customStyle="1" w:styleId="Default">
    <w:name w:val="Default"/>
    <w:rsid w:val="007A2E4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ragraaf-Huisstijl">
    <w:name w:val="Paragraaf - Huisstijl"/>
    <w:basedOn w:val="Standaard"/>
    <w:next w:val="Standaard"/>
    <w:uiPriority w:val="3"/>
    <w:qFormat/>
    <w:rsid w:val="007D5939"/>
    <w:pPr>
      <w:widowControl w:val="0"/>
      <w:numPr>
        <w:numId w:val="16"/>
      </w:numPr>
      <w:tabs>
        <w:tab w:val="left" w:pos="0"/>
      </w:tabs>
      <w:suppressAutoHyphens/>
      <w:autoSpaceDN w:val="0"/>
      <w:spacing w:before="200" w:line="284" w:lineRule="exact"/>
      <w:textAlignment w:val="baseline"/>
      <w:outlineLvl w:val="0"/>
    </w:pPr>
    <w:rPr>
      <w:rFonts w:eastAsia="DejaVu Sans" w:cs="Lohit Hindi"/>
      <w:b/>
      <w:kern w:val="3"/>
      <w:sz w:val="17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4"/>
    <w:qFormat/>
    <w:rsid w:val="007D5939"/>
    <w:pPr>
      <w:numPr>
        <w:ilvl w:val="1"/>
      </w:numPr>
      <w:outlineLvl w:val="1"/>
    </w:pPr>
    <w:rPr>
      <w:b w:val="0"/>
      <w:i/>
    </w:rPr>
  </w:style>
  <w:style w:type="paragraph" w:styleId="Normaalweb">
    <w:name w:val="Normal (Web)"/>
    <w:basedOn w:val="Standaard"/>
    <w:uiPriority w:val="99"/>
    <w:semiHidden/>
    <w:unhideWhenUsed/>
    <w:rsid w:val="007D5939"/>
    <w:pPr>
      <w:spacing w:after="150"/>
    </w:pPr>
    <w:rPr>
      <w:rFonts w:ascii="FiraSans-Light" w:eastAsia="Times New Roman" w:hAnsi="FiraSans-Light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parlisweb/parlis/GetDocumentOutlook.aspx?link=558e53be-2a2c-4a62-93a0-a74febf10d5f.docx" TargetMode="Externa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yperlink" Target="http://parlisweb/parlis/GetDocumentOutlook.aspx?link=b23b8197-32b3-4aa2-9e23-b05f077a3b2a.docx" TargetMode="External" Id="rId12" /><Relationship Type="http://schemas.openxmlformats.org/officeDocument/2006/relationships/footer" Target="footer1.xml" Id="rId17" /><Relationship Type="http://schemas.openxmlformats.org/officeDocument/2006/relationships/header" Target="header1.xml" Id="rId16" /><Relationship Type="http://schemas.openxmlformats.org/officeDocument/2006/relationships/settings" Target="settings.xml" Id="rId6" /><Relationship Type="http://schemas.openxmlformats.org/officeDocument/2006/relationships/hyperlink" Target="http://parlisweb/parlis/GetDocumentOutlook.aspx?link=163827f0-a093-44ac-be5a-92d86ada280c.docx" TargetMode="External" Id="rId11" /><Relationship Type="http://schemas.microsoft.com/office/2007/relationships/stylesWithEffects" Target="stylesWithEffects.xml" Id="rId5" /><Relationship Type="http://schemas.openxmlformats.org/officeDocument/2006/relationships/hyperlink" Target="http://europa.eu/rapid/press-release_IP-16-2545_en.htm" TargetMode="Externa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yperlink" Target="http://parlisweb/parlis/GetDocumentOutlook.aspx?link=6b5cb6cc-6f9f-495c-b14e-532de79358c0.docx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rlisweb/parlis/zaak.aspx?id=0c49708b-d401-4c10-ac44-9d59e9195e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1272</ap:Words>
  <ap:Characters>8511</ap:Characters>
  <ap:DocSecurity>4</ap:DocSecurity>
  <ap:Lines>70</ap:Lines>
  <ap:Paragraphs>19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2016-08-26T12:28:00.0000000Z</lastPrinted>
  <dcterms:created xsi:type="dcterms:W3CDTF">2016-08-30T11:55:00.0000000Z</dcterms:created>
  <dcterms:modified xsi:type="dcterms:W3CDTF">2016-08-30T11:55:00.0000000Z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0x010100A4A5832910DF914AA98C023616BAC313</vt:lpwstr>
  </property>
</Properties>
</file>