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92E2E8C" wp14:anchorId="56B281E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63F5EF5" wp14:anchorId="1BBC6A1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W03.15.0187/II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juli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94264" w:rsidRDefault="001F3001">
              <w:r>
                <w:t>Bij Kabinetsmissive van 22 juni 2015, no.2015001098, heeft Uwe Majesteit, op voordracht van de Staatssecretaris van Veiligheid en Justitie, bij de Afdeling advisering van de Raad van State ter overweging aanhangig gemaakt het voorstel van wet tot wijziging van Boek 1 van het Burgerlijk Wetboek in verband met het beperken van het recht op contact of omgang na partnerdoding,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247352984"/>
              </w:sdtPr>
              <w:sdtEndPr/>
              <w:sdtContent>
                <w:p w:rsidR="004819FD" w:rsidRDefault="001F3001">
                  <w:r>
                    <w:t>In dit wetsvoorstel wordt v</w:t>
                  </w:r>
                  <w:r w:rsidRPr="00662CD3">
                    <w:t xml:space="preserve">oorgesteld dat in het geval van (vermoedelijke) partnerdoding de </w:t>
                  </w:r>
                  <w:r>
                    <w:t>rechter</w:t>
                  </w:r>
                  <w:r w:rsidRPr="00662CD3">
                    <w:t xml:space="preserve"> altijd oordeelt of contact of omgang (hierna: omgang) in het belang van het kind is op basis van een verzoek van de </w:t>
                  </w:r>
                  <w:r>
                    <w:t>Raad voor de K</w:t>
                  </w:r>
                  <w:r w:rsidRPr="00662CD3">
                    <w:t>inderbescherming</w:t>
                  </w:r>
                  <w:r>
                    <w:t xml:space="preserve"> (hierna: de raad)</w:t>
                  </w:r>
                  <w:r w:rsidRPr="00662CD3">
                    <w:t>. De raad zal</w:t>
                  </w:r>
                  <w:r>
                    <w:t>,</w:t>
                  </w:r>
                  <w:r w:rsidRPr="00662CD3">
                    <w:t xml:space="preserve"> zodra hij van de verdenking of veroordeling in kennis is gesteld</w:t>
                  </w:r>
                  <w:r>
                    <w:t>,</w:t>
                  </w:r>
                  <w:r w:rsidRPr="00662CD3">
                    <w:t xml:space="preserve"> een onderzoek instellen naar de wenselijkheid van een omgangsregeling van het kind met de </w:t>
                  </w:r>
                  <w:r>
                    <w:t>(vermoedelijke) dader-ouder</w:t>
                  </w:r>
                  <w:r w:rsidRPr="00662CD3">
                    <w:t>. Op basis van dit onderzoek zal de raad een verzoek indienen tot vaststelling van een omgangsregeling, waarbij de norm is “geen omgang, tenzij</w:t>
                  </w:r>
                  <w:r>
                    <w:t xml:space="preserve"> </w:t>
                  </w:r>
                  <w:r w:rsidRPr="00662CD3">
                    <w:t xml:space="preserve">dit in het belang van het kind is”. </w:t>
                  </w:r>
                  <w:r>
                    <w:t xml:space="preserve">De norm “geen omgang, tenzij” geldt ook indien </w:t>
                  </w:r>
                  <w:r w:rsidRPr="00662CD3">
                    <w:t xml:space="preserve">de ouder </w:t>
                  </w:r>
                  <w:r>
                    <w:t xml:space="preserve">om </w:t>
                  </w:r>
                  <w:r w:rsidRPr="00662CD3">
                    <w:t>omgang</w:t>
                  </w:r>
                  <w:r>
                    <w:t xml:space="preserve"> verzoekt bij de rechter</w:t>
                  </w:r>
                  <w:r w:rsidRPr="00662CD3">
                    <w:t xml:space="preserve">. </w:t>
                  </w:r>
                  <w:r>
                    <w:t xml:space="preserve">In dit laatste geval geldt een ontzegging </w:t>
                  </w:r>
                  <w:r w:rsidRPr="00662CD3">
                    <w:t>voor de duur</w:t>
                  </w:r>
                  <w:r>
                    <w:t xml:space="preserve"> van twee jaar</w:t>
                  </w:r>
                  <w:r w:rsidRPr="00662CD3">
                    <w:t xml:space="preserve">. </w:t>
                  </w:r>
                </w:p>
                <w:p w:rsidR="004819FD" w:rsidP="004819FD" w:rsidRDefault="00354725"/>
                <w:p w:rsidR="004819FD" w:rsidP="004819FD" w:rsidRDefault="001F3001">
                  <w:r w:rsidRPr="004D6C86">
                    <w:t xml:space="preserve">De Afdeling </w:t>
                  </w:r>
                  <w:r>
                    <w:t xml:space="preserve">advisering van de Raad van State </w:t>
                  </w:r>
                  <w:r w:rsidRPr="004D6C86">
                    <w:t xml:space="preserve">onderschrijft </w:t>
                  </w:r>
                  <w:r>
                    <w:t xml:space="preserve">het voornemen om </w:t>
                  </w:r>
                  <w:r w:rsidRPr="004D6C86">
                    <w:t xml:space="preserve">de raad bij alle (vermoedelijke) gevallen van partnerdoding onderzoek </w:t>
                  </w:r>
                  <w:r>
                    <w:t>te laten doen</w:t>
                  </w:r>
                  <w:r w:rsidRPr="004D6C86">
                    <w:t xml:space="preserve"> naar de wenselijkheid van een omgangsregeling van het kind met de (vermoedelijke) dader-ouder. De Afdeling </w:t>
                  </w:r>
                  <w:r>
                    <w:t>acht</w:t>
                  </w:r>
                  <w:r w:rsidRPr="004D6C86">
                    <w:t xml:space="preserve"> echter de noodzaak </w:t>
                  </w:r>
                  <w:r>
                    <w:t xml:space="preserve">om </w:t>
                  </w:r>
                  <w:r w:rsidRPr="002C538D">
                    <w:t xml:space="preserve">de raad in alle gevallen te verplichten een verzoek tot het vaststellen of ontzeggen van de omgang bij de </w:t>
                  </w:r>
                  <w:r>
                    <w:t>rechter</w:t>
                  </w:r>
                  <w:r w:rsidRPr="002C538D">
                    <w:t xml:space="preserve"> in te dienen</w:t>
                  </w:r>
                  <w:r>
                    <w:t xml:space="preserve"> niet dragend gemotiveerd</w:t>
                  </w:r>
                  <w:r w:rsidRPr="004D6C86">
                    <w:t xml:space="preserve">. Daarnaast is de Afdeling niet overtuigd van de noodzaak </w:t>
                  </w:r>
                  <w:r w:rsidR="00AA31EA">
                    <w:t>om als</w:t>
                  </w:r>
                  <w:r>
                    <w:t xml:space="preserve"> uitgangspunt te nemen dat </w:t>
                  </w:r>
                  <w:r w:rsidRPr="004D6C86">
                    <w:t xml:space="preserve">ouder en kind </w:t>
                  </w:r>
                  <w:r>
                    <w:t xml:space="preserve">geen </w:t>
                  </w:r>
                  <w:r w:rsidRPr="004D6C86">
                    <w:t>recht hebben op omgang met elkaar</w:t>
                  </w:r>
                  <w:r>
                    <w:t>,</w:t>
                  </w:r>
                  <w:r w:rsidRPr="004D6C86">
                    <w:t xml:space="preserve"> tenzij dat in het belang van het kind</w:t>
                  </w:r>
                  <w:r>
                    <w:t xml:space="preserve"> is</w:t>
                  </w:r>
                  <w:r w:rsidR="007A1998">
                    <w:t>.</w:t>
                  </w:r>
                  <w:r>
                    <w:t xml:space="preserve"> </w:t>
                  </w:r>
                  <w:r w:rsidR="007A1998">
                    <w:t>D</w:t>
                  </w:r>
                  <w:r w:rsidR="005466C8">
                    <w:t xml:space="preserve">it uitgangspunt </w:t>
                  </w:r>
                  <w:r w:rsidR="007A1998">
                    <w:t xml:space="preserve">levert </w:t>
                  </w:r>
                  <w:r>
                    <w:t>op zijn minst spanning op met artikel 8 van het Europe</w:t>
                  </w:r>
                  <w:r w:rsidRPr="007D3453">
                    <w:t>e</w:t>
                  </w:r>
                  <w:r>
                    <w:t>s</w:t>
                  </w:r>
                  <w:r w:rsidRPr="007D3453">
                    <w:t xml:space="preserve"> </w:t>
                  </w:r>
                  <w:r>
                    <w:t>Verdrag</w:t>
                  </w:r>
                  <w:r w:rsidRPr="007D3453">
                    <w:t xml:space="preserve"> </w:t>
                  </w:r>
                  <w:r>
                    <w:t xml:space="preserve">tot bescherming </w:t>
                  </w:r>
                  <w:r w:rsidRPr="007D3453">
                    <w:t>van de Rechten van de Mens en d</w:t>
                  </w:r>
                  <w:r>
                    <w:t xml:space="preserve">e fundamentele vrijheden (EVRM) en artikel 9, derde lid, van het </w:t>
                  </w:r>
                  <w:r w:rsidRPr="00662CD3">
                    <w:t>Internationaal Verdrag voor de Rechten van het Kind (</w:t>
                  </w:r>
                  <w:r>
                    <w:t>IVRK).</w:t>
                  </w:r>
                  <w:r w:rsidRPr="004D6C86">
                    <w:t xml:space="preserve"> Tot slot doorkruist </w:t>
                  </w:r>
                  <w:r>
                    <w:t xml:space="preserve">de voorgestelde </w:t>
                  </w:r>
                  <w:r w:rsidRPr="004D6C86">
                    <w:t xml:space="preserve">duur van twee jaar </w:t>
                  </w:r>
                  <w:r>
                    <w:t xml:space="preserve">van het </w:t>
                  </w:r>
                  <w:r w:rsidRPr="004D6C86">
                    <w:t xml:space="preserve">ontzeggen van de omgang de mogelijkheden van de </w:t>
                  </w:r>
                  <w:r>
                    <w:t>rechter</w:t>
                  </w:r>
                  <w:r w:rsidRPr="004D6C86">
                    <w:t xml:space="preserve"> om een individuele afweging te maken </w:t>
                  </w:r>
                  <w:r>
                    <w:t xml:space="preserve">hetgeen ongewenst is omdat niet uitgesloten kan worden dat er situaties zijn waarin een kortere termijn juist in het belang van het kind zou kunnen zijn. </w:t>
                  </w:r>
                  <w:r w:rsidRPr="004D6C86">
                    <w:t>De Afdeling adviseert gelet hierop het voorstel van wet niet te zenden aan de Tweede Kamer der Staten-Generaal dan n</w:t>
                  </w:r>
                  <w:r>
                    <w:t xml:space="preserve">adat met </w:t>
                  </w:r>
                  <w:r w:rsidRPr="004D6C86">
                    <w:t>het vorenstaande rekening zal zijn gehouden.</w:t>
                  </w:r>
                </w:p>
                <w:p w:rsidR="004819FD" w:rsidP="004819FD" w:rsidRDefault="00354725"/>
                <w:p w:rsidRPr="00662CD3" w:rsidR="004819FD" w:rsidP="004819FD" w:rsidRDefault="001F3001">
                  <w:pPr>
                    <w:numPr>
                      <w:ilvl w:val="0"/>
                      <w:numId w:val="3"/>
                    </w:numPr>
                    <w:rPr>
                      <w:b/>
                      <w:u w:val="single"/>
                    </w:rPr>
                  </w:pPr>
                  <w:r w:rsidRPr="00662CD3">
                    <w:tab/>
                  </w:r>
                  <w:r w:rsidRPr="00AC2BCB">
                    <w:rPr>
                      <w:u w:val="single"/>
                    </w:rPr>
                    <w:t xml:space="preserve">Noodzaak </w:t>
                  </w:r>
                  <w:r>
                    <w:rPr>
                      <w:u w:val="single"/>
                    </w:rPr>
                    <w:t>verplichte rechtsgang Raad voor de Kinderbescherming</w:t>
                  </w:r>
                </w:p>
                <w:p w:rsidRPr="00662CD3" w:rsidR="004819FD" w:rsidP="004819FD" w:rsidRDefault="00354725"/>
                <w:p w:rsidR="004819FD" w:rsidP="004819FD" w:rsidRDefault="001F3001">
                  <w:r>
                    <w:t xml:space="preserve">Thans kan, zonder dat de rechter zich daarover heeft uitgesproken, </w:t>
                  </w:r>
                  <w:r w:rsidRPr="00662CD3">
                    <w:t xml:space="preserve">omgang plaatsvinden tussen een kind en de </w:t>
                  </w:r>
                  <w:r>
                    <w:t xml:space="preserve">ouder die zijn of haar andere ouder heeft gedood (verder: </w:t>
                  </w:r>
                  <w:r w:rsidRPr="00662CD3">
                    <w:t>dader-ouder</w:t>
                  </w:r>
                  <w:r>
                    <w:t>)</w:t>
                  </w:r>
                  <w:r w:rsidRPr="00662CD3">
                    <w:t xml:space="preserve"> in detentie</w:t>
                  </w:r>
                  <w:r>
                    <w:t>.</w:t>
                  </w:r>
                  <w:r w:rsidRPr="00662CD3">
                    <w:t xml:space="preserve"> D</w:t>
                  </w:r>
                  <w:r>
                    <w:t>it</w:t>
                  </w:r>
                  <w:r w:rsidRPr="00662CD3">
                    <w:t xml:space="preserve"> wordt in de praktijk onbevredigend gevonden, aldus de toelichting. Nabestaanden hebben blijkens de toelichting aangegeven dat kinderen tegen hun wil hun ouder in detentie ‘moeten zien’.</w:t>
                  </w:r>
                  <w:r>
                    <w:rPr>
                      <w:rStyle w:val="FootnoteReference"/>
                    </w:rPr>
                    <w:footnoteReference w:id="1"/>
                  </w:r>
                  <w:r w:rsidRPr="00662CD3">
                    <w:t xml:space="preserve"> </w:t>
                  </w:r>
                  <w:r>
                    <w:t xml:space="preserve">Dit vormt de aanleiding voor het wetsvoorstel. De huidige wettelijke regeling is blijkens de toelichting voorts ontoereikend omdat het kind na een dergelijke ingrijpende gebeurtenis rust nodig heeft en geen speelbal mag worden van conflicten tussen de familie van het slachtoffer, de </w:t>
                  </w:r>
                  <w:r>
                    <w:lastRenderedPageBreak/>
                    <w:t>familie van de (vermoedelijke) dader-ouder, de voogd en de (vermoedelijke) dader-ouder.</w:t>
                  </w:r>
                  <w:r>
                    <w:rPr>
                      <w:rStyle w:val="FootnoteReference"/>
                    </w:rPr>
                    <w:footnoteReference w:id="2"/>
                  </w:r>
                  <w:r>
                    <w:t xml:space="preserve"> Daarom wordt voorgesteld dat de raad bij alle (vermoedelijke) gevallen van partnerdoding een onderzoek instelt naar de wenselijkheid van een omgangsregeling van het kind met de (vermoedelijke) dader-ouder en vervolgens een verzoek indient bij de rechter. Hierdoor hoeft de (voorlopige) voogd zich niet meer met deze vaak bij nabestaanden tot weerstand leidende beslissing bezig te houden en kan hij zich richten op het bevorderen van de rust in het gezin, aldus de toelichting. </w:t>
                  </w:r>
                </w:p>
                <w:p w:rsidRPr="00662CD3" w:rsidR="004819FD" w:rsidP="004819FD" w:rsidRDefault="00354725"/>
                <w:p w:rsidR="004819FD" w:rsidP="004819FD" w:rsidRDefault="001F3001">
                  <w:r>
                    <w:t>De Afdeling onderkent de wenselijkheid van het streven van de regering om rust te creëren voor het kind na een (vermoedelijke) partnerdoding en om te voorkomen dat kinderen tegen hun wil worden gedwongen de (vermoedelijke) dader-ouder te zien. De Afdeling merkt echter op dat uit o</w:t>
                  </w:r>
                  <w:r w:rsidRPr="00662CD3">
                    <w:t xml:space="preserve">nderzoek naar omgang tussen de (vermoedelijke) dader-ouder en het kind </w:t>
                  </w:r>
                  <w:r>
                    <w:t xml:space="preserve">blijkt dat </w:t>
                  </w:r>
                  <w:r w:rsidRPr="00662CD3">
                    <w:t>in 94% van de gevallen (79 van 84 dossiers) de wens van het kind om al dan niet omgang te hebben met de dader-ouder wordt gevolgd.</w:t>
                  </w:r>
                  <w:r w:rsidRPr="00662CD3">
                    <w:rPr>
                      <w:vertAlign w:val="superscript"/>
                    </w:rPr>
                    <w:footnoteReference w:id="3"/>
                  </w:r>
                  <w:r w:rsidRPr="00662CD3">
                    <w:t xml:space="preserve"> Bij 5 kinderen werd uit het dossier duidelijk dat hun wens om wel of geen omgang met de dader-ouder te hebben niet is gevolgd. Drie </w:t>
                  </w:r>
                  <w:r>
                    <w:t xml:space="preserve">van deze </w:t>
                  </w:r>
                  <w:r w:rsidRPr="00662CD3">
                    <w:t xml:space="preserve">kinderen wilden wel omgang </w:t>
                  </w:r>
                  <w:r>
                    <w:t>hetgeen n</w:t>
                  </w:r>
                  <w:r w:rsidRPr="00662CD3">
                    <w:t xml:space="preserve">iet </w:t>
                  </w:r>
                  <w:r>
                    <w:t xml:space="preserve">werd toegestaan, </w:t>
                  </w:r>
                  <w:r w:rsidRPr="00662CD3">
                    <w:t xml:space="preserve">bij twee kinderen gold </w:t>
                  </w:r>
                  <w:r>
                    <w:t>het</w:t>
                  </w:r>
                  <w:r w:rsidRPr="00662CD3">
                    <w:t xml:space="preserve"> </w:t>
                  </w:r>
                  <w:r>
                    <w:t>omgekeerde</w:t>
                  </w:r>
                  <w:r w:rsidRPr="00662CD3">
                    <w:t>.</w:t>
                  </w:r>
                  <w:r w:rsidRPr="00662CD3">
                    <w:rPr>
                      <w:vertAlign w:val="superscript"/>
                    </w:rPr>
                    <w:footnoteReference w:id="4"/>
                  </w:r>
                  <w:r w:rsidRPr="00662CD3">
                    <w:t xml:space="preserve"> </w:t>
                  </w:r>
                  <w:r>
                    <w:t xml:space="preserve">Het </w:t>
                  </w:r>
                  <w:r w:rsidRPr="00662CD3">
                    <w:t xml:space="preserve">onderzoek </w:t>
                  </w:r>
                  <w:r>
                    <w:t xml:space="preserve">geeft aan </w:t>
                  </w:r>
                  <w:r w:rsidRPr="00662CD3">
                    <w:t>dat het kind nooit tegen zijn wil omgang zou moeten hebben met de dader-ouder</w:t>
                  </w:r>
                  <w:r>
                    <w:t>.</w:t>
                  </w:r>
                  <w:r w:rsidRPr="00662CD3">
                    <w:rPr>
                      <w:vertAlign w:val="superscript"/>
                    </w:rPr>
                    <w:footnoteReference w:id="5"/>
                  </w:r>
                  <w:r w:rsidRPr="00662CD3">
                    <w:t xml:space="preserve"> </w:t>
                  </w:r>
                  <w:r>
                    <w:t xml:space="preserve">In de twee gevallen uit het onderzoek waarbij kinderen omgang hadden met de (vermoedelijke) dader-ouder terwijl zij aangaven dat niet te willen, kan op basis van het onderzoek niet worden opgemaakt of daar een rechter bij betrokken is geweest, </w:t>
                  </w:r>
                  <w:r w:rsidRPr="00662CD3">
                    <w:t>waarom het kind geen omgang wilde</w:t>
                  </w:r>
                  <w:r>
                    <w:t xml:space="preserve"> en</w:t>
                  </w:r>
                  <w:r w:rsidRPr="00662CD3">
                    <w:t xml:space="preserve"> hoe bestendig die wens was</w:t>
                  </w:r>
                  <w:r>
                    <w:t>.</w:t>
                  </w:r>
                  <w:r w:rsidRPr="00662CD3">
                    <w:t xml:space="preserve"> </w:t>
                  </w:r>
                  <w:r>
                    <w:t>Naar het oordeel van de Afdeling bieden de hiervoor vermelde onderzoeksresultaten geen</w:t>
                  </w:r>
                  <w:r w:rsidRPr="00662CD3">
                    <w:t xml:space="preserve"> basis voor de in de toelichting vermelde </w:t>
                  </w:r>
                  <w:r>
                    <w:t>aanleiding voor het wetsvoorstel, namelijk</w:t>
                  </w:r>
                  <w:r w:rsidRPr="00662CD3">
                    <w:t xml:space="preserve"> dat het kind tegen zijn wil de (vermoedelijke) dader-ouder in detentie ‘moet zien’</w:t>
                  </w:r>
                  <w:r>
                    <w:t>.</w:t>
                  </w:r>
                  <w:r w:rsidRPr="00662CD3">
                    <w:t xml:space="preserve"> </w:t>
                  </w:r>
                </w:p>
                <w:p w:rsidR="004819FD" w:rsidP="004819FD" w:rsidRDefault="00354725"/>
                <w:p w:rsidR="004819FD" w:rsidP="004819FD" w:rsidRDefault="001F3001">
                  <w:r>
                    <w:t>Daarnaast wijst de Afdeling er op dat s</w:t>
                  </w:r>
                  <w:r w:rsidRPr="00662CD3">
                    <w:t xml:space="preserve">inds 1 december 2013 </w:t>
                  </w:r>
                  <w:r>
                    <w:t xml:space="preserve">wordt gewerkt volgens </w:t>
                  </w:r>
                  <w:r w:rsidRPr="00662CD3">
                    <w:t>het Handelingsprotocol gezag, contact/omgang en hulp na partnerdoding waarbij minderjarige kinderen betrokken zijn (hierna: Handelingsprotocol).</w:t>
                  </w:r>
                  <w:r w:rsidRPr="00662CD3">
                    <w:rPr>
                      <w:vertAlign w:val="superscript"/>
                    </w:rPr>
                    <w:footnoteReference w:id="6"/>
                  </w:r>
                  <w:r w:rsidRPr="00662CD3">
                    <w:t xml:space="preserve"> Op basis van het Handelingsprotocol verzoekt de raad bij een vermoeden van partnerdoding binnen 24 uur bij de rechtbank om een voorlopige voogdij-maatregel. De uitvoering van een voorlopige voogdij-maatregel wordt opgedragen aan een gecertificeerde instelling. Vervolgens doet de raad onderzoek naar een definitieve gezagsvoorziening, waarbij ook aandacht wordt besteed aan de vraag of en in welke mate omgang met de (vermoedelijke) dader-ouder in het belang van het kind is. De bevindingen van de </w:t>
                  </w:r>
                  <w:r w:rsidRPr="00662CD3">
                    <w:lastRenderedPageBreak/>
                    <w:t>gecertificeerde instelling, het kinderpsychotraumacentrum en de overwegingen van de pleegouders en/of direct betrokken nabestaanden/verzorgers worden hierin meegenomen. Indien de (vermoedelijke) dader-ouder op enig moment een verzoek tot omgang met zijn kind indient, adviseert de raad desgewenst de rechtbank</w:t>
                  </w:r>
                  <w:r>
                    <w:t xml:space="preserve"> en worden deze bevindingen eveneens meegenomen</w:t>
                  </w:r>
                  <w:r w:rsidRPr="00662CD3">
                    <w:t>.</w:t>
                  </w:r>
                </w:p>
                <w:p w:rsidR="004819FD" w:rsidP="004819FD" w:rsidRDefault="00354725"/>
                <w:p w:rsidR="00AB6D58" w:rsidP="004819FD" w:rsidRDefault="001F3001">
                  <w:r>
                    <w:t xml:space="preserve">De hiervoor beschreven handelswijze op grond van het Handelingsprotocol doet </w:t>
                  </w:r>
                  <w:r w:rsidRPr="00662CD3">
                    <w:t xml:space="preserve">de vraag </w:t>
                  </w:r>
                  <w:r>
                    <w:t xml:space="preserve">rijzen of de </w:t>
                  </w:r>
                  <w:r w:rsidRPr="002A7D7E">
                    <w:t xml:space="preserve">raad in alle zaken verplicht moet worden een verzoek tot het vaststellen of ontzeggen van de omgang bij de </w:t>
                  </w:r>
                  <w:r>
                    <w:t>rechter</w:t>
                  </w:r>
                  <w:r w:rsidRPr="002A7D7E">
                    <w:t xml:space="preserve"> in te dienen. </w:t>
                  </w:r>
                  <w:r>
                    <w:t>I</w:t>
                  </w:r>
                  <w:r w:rsidRPr="00662CD3">
                    <w:t xml:space="preserve">n het </w:t>
                  </w:r>
                  <w:r>
                    <w:t>advies van de r</w:t>
                  </w:r>
                  <w:r w:rsidRPr="00662CD3">
                    <w:t xml:space="preserve">aad naar de definitieve gezagsvoorziening </w:t>
                  </w:r>
                  <w:r>
                    <w:t>wordt</w:t>
                  </w:r>
                  <w:r w:rsidRPr="00662CD3">
                    <w:t xml:space="preserve"> de wenselijkheid van een omgangsregeling </w:t>
                  </w:r>
                  <w:r>
                    <w:t xml:space="preserve">immers </w:t>
                  </w:r>
                  <w:r w:rsidRPr="00662CD3">
                    <w:t>meegenomen.</w:t>
                  </w:r>
                  <w:r>
                    <w:t xml:space="preserve"> Daarbij worden de bevindingen van alle bij het kind betrokkenen, waaronder de nabestaanden, betrokken.</w:t>
                  </w:r>
                  <w:r w:rsidRPr="00662CD3">
                    <w:t xml:space="preserve"> </w:t>
                  </w:r>
                  <w:r w:rsidRPr="009475B3">
                    <w:t>Niet gebleken is dat de (voorlopig) voogd dit advies van de raad niet serieus neemt</w:t>
                  </w:r>
                  <w:r w:rsidRPr="00885C62">
                    <w:t xml:space="preserve">. </w:t>
                  </w:r>
                  <w:r w:rsidRPr="002A7D7E">
                    <w:t xml:space="preserve">Indien de raad daartoe </w:t>
                  </w:r>
                  <w:r>
                    <w:t>geen aanleiding ziet</w:t>
                  </w:r>
                  <w:r w:rsidRPr="002A7D7E">
                    <w:t xml:space="preserve"> en betrokkenen het eens zijn over het al dan </w:t>
                  </w:r>
                  <w:r w:rsidRPr="009475B3">
                    <w:t xml:space="preserve">niet bestaan van omgang, is er de benodigde rust rond het kind. </w:t>
                  </w:r>
                  <w:r w:rsidRPr="00885C62">
                    <w:t>Het indienen</w:t>
                  </w:r>
                  <w:r>
                    <w:t xml:space="preserve"> van een verzoek bij de rechter en een behandeling ter zitting is, zo blijkt uit wetenschappelijk onderzoek, </w:t>
                  </w:r>
                  <w:r w:rsidRPr="002A7D7E">
                    <w:t>zeer belastend voor het betrokken kind en de nabestaanden</w:t>
                  </w:r>
                  <w:r>
                    <w:t>.</w:t>
                  </w:r>
                  <w:r>
                    <w:rPr>
                      <w:rStyle w:val="FootnoteReference"/>
                    </w:rPr>
                    <w:footnoteReference w:id="7"/>
                  </w:r>
                  <w:r>
                    <w:t xml:space="preserve"> In zaken waarin er geen noodzaak is tot het vaststellen of ontzeggen van de omgang door de rechter, kan de voorgestelde verplichting </w:t>
                  </w:r>
                  <w:r w:rsidRPr="002A7D7E">
                    <w:t xml:space="preserve">een verzoek bij de </w:t>
                  </w:r>
                  <w:r>
                    <w:t>rechter</w:t>
                  </w:r>
                  <w:r w:rsidRPr="002A7D7E">
                    <w:t xml:space="preserve"> in te dienen</w:t>
                  </w:r>
                  <w:r>
                    <w:t xml:space="preserve"> en ter zitting te behandelen</w:t>
                  </w:r>
                  <w:r w:rsidRPr="002A7D7E">
                    <w:t xml:space="preserve">, </w:t>
                  </w:r>
                  <w:r>
                    <w:t>j</w:t>
                  </w:r>
                  <w:r w:rsidRPr="002A7D7E">
                    <w:t>uist averechts werken</w:t>
                  </w:r>
                  <w:r>
                    <w:t>, zoals ook blijkt in de praktijk</w:t>
                  </w:r>
                  <w:r w:rsidRPr="002A7D7E">
                    <w:t>.</w:t>
                  </w:r>
                  <w:r>
                    <w:rPr>
                      <w:rStyle w:val="FootnoteReference"/>
                    </w:rPr>
                    <w:footnoteReference w:id="8"/>
                  </w:r>
                  <w:r>
                    <w:t xml:space="preserve"> Indien de (vermoedelijke) dader-ouder de rechter verzoekt een omgangsregeling vast te stellen, kan deze de omgang ontzeggen op grond van één van de vier ontzeggingsgronden.</w:t>
                  </w:r>
                  <w:r w:rsidRPr="00662CD3">
                    <w:rPr>
                      <w:vertAlign w:val="superscript"/>
                    </w:rPr>
                    <w:footnoteReference w:id="9"/>
                  </w:r>
                  <w:r>
                    <w:t xml:space="preserve"> Ook in dat geval kan de rechter de raad verzoeken om onderzoek te doen naar de wenselijkheid van omgang. Niet gebleken is dat de handelswijze van het relatief recent opgestelde Handelingsprotocol in de praktijk onbevredigend werkt.</w:t>
                  </w:r>
                  <w:r w:rsidRPr="00662CD3">
                    <w:t xml:space="preserve"> </w:t>
                  </w:r>
                  <w:r>
                    <w:t xml:space="preserve">Juist in situaties van partnerdoding is het aangewezen dat een ‘derde’ (in dit geval de raad) meekijkt en aandacht verzekerd is voor de vraag of en in hoeverre omgang in het belang van het kind is. Daarin wordt thans via het Handelingsprotocol voorzien. </w:t>
                  </w:r>
                </w:p>
                <w:p w:rsidR="00AB6D58" w:rsidP="004819FD" w:rsidRDefault="00354725"/>
                <w:p w:rsidR="004819FD" w:rsidP="004819FD" w:rsidRDefault="001F3001">
                  <w:r>
                    <w:t xml:space="preserve">Tot slot merkt de Afdeling op dat het zeer de vraag is of de benodigde rust wordt bewerkstelligd door het beleggen van de beslissing omtrent omgang bij de rechter. Ook met die beslissing zouden nabestaanden het immers oneens kunnen zijn. Onenigheid zou gedurende de beroepsprocedure ook zijn weerslag kunnen hebben op het kind, zodat de benodigde rust niet gegeven is met overheveling van de beslissing omtrent omgang naar de rechter. Bovendien zijn gecertificeerde instellingen professionele instellingen wier taak het is om het belang van het kind te behartigen in gezinnen waarin sprake is van een soms heftige conflictsituatie. Niet is gebleken dat de (voorlopige) voogd thans onvoldoende slaagt in het zo veel als mogelijk creëren van rust in het gezin. </w:t>
                  </w:r>
                </w:p>
                <w:p w:rsidRPr="00662CD3" w:rsidR="004819FD" w:rsidP="004819FD" w:rsidRDefault="00354725"/>
                <w:p w:rsidRPr="00662CD3" w:rsidR="004819FD" w:rsidP="004819FD" w:rsidRDefault="001F3001">
                  <w:r>
                    <w:t>Gelet op het voorgaande acht d</w:t>
                  </w:r>
                  <w:r w:rsidRPr="00662CD3">
                    <w:t xml:space="preserve">e Afdeling </w:t>
                  </w:r>
                  <w:r>
                    <w:t xml:space="preserve">de noodzaak van een verplichte rechtsgang voor de raad niet dragend gemotiveerd. </w:t>
                  </w:r>
                  <w:r w:rsidRPr="00A4790C">
                    <w:t xml:space="preserve">De Afdeling adviseert </w:t>
                  </w:r>
                  <w:r>
                    <w:t xml:space="preserve">dit alsnog te doen en anders </w:t>
                  </w:r>
                  <w:r w:rsidRPr="00A4790C">
                    <w:t xml:space="preserve">de verplichting voor de raad om </w:t>
                  </w:r>
                  <w:r>
                    <w:t xml:space="preserve">in alle gevallen </w:t>
                  </w:r>
                  <w:r w:rsidRPr="00A4790C">
                    <w:t xml:space="preserve">een verzoek te doen tot </w:t>
                  </w:r>
                  <w:r>
                    <w:t xml:space="preserve">het </w:t>
                  </w:r>
                  <w:r w:rsidRPr="00A4790C">
                    <w:t>vaststellen of ontzeggen van de omgang te laten vervallen.</w:t>
                  </w:r>
                  <w:r w:rsidRPr="00662CD3">
                    <w:t xml:space="preserve"> </w:t>
                  </w:r>
                </w:p>
                <w:p w:rsidRPr="00662CD3" w:rsidR="004819FD" w:rsidP="004819FD" w:rsidRDefault="00354725"/>
                <w:p w:rsidR="004819FD" w:rsidP="004819FD" w:rsidRDefault="001F3001">
                  <w:pPr>
                    <w:numPr>
                      <w:ilvl w:val="0"/>
                      <w:numId w:val="3"/>
                    </w:numPr>
                    <w:rPr>
                      <w:u w:val="single"/>
                    </w:rPr>
                  </w:pPr>
                  <w:r w:rsidRPr="00662CD3">
                    <w:tab/>
                  </w:r>
                  <w:r w:rsidRPr="00662CD3">
                    <w:rPr>
                      <w:u w:val="single"/>
                    </w:rPr>
                    <w:t xml:space="preserve">Geen omgang, tenzij </w:t>
                  </w:r>
                </w:p>
                <w:p w:rsidR="004819FD" w:rsidP="004819FD" w:rsidRDefault="00354725">
                  <w:pPr>
                    <w:rPr>
                      <w:u w:val="single"/>
                    </w:rPr>
                  </w:pPr>
                </w:p>
                <w:p w:rsidR="004819FD" w:rsidP="004819FD" w:rsidRDefault="001F3001">
                  <w:r>
                    <w:t xml:space="preserve">Voorgesteld wordt dat de rechter </w:t>
                  </w:r>
                  <w:r w:rsidRPr="00662CD3">
                    <w:t xml:space="preserve">bij </w:t>
                  </w:r>
                  <w:r>
                    <w:t>de beoordeling van</w:t>
                  </w:r>
                  <w:r w:rsidRPr="00662CD3">
                    <w:t xml:space="preserve"> het verzoek tot omgang tussen de (vermoedelijke) dader-ouder en het kind </w:t>
                  </w:r>
                  <w:r>
                    <w:t xml:space="preserve">als uitgangspunt hanteert </w:t>
                  </w:r>
                  <w:r w:rsidRPr="00662CD3">
                    <w:t>dat de omgang wordt ontzegd, tenzij omgang in het belang van het kind is.</w:t>
                  </w:r>
                  <w:r w:rsidRPr="00662CD3">
                    <w:rPr>
                      <w:vertAlign w:val="superscript"/>
                    </w:rPr>
                    <w:footnoteReference w:id="10"/>
                  </w:r>
                  <w:r w:rsidRPr="00662CD3">
                    <w:t xml:space="preserve"> Door een kind zijn </w:t>
                  </w:r>
                  <w:r>
                    <w:t xml:space="preserve">andere </w:t>
                  </w:r>
                  <w:r w:rsidRPr="00662CD3">
                    <w:t>ouder te ontnemen heeft de dader-ouder over het algemeen aangetoond niet in het belang van het kind te handelen en daarom is deze norm gerechtvaardigd, aldus de toelichting.</w:t>
                  </w:r>
                  <w:r w:rsidRPr="00662CD3">
                    <w:rPr>
                      <w:vertAlign w:val="superscript"/>
                    </w:rPr>
                    <w:footnoteReference w:id="11"/>
                  </w:r>
                  <w:r w:rsidRPr="00662CD3">
                    <w:t xml:space="preserve"> </w:t>
                  </w:r>
                  <w:r>
                    <w:t>Daarbij wijst de regering er tevens op dat meer dan de helft van de kinderen geen omgang met (vermoedelijke) dader-ouder wenste of hier wisselende wensen over had. De regering acht dit een opvallend hoog percentage afgezet tegen de ‘normaliteit’ van de kinderwens om omgang te hebben met zijn ouder(s). Het concrete geval kan aanleiding geven tot een andere regeling en daarom wordt er door de rechter altijd een individuele afweging gemaakt, aldus de toelichting.</w:t>
                  </w:r>
                  <w:r>
                    <w:rPr>
                      <w:rStyle w:val="FootnoteReference"/>
                    </w:rPr>
                    <w:footnoteReference w:id="12"/>
                  </w:r>
                  <w:r>
                    <w:t xml:space="preserve"> </w:t>
                  </w:r>
                  <w:r w:rsidRPr="00662CD3">
                    <w:t xml:space="preserve">De Afdeling </w:t>
                  </w:r>
                  <w:r>
                    <w:t>merkt hierover het volgende op</w:t>
                  </w:r>
                  <w:r w:rsidRPr="00662CD3">
                    <w:t xml:space="preserve">. </w:t>
                  </w:r>
                </w:p>
                <w:p w:rsidR="004819FD" w:rsidP="004819FD" w:rsidRDefault="00354725">
                  <w:pPr>
                    <w:rPr>
                      <w:u w:val="single"/>
                    </w:rPr>
                  </w:pPr>
                </w:p>
                <w:p w:rsidR="004819FD" w:rsidP="004819FD" w:rsidRDefault="001F3001">
                  <w:r w:rsidRPr="00662CD3">
                    <w:t xml:space="preserve">Artikel 8 van het </w:t>
                  </w:r>
                  <w:r>
                    <w:t xml:space="preserve">EVRM </w:t>
                  </w:r>
                  <w:r w:rsidRPr="00662CD3">
                    <w:t xml:space="preserve">garandeert het respect voor familie- en gezinsleven (‘family life’). Uit het hebben van family life vloeien voor ouder en kind rechten voort, zoals het recht op omgang. Artikel 9, derde lid, van het IVRK bepaalt </w:t>
                  </w:r>
                  <w:r>
                    <w:t xml:space="preserve">eveneens </w:t>
                  </w:r>
                  <w:r w:rsidRPr="00662CD3">
                    <w:t xml:space="preserve">dat het kind recht heeft op persoonlijk contact en omgang met beide ouders als hij van hen is gescheiden, tenzij dit strijdig is met het belang van het kind. </w:t>
                  </w:r>
                  <w:r>
                    <w:t xml:space="preserve">Beide artikelen hebben derhalve als uitgangspunt dat ouder en kind recht hebben op omgang met elkaar. Daarvan kan alleen worden afgeweken als omgang niet in het belang van het kind is, of indien dit noodzakelijk is ter bescherming van </w:t>
                  </w:r>
                  <w:r w:rsidRPr="00662CD3">
                    <w:t>een in artikel 8, tweede lid, EVRM genoemd belang.</w:t>
                  </w:r>
                  <w:r>
                    <w:t xml:space="preserve"> Een afweging daarover dient per geval te worden gemaakt. </w:t>
                  </w:r>
                </w:p>
                <w:p w:rsidR="004819FD" w:rsidP="004819FD" w:rsidRDefault="00354725"/>
                <w:p w:rsidR="004819FD" w:rsidP="004819FD" w:rsidRDefault="001F3001">
                  <w:r>
                    <w:t xml:space="preserve">De Afdeling merkt op dat de nationale wetgever in beginsel geacht mag worden fundamentele mensenrechten, zoals het recht van ouders en kinderen op omgang met elkaar, als uitgangspunt te hanteren in nationale wetgeving, waarbij van dat uitgangspunt kan worden afgeweken indien dit in het belang van het kind is. In het wetsvoorstel wordt het tegenovergestelde uitgangspunt als dat wat is neergelegd in artikel 8 EVRM en artikel 9, derde lid, IVRK gehanteerd. Dit levert op zijn minst spanning op met deze artikelen. Dat wordt voorzien in een individuele afweging per geval doet daaraan niet af omdat het om het normatieve karakter van het door de wetgever gehanteerde uitgangspunt gaat. Ook </w:t>
                  </w:r>
                  <w:r w:rsidRPr="007D3453">
                    <w:t>het Europee</w:t>
                  </w:r>
                  <w:r>
                    <w:t>s</w:t>
                  </w:r>
                  <w:r w:rsidRPr="007D3453">
                    <w:t xml:space="preserve"> Hof </w:t>
                  </w:r>
                  <w:r>
                    <w:t>voor</w:t>
                  </w:r>
                  <w:r w:rsidRPr="007D3453">
                    <w:t xml:space="preserve"> de Rechten van de Mens </w:t>
                  </w:r>
                  <w:r>
                    <w:t xml:space="preserve">(EHRM) benadrukt dat een ouder het recht op omgang </w:t>
                  </w:r>
                  <w:r w:rsidRPr="00AB6D58">
                    <w:t>slechts wegens gegronde redenen</w:t>
                  </w:r>
                  <w:r>
                    <w:t xml:space="preserve"> kan</w:t>
                  </w:r>
                  <w:r w:rsidRPr="00AB6D58">
                    <w:t xml:space="preserve"> worden onthouden</w:t>
                  </w:r>
                  <w:r>
                    <w:t>,</w:t>
                  </w:r>
                  <w:r w:rsidRPr="00AB6D58">
                    <w:t xml:space="preserve"> omdat het een fundamenteel element van het recht op family life </w:t>
                  </w:r>
                  <w:r>
                    <w:t>omvat</w:t>
                  </w:r>
                  <w:r w:rsidRPr="00AB6D58">
                    <w:t>.</w:t>
                  </w:r>
                  <w:r w:rsidRPr="00AB6D58">
                    <w:rPr>
                      <w:vertAlign w:val="superscript"/>
                    </w:rPr>
                    <w:footnoteReference w:id="13"/>
                  </w:r>
                  <w:r>
                    <w:t xml:space="preserve"> Ten aanzien van de gegrondheid van de redenen om van het in deze fundamentele mensenrechten neergelegde uitganspunt af te wijken, merkt de Afdeling het volgende op. </w:t>
                  </w:r>
                </w:p>
                <w:p w:rsidRPr="00662CD3" w:rsidR="004819FD" w:rsidP="004819FD" w:rsidRDefault="00354725"/>
                <w:p w:rsidR="004819FD" w:rsidP="004819FD" w:rsidRDefault="001F3001">
                  <w:r>
                    <w:t xml:space="preserve">De Afdeling is met de regering van oordeel dat bij (vermoedelijke) partnerdoding sprake dient te zijn van een individuele belangenafweging, waarbij uiteindelijk de belangen van het kind de doorslag geven. Uit </w:t>
                  </w:r>
                  <w:r w:rsidRPr="004A766D">
                    <w:t xml:space="preserve">onderzoek </w:t>
                  </w:r>
                  <w:r>
                    <w:t xml:space="preserve">blijkt </w:t>
                  </w:r>
                  <w:r w:rsidRPr="004A766D">
                    <w:t>dat de wens van kinderen om al dan niet omgang te hebben met de dader</w:t>
                  </w:r>
                  <w:r>
                    <w:t>-</w:t>
                  </w:r>
                  <w:r w:rsidRPr="004A766D">
                    <w:t>ouder verschilt. 40% van de kinderen wilde wel</w:t>
                  </w:r>
                  <w:r>
                    <w:t xml:space="preserve"> omgang</w:t>
                  </w:r>
                  <w:r w:rsidRPr="004A766D">
                    <w:t xml:space="preserve">, 26% niet, 23% was hierover wisselend en 9% had moeite om een voorkeur uit te spreken. Van belang bleek vooral dat het kind niet werd geconfronteerd met ongewenste verzoeken van de dader-ouder om omgang. </w:t>
                  </w:r>
                  <w:r>
                    <w:t>Omgang met de dader-ouder ko</w:t>
                  </w:r>
                  <w:r w:rsidRPr="004A766D">
                    <w:t>n niet per definitie als gezond of juist schadelijk worden gezien.</w:t>
                  </w:r>
                  <w:r w:rsidRPr="004A766D">
                    <w:rPr>
                      <w:vertAlign w:val="superscript"/>
                    </w:rPr>
                    <w:footnoteReference w:id="14"/>
                  </w:r>
                  <w:r>
                    <w:t xml:space="preserve"> Deze onderzoeksbevindingen nopen niet tot het voorgestelde uitgangspunt, dat haaks staat op hetgeen in genoemde verdragen is neergelegd. Daar komt bij dat gevallen van partnerdoding </w:t>
                  </w:r>
                  <w:r w:rsidRPr="00662CD3">
                    <w:t xml:space="preserve">sterk </w:t>
                  </w:r>
                  <w:r>
                    <w:t>van elkaar verschillen</w:t>
                  </w:r>
                  <w:r w:rsidRPr="00662CD3">
                    <w:t xml:space="preserve">. </w:t>
                  </w:r>
                  <w:r>
                    <w:t xml:space="preserve">Het gaat bijvoorbeeld niet alleen om de man die uit jaloezie zijn vrouw om het leven brengt, maar ook om de vrouw die na jarenlange mishandeling ter bescherming van haar kinderen in een daad van wanhoop de man om het leven brengt. Deze realiteit noopt evenmin tot de voorgestelde norm dat de omgang wordt ontzegd, tenzij omgang in het belang van het kind is. </w:t>
                  </w:r>
                </w:p>
                <w:p w:rsidR="004819FD" w:rsidP="004819FD" w:rsidRDefault="00354725"/>
                <w:p w:rsidR="004819FD" w:rsidP="004819FD" w:rsidRDefault="001F3001">
                  <w:r>
                    <w:t>De Afdeling is gelet op het voorgaande van oordeel dat de voorgestelde norm ‘geen omgang, tenzij’ op zijn minst spanning oplevert met artikel 8 EVRM en artikel 9, derde lid, IVRK terwijl van gegronde redenen om van deze norm af te wijken niet is gebleken. De Afdeling adviseert daarom om van het uitgangspunt ‘geen omgang, tenzij’ af te zien.</w:t>
                  </w:r>
                </w:p>
                <w:p w:rsidRPr="00662CD3" w:rsidR="004819FD" w:rsidP="004819FD" w:rsidRDefault="00354725"/>
                <w:p w:rsidRPr="00426E4A" w:rsidR="004819FD" w:rsidP="004819FD" w:rsidRDefault="001F3001">
                  <w:pPr>
                    <w:rPr>
                      <w:u w:val="single"/>
                    </w:rPr>
                  </w:pPr>
                  <w:r w:rsidRPr="00426E4A">
                    <w:t xml:space="preserve">3. </w:t>
                  </w:r>
                  <w:r w:rsidRPr="00426E4A">
                    <w:tab/>
                  </w:r>
                  <w:r w:rsidRPr="00426E4A">
                    <w:rPr>
                      <w:u w:val="single"/>
                    </w:rPr>
                    <w:t xml:space="preserve">Ontzegging voor de duur van </w:t>
                  </w:r>
                  <w:r>
                    <w:rPr>
                      <w:u w:val="single"/>
                    </w:rPr>
                    <w:t xml:space="preserve">ten minste </w:t>
                  </w:r>
                  <w:r w:rsidRPr="00426E4A">
                    <w:rPr>
                      <w:u w:val="single"/>
                    </w:rPr>
                    <w:t>twee jaar</w:t>
                  </w:r>
                </w:p>
                <w:p w:rsidR="004819FD" w:rsidP="004819FD" w:rsidRDefault="00354725"/>
                <w:p w:rsidRPr="005D2AF2" w:rsidR="005D2AF2" w:rsidP="005D2AF2" w:rsidRDefault="001F3001">
                  <w:r w:rsidRPr="005D2AF2">
                    <w:t xml:space="preserve">Indien de rechter het verzoek van de (vermoedelijke) dader-ouder tot vaststelling van een omgangsregeling afwijst, stelt de rechter de duur van de ontzegging vast voor ten minste een periode van twee jaar. Binnen de termijn van twee jaar wordt de (vermoedelijke) dader-ouder niet-ontvankelijk verklaard indien hij wederom om omgang verzoekt, aldus de toelichting. Hiermee wordt beoogd de rust rond het kind, voor wie de gerechtelijke procedures bij partnerdoding zeer belastend zijn, te bevorderen. </w:t>
                  </w:r>
                </w:p>
                <w:p w:rsidRPr="005D2AF2" w:rsidR="005D2AF2" w:rsidP="005D2AF2" w:rsidRDefault="00354725"/>
                <w:p w:rsidRPr="005D2AF2" w:rsidR="005D2AF2" w:rsidP="005D2AF2" w:rsidRDefault="001F3001">
                  <w:r w:rsidRPr="005D2AF2">
                    <w:t xml:space="preserve">Zoals onder punt 2 reeds is vermeld en uit diverse reacties op het voorstel blijkt, zijn partnerdodingen waarbij minderjarige kinderen zijn betrokken complexe, sterk van elkaar verschillende zaken die een casuïstische benadering vereisen. Gelet hierop vermag de Afdeling niet in te zien waarom de termijn voor de ontzegging niet het beste per individueel geval door de </w:t>
                  </w:r>
                  <w:r>
                    <w:t>rechter</w:t>
                  </w:r>
                  <w:r w:rsidRPr="005D2AF2">
                    <w:t xml:space="preserve"> kan worden bepaald. De </w:t>
                  </w:r>
                  <w:r>
                    <w:t>rechter</w:t>
                  </w:r>
                  <w:r w:rsidRPr="005D2AF2">
                    <w:t xml:space="preserve"> kan een op de zaak toegesneden afweging te maken over de duur van een eventuele ontzegging. Niet uitgesloten kan immers worden dat er situaties zijn waarin het aangewezen is een duur van de periode van ontzegging een jaar te doen zijn en waarin dit ook in het belang van het kind wordt geacht. Het op voorhand vastleggen van de periode van het ontzeggen van de omgang voor de duur van twee jaar beperkt de mogelijkheden van de </w:t>
                  </w:r>
                  <w:r>
                    <w:t>rechter</w:t>
                  </w:r>
                  <w:r w:rsidRPr="005D2AF2">
                    <w:t xml:space="preserve"> om een individuele afweging te maken. Dit acht de Afdeling vanwege de sterk van elkaar verschillende zaken en gelet op het belang van het kind onwenselijk.</w:t>
                  </w:r>
                </w:p>
                <w:p w:rsidRPr="005D2AF2" w:rsidR="005D2AF2" w:rsidP="005D2AF2" w:rsidRDefault="00354725"/>
                <w:p w:rsidRPr="007860F8" w:rsidR="005D2AF2" w:rsidP="005D2AF2" w:rsidRDefault="001F3001">
                  <w:pPr>
                    <w:rPr>
                      <w:lang w:val="en-US"/>
                    </w:rPr>
                  </w:pPr>
                  <w:r w:rsidRPr="005D2AF2">
                    <w:t xml:space="preserve">Daar komt bij dat vraagtekens geplaatst kunnen worden bij de in de toelichting vermelde redenering dat de duur van twee jaar strookt met de uitspraak van het EHRM in de zaak Nekvedavicius tegen Duitsland. </w:t>
                  </w:r>
                  <w:r w:rsidRPr="007860F8">
                    <w:rPr>
                      <w:lang w:val="en-US"/>
                    </w:rPr>
                    <w:t>Daar overwoog het EHRM:</w:t>
                  </w:r>
                </w:p>
                <w:p w:rsidR="007860F8" w:rsidP="005D2AF2" w:rsidRDefault="00354725">
                  <w:pPr>
                    <w:ind w:left="708"/>
                    <w:rPr>
                      <w:sz w:val="20"/>
                      <w:szCs w:val="20"/>
                      <w:lang w:val="en-US"/>
                    </w:rPr>
                  </w:pPr>
                </w:p>
                <w:p w:rsidRPr="007860F8" w:rsidR="005D2AF2" w:rsidP="005D2AF2" w:rsidRDefault="001F3001">
                  <w:pPr>
                    <w:ind w:left="708"/>
                    <w:rPr>
                      <w:sz w:val="20"/>
                      <w:szCs w:val="20"/>
                      <w:lang w:val="en-US"/>
                    </w:rPr>
                  </w:pPr>
                  <w:r>
                    <w:rPr>
                      <w:sz w:val="20"/>
                      <w:szCs w:val="20"/>
                      <w:lang w:val="en-US"/>
                    </w:rPr>
                    <w:t>“</w:t>
                  </w:r>
                  <w:r w:rsidRPr="007860F8">
                    <w:rPr>
                      <w:sz w:val="20"/>
                      <w:szCs w:val="20"/>
                      <w:lang w:val="en-US"/>
                    </w:rPr>
                    <w:t>The Court considers that, having regard to the circumstances of the case, particularly the real and serious conflicts between the applicant and the child’s mother, the decision taken to deny the applicant a right of access appears to be based on relevant and sufficient grounds. Nevertheless, it has to be noted that the right of access for natural fathers arising out of article 8 is only one, but an important element of the duty to preserve the uniting bonds between father and daughter. In the light of this duty the reasons to deny access cannot be regarded as permanent, but the national courts are under an ungoing obligation to re-assess the situation and to try to overcome any of the obstacles which might hinder granting an even very limited access of the father. Therefore there is a positive obligation of the national authorities to take the issue up again at regular intervals of at least one year.</w:t>
                  </w:r>
                  <w:r>
                    <w:rPr>
                      <w:sz w:val="20"/>
                      <w:szCs w:val="20"/>
                      <w:lang w:val="en-US"/>
                    </w:rPr>
                    <w:t>”</w:t>
                  </w:r>
                  <w:r w:rsidRPr="005D2AF2">
                    <w:rPr>
                      <w:sz w:val="20"/>
                      <w:szCs w:val="20"/>
                      <w:vertAlign w:val="superscript"/>
                    </w:rPr>
                    <w:footnoteReference w:id="15"/>
                  </w:r>
                  <w:r w:rsidRPr="007860F8">
                    <w:rPr>
                      <w:sz w:val="20"/>
                      <w:szCs w:val="20"/>
                      <w:lang w:val="en-US"/>
                    </w:rPr>
                    <w:t xml:space="preserve"> </w:t>
                  </w:r>
                </w:p>
                <w:p w:rsidRPr="007860F8" w:rsidR="007860F8" w:rsidRDefault="00354725">
                  <w:pPr>
                    <w:rPr>
                      <w:szCs w:val="22"/>
                      <w:lang w:val="en-US"/>
                    </w:rPr>
                  </w:pPr>
                </w:p>
                <w:p w:rsidRPr="005D2AF2" w:rsidR="005D2AF2" w:rsidRDefault="001F3001">
                  <w:pPr>
                    <w:rPr>
                      <w:szCs w:val="22"/>
                    </w:rPr>
                  </w:pPr>
                  <w:r w:rsidRPr="005D2AF2">
                    <w:rPr>
                      <w:szCs w:val="22"/>
                    </w:rPr>
                    <w:t>Voorts heeft het Hof het volgende overwogen:</w:t>
                  </w:r>
                </w:p>
                <w:p w:rsidR="007860F8" w:rsidP="005D2AF2" w:rsidRDefault="00354725">
                  <w:pPr>
                    <w:ind w:left="708"/>
                    <w:rPr>
                      <w:sz w:val="20"/>
                      <w:szCs w:val="20"/>
                      <w:lang w:val="en-US"/>
                    </w:rPr>
                  </w:pPr>
                </w:p>
                <w:p w:rsidRPr="007860F8" w:rsidR="005D2AF2" w:rsidP="005D2AF2" w:rsidRDefault="001F3001">
                  <w:pPr>
                    <w:ind w:left="708"/>
                    <w:rPr>
                      <w:i/>
                      <w:iCs/>
                      <w:sz w:val="20"/>
                      <w:szCs w:val="20"/>
                      <w:lang w:val="en-US"/>
                    </w:rPr>
                  </w:pPr>
                  <w:r w:rsidRPr="007860F8">
                    <w:rPr>
                      <w:sz w:val="20"/>
                      <w:szCs w:val="20"/>
                      <w:lang w:val="en-US"/>
                    </w:rPr>
                    <w:t>“The Court reiterates that this cannot amount to an unlimited refusal of access, but that a continuous re-examination of the situation is also necessary, in particular in view of the obligation of the child’s mother to enable the access of the father to his daughter in regular intervals</w:t>
                  </w:r>
                  <w:r w:rsidRPr="007860F8">
                    <w:rPr>
                      <w:i/>
                      <w:iCs/>
                      <w:sz w:val="20"/>
                      <w:szCs w:val="20"/>
                      <w:lang w:val="en-US"/>
                    </w:rPr>
                    <w:t>”.</w:t>
                  </w:r>
                  <w:r w:rsidRPr="005D2AF2">
                    <w:rPr>
                      <w:i/>
                      <w:iCs/>
                      <w:sz w:val="20"/>
                      <w:szCs w:val="20"/>
                      <w:vertAlign w:val="superscript"/>
                    </w:rPr>
                    <w:footnoteReference w:id="16"/>
                  </w:r>
                  <w:r w:rsidRPr="007860F8">
                    <w:rPr>
                      <w:i/>
                      <w:iCs/>
                      <w:sz w:val="20"/>
                      <w:szCs w:val="20"/>
                      <w:lang w:val="en-US"/>
                    </w:rPr>
                    <w:t xml:space="preserve"> </w:t>
                  </w:r>
                </w:p>
                <w:p w:rsidRPr="007860F8" w:rsidR="005D2AF2" w:rsidP="005D2AF2" w:rsidRDefault="00354725">
                  <w:pPr>
                    <w:ind w:left="708"/>
                    <w:rPr>
                      <w:sz w:val="20"/>
                      <w:szCs w:val="20"/>
                      <w:lang w:val="en-US"/>
                    </w:rPr>
                  </w:pPr>
                </w:p>
                <w:p w:rsidR="009055CC" w:rsidRDefault="001F3001">
                  <w:r w:rsidRPr="005D2AF2">
                    <w:t>De Hoge Raad heeft met een beroep op de zaak Nekvedavicius overwogen dat elke afwijzing van een verzoek tot omgang tijdelijk van aard is, in die zin dat de ouder wiens verzoek is afgewezen zich in geval van wijziging van omstandigheden en “in ieder geval na verloop van een jaar” opnieuw tot de rechter kan wenden teneinde een omgangsregeling te doen vaststellen.</w:t>
                  </w:r>
                  <w:r w:rsidRPr="005D2AF2">
                    <w:rPr>
                      <w:vertAlign w:val="superscript"/>
                    </w:rPr>
                    <w:footnoteReference w:id="17"/>
                  </w:r>
                  <w:r w:rsidRPr="005D2AF2">
                    <w:t xml:space="preserve"> </w:t>
                  </w:r>
                </w:p>
                <w:p w:rsidRPr="005D2AF2" w:rsidR="005D2AF2" w:rsidP="005D2AF2" w:rsidRDefault="00354725"/>
                <w:p w:rsidRPr="005D2AF2" w:rsidR="005D2AF2" w:rsidP="005D2AF2" w:rsidRDefault="001F3001">
                  <w:r w:rsidRPr="005D2AF2">
                    <w:t>De regering stelt zich blijkens de toelichting op het standpunt dat uit de jurisprudentie van het EHRM volgt dat de termijn om een verzoek tot vaststelling van een omgangsregeling ontvankelijk te verklaren niet maximaal één jaar is, maar ten minste (at least) één jaar.</w:t>
                  </w:r>
                  <w:r w:rsidRPr="005D2AF2">
                    <w:rPr>
                      <w:vertAlign w:val="superscript"/>
                    </w:rPr>
                    <w:footnoteReference w:id="18"/>
                  </w:r>
                  <w:r w:rsidRPr="005D2AF2">
                    <w:t xml:space="preserve"> Daaruit leidt de regering af dat de in het voorstel gekozen ontzeggingstermijn van twee jaar in lijn is met de jurisprudentie van het EHRM, waarbij wordt benadrukt dat het kind altijd zelf om omgang kan vragen bij de </w:t>
                  </w:r>
                  <w:r>
                    <w:t>rechter</w:t>
                  </w:r>
                  <w:r w:rsidRPr="005D2AF2">
                    <w:t>.</w:t>
                  </w:r>
                  <w:r>
                    <w:rPr>
                      <w:rStyle w:val="FootnoteReference"/>
                    </w:rPr>
                    <w:footnoteReference w:id="19"/>
                  </w:r>
                  <w:r w:rsidRPr="005D2AF2">
                    <w:t xml:space="preserve"> </w:t>
                  </w:r>
                </w:p>
                <w:p w:rsidRPr="005D2AF2" w:rsidR="005D2AF2" w:rsidP="005D2AF2" w:rsidRDefault="00354725">
                  <w:pPr>
                    <w:rPr>
                      <w:i/>
                    </w:rPr>
                  </w:pPr>
                </w:p>
                <w:p w:rsidR="009055CC" w:rsidRDefault="001F3001">
                  <w:r w:rsidRPr="005D2AF2">
                    <w:t>Het EHRM heeft in de zaak Nekvedavicius overwogen dat het recht op omgang van de vader met zijn kind een belangrijk onderdeel van artikel 8 EVRM is en dat de redenen om de vader de omgang te ontzeggen niet permanent kunnen zijn. Voorts benadrukt het hof het tegengaan van blokkades door de andere ouder en de noodzaak van geregelde herbeoordeling van de situatie. In het licht van deze overwegingen kan worden betoogd dat het hof heeft bedoeld dat de lidstaat de positieve verplichting heeft om een dader-ouder periodiek een rechtsingang te verschaffen teneinde de rechter te laten beoordelen of door gewijzigde omstandigheden de omgangsregeling moet worden herzien waarbij de bewoordingen van het EHRM (“regular intervals of at least one year”) en van de Hoge Raad (“in ieder geval” na verloop van een jaar) kunnen worden geïnterpreteerd als ‘reeds na een jaar’. Er dienen overtuigende argumenten te worden aangevoerd om de uitspraak van het hof en die van de Hoge Raad anders te lezen. Deze argumenten worden in de toelichting niet gegeven. Gelet op het voorgaande kan niet met zekerheid worden gesteld dat de voorgestelde termijn van twee jaar strookt met de uitspraak van het hof.</w:t>
                  </w:r>
                </w:p>
                <w:p w:rsidRPr="005D2AF2" w:rsidR="005D2AF2" w:rsidP="005D2AF2" w:rsidRDefault="00354725"/>
                <w:p w:rsidR="0031089B" w:rsidP="00CD199D" w:rsidRDefault="001F3001">
                  <w:r w:rsidRPr="005D2AF2">
                    <w:t>Gelet op de sterk van elkaar verschillende situaties van partnerdoding en de daarbij passende casuïstische benadering adviseert de Afdeling af te zien van de verplichting de omgang in alle gevallen voor twee jaar te ontzeggen</w:t>
                  </w:r>
                  <w:r>
                    <w:t>.</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994264" w:rsidRDefault="001F3001">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994264"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001" w:rsidRDefault="001F3001" w:rsidP="005B3E03">
      <w:r>
        <w:separator/>
      </w:r>
    </w:p>
    <w:p w:rsidR="001F3001" w:rsidRDefault="001F3001"/>
  </w:endnote>
  <w:endnote w:type="continuationSeparator" w:id="0">
    <w:p w:rsidR="001F3001" w:rsidRDefault="001F3001" w:rsidP="005B3E03">
      <w:r>
        <w:continuationSeparator/>
      </w:r>
    </w:p>
    <w:p w:rsidR="001F3001" w:rsidRDefault="001F3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408AF8D" wp14:editId="1C437B5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001" w:rsidRDefault="001F3001" w:rsidP="005B3E03">
      <w:r>
        <w:separator/>
      </w:r>
    </w:p>
    <w:p w:rsidR="001F3001" w:rsidRDefault="001F3001"/>
  </w:footnote>
  <w:footnote w:type="continuationSeparator" w:id="0">
    <w:p w:rsidR="001F3001" w:rsidRDefault="001F3001" w:rsidP="005B3E03">
      <w:r>
        <w:continuationSeparator/>
      </w:r>
    </w:p>
    <w:p w:rsidR="001F3001" w:rsidRDefault="001F3001"/>
  </w:footnote>
  <w:footnote w:id="1">
    <w:p w:rsidR="004819FD" w:rsidRDefault="001F3001" w:rsidP="004819FD">
      <w:pPr>
        <w:pStyle w:val="FootnoteText"/>
      </w:pPr>
      <w:r>
        <w:rPr>
          <w:rStyle w:val="FootnoteReference"/>
        </w:rPr>
        <w:footnoteRef/>
      </w:r>
      <w:r>
        <w:t xml:space="preserve"> </w:t>
      </w:r>
      <w:r>
        <w:tab/>
        <w:t xml:space="preserve">Toelichting, algemeen deel. </w:t>
      </w:r>
    </w:p>
  </w:footnote>
  <w:footnote w:id="2">
    <w:p w:rsidR="004819FD" w:rsidRDefault="001F3001" w:rsidP="004819FD">
      <w:pPr>
        <w:pStyle w:val="FootnoteText"/>
      </w:pPr>
      <w:r>
        <w:rPr>
          <w:rStyle w:val="FootnoteReference"/>
        </w:rPr>
        <w:footnoteRef/>
      </w:r>
      <w:r>
        <w:t xml:space="preserve"> </w:t>
      </w:r>
      <w:r>
        <w:tab/>
        <w:t xml:space="preserve">Toelichting, algemeen deel, onder het kopje ‘Beperken van contact of omgang’. </w:t>
      </w:r>
    </w:p>
  </w:footnote>
  <w:footnote w:id="3">
    <w:p w:rsidR="004819FD" w:rsidRDefault="001F3001" w:rsidP="004819FD">
      <w:pPr>
        <w:pStyle w:val="FootnoteText"/>
      </w:pPr>
      <w:r>
        <w:rPr>
          <w:rStyle w:val="FootnoteReference"/>
        </w:rPr>
        <w:footnoteRef/>
      </w:r>
      <w:r>
        <w:t xml:space="preserve"> </w:t>
      </w:r>
      <w:r>
        <w:tab/>
        <w:t>E. Alisic ea, ‘</w:t>
      </w:r>
      <w:r w:rsidRPr="00773499">
        <w:t>Zorg voor kinderen na partnerdoding</w:t>
      </w:r>
      <w:r>
        <w:t xml:space="preserve">’, Psychotraumacentrum WKZ en Universitair Medisch Centrum Utrecht in opdracht van het WODC, 2014. </w:t>
      </w:r>
      <w:r w:rsidRPr="003A0E8D">
        <w:t xml:space="preserve">Het onderzoek ‘Zorg voor kinderen na partnerdoding’ heeft betrekking op de periode 2003-2012. In die periode zijn 137 biologische ouders van 257 minderjarige kinderen om het leven gebracht door een (ex-)partner. In het onderzoek is eveneens gekeken naar de omgang tussen de (vermoedelijke) dader-ouder en het kind. Van 111 kinderen van wie de dader-ouder geen zelfmoord had gepleegd, was informatie beschikbaar over omgang met de dader-ouder. </w:t>
      </w:r>
    </w:p>
  </w:footnote>
  <w:footnote w:id="4">
    <w:p w:rsidR="004819FD" w:rsidRDefault="001F3001" w:rsidP="004819FD">
      <w:pPr>
        <w:pStyle w:val="FootnoteText"/>
      </w:pPr>
      <w:r>
        <w:rPr>
          <w:rStyle w:val="FootnoteReference"/>
        </w:rPr>
        <w:footnoteRef/>
      </w:r>
      <w:r>
        <w:t xml:space="preserve"> </w:t>
      </w:r>
      <w:r>
        <w:tab/>
        <w:t>E. Alisic ea, ‘</w:t>
      </w:r>
      <w:r w:rsidRPr="00773499">
        <w:t>Zorg voor kinderen na partnerdoding</w:t>
      </w:r>
      <w:r>
        <w:t xml:space="preserve">’, Psychotraumacentrum WKZ en Universitair Medisch Centrum Utrecht in opdracht van het WODC, 2014, blz. 73. </w:t>
      </w:r>
    </w:p>
  </w:footnote>
  <w:footnote w:id="5">
    <w:p w:rsidR="004819FD" w:rsidRDefault="001F3001" w:rsidP="004819FD">
      <w:pPr>
        <w:pStyle w:val="FootnoteText"/>
      </w:pPr>
      <w:r w:rsidRPr="00FB2C9F">
        <w:rPr>
          <w:rStyle w:val="FootnoteReference"/>
        </w:rPr>
        <w:footnoteRef/>
      </w:r>
      <w:r w:rsidRPr="00FB2C9F">
        <w:t xml:space="preserve"> </w:t>
      </w:r>
      <w:r w:rsidRPr="00FB2C9F">
        <w:tab/>
      </w:r>
      <w:r>
        <w:t>E. Alisic ea, ‘</w:t>
      </w:r>
      <w:r w:rsidRPr="00773499">
        <w:t>Zorg voor kinderen na partnerdoding</w:t>
      </w:r>
      <w:r>
        <w:t xml:space="preserve">’, Psychotraumacentrum WKZ en Universitair Medisch Centrum Utrecht in opdracht van het WODC, 2014, blz. 102-103. </w:t>
      </w:r>
    </w:p>
  </w:footnote>
  <w:footnote w:id="6">
    <w:p w:rsidR="004819FD" w:rsidRDefault="001F3001" w:rsidP="004819FD">
      <w:pPr>
        <w:pStyle w:val="FootnoteText"/>
      </w:pPr>
      <w:r>
        <w:rPr>
          <w:rStyle w:val="FootnoteReference"/>
        </w:rPr>
        <w:footnoteRef/>
      </w:r>
      <w:r>
        <w:t xml:space="preserve"> </w:t>
      </w:r>
      <w:r>
        <w:tab/>
        <w:t xml:space="preserve">Handelingsprotocol gezag, </w:t>
      </w:r>
      <w:r w:rsidRPr="004A7EE2">
        <w:t>contact/omgang en hulp na partnerdoding waarbij minderjarige kinderen betrokken zijn</w:t>
      </w:r>
      <w:r>
        <w:t>, ondertekend door de Bureaus Jeugdzorg (BJZ) en landelijk werkende instellingen vertegenwoordigd door Jeugdzorg Nederland, Nationale Politie, Slachtofferhulp Nederland en de Raad voor de Kinderbescherming.</w:t>
      </w:r>
      <w:r w:rsidRPr="004A7EE2">
        <w:t xml:space="preserve"> </w:t>
      </w:r>
    </w:p>
  </w:footnote>
  <w:footnote w:id="7">
    <w:p w:rsidR="004819FD" w:rsidRDefault="001F3001" w:rsidP="004819FD">
      <w:pPr>
        <w:pStyle w:val="FootnoteText"/>
      </w:pPr>
      <w:r>
        <w:rPr>
          <w:rStyle w:val="FootnoteReference"/>
        </w:rPr>
        <w:footnoteRef/>
      </w:r>
      <w:r>
        <w:t xml:space="preserve"> </w:t>
      </w:r>
      <w:r>
        <w:tab/>
        <w:t>E. Alisic e.a., ‘</w:t>
      </w:r>
      <w:r w:rsidRPr="00773499">
        <w:t>Zorg voor kinderen na partnerdoding</w:t>
      </w:r>
      <w:r>
        <w:t xml:space="preserve">’, Psychotraumacentrum WKZ en Universitair Medisch Centrum Utrecht in opdracht van het WODC, 2014, blz. 101. </w:t>
      </w:r>
    </w:p>
  </w:footnote>
  <w:footnote w:id="8">
    <w:p w:rsidR="004819FD" w:rsidRDefault="001F3001" w:rsidP="004819FD">
      <w:pPr>
        <w:pStyle w:val="FootnoteText"/>
      </w:pPr>
      <w:r>
        <w:rPr>
          <w:rStyle w:val="FootnoteReference"/>
        </w:rPr>
        <w:footnoteRef/>
      </w:r>
      <w:r>
        <w:t xml:space="preserve"> </w:t>
      </w:r>
      <w:r>
        <w:tab/>
        <w:t>Zie ook de consultatie reactie van E. Alisic en A. Groot namens het Wilhelmina Kinderziekenhuis, 6 januari 2015, waarin zij hun zorgen uiten over het effect van het voorstel wanneer betrokkenen het wél eens kunnen worden over omgang. Gebaseerd op hun onderzoek ‘</w:t>
      </w:r>
      <w:r w:rsidRPr="00773499">
        <w:t>Zorg voor kinderen na partnerdoding</w:t>
      </w:r>
      <w:r>
        <w:t>’ geven zij aan dat het wetsvoorstel in deze gevallen juist tot meer stress bij kinderen en verzorgers kan leiden.</w:t>
      </w:r>
    </w:p>
  </w:footnote>
  <w:footnote w:id="9">
    <w:p w:rsidR="004819FD" w:rsidRDefault="001F3001" w:rsidP="004819FD">
      <w:pPr>
        <w:pStyle w:val="FootnoteText"/>
      </w:pPr>
      <w:r>
        <w:rPr>
          <w:rStyle w:val="FootnoteReference"/>
        </w:rPr>
        <w:footnoteRef/>
      </w:r>
      <w:r>
        <w:t xml:space="preserve"> </w:t>
      </w:r>
      <w:r>
        <w:tab/>
        <w:t>Artikel 1:377a, derde lid, BW luidt: De rechter ontzegt het recht op omgang slechts, indien:</w:t>
      </w:r>
    </w:p>
    <w:p w:rsidR="004819FD" w:rsidRDefault="001F3001" w:rsidP="004819FD">
      <w:pPr>
        <w:pStyle w:val="FootnoteText"/>
      </w:pPr>
      <w:r>
        <w:tab/>
        <w:t>a. omgang ernstig nadeel zou opleveren voor de geestelijke of lichamelijke ontwikkeling van het kind, of</w:t>
      </w:r>
    </w:p>
    <w:p w:rsidR="004819FD" w:rsidRDefault="001F3001" w:rsidP="004819FD">
      <w:pPr>
        <w:pStyle w:val="FootnoteText"/>
      </w:pPr>
      <w:r>
        <w:tab/>
        <w:t>b. de ouder of degene die in een nauwe persoonlijke betrekking staat tot het kind kennelijk ongeschikt of kennelijk niet in staat moet worden geacht tot omgang, of</w:t>
      </w:r>
    </w:p>
    <w:p w:rsidR="004819FD" w:rsidRDefault="001F3001" w:rsidP="004819FD">
      <w:pPr>
        <w:pStyle w:val="FootnoteText"/>
      </w:pPr>
      <w:r>
        <w:tab/>
        <w:t>c. het kind dat twaalf jaren of ouder is, bij zijn verhoor van ernstige bezwaren tegen omgang met zijn ouder of met degene met wie hij in een nauwe persoonlijke betrekking staat heeft doen blijken, of</w:t>
      </w:r>
    </w:p>
    <w:p w:rsidR="004819FD" w:rsidRDefault="001F3001" w:rsidP="004819FD">
      <w:pPr>
        <w:pStyle w:val="FootnoteText"/>
      </w:pPr>
      <w:r>
        <w:tab/>
        <w:t>d. omgang anderszins in strijd is met zwaarwegende belangen van het kind.</w:t>
      </w:r>
    </w:p>
  </w:footnote>
  <w:footnote w:id="10">
    <w:p w:rsidR="004819FD" w:rsidRDefault="001F3001" w:rsidP="004819FD">
      <w:pPr>
        <w:pStyle w:val="FootnoteText"/>
      </w:pPr>
      <w:r>
        <w:rPr>
          <w:rStyle w:val="FootnoteReference"/>
        </w:rPr>
        <w:footnoteRef/>
      </w:r>
      <w:r>
        <w:t xml:space="preserve"> </w:t>
      </w:r>
      <w:r>
        <w:tab/>
        <w:t>Voorgesteld artikel 1:242a, eerste lid, Burgerlijk Wetboek (BW), en voorgesteld artikel 1:377a, vierde lid, BW.</w:t>
      </w:r>
    </w:p>
  </w:footnote>
  <w:footnote w:id="11">
    <w:p w:rsidR="004819FD" w:rsidRDefault="001F3001" w:rsidP="004819FD">
      <w:pPr>
        <w:pStyle w:val="FootnoteText"/>
      </w:pPr>
      <w:r>
        <w:rPr>
          <w:rStyle w:val="FootnoteReference"/>
        </w:rPr>
        <w:footnoteRef/>
      </w:r>
      <w:r>
        <w:t xml:space="preserve"> </w:t>
      </w:r>
      <w:r>
        <w:tab/>
        <w:t xml:space="preserve">Toelichting, algemeen deel, onder ‘beperken van contact of omgang. </w:t>
      </w:r>
    </w:p>
  </w:footnote>
  <w:footnote w:id="12">
    <w:p w:rsidR="004819FD" w:rsidRDefault="001F3001" w:rsidP="004819FD">
      <w:pPr>
        <w:pStyle w:val="FootnoteText"/>
      </w:pPr>
      <w:r>
        <w:rPr>
          <w:rStyle w:val="FootnoteReference"/>
        </w:rPr>
        <w:footnoteRef/>
      </w:r>
      <w:r>
        <w:t xml:space="preserve"> </w:t>
      </w:r>
      <w:r>
        <w:tab/>
        <w:t xml:space="preserve">Toelichting, </w:t>
      </w:r>
      <w:r w:rsidRPr="00DD3607">
        <w:t xml:space="preserve">algemeen deel, onder ‘beperken van contact of omgang. </w:t>
      </w:r>
    </w:p>
  </w:footnote>
  <w:footnote w:id="13">
    <w:p w:rsidR="00AB6D58" w:rsidRPr="00B36881" w:rsidRDefault="001F3001" w:rsidP="00AB6D58">
      <w:pPr>
        <w:pStyle w:val="FootnoteText"/>
      </w:pPr>
      <w:r>
        <w:rPr>
          <w:rStyle w:val="FootnoteReference"/>
        </w:rPr>
        <w:footnoteRef/>
      </w:r>
      <w:r>
        <w:t xml:space="preserve"> </w:t>
      </w:r>
      <w:r>
        <w:tab/>
        <w:t xml:space="preserve">EHRM 8 juli 1987, </w:t>
      </w:r>
      <w:r>
        <w:rPr>
          <w:i/>
        </w:rPr>
        <w:t>NJ</w:t>
      </w:r>
      <w:r>
        <w:t xml:space="preserve"> 1988/828, W. tegen het Verenigd Koninkrijk; EHRM 22 juni 1989, </w:t>
      </w:r>
      <w:r>
        <w:rPr>
          <w:i/>
        </w:rPr>
        <w:t>NJ</w:t>
      </w:r>
      <w:r>
        <w:t xml:space="preserve"> 1992/705, Eriksson tegen Zweden; EHRM 26 mei 1994, </w:t>
      </w:r>
      <w:r w:rsidRPr="007860F8">
        <w:t>NJ 1</w:t>
      </w:r>
      <w:r>
        <w:t>995/247, Keegan tegen Ierland.</w:t>
      </w:r>
    </w:p>
  </w:footnote>
  <w:footnote w:id="14">
    <w:p w:rsidR="004819FD" w:rsidRDefault="001F3001" w:rsidP="004819FD">
      <w:pPr>
        <w:pStyle w:val="FootnoteText"/>
      </w:pPr>
      <w:r>
        <w:rPr>
          <w:rStyle w:val="FootnoteReference"/>
        </w:rPr>
        <w:footnoteRef/>
      </w:r>
      <w:r>
        <w:t xml:space="preserve"> </w:t>
      </w:r>
      <w:r>
        <w:tab/>
      </w:r>
      <w:r w:rsidRPr="00623566">
        <w:t>E. Alisic ea, Zorg voor kinderen na partnerdoding, Psychotraumacentrum WKZ en Universitair Medisch Centrum Utrecht in opdracht van het WODC, 2014, blz.</w:t>
      </w:r>
      <w:r>
        <w:t xml:space="preserve"> 102. </w:t>
      </w:r>
    </w:p>
  </w:footnote>
  <w:footnote w:id="15">
    <w:p w:rsidR="005D2AF2" w:rsidRPr="007860F8" w:rsidRDefault="001F3001" w:rsidP="005D2AF2">
      <w:pPr>
        <w:pStyle w:val="FootnoteText"/>
        <w:tabs>
          <w:tab w:val="left" w:pos="284"/>
        </w:tabs>
        <w:rPr>
          <w:lang w:val="en-US"/>
        </w:rPr>
      </w:pPr>
      <w:r>
        <w:rPr>
          <w:rStyle w:val="FootnoteReference"/>
        </w:rPr>
        <w:footnoteRef/>
      </w:r>
      <w:r w:rsidRPr="007860F8">
        <w:rPr>
          <w:lang w:val="en-US"/>
        </w:rPr>
        <w:t xml:space="preserve"> </w:t>
      </w:r>
      <w:r w:rsidRPr="007860F8">
        <w:rPr>
          <w:lang w:val="en-US"/>
        </w:rPr>
        <w:tab/>
        <w:t>EHRM decision 19 juni 2003, Nekvedavicius t. Duitsland, appl. no 46165/99, onder “the law”, punt 1b.</w:t>
      </w:r>
    </w:p>
  </w:footnote>
  <w:footnote w:id="16">
    <w:p w:rsidR="005D2AF2" w:rsidRPr="007860F8" w:rsidRDefault="001F3001" w:rsidP="005D2AF2">
      <w:pPr>
        <w:pStyle w:val="FootnoteText"/>
        <w:tabs>
          <w:tab w:val="left" w:pos="284"/>
        </w:tabs>
        <w:rPr>
          <w:lang w:val="de-LI"/>
        </w:rPr>
      </w:pPr>
      <w:r>
        <w:rPr>
          <w:rStyle w:val="FootnoteReference"/>
        </w:rPr>
        <w:footnoteRef/>
      </w:r>
      <w:r w:rsidRPr="007860F8">
        <w:rPr>
          <w:lang w:val="de-LI"/>
        </w:rPr>
        <w:t xml:space="preserve"> </w:t>
      </w:r>
      <w:r w:rsidRPr="007860F8">
        <w:rPr>
          <w:lang w:val="de-LI"/>
        </w:rPr>
        <w:tab/>
        <w:t>Idem.</w:t>
      </w:r>
    </w:p>
  </w:footnote>
  <w:footnote w:id="17">
    <w:p w:rsidR="005D2AF2" w:rsidRPr="007860F8" w:rsidRDefault="001F3001" w:rsidP="005D2AF2">
      <w:pPr>
        <w:pStyle w:val="FootnoteText"/>
        <w:tabs>
          <w:tab w:val="left" w:pos="284"/>
        </w:tabs>
        <w:rPr>
          <w:lang w:val="de-LI"/>
        </w:rPr>
      </w:pPr>
      <w:r>
        <w:rPr>
          <w:rStyle w:val="FootnoteReference"/>
        </w:rPr>
        <w:footnoteRef/>
      </w:r>
      <w:r w:rsidRPr="007860F8">
        <w:rPr>
          <w:lang w:val="de-LI"/>
        </w:rPr>
        <w:t xml:space="preserve"> </w:t>
      </w:r>
      <w:r w:rsidRPr="007860F8">
        <w:rPr>
          <w:lang w:val="de-LI"/>
        </w:rPr>
        <w:tab/>
        <w:t>HR 27 februari 2009, ECLI:NL:HR:2009:BG5045, ro. 3.4.3.</w:t>
      </w:r>
    </w:p>
  </w:footnote>
  <w:footnote w:id="18">
    <w:p w:rsidR="005D2AF2" w:rsidRDefault="001F3001" w:rsidP="005D2AF2">
      <w:pPr>
        <w:pStyle w:val="FootnoteText"/>
      </w:pPr>
      <w:r>
        <w:rPr>
          <w:rStyle w:val="FootnoteReference"/>
        </w:rPr>
        <w:footnoteRef/>
      </w:r>
      <w:r>
        <w:t xml:space="preserve"> </w:t>
      </w:r>
      <w:r>
        <w:tab/>
        <w:t xml:space="preserve">Toelichting, algemeen deel, onder het kopje ‘consultatie’. </w:t>
      </w:r>
    </w:p>
  </w:footnote>
  <w:footnote w:id="19">
    <w:p w:rsidR="007860F8" w:rsidRDefault="001F3001">
      <w:pPr>
        <w:pStyle w:val="FootnoteText"/>
      </w:pPr>
      <w:r>
        <w:rPr>
          <w:rStyle w:val="FootnoteReference"/>
        </w:rPr>
        <w:footnoteRef/>
      </w:r>
      <w:r>
        <w:t xml:space="preserve"> </w:t>
      </w:r>
      <w:r>
        <w:tab/>
        <w:t>O</w:t>
      </w:r>
      <w:r w:rsidRPr="007860F8">
        <w:t>p grond van artikel 1:377g BW of artikel 1:253a, vierde lid, juncto 1:377g BW</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35472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205C0"/>
    <w:multiLevelType w:val="hybridMultilevel"/>
    <w:tmpl w:val="FEEC4482"/>
    <w:lvl w:ilvl="0" w:tplc="A2BC768A">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6A04631"/>
    <w:multiLevelType w:val="hybridMultilevel"/>
    <w:tmpl w:val="25908B68"/>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DBA71F4"/>
    <w:multiLevelType w:val="hybridMultilevel"/>
    <w:tmpl w:val="304C2E12"/>
    <w:lvl w:ilvl="0" w:tplc="7CEC0CE6">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F3001"/>
    <w:rsid w:val="002656A3"/>
    <w:rsid w:val="0027703A"/>
    <w:rsid w:val="002A16F1"/>
    <w:rsid w:val="002C6867"/>
    <w:rsid w:val="002D0875"/>
    <w:rsid w:val="00303CA7"/>
    <w:rsid w:val="00322CB5"/>
    <w:rsid w:val="00354725"/>
    <w:rsid w:val="003A1FC7"/>
    <w:rsid w:val="004421C1"/>
    <w:rsid w:val="004C120D"/>
    <w:rsid w:val="00503044"/>
    <w:rsid w:val="00517253"/>
    <w:rsid w:val="005466C8"/>
    <w:rsid w:val="006D3E6B"/>
    <w:rsid w:val="0071031E"/>
    <w:rsid w:val="00724C4B"/>
    <w:rsid w:val="00743D19"/>
    <w:rsid w:val="007A1998"/>
    <w:rsid w:val="00831756"/>
    <w:rsid w:val="00994264"/>
    <w:rsid w:val="009E72D2"/>
    <w:rsid w:val="00A349AF"/>
    <w:rsid w:val="00AA31EA"/>
    <w:rsid w:val="00AA44F3"/>
    <w:rsid w:val="00B03C96"/>
    <w:rsid w:val="00B44919"/>
    <w:rsid w:val="00C02F92"/>
    <w:rsid w:val="00C5066A"/>
    <w:rsid w:val="00C50D4F"/>
    <w:rsid w:val="00C94D31"/>
    <w:rsid w:val="00D32A9E"/>
    <w:rsid w:val="00D76613"/>
    <w:rsid w:val="00DE075A"/>
    <w:rsid w:val="00DE1A79"/>
    <w:rsid w:val="00DF6602"/>
    <w:rsid w:val="00E35A9F"/>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662CD3"/>
    <w:rPr>
      <w:vertAlign w:val="superscript"/>
    </w:rPr>
  </w:style>
  <w:style w:type="character" w:styleId="CommentReference">
    <w:name w:val="annotation reference"/>
    <w:basedOn w:val="DefaultParagraphFont"/>
    <w:rsid w:val="00585B80"/>
    <w:rPr>
      <w:sz w:val="16"/>
      <w:szCs w:val="16"/>
    </w:rPr>
  </w:style>
  <w:style w:type="paragraph" w:styleId="CommentText">
    <w:name w:val="annotation text"/>
    <w:basedOn w:val="Normal"/>
    <w:link w:val="CommentTextChar"/>
    <w:rsid w:val="00585B80"/>
    <w:rPr>
      <w:sz w:val="20"/>
      <w:szCs w:val="20"/>
    </w:rPr>
  </w:style>
  <w:style w:type="character" w:customStyle="1" w:styleId="CommentTextChar">
    <w:name w:val="Comment Text Char"/>
    <w:basedOn w:val="DefaultParagraphFont"/>
    <w:link w:val="CommentText"/>
    <w:rsid w:val="00585B80"/>
    <w:rPr>
      <w:rFonts w:ascii="Univers" w:hAnsi="Univers"/>
    </w:rPr>
  </w:style>
  <w:style w:type="paragraph" w:styleId="CommentSubject">
    <w:name w:val="annotation subject"/>
    <w:basedOn w:val="CommentText"/>
    <w:next w:val="CommentText"/>
    <w:link w:val="CommentSubjectChar"/>
    <w:rsid w:val="00585B80"/>
    <w:rPr>
      <w:b/>
      <w:bCs/>
    </w:rPr>
  </w:style>
  <w:style w:type="character" w:customStyle="1" w:styleId="CommentSubjectChar">
    <w:name w:val="Comment Subject Char"/>
    <w:basedOn w:val="CommentTextChar"/>
    <w:link w:val="CommentSubject"/>
    <w:rsid w:val="00585B80"/>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customStyle="1" w:styleId="sb8d990e2">
    <w:name w:val="sb8d990e2"/>
    <w:basedOn w:val="DefaultParagraphFont"/>
    <w:rsid w:val="008B2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662CD3"/>
    <w:rPr>
      <w:vertAlign w:val="superscript"/>
    </w:rPr>
  </w:style>
  <w:style w:type="character" w:styleId="CommentReference">
    <w:name w:val="annotation reference"/>
    <w:basedOn w:val="DefaultParagraphFont"/>
    <w:rsid w:val="00585B80"/>
    <w:rPr>
      <w:sz w:val="16"/>
      <w:szCs w:val="16"/>
    </w:rPr>
  </w:style>
  <w:style w:type="paragraph" w:styleId="CommentText">
    <w:name w:val="annotation text"/>
    <w:basedOn w:val="Normal"/>
    <w:link w:val="CommentTextChar"/>
    <w:rsid w:val="00585B80"/>
    <w:rPr>
      <w:sz w:val="20"/>
      <w:szCs w:val="20"/>
    </w:rPr>
  </w:style>
  <w:style w:type="character" w:customStyle="1" w:styleId="CommentTextChar">
    <w:name w:val="Comment Text Char"/>
    <w:basedOn w:val="DefaultParagraphFont"/>
    <w:link w:val="CommentText"/>
    <w:rsid w:val="00585B80"/>
    <w:rPr>
      <w:rFonts w:ascii="Univers" w:hAnsi="Univers"/>
    </w:rPr>
  </w:style>
  <w:style w:type="paragraph" w:styleId="CommentSubject">
    <w:name w:val="annotation subject"/>
    <w:basedOn w:val="CommentText"/>
    <w:next w:val="CommentText"/>
    <w:link w:val="CommentSubjectChar"/>
    <w:rsid w:val="00585B80"/>
    <w:rPr>
      <w:b/>
      <w:bCs/>
    </w:rPr>
  </w:style>
  <w:style w:type="character" w:customStyle="1" w:styleId="CommentSubjectChar">
    <w:name w:val="Comment Subject Char"/>
    <w:basedOn w:val="CommentTextChar"/>
    <w:link w:val="CommentSubject"/>
    <w:rsid w:val="00585B80"/>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customStyle="1" w:styleId="sb8d990e2">
    <w:name w:val="sb8d990e2"/>
    <w:basedOn w:val="DefaultParagraphFont"/>
    <w:rsid w:val="008B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2E125A"/>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2960</ap:Words>
  <ap:Characters>16281</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2015-07-16T07:43:00.0000000Z</lastPrinted>
  <dcterms:created xsi:type="dcterms:W3CDTF">2016-07-11T10:24:00.0000000Z</dcterms:created>
  <dcterms:modified xsi:type="dcterms:W3CDTF">2016-07-11T10:24:00.0000000Z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0x010100DA3D1BA175066541BCA74AD4BBD6DCB2</vt:lpwstr>
  </property>
</Properties>
</file>