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E349C" w:rsidR="00440296" w:rsidP="003E349C" w:rsidRDefault="001C3619">
      <w:pPr>
        <w:spacing w:line="240" w:lineRule="atLeast"/>
        <w:rPr>
          <w:rFonts w:ascii="Verdana" w:hAnsi="Verdana"/>
          <w:sz w:val="18"/>
          <w:szCs w:val="18"/>
        </w:rPr>
      </w:pPr>
      <w:r w:rsidRPr="003E349C">
        <w:rPr>
          <w:rFonts w:ascii="Verdana" w:hAnsi="Verdana"/>
          <w:b/>
          <w:sz w:val="18"/>
          <w:szCs w:val="18"/>
        </w:rPr>
        <w:t xml:space="preserve">Bijlage ‘Activiteiten voor </w:t>
      </w:r>
      <w:r w:rsidRPr="003E349C">
        <w:rPr>
          <w:rFonts w:ascii="Verdana" w:hAnsi="Verdana"/>
          <w:b/>
          <w:sz w:val="18"/>
          <w:szCs w:val="18"/>
        </w:rPr>
        <w:t>Merkbaar minder regeldruk’</w:t>
      </w:r>
      <w:r w:rsidRPr="003E349C">
        <w:rPr>
          <w:rFonts w:ascii="Verdana" w:hAnsi="Verdana"/>
          <w:b/>
          <w:sz w:val="18"/>
          <w:szCs w:val="18"/>
        </w:rPr>
        <w:br/>
      </w:r>
      <w:r w:rsidRPr="003E349C">
        <w:rPr>
          <w:rFonts w:ascii="Verdana" w:hAnsi="Verdana"/>
          <w:i/>
          <w:sz w:val="18"/>
          <w:szCs w:val="18"/>
        </w:rPr>
        <w:t>De indeling is op hoofdlijnen. Meerdere activiteiten passen onder verschillende kopjes.</w:t>
      </w:r>
    </w:p>
    <w:tbl>
      <w:tblPr>
        <w:tblStyle w:val="Tabelraster"/>
        <w:tblW w:w="9606" w:type="dxa"/>
        <w:tblLook w:val="04A0"/>
      </w:tblPr>
      <w:tblGrid>
        <w:gridCol w:w="817"/>
        <w:gridCol w:w="3633"/>
        <w:gridCol w:w="5156"/>
      </w:tblGrid>
      <w:tr w:rsidR="00597843" w:rsidTr="003C76B5">
        <w:tc>
          <w:tcPr>
            <w:tcW w:w="817" w:type="dxa"/>
          </w:tcPr>
          <w:p w:rsidRPr="003E349C" w:rsidR="00DB2261" w:rsidP="003E349C" w:rsidRDefault="001C3619">
            <w:pPr>
              <w:spacing w:line="240" w:lineRule="atLeast"/>
              <w:rPr>
                <w:rFonts w:ascii="Verdana" w:hAnsi="Verdana"/>
                <w:b/>
                <w:sz w:val="18"/>
                <w:szCs w:val="18"/>
              </w:rPr>
            </w:pPr>
          </w:p>
        </w:tc>
        <w:tc>
          <w:tcPr>
            <w:tcW w:w="3633" w:type="dxa"/>
          </w:tcPr>
          <w:p w:rsidRPr="003E349C" w:rsidR="00DB2261" w:rsidP="003E349C" w:rsidRDefault="001C3619">
            <w:pPr>
              <w:spacing w:line="240" w:lineRule="atLeast"/>
              <w:rPr>
                <w:rFonts w:ascii="Verdana" w:hAnsi="Verdana" w:eastAsia="Times New Roman" w:cs="Calibri"/>
                <w:b/>
                <w:sz w:val="18"/>
                <w:szCs w:val="18"/>
              </w:rPr>
            </w:pPr>
            <w:r w:rsidRPr="003E349C">
              <w:rPr>
                <w:rFonts w:ascii="Verdana" w:hAnsi="Verdana" w:eastAsia="Times New Roman" w:cs="Calibri"/>
                <w:b/>
                <w:sz w:val="18"/>
                <w:szCs w:val="18"/>
              </w:rPr>
              <w:t>Traject</w:t>
            </w:r>
          </w:p>
        </w:tc>
        <w:tc>
          <w:tcPr>
            <w:tcW w:w="5156" w:type="dxa"/>
          </w:tcPr>
          <w:p w:rsidRPr="003E349C" w:rsidR="00DB2261" w:rsidP="003E349C" w:rsidRDefault="001C3619">
            <w:pPr>
              <w:spacing w:line="240" w:lineRule="atLeast"/>
              <w:rPr>
                <w:rFonts w:ascii="Verdana" w:hAnsi="Verdana" w:eastAsia="Times New Roman" w:cs="Calibri"/>
                <w:b/>
                <w:sz w:val="18"/>
                <w:szCs w:val="18"/>
              </w:rPr>
            </w:pPr>
            <w:r w:rsidRPr="003E349C">
              <w:rPr>
                <w:rFonts w:ascii="Verdana" w:hAnsi="Verdana" w:eastAsia="Times New Roman" w:cs="Calibri"/>
                <w:b/>
                <w:sz w:val="18"/>
                <w:szCs w:val="18"/>
              </w:rPr>
              <w:t>Stand van zaken</w:t>
            </w:r>
          </w:p>
        </w:tc>
      </w:tr>
      <w:tr w:rsidR="00597843" w:rsidTr="003C76B5">
        <w:tc>
          <w:tcPr>
            <w:tcW w:w="817" w:type="dxa"/>
          </w:tcPr>
          <w:p w:rsidRPr="003E349C" w:rsidR="00DB2261" w:rsidP="003E349C" w:rsidRDefault="001C3619">
            <w:pPr>
              <w:spacing w:line="240" w:lineRule="atLeast"/>
              <w:rPr>
                <w:rFonts w:ascii="Verdana" w:hAnsi="Verdana"/>
                <w:b/>
                <w:sz w:val="18"/>
                <w:szCs w:val="18"/>
              </w:rPr>
            </w:pPr>
          </w:p>
        </w:tc>
        <w:tc>
          <w:tcPr>
            <w:tcW w:w="3633" w:type="dxa"/>
          </w:tcPr>
          <w:p w:rsidRPr="003E349C" w:rsidR="00DB2261" w:rsidP="003E349C" w:rsidRDefault="001C3619">
            <w:pPr>
              <w:spacing w:line="240" w:lineRule="atLeast"/>
              <w:rPr>
                <w:rFonts w:ascii="Verdana" w:hAnsi="Verdana" w:eastAsia="Times New Roman" w:cs="Calibri"/>
                <w:b/>
                <w:sz w:val="18"/>
                <w:szCs w:val="18"/>
              </w:rPr>
            </w:pPr>
          </w:p>
        </w:tc>
        <w:tc>
          <w:tcPr>
            <w:tcW w:w="5156" w:type="dxa"/>
          </w:tcPr>
          <w:p w:rsidRPr="003E349C" w:rsidR="00DB2261" w:rsidP="003E349C" w:rsidRDefault="001C3619">
            <w:pPr>
              <w:spacing w:line="240" w:lineRule="atLeast"/>
              <w:rPr>
                <w:rFonts w:ascii="Verdana" w:hAnsi="Verdana" w:eastAsia="Times New Roman" w:cs="Calibri"/>
                <w:b/>
                <w:sz w:val="18"/>
                <w:szCs w:val="18"/>
              </w:rPr>
            </w:pPr>
          </w:p>
        </w:tc>
      </w:tr>
      <w:tr w:rsidR="00597843" w:rsidTr="003C76B5">
        <w:tc>
          <w:tcPr>
            <w:tcW w:w="817" w:type="dxa"/>
          </w:tcPr>
          <w:p w:rsidRPr="003E349C" w:rsidR="00DB2261" w:rsidP="003E349C" w:rsidRDefault="001C3619">
            <w:pPr>
              <w:spacing w:line="240" w:lineRule="atLeast"/>
              <w:rPr>
                <w:rFonts w:ascii="Verdana" w:hAnsi="Verdana"/>
                <w:sz w:val="18"/>
                <w:szCs w:val="18"/>
              </w:rPr>
            </w:pPr>
          </w:p>
        </w:tc>
        <w:tc>
          <w:tcPr>
            <w:tcW w:w="3633" w:type="dxa"/>
          </w:tcPr>
          <w:p w:rsidRPr="003E349C" w:rsidR="00DB2261" w:rsidP="003E349C" w:rsidRDefault="001C3619">
            <w:pPr>
              <w:spacing w:line="240" w:lineRule="atLeast"/>
              <w:rPr>
                <w:rFonts w:ascii="Verdana" w:hAnsi="Verdana"/>
                <w:i/>
                <w:sz w:val="18"/>
                <w:szCs w:val="18"/>
              </w:rPr>
            </w:pPr>
            <w:r w:rsidRPr="003E349C">
              <w:rPr>
                <w:rFonts w:ascii="Verdana" w:hAnsi="Verdana" w:eastAsia="Times New Roman" w:cs="Calibri"/>
                <w:b/>
                <w:sz w:val="18"/>
                <w:szCs w:val="18"/>
              </w:rPr>
              <w:t>Slimmer samenwerken</w:t>
            </w:r>
          </w:p>
        </w:tc>
        <w:tc>
          <w:tcPr>
            <w:tcW w:w="5156" w:type="dxa"/>
          </w:tcPr>
          <w:p w:rsidRPr="003E349C" w:rsidR="00DB2261" w:rsidP="003E349C" w:rsidRDefault="001C3619">
            <w:pPr>
              <w:spacing w:line="240" w:lineRule="atLeast"/>
              <w:rPr>
                <w:rFonts w:ascii="Verdana" w:hAnsi="Verdana"/>
                <w:sz w:val="18"/>
                <w:szCs w:val="18"/>
              </w:rPr>
            </w:pPr>
          </w:p>
        </w:tc>
      </w:tr>
      <w:tr w:rsidR="00597843" w:rsidTr="003C76B5">
        <w:tc>
          <w:tcPr>
            <w:tcW w:w="817" w:type="dxa"/>
          </w:tcPr>
          <w:p w:rsidRPr="003E349C" w:rsidR="00DB2261" w:rsidP="003E349C" w:rsidRDefault="001C3619">
            <w:pPr>
              <w:spacing w:line="240" w:lineRule="atLeast"/>
              <w:rPr>
                <w:rFonts w:ascii="Verdana" w:hAnsi="Verdana"/>
                <w:sz w:val="18"/>
                <w:szCs w:val="18"/>
              </w:rPr>
            </w:pPr>
          </w:p>
        </w:tc>
        <w:tc>
          <w:tcPr>
            <w:tcW w:w="3633" w:type="dxa"/>
          </w:tcPr>
          <w:p w:rsidRPr="003E349C" w:rsidR="00DB2261" w:rsidP="003E349C" w:rsidRDefault="001C3619">
            <w:pPr>
              <w:spacing w:line="240" w:lineRule="atLeast"/>
              <w:rPr>
                <w:rFonts w:ascii="Verdana" w:hAnsi="Verdana"/>
                <w:i/>
                <w:sz w:val="18"/>
                <w:szCs w:val="18"/>
              </w:rPr>
            </w:pPr>
            <w:r w:rsidRPr="003E349C">
              <w:rPr>
                <w:rFonts w:ascii="Verdana" w:hAnsi="Verdana"/>
                <w:i/>
                <w:sz w:val="18"/>
                <w:szCs w:val="18"/>
              </w:rPr>
              <w:t>Aanpakken ervaren lasten op de werkvloer</w:t>
            </w:r>
          </w:p>
        </w:tc>
        <w:tc>
          <w:tcPr>
            <w:tcW w:w="5156" w:type="dxa"/>
          </w:tcPr>
          <w:p w:rsidRPr="003E349C" w:rsidR="00DB2261" w:rsidP="003E349C" w:rsidRDefault="001C3619">
            <w:pPr>
              <w:spacing w:line="240" w:lineRule="atLeast"/>
              <w:rPr>
                <w:rFonts w:ascii="Verdana" w:hAnsi="Verdana"/>
                <w:sz w:val="18"/>
                <w:szCs w:val="18"/>
              </w:rPr>
            </w:pPr>
          </w:p>
        </w:tc>
      </w:tr>
      <w:tr w:rsidR="00597843" w:rsidTr="003C76B5">
        <w:tc>
          <w:tcPr>
            <w:tcW w:w="817" w:type="dxa"/>
          </w:tcPr>
          <w:p w:rsidRPr="003E349C" w:rsidR="00DB2261"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DB2261" w:rsidP="003E349C" w:rsidRDefault="001C3619">
            <w:pPr>
              <w:spacing w:line="240" w:lineRule="atLeast"/>
              <w:rPr>
                <w:rFonts w:ascii="Verdana" w:hAnsi="Verdana" w:eastAsia="Times New Roman" w:cs="Calibri"/>
                <w:sz w:val="18"/>
                <w:szCs w:val="18"/>
              </w:rPr>
            </w:pPr>
            <w:r w:rsidRPr="003E349C">
              <w:rPr>
                <w:rFonts w:ascii="Verdana" w:hAnsi="Verdana"/>
                <w:sz w:val="18"/>
                <w:szCs w:val="18"/>
              </w:rPr>
              <w:t xml:space="preserve">Verminderen </w:t>
            </w:r>
            <w:r w:rsidRPr="003E349C">
              <w:rPr>
                <w:rFonts w:ascii="Verdana" w:hAnsi="Verdana"/>
                <w:sz w:val="18"/>
                <w:szCs w:val="18"/>
              </w:rPr>
              <w:t>regeldruk huisartsen sector</w:t>
            </w:r>
          </w:p>
        </w:tc>
        <w:tc>
          <w:tcPr>
            <w:tcW w:w="5156" w:type="dxa"/>
          </w:tcPr>
          <w:p w:rsidRPr="00402EB5" w:rsidR="00DB2261" w:rsidP="003E349C" w:rsidRDefault="001C3619">
            <w:pPr>
              <w:spacing w:line="240" w:lineRule="atLeast"/>
              <w:rPr>
                <w:rFonts w:ascii="Verdana" w:hAnsi="Verdana" w:eastAsia="Times New Roman" w:cs="Calibri"/>
                <w:sz w:val="18"/>
                <w:szCs w:val="18"/>
              </w:rPr>
            </w:pPr>
            <w:r w:rsidRPr="00402EB5">
              <w:rPr>
                <w:rFonts w:ascii="Verdana" w:hAnsi="Verdana"/>
                <w:sz w:val="18"/>
                <w:szCs w:val="18"/>
              </w:rPr>
              <w:t xml:space="preserve">De huidige resultaten zijn beschikbaar via </w:t>
            </w:r>
            <w:hyperlink w:history="1" r:id="rId5">
              <w:r w:rsidRPr="00402EB5">
                <w:rPr>
                  <w:rStyle w:val="Hyperlink"/>
                  <w:rFonts w:ascii="Verdana" w:hAnsi="Verdana"/>
                  <w:color w:val="auto"/>
                  <w:sz w:val="18"/>
                  <w:szCs w:val="18"/>
                  <w:u w:val="none"/>
                </w:rPr>
                <w:t>www.hetroergaatom.nl</w:t>
              </w:r>
            </w:hyperlink>
            <w:r w:rsidRPr="00402EB5">
              <w:rPr>
                <w:rFonts w:ascii="Verdana" w:hAnsi="Verdana"/>
                <w:sz w:val="18"/>
                <w:szCs w:val="18"/>
              </w:rPr>
              <w:t>. De werkgroep kijkt verder naar onnodige regeldruk die nog niet is aangepakt.</w:t>
            </w:r>
          </w:p>
        </w:tc>
      </w:tr>
      <w:tr w:rsidR="00597843" w:rsidTr="003C76B5">
        <w:tc>
          <w:tcPr>
            <w:tcW w:w="817" w:type="dxa"/>
          </w:tcPr>
          <w:p w:rsidRPr="003E349C" w:rsidR="00DB2261"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DB2261" w:rsidP="003E349C" w:rsidRDefault="001C3619">
            <w:pPr>
              <w:spacing w:line="240" w:lineRule="atLeast"/>
              <w:rPr>
                <w:rFonts w:ascii="Verdana" w:hAnsi="Verdana"/>
                <w:sz w:val="18"/>
                <w:szCs w:val="18"/>
              </w:rPr>
            </w:pPr>
            <w:r w:rsidRPr="003E349C">
              <w:rPr>
                <w:rFonts w:ascii="Verdana" w:hAnsi="Verdana"/>
                <w:sz w:val="18"/>
                <w:szCs w:val="18"/>
              </w:rPr>
              <w:t xml:space="preserve">Verminderen regeldruk paramedici, </w:t>
            </w:r>
            <w:r w:rsidRPr="003E349C">
              <w:rPr>
                <w:rFonts w:ascii="Verdana" w:hAnsi="Verdana"/>
                <w:sz w:val="18"/>
                <w:szCs w:val="18"/>
              </w:rPr>
              <w:t>tandartsen, apothekers, wijkverpleegkundigen, verloskundigen, en vrijgevestigde GGZ-aanbieders.</w:t>
            </w:r>
          </w:p>
        </w:tc>
        <w:tc>
          <w:tcPr>
            <w:tcW w:w="5156" w:type="dxa"/>
          </w:tcPr>
          <w:p w:rsidRPr="002D00A9" w:rsidR="00DB2261" w:rsidP="002D00A9" w:rsidRDefault="001C3619">
            <w:pPr>
              <w:spacing w:line="240" w:lineRule="atLeast"/>
              <w:rPr>
                <w:rFonts w:ascii="Verdana" w:hAnsi="Verdana"/>
                <w:color w:val="000000" w:themeColor="text1"/>
                <w:sz w:val="18"/>
                <w:szCs w:val="18"/>
              </w:rPr>
            </w:pPr>
            <w:r w:rsidRPr="002D00A9">
              <w:rPr>
                <w:rFonts w:ascii="Verdana" w:hAnsi="Verdana"/>
                <w:color w:val="000000" w:themeColor="text1"/>
                <w:sz w:val="18"/>
                <w:szCs w:val="18"/>
              </w:rPr>
              <w:t xml:space="preserve">Op 25 mei zijn de tussenresultaten van de verschillende werkgroepen aangeboden aan de minister. </w:t>
            </w:r>
            <w:r w:rsidRPr="002D00A9">
              <w:rPr>
                <w:rFonts w:ascii="Verdana" w:hAnsi="Verdana"/>
                <w:color w:val="000000" w:themeColor="text1"/>
                <w:sz w:val="18"/>
                <w:szCs w:val="18"/>
              </w:rPr>
              <w:t xml:space="preserve">Eind 2016 komen partijen weer bijeen in het kader van voortgang </w:t>
            </w:r>
            <w:r w:rsidRPr="002D00A9">
              <w:rPr>
                <w:rFonts w:ascii="Verdana" w:hAnsi="Verdana"/>
                <w:color w:val="000000" w:themeColor="text1"/>
                <w:sz w:val="18"/>
                <w:szCs w:val="18"/>
              </w:rPr>
              <w:t xml:space="preserve">resultaten. </w:t>
            </w:r>
            <w:r w:rsidRPr="002D00A9">
              <w:rPr>
                <w:rFonts w:ascii="Verdana" w:hAnsi="Verdana"/>
                <w:color w:val="000000" w:themeColor="text1"/>
                <w:sz w:val="18"/>
                <w:szCs w:val="18"/>
              </w:rPr>
              <w:t>Resultaten beschikbaar via www.minderlastenmeerzorg.nl.</w:t>
            </w:r>
          </w:p>
        </w:tc>
      </w:tr>
      <w:tr w:rsidR="00597843" w:rsidTr="003C76B5">
        <w:tc>
          <w:tcPr>
            <w:tcW w:w="817" w:type="dxa"/>
          </w:tcPr>
          <w:p w:rsidRPr="003E349C" w:rsidR="00DB2261"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DB2261" w:rsidP="003E349C" w:rsidRDefault="001C3619">
            <w:pPr>
              <w:spacing w:after="200" w:line="240" w:lineRule="atLeast"/>
              <w:rPr>
                <w:rFonts w:ascii="Verdana" w:hAnsi="Verdana"/>
                <w:sz w:val="18"/>
                <w:szCs w:val="18"/>
              </w:rPr>
            </w:pPr>
            <w:r w:rsidRPr="003E349C">
              <w:rPr>
                <w:rFonts w:ascii="Verdana" w:hAnsi="Verdana"/>
                <w:sz w:val="18"/>
                <w:szCs w:val="18"/>
              </w:rPr>
              <w:t>Zorgverzekeraars standaardiseren hun formulieren</w:t>
            </w:r>
          </w:p>
        </w:tc>
        <w:tc>
          <w:tcPr>
            <w:tcW w:w="5156" w:type="dxa"/>
          </w:tcPr>
          <w:p w:rsidRPr="002D00A9" w:rsidR="00DB2261" w:rsidP="00525532" w:rsidRDefault="001C3619">
            <w:pPr>
              <w:spacing w:line="240" w:lineRule="atLeast"/>
              <w:rPr>
                <w:rFonts w:ascii="Verdana" w:hAnsi="Verdana" w:eastAsia="Times New Roman" w:cs="Calibri"/>
                <w:color w:val="000000" w:themeColor="text1"/>
                <w:sz w:val="18"/>
                <w:szCs w:val="18"/>
              </w:rPr>
            </w:pPr>
            <w:r w:rsidRPr="002D00A9">
              <w:rPr>
                <w:rFonts w:ascii="Verdana" w:hAnsi="Verdana" w:eastAsia="Times New Roman" w:cs="Calibri"/>
                <w:color w:val="000000" w:themeColor="text1"/>
                <w:sz w:val="18"/>
                <w:szCs w:val="18"/>
              </w:rPr>
              <w:t>Zorgverzekeraa</w:t>
            </w:r>
            <w:r w:rsidRPr="002D00A9">
              <w:rPr>
                <w:rFonts w:ascii="Verdana" w:hAnsi="Verdana" w:eastAsia="Times New Roman" w:cs="Calibri"/>
                <w:color w:val="000000" w:themeColor="text1"/>
                <w:sz w:val="18"/>
                <w:szCs w:val="18"/>
              </w:rPr>
              <w:t>rs werken aan standaardisatie bij</w:t>
            </w:r>
            <w:r w:rsidRPr="002D00A9">
              <w:rPr>
                <w:rFonts w:ascii="Verdana" w:hAnsi="Verdana" w:eastAsia="Times New Roman" w:cs="Calibri"/>
                <w:color w:val="000000" w:themeColor="text1"/>
                <w:sz w:val="18"/>
                <w:szCs w:val="18"/>
              </w:rPr>
              <w:t xml:space="preserve"> aanpak regeldruk huisartsen en andere werkgroepen  eerstelijn.</w:t>
            </w:r>
            <w:r w:rsidRPr="002D00A9">
              <w:rPr>
                <w:rFonts w:ascii="Verdana" w:hAnsi="Verdana" w:eastAsia="Times New Roman" w:cs="Calibri"/>
                <w:color w:val="000000" w:themeColor="text1"/>
                <w:sz w:val="18"/>
                <w:szCs w:val="18"/>
              </w:rPr>
              <w:t xml:space="preserve"> </w:t>
            </w:r>
            <w:r w:rsidRPr="002D00A9">
              <w:rPr>
                <w:rFonts w:ascii="Verdana" w:hAnsi="Verdana" w:cs="Arial"/>
                <w:color w:val="000000" w:themeColor="text1"/>
                <w:sz w:val="18"/>
                <w:szCs w:val="18"/>
              </w:rPr>
              <w:t xml:space="preserve">Specifiek voor medisch specialistische zorg, kaakchirurgie en </w:t>
            </w:r>
            <w:r w:rsidRPr="00525532">
              <w:rPr>
                <w:rFonts w:ascii="Verdana" w:hAnsi="Verdana" w:cs="Arial"/>
                <w:sz w:val="18"/>
                <w:szCs w:val="18"/>
              </w:rPr>
              <w:t xml:space="preserve">mondzorg is de aanvraagprocedure via het Machtigingenportaal gedigitaliseerd en - voor </w:t>
            </w:r>
            <w:r w:rsidRPr="00525532">
              <w:rPr>
                <w:rFonts w:ascii="Verdana" w:hAnsi="Verdana" w:cs="Arial"/>
                <w:sz w:val="18"/>
                <w:szCs w:val="18"/>
              </w:rPr>
              <w:t>de Zvw</w:t>
            </w:r>
            <w:r w:rsidRPr="00525532">
              <w:rPr>
                <w:rFonts w:ascii="Verdana" w:hAnsi="Verdana" w:cs="Arial"/>
                <w:sz w:val="18"/>
                <w:szCs w:val="18"/>
              </w:rPr>
              <w:t xml:space="preserve"> – gestandaardiseerd. Net als de afgelopen jaren zal ook komend jaar verdere doorontwikkeling van het</w:t>
            </w:r>
            <w:r w:rsidRPr="00525532">
              <w:rPr>
                <w:rFonts w:ascii="Verdana" w:hAnsi="Verdana" w:cs="Arial"/>
                <w:sz w:val="18"/>
                <w:szCs w:val="18"/>
              </w:rPr>
              <w:t xml:space="preserve"> machtigingenportaal plaatsvinden, door deze verder aan te laten aansluiten op de wensen van zorgaanbieders en verzekeraars. </w:t>
            </w:r>
            <w:r w:rsidRPr="00525532">
              <w:rPr>
                <w:rFonts w:ascii="Verdana" w:hAnsi="Verdana"/>
                <w:sz w:val="18"/>
                <w:szCs w:val="18"/>
              </w:rPr>
              <w:t>De inrichting en het gebruik van het machtigingenportaal en zorginkoopportaal van VECOZO zal, voor zover relevant, voor de eerste l</w:t>
            </w:r>
            <w:r w:rsidRPr="00525532">
              <w:rPr>
                <w:rFonts w:ascii="Verdana" w:hAnsi="Verdana"/>
                <w:sz w:val="18"/>
                <w:szCs w:val="18"/>
              </w:rPr>
              <w:t>ijn verder door alle ketenpartners worden gestimuleerd.</w:t>
            </w:r>
          </w:p>
        </w:tc>
      </w:tr>
      <w:tr w:rsidR="00597843" w:rsidTr="003C76B5">
        <w:tc>
          <w:tcPr>
            <w:tcW w:w="817" w:type="dxa"/>
          </w:tcPr>
          <w:p w:rsidRPr="003E349C" w:rsidR="00DB2261"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DB2261" w:rsidP="003E349C" w:rsidRDefault="001C3619">
            <w:pPr>
              <w:spacing w:after="200" w:line="240" w:lineRule="atLeast"/>
              <w:rPr>
                <w:rFonts w:ascii="Verdana" w:hAnsi="Verdana"/>
                <w:sz w:val="18"/>
                <w:szCs w:val="18"/>
              </w:rPr>
            </w:pPr>
            <w:r w:rsidRPr="003E349C">
              <w:rPr>
                <w:rFonts w:ascii="Verdana" w:hAnsi="Verdana"/>
                <w:sz w:val="18"/>
                <w:szCs w:val="18"/>
              </w:rPr>
              <w:t>Verminderen regeldruk m</w:t>
            </w:r>
            <w:r>
              <w:rPr>
                <w:rFonts w:ascii="Verdana" w:hAnsi="Verdana"/>
                <w:sz w:val="18"/>
                <w:szCs w:val="18"/>
              </w:rPr>
              <w:t>edisch specialistische zorg</w:t>
            </w:r>
          </w:p>
        </w:tc>
        <w:tc>
          <w:tcPr>
            <w:tcW w:w="5156" w:type="dxa"/>
          </w:tcPr>
          <w:p w:rsidRPr="003E349C" w:rsidR="00DB2261" w:rsidP="00520319" w:rsidRDefault="001C3619">
            <w:pPr>
              <w:spacing w:after="200" w:line="240" w:lineRule="atLeast"/>
              <w:rPr>
                <w:rFonts w:ascii="Verdana" w:hAnsi="Verdana" w:eastAsia="Times New Roman" w:cs="Calibri"/>
                <w:sz w:val="18"/>
                <w:szCs w:val="18"/>
              </w:rPr>
            </w:pPr>
            <w:r w:rsidRPr="003E349C">
              <w:rPr>
                <w:rFonts w:ascii="Verdana" w:hAnsi="Verdana" w:eastAsia="Times New Roman" w:cs="Calibri"/>
                <w:sz w:val="18"/>
                <w:szCs w:val="18"/>
              </w:rPr>
              <w:t xml:space="preserve">Op 8 juni jl. brainstorm </w:t>
            </w:r>
            <w:r>
              <w:rPr>
                <w:rFonts w:ascii="Verdana" w:hAnsi="Verdana" w:eastAsia="Times New Roman" w:cs="Calibri"/>
                <w:sz w:val="18"/>
                <w:szCs w:val="18"/>
              </w:rPr>
              <w:t xml:space="preserve">met betrokken partijen </w:t>
            </w:r>
            <w:r w:rsidRPr="003E349C">
              <w:rPr>
                <w:rFonts w:ascii="Verdana" w:hAnsi="Verdana" w:eastAsia="Times New Roman" w:cs="Calibri"/>
                <w:sz w:val="18"/>
                <w:szCs w:val="18"/>
              </w:rPr>
              <w:t xml:space="preserve">om aanpak regeldruk in msz vorm te geven. </w:t>
            </w:r>
            <w:r>
              <w:rPr>
                <w:rFonts w:ascii="Verdana" w:hAnsi="Verdana" w:eastAsia="Times New Roman" w:cs="Calibri"/>
                <w:sz w:val="18"/>
                <w:szCs w:val="18"/>
              </w:rPr>
              <w:t>Komende periode met betrokken partijen verder uitwerken.</w:t>
            </w:r>
          </w:p>
        </w:tc>
      </w:tr>
      <w:tr w:rsidR="00597843" w:rsidTr="003C76B5">
        <w:tc>
          <w:tcPr>
            <w:tcW w:w="817" w:type="dxa"/>
          </w:tcPr>
          <w:p w:rsidRPr="003E349C" w:rsidR="00DB2261"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DB2261" w:rsidP="003E349C" w:rsidRDefault="001C3619">
            <w:pPr>
              <w:spacing w:line="240" w:lineRule="atLeast"/>
              <w:rPr>
                <w:rFonts w:ascii="Verdana" w:hAnsi="Verdana"/>
                <w:sz w:val="18"/>
                <w:szCs w:val="18"/>
              </w:rPr>
            </w:pPr>
            <w:r w:rsidRPr="003E349C">
              <w:rPr>
                <w:rFonts w:ascii="Verdana" w:hAnsi="Verdana"/>
                <w:sz w:val="18"/>
                <w:szCs w:val="18"/>
              </w:rPr>
              <w:t>Verminderen regeldruk GGZ</w:t>
            </w:r>
          </w:p>
        </w:tc>
        <w:tc>
          <w:tcPr>
            <w:tcW w:w="5156" w:type="dxa"/>
          </w:tcPr>
          <w:p w:rsidRPr="003E349C" w:rsidR="00DB2261"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 xml:space="preserve">Loopt een werkgroep </w:t>
            </w:r>
            <w:r>
              <w:rPr>
                <w:rFonts w:ascii="Verdana" w:hAnsi="Verdana" w:eastAsia="Times New Roman" w:cs="Calibri"/>
                <w:sz w:val="18"/>
                <w:szCs w:val="18"/>
              </w:rPr>
              <w:t xml:space="preserve">vermindering regeldruk </w:t>
            </w:r>
            <w:r w:rsidRPr="003E349C">
              <w:rPr>
                <w:rFonts w:ascii="Verdana" w:hAnsi="Verdana" w:eastAsia="Times New Roman" w:cs="Calibri"/>
                <w:sz w:val="18"/>
                <w:szCs w:val="18"/>
              </w:rPr>
              <w:t>voor vrijgevestigde GGZ</w:t>
            </w:r>
            <w:r w:rsidRPr="003E349C">
              <w:rPr>
                <w:rFonts w:ascii="Verdana" w:hAnsi="Verdana" w:eastAsia="Times New Roman" w:cs="Calibri"/>
                <w:sz w:val="18"/>
                <w:szCs w:val="18"/>
              </w:rPr>
              <w:t xml:space="preserve">. Daarnaast is </w:t>
            </w:r>
            <w:r w:rsidRPr="003E349C">
              <w:rPr>
                <w:rFonts w:ascii="Verdana" w:hAnsi="Verdana"/>
                <w:color w:val="000000" w:themeColor="text1"/>
                <w:sz w:val="18"/>
                <w:szCs w:val="18"/>
              </w:rPr>
              <w:t>GGZ Nederland</w:t>
            </w:r>
            <w:r w:rsidRPr="003E349C">
              <w:rPr>
                <w:rFonts w:ascii="Verdana" w:hAnsi="Verdana"/>
                <w:color w:val="000000" w:themeColor="text1"/>
                <w:sz w:val="18"/>
                <w:szCs w:val="18"/>
              </w:rPr>
              <w:t xml:space="preserve"> </w:t>
            </w:r>
            <w:r w:rsidRPr="003E349C">
              <w:rPr>
                <w:rFonts w:ascii="Verdana" w:hAnsi="Verdana"/>
                <w:color w:val="000000" w:themeColor="text1"/>
                <w:sz w:val="18"/>
                <w:szCs w:val="18"/>
              </w:rPr>
              <w:t xml:space="preserve">in het kader van de Agenda voor gepast gebruik en transparantie </w:t>
            </w:r>
            <w:r w:rsidRPr="003E349C">
              <w:rPr>
                <w:rFonts w:ascii="Verdana" w:hAnsi="Verdana"/>
                <w:color w:val="000000" w:themeColor="text1"/>
                <w:sz w:val="18"/>
                <w:szCs w:val="18"/>
              </w:rPr>
              <w:t xml:space="preserve">begonnen met een inventarisatie </w:t>
            </w:r>
            <w:r w:rsidRPr="003E349C">
              <w:rPr>
                <w:rFonts w:ascii="Verdana" w:hAnsi="Verdana"/>
                <w:color w:val="000000" w:themeColor="text1"/>
                <w:sz w:val="18"/>
                <w:szCs w:val="18"/>
              </w:rPr>
              <w:t xml:space="preserve">van </w:t>
            </w:r>
            <w:r w:rsidRPr="003E349C">
              <w:rPr>
                <w:rFonts w:ascii="Verdana" w:hAnsi="Verdana"/>
                <w:color w:val="000000" w:themeColor="text1"/>
                <w:sz w:val="18"/>
                <w:szCs w:val="18"/>
              </w:rPr>
              <w:t>door de leden ervaren administrat</w:t>
            </w:r>
            <w:r w:rsidRPr="003E349C">
              <w:rPr>
                <w:rFonts w:ascii="Verdana" w:hAnsi="Verdana"/>
                <w:color w:val="000000" w:themeColor="text1"/>
                <w:sz w:val="18"/>
                <w:szCs w:val="18"/>
              </w:rPr>
              <w:t>ieve lasten</w:t>
            </w:r>
            <w:r w:rsidRPr="003E349C">
              <w:rPr>
                <w:rFonts w:ascii="Verdana" w:hAnsi="Verdana"/>
                <w:color w:val="000000" w:themeColor="text1"/>
                <w:sz w:val="18"/>
                <w:szCs w:val="18"/>
              </w:rPr>
              <w:t>.</w:t>
            </w:r>
          </w:p>
        </w:tc>
      </w:tr>
      <w:tr w:rsidR="00597843" w:rsidTr="003C76B5">
        <w:tc>
          <w:tcPr>
            <w:tcW w:w="817" w:type="dxa"/>
          </w:tcPr>
          <w:p w:rsidRPr="003E349C" w:rsidR="00DB2261"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DB2261" w:rsidP="003E349C" w:rsidRDefault="001C3619">
            <w:pPr>
              <w:spacing w:line="240" w:lineRule="atLeast"/>
              <w:rPr>
                <w:rFonts w:ascii="Verdana" w:hAnsi="Verdana"/>
                <w:sz w:val="18"/>
                <w:szCs w:val="18"/>
              </w:rPr>
            </w:pPr>
            <w:r w:rsidRPr="003E349C">
              <w:rPr>
                <w:rFonts w:ascii="Verdana" w:hAnsi="Verdana"/>
                <w:sz w:val="18"/>
                <w:szCs w:val="18"/>
              </w:rPr>
              <w:t>Verminderen regeldruk langdurige zorg, maatschappelijke ondersteuning en jeugdzorg</w:t>
            </w:r>
          </w:p>
        </w:tc>
        <w:tc>
          <w:tcPr>
            <w:tcW w:w="5156" w:type="dxa"/>
          </w:tcPr>
          <w:p w:rsidRPr="003E349C" w:rsidR="00DB2261"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 xml:space="preserve">Komende maanden worden regeldruksessies georganiseerd in de </w:t>
            </w:r>
            <w:r w:rsidRPr="003E349C">
              <w:rPr>
                <w:rFonts w:ascii="Verdana" w:hAnsi="Verdana"/>
                <w:sz w:val="18"/>
                <w:szCs w:val="18"/>
              </w:rPr>
              <w:t>langdurige zorg, maatschappelijke ondersteuning en jeugdzorg.</w:t>
            </w:r>
          </w:p>
        </w:tc>
      </w:tr>
      <w:tr w:rsidR="00597843" w:rsidTr="003C76B5">
        <w:tc>
          <w:tcPr>
            <w:tcW w:w="817" w:type="dxa"/>
          </w:tcPr>
          <w:p w:rsidRPr="003E349C" w:rsidR="00DB2261"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DB2261" w:rsidP="003E349C" w:rsidRDefault="001C3619">
            <w:pPr>
              <w:spacing w:line="240" w:lineRule="atLeast"/>
              <w:rPr>
                <w:rFonts w:ascii="Verdana" w:hAnsi="Verdana"/>
                <w:sz w:val="18"/>
                <w:szCs w:val="18"/>
              </w:rPr>
            </w:pPr>
            <w:r w:rsidRPr="003E349C">
              <w:rPr>
                <w:rFonts w:ascii="Verdana" w:hAnsi="Verdana"/>
                <w:sz w:val="18"/>
                <w:szCs w:val="18"/>
              </w:rPr>
              <w:t xml:space="preserve">Verminderen regeldruk patiënt </w:t>
            </w:r>
          </w:p>
        </w:tc>
        <w:tc>
          <w:tcPr>
            <w:tcW w:w="5156" w:type="dxa"/>
          </w:tcPr>
          <w:p w:rsidRPr="003E349C" w:rsidR="00DB2261" w:rsidP="00C3149A"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Patient journey hulpmiddelen afgerond</w:t>
            </w:r>
            <w:r w:rsidRPr="003E349C">
              <w:rPr>
                <w:rFonts w:ascii="Verdana" w:hAnsi="Verdana" w:eastAsia="Times New Roman" w:cs="Calibri"/>
                <w:sz w:val="18"/>
                <w:szCs w:val="18"/>
              </w:rPr>
              <w:t xml:space="preserve">, nadere uitwerking </w:t>
            </w:r>
            <w:r>
              <w:rPr>
                <w:rFonts w:ascii="Verdana" w:hAnsi="Verdana" w:eastAsia="Times New Roman" w:cs="Calibri"/>
                <w:sz w:val="18"/>
                <w:szCs w:val="18"/>
              </w:rPr>
              <w:t>in samenwerking met</w:t>
            </w:r>
            <w:r w:rsidRPr="003E349C">
              <w:rPr>
                <w:rFonts w:ascii="Verdana" w:hAnsi="Verdana" w:eastAsia="Times New Roman" w:cs="Calibri"/>
                <w:sz w:val="18"/>
                <w:szCs w:val="18"/>
              </w:rPr>
              <w:t xml:space="preserve"> NPCF.</w:t>
            </w:r>
          </w:p>
        </w:tc>
      </w:tr>
      <w:tr w:rsidR="00597843" w:rsidTr="003C76B5">
        <w:tc>
          <w:tcPr>
            <w:tcW w:w="817" w:type="dxa"/>
          </w:tcPr>
          <w:p w:rsidRPr="003E349C" w:rsidR="00DB2261"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DB2261"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 xml:space="preserve">Verminderen regeldruk door toepassen Kafka-methodiek </w:t>
            </w:r>
          </w:p>
          <w:p w:rsidRPr="003E349C" w:rsidR="00DB2261" w:rsidP="003E349C" w:rsidRDefault="001C3619">
            <w:pPr>
              <w:spacing w:line="240" w:lineRule="atLeast"/>
              <w:rPr>
                <w:rFonts w:ascii="Verdana" w:hAnsi="Verdana" w:eastAsia="Times New Roman" w:cs="Calibri"/>
                <w:sz w:val="18"/>
                <w:szCs w:val="18"/>
              </w:rPr>
            </w:pPr>
          </w:p>
        </w:tc>
        <w:tc>
          <w:tcPr>
            <w:tcW w:w="5156" w:type="dxa"/>
          </w:tcPr>
          <w:p w:rsidRPr="003E349C" w:rsidR="00DB2261"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Bij het Zaans Medisch Centrum is met een zogeheten ‘Kafka-traject’ de ervaren regeldruk op individueel niveau onderz</w:t>
            </w:r>
            <w:r w:rsidRPr="003E349C">
              <w:rPr>
                <w:rFonts w:ascii="Verdana" w:hAnsi="Verdana" w:eastAsia="Times New Roman" w:cs="Calibri"/>
                <w:sz w:val="18"/>
                <w:szCs w:val="18"/>
              </w:rPr>
              <w:t xml:space="preserve">ocht. Uit de analyse en het gesprek met alle betrokkenen zijn actiepunten geformuleerd. Kamer hierover geïnformeerd en praktijkteam opgericht. Tijdens terugkomgesprek juni 2016 </w:t>
            </w:r>
            <w:r>
              <w:rPr>
                <w:rFonts w:ascii="Verdana" w:hAnsi="Verdana" w:eastAsia="Times New Roman" w:cs="Calibri"/>
                <w:sz w:val="18"/>
                <w:szCs w:val="18"/>
              </w:rPr>
              <w:t xml:space="preserve">gesprek over oplossing </w:t>
            </w:r>
            <w:r w:rsidRPr="003E349C">
              <w:rPr>
                <w:rFonts w:ascii="Verdana" w:hAnsi="Verdana" w:eastAsia="Times New Roman" w:cs="Calibri"/>
                <w:sz w:val="18"/>
                <w:szCs w:val="18"/>
              </w:rPr>
              <w:t>individueel probleem en lessen trekken voor bredere aanp</w:t>
            </w:r>
            <w:r w:rsidRPr="003E349C">
              <w:rPr>
                <w:rFonts w:ascii="Verdana" w:hAnsi="Verdana" w:eastAsia="Times New Roman" w:cs="Calibri"/>
                <w:sz w:val="18"/>
                <w:szCs w:val="18"/>
              </w:rPr>
              <w:t>ak.</w:t>
            </w:r>
          </w:p>
        </w:tc>
      </w:tr>
      <w:tr w:rsidR="00597843" w:rsidTr="003C76B5">
        <w:tc>
          <w:tcPr>
            <w:tcW w:w="817" w:type="dxa"/>
          </w:tcPr>
          <w:p w:rsidRPr="003E349C" w:rsidR="00DB2261"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DB2261"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Afschaffen vereiste onuitwisbare handtekening Opiumwet</w:t>
            </w:r>
          </w:p>
        </w:tc>
        <w:tc>
          <w:tcPr>
            <w:tcW w:w="5156" w:type="dxa"/>
          </w:tcPr>
          <w:p w:rsidRPr="003E349C" w:rsidR="00DB2261" w:rsidP="003E349C" w:rsidRDefault="001C3619">
            <w:pPr>
              <w:spacing w:line="240" w:lineRule="atLeast"/>
              <w:rPr>
                <w:rFonts w:ascii="Verdana" w:hAnsi="Verdana" w:eastAsia="Times New Roman" w:cs="Calibri"/>
                <w:sz w:val="18"/>
                <w:szCs w:val="18"/>
              </w:rPr>
            </w:pPr>
            <w:r>
              <w:rPr>
                <w:rFonts w:ascii="Verdana" w:hAnsi="Verdana" w:eastAsia="Times New Roman" w:cs="Calibri"/>
                <w:sz w:val="18"/>
                <w:szCs w:val="18"/>
              </w:rPr>
              <w:t xml:space="preserve">Is mogelijk in huidige regelgeving. Overleg tussen KNMP, IGZ en VWS heeft plaatsgevonden. </w:t>
            </w:r>
          </w:p>
        </w:tc>
      </w:tr>
      <w:tr w:rsidR="00597843" w:rsidTr="003E349C">
        <w:trPr>
          <w:trHeight w:val="868"/>
        </w:trPr>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iCs/>
                <w:sz w:val="18"/>
                <w:szCs w:val="18"/>
              </w:rPr>
              <w:t>Verminderen regeldruk</w:t>
            </w:r>
            <w:r w:rsidRPr="003E349C">
              <w:rPr>
                <w:rFonts w:ascii="Verdana" w:hAnsi="Verdana"/>
                <w:sz w:val="18"/>
                <w:szCs w:val="18"/>
              </w:rPr>
              <w:t xml:space="preserve"> </w:t>
            </w:r>
            <w:r w:rsidRPr="003E349C">
              <w:rPr>
                <w:rFonts w:ascii="Verdana" w:hAnsi="Verdana"/>
                <w:iCs/>
                <w:sz w:val="18"/>
                <w:szCs w:val="18"/>
              </w:rPr>
              <w:t>medische hulpmiddelen</w:t>
            </w:r>
            <w:r w:rsidRPr="003E349C">
              <w:rPr>
                <w:rFonts w:ascii="Verdana" w:hAnsi="Verdana"/>
                <w:sz w:val="18"/>
                <w:szCs w:val="18"/>
              </w:rPr>
              <w:t xml:space="preserve"> </w:t>
            </w:r>
          </w:p>
        </w:tc>
        <w:tc>
          <w:tcPr>
            <w:tcW w:w="5156" w:type="dxa"/>
          </w:tcPr>
          <w:p w:rsidRPr="003E349C" w:rsidR="004575B8" w:rsidP="003E349C" w:rsidRDefault="001C3619">
            <w:pPr>
              <w:spacing w:after="200" w:line="240" w:lineRule="atLeast"/>
              <w:rPr>
                <w:rFonts w:ascii="Verdana" w:hAnsi="Verdana"/>
                <w:sz w:val="18"/>
                <w:szCs w:val="18"/>
              </w:rPr>
            </w:pPr>
            <w:r w:rsidRPr="003E349C">
              <w:rPr>
                <w:rFonts w:ascii="Verdana" w:hAnsi="Verdana"/>
                <w:sz w:val="18"/>
                <w:szCs w:val="18"/>
              </w:rPr>
              <w:t xml:space="preserve">Het rapport en advies van Actal zijn ontvangen. De reactie hierop is aan Kamer gestuurd en conform deze reactie zijn acties in gang gezet. </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iCs/>
                <w:sz w:val="18"/>
                <w:szCs w:val="18"/>
              </w:rPr>
            </w:pPr>
            <w:r w:rsidRPr="003E349C">
              <w:rPr>
                <w:rFonts w:ascii="Verdana" w:hAnsi="Verdana"/>
                <w:iCs/>
                <w:sz w:val="18"/>
                <w:szCs w:val="18"/>
              </w:rPr>
              <w:t>Verminderen regeldruk geneesmiddelen</w:t>
            </w:r>
          </w:p>
        </w:tc>
        <w:tc>
          <w:tcPr>
            <w:tcW w:w="5156" w:type="dxa"/>
          </w:tcPr>
          <w:p w:rsidRPr="003E349C" w:rsidR="004575B8" w:rsidP="003E349C" w:rsidRDefault="001C3619">
            <w:pPr>
              <w:spacing w:line="240" w:lineRule="atLeast"/>
              <w:rPr>
                <w:rFonts w:ascii="Verdana" w:hAnsi="Verdana"/>
                <w:sz w:val="18"/>
                <w:szCs w:val="18"/>
              </w:rPr>
            </w:pPr>
            <w:r w:rsidRPr="003E349C">
              <w:rPr>
                <w:rFonts w:ascii="Verdana" w:hAnsi="Verdana"/>
                <w:sz w:val="18"/>
                <w:szCs w:val="18"/>
              </w:rPr>
              <w:t xml:space="preserve">Het rapport en advies van Actal zijn ontvangen. De reactie hierop is aan </w:t>
            </w:r>
            <w:r w:rsidRPr="003E349C">
              <w:rPr>
                <w:rFonts w:ascii="Verdana" w:hAnsi="Verdana"/>
                <w:sz w:val="18"/>
                <w:szCs w:val="18"/>
              </w:rPr>
              <w:t>Kamer gestuurd en conform deze reactie zijn acties in gang gezet.</w:t>
            </w:r>
          </w:p>
        </w:tc>
      </w:tr>
      <w:tr w:rsidR="00597843" w:rsidTr="003C76B5">
        <w:tc>
          <w:tcPr>
            <w:tcW w:w="817" w:type="dxa"/>
          </w:tcPr>
          <w:p w:rsidRPr="003E349C" w:rsidR="004575B8" w:rsidP="003E349C" w:rsidRDefault="001C3619">
            <w:pPr>
              <w:pStyle w:val="Lijstalinea"/>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i/>
                <w:sz w:val="18"/>
                <w:szCs w:val="18"/>
              </w:rPr>
            </w:pPr>
          </w:p>
        </w:tc>
        <w:tc>
          <w:tcPr>
            <w:tcW w:w="5156" w:type="dxa"/>
          </w:tcPr>
          <w:p w:rsidRPr="003E349C" w:rsidR="004575B8"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4575B8" w:rsidP="003E349C" w:rsidRDefault="001C3619">
            <w:pPr>
              <w:pStyle w:val="Lijstalinea"/>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i/>
                <w:sz w:val="18"/>
                <w:szCs w:val="18"/>
              </w:rPr>
            </w:pPr>
            <w:r w:rsidRPr="003E349C">
              <w:rPr>
                <w:rFonts w:ascii="Verdana" w:hAnsi="Verdana" w:eastAsia="Times New Roman" w:cs="Calibri"/>
                <w:i/>
                <w:sz w:val="18"/>
                <w:szCs w:val="18"/>
              </w:rPr>
              <w:t>Meer ruimte voor samenwerken</w:t>
            </w:r>
          </w:p>
        </w:tc>
        <w:tc>
          <w:tcPr>
            <w:tcW w:w="5156" w:type="dxa"/>
          </w:tcPr>
          <w:p w:rsidRPr="003E349C" w:rsidR="004575B8"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Innovatieplaats cure</w:t>
            </w:r>
          </w:p>
        </w:tc>
        <w:tc>
          <w:tcPr>
            <w:tcW w:w="5156"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 xml:space="preserve">Uit aanmeldingen voor Innovatieplaats cure zijn kansrijke voorstellen geselecteerd. Gesprekken met zorgaanbieders lopen om start experiment voor te bereiden. Eerste experimenten starten in 2016. </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i/>
                <w:sz w:val="18"/>
                <w:szCs w:val="18"/>
              </w:rPr>
            </w:pPr>
            <w:r w:rsidRPr="003E349C">
              <w:rPr>
                <w:rFonts w:ascii="Verdana" w:hAnsi="Verdana" w:eastAsia="Times New Roman" w:cs="Calibri"/>
                <w:sz w:val="18"/>
                <w:szCs w:val="18"/>
              </w:rPr>
              <w:t>Verminderen regeldruk door delen goede voorbeelden</w:t>
            </w:r>
          </w:p>
        </w:tc>
        <w:tc>
          <w:tcPr>
            <w:tcW w:w="5156"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Goede v</w:t>
            </w:r>
            <w:r w:rsidRPr="003E349C">
              <w:rPr>
                <w:rFonts w:ascii="Verdana" w:hAnsi="Verdana" w:eastAsia="Times New Roman" w:cs="Calibri"/>
                <w:sz w:val="18"/>
                <w:szCs w:val="18"/>
              </w:rPr>
              <w:t xml:space="preserve">oorbeelden via InvoorZorg.nl gedeeld en via verspillingindezorg.nl. De Actiedag Merkbaar minder regeldruk heeft op 28 oktober plaatsgevonden. </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b/>
                <w:sz w:val="18"/>
                <w:szCs w:val="18"/>
              </w:rPr>
            </w:pPr>
            <w:r w:rsidRPr="003E349C">
              <w:rPr>
                <w:rFonts w:ascii="Verdana" w:hAnsi="Verdana"/>
                <w:sz w:val="18"/>
                <w:szCs w:val="18"/>
              </w:rPr>
              <w:t>Pilots verzekeraars en aanbieders om het declaratieproces te versnellen en te verbeteren.</w:t>
            </w:r>
          </w:p>
        </w:tc>
        <w:tc>
          <w:tcPr>
            <w:tcW w:w="5156" w:type="dxa"/>
          </w:tcPr>
          <w:p w:rsidRPr="003E349C" w:rsidR="004575B8" w:rsidP="003E349C" w:rsidRDefault="001C3619">
            <w:pPr>
              <w:spacing w:line="240" w:lineRule="atLeast"/>
              <w:rPr>
                <w:rFonts w:ascii="Verdana" w:hAnsi="Verdana"/>
                <w:sz w:val="18"/>
                <w:szCs w:val="18"/>
              </w:rPr>
            </w:pPr>
            <w:r>
              <w:rPr>
                <w:rFonts w:ascii="Verdana" w:hAnsi="Verdana" w:eastAsia="Times New Roman" w:cs="Calibri"/>
                <w:sz w:val="18"/>
                <w:szCs w:val="18"/>
              </w:rPr>
              <w:t xml:space="preserve">Pilots lopen tot medio 2017.  </w:t>
            </w:r>
          </w:p>
          <w:p w:rsidRPr="003E349C" w:rsidR="004575B8"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4575B8" w:rsidP="003E349C" w:rsidRDefault="001C3619">
            <w:pPr>
              <w:pStyle w:val="Lijstalinea"/>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i/>
                <w:sz w:val="18"/>
                <w:szCs w:val="18"/>
              </w:rPr>
            </w:pPr>
          </w:p>
        </w:tc>
        <w:tc>
          <w:tcPr>
            <w:tcW w:w="5156" w:type="dxa"/>
          </w:tcPr>
          <w:p w:rsidRPr="003E349C" w:rsidR="004575B8"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4575B8" w:rsidP="003E349C" w:rsidRDefault="001C3619">
            <w:pPr>
              <w:pStyle w:val="Lijstalinea"/>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i/>
                <w:sz w:val="18"/>
                <w:szCs w:val="18"/>
              </w:rPr>
            </w:pPr>
            <w:r w:rsidRPr="003E349C">
              <w:rPr>
                <w:rFonts w:ascii="Verdana" w:hAnsi="Verdana"/>
                <w:i/>
                <w:sz w:val="18"/>
                <w:szCs w:val="18"/>
              </w:rPr>
              <w:t>Betere informatiedeling</w:t>
            </w:r>
          </w:p>
        </w:tc>
        <w:tc>
          <w:tcPr>
            <w:tcW w:w="5156" w:type="dxa"/>
          </w:tcPr>
          <w:p w:rsidRPr="003E349C" w:rsidR="004575B8"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Verminderen regeldruk die ontstaat door verschillende informatie-uitvragen b</w:t>
            </w:r>
            <w:r>
              <w:rPr>
                <w:rFonts w:ascii="Verdana" w:hAnsi="Verdana"/>
                <w:sz w:val="18"/>
                <w:szCs w:val="18"/>
              </w:rPr>
              <w:t>innen het programma ‘registratie aan de b</w:t>
            </w:r>
            <w:r w:rsidRPr="003E349C">
              <w:rPr>
                <w:rFonts w:ascii="Verdana" w:hAnsi="Verdana"/>
                <w:sz w:val="18"/>
                <w:szCs w:val="18"/>
              </w:rPr>
              <w:t>ron’</w:t>
            </w:r>
          </w:p>
        </w:tc>
        <w:tc>
          <w:tcPr>
            <w:tcW w:w="5156" w:type="dxa"/>
          </w:tcPr>
          <w:p w:rsidRPr="003E349C" w:rsidR="004575B8" w:rsidP="00104CEF" w:rsidRDefault="001C3619">
            <w:pPr>
              <w:spacing w:line="240" w:lineRule="atLeast"/>
              <w:rPr>
                <w:rFonts w:ascii="Verdana" w:hAnsi="Verdana" w:eastAsia="Times New Roman" w:cs="Calibri"/>
                <w:sz w:val="18"/>
                <w:szCs w:val="18"/>
              </w:rPr>
            </w:pPr>
            <w:r>
              <w:rPr>
                <w:rFonts w:ascii="Verdana" w:hAnsi="Verdana" w:eastAsia="Times New Roman" w:cs="Calibri"/>
                <w:sz w:val="18"/>
                <w:szCs w:val="18"/>
              </w:rPr>
              <w:t>Eerste</w:t>
            </w:r>
            <w:r>
              <w:rPr>
                <w:rFonts w:ascii="Verdana" w:hAnsi="Verdana" w:eastAsia="Times New Roman" w:cs="Calibri"/>
                <w:sz w:val="18"/>
                <w:szCs w:val="18"/>
              </w:rPr>
              <w:t xml:space="preserve"> pilot </w:t>
            </w:r>
            <w:r>
              <w:rPr>
                <w:rFonts w:ascii="Verdana" w:hAnsi="Verdana" w:eastAsia="Times New Roman" w:cs="Calibri"/>
                <w:sz w:val="18"/>
                <w:szCs w:val="18"/>
              </w:rPr>
              <w:t xml:space="preserve">afgerond, </w:t>
            </w:r>
            <w:r>
              <w:rPr>
                <w:rFonts w:ascii="Verdana" w:hAnsi="Verdana" w:eastAsia="Times New Roman" w:cs="Calibri"/>
                <w:sz w:val="18"/>
                <w:szCs w:val="18"/>
              </w:rPr>
              <w:t>5 pilots uit jaar van de t</w:t>
            </w:r>
            <w:r>
              <w:rPr>
                <w:rFonts w:ascii="Verdana" w:hAnsi="Verdana" w:eastAsia="Times New Roman" w:cs="Calibri"/>
                <w:sz w:val="18"/>
                <w:szCs w:val="18"/>
              </w:rPr>
              <w:t xml:space="preserve">ransparantie eind </w:t>
            </w:r>
            <w:r>
              <w:rPr>
                <w:rFonts w:ascii="Verdana" w:hAnsi="Verdana" w:eastAsia="Times New Roman" w:cs="Calibri"/>
                <w:sz w:val="18"/>
                <w:szCs w:val="18"/>
              </w:rPr>
              <w:t>2016 afgerond. T</w:t>
            </w:r>
            <w:r>
              <w:rPr>
                <w:rFonts w:ascii="Verdana" w:hAnsi="Verdana" w:eastAsia="Times New Roman" w:cs="Calibri"/>
                <w:sz w:val="18"/>
                <w:szCs w:val="18"/>
              </w:rPr>
              <w:t xml:space="preserve">ijdpad van verdere implementatieplan registratie aan de bron is bijgevoegd.  </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sz w:val="18"/>
                <w:szCs w:val="18"/>
              </w:rPr>
              <w:t>Opstellen gezamenlijke indicatorensets vanuit Kwaliteit</w:t>
            </w:r>
            <w:r>
              <w:rPr>
                <w:rFonts w:ascii="Verdana" w:hAnsi="Verdana"/>
                <w:sz w:val="18"/>
                <w:szCs w:val="18"/>
              </w:rPr>
              <w:t>s-</w:t>
            </w:r>
            <w:r w:rsidRPr="003E349C">
              <w:rPr>
                <w:rFonts w:ascii="Verdana" w:hAnsi="Verdana"/>
                <w:sz w:val="18"/>
                <w:szCs w:val="18"/>
              </w:rPr>
              <w:t xml:space="preserve"> en doelmatigheidsagenda medisch specialistische zorg</w:t>
            </w:r>
          </w:p>
        </w:tc>
        <w:tc>
          <w:tcPr>
            <w:tcW w:w="5156" w:type="dxa"/>
          </w:tcPr>
          <w:p w:rsidRPr="003E349C" w:rsidR="004575B8" w:rsidP="003E349C" w:rsidRDefault="001C3619">
            <w:pPr>
              <w:spacing w:line="240" w:lineRule="atLeast"/>
              <w:rPr>
                <w:rFonts w:ascii="Verdana" w:hAnsi="Verdana"/>
                <w:sz w:val="18"/>
                <w:szCs w:val="18"/>
              </w:rPr>
            </w:pPr>
            <w:r>
              <w:rPr>
                <w:rFonts w:ascii="Verdana" w:hAnsi="Verdana" w:eastAsia="Times New Roman" w:cs="Calibri"/>
                <w:sz w:val="18"/>
                <w:szCs w:val="18"/>
              </w:rPr>
              <w:t>Eerste gezamenlijke indicatorensets zijn afgerond</w:t>
            </w:r>
            <w:r>
              <w:rPr>
                <w:rFonts w:ascii="Verdana" w:hAnsi="Verdana" w:eastAsia="Times New Roman" w:cs="Calibri"/>
                <w:sz w:val="18"/>
                <w:szCs w:val="18"/>
              </w:rPr>
              <w:t xml:space="preserve">, loopt door binnen Kwaliteits- en doelmatigheidsagenda. </w:t>
            </w:r>
          </w:p>
          <w:p w:rsidRPr="003E349C" w:rsidR="004575B8"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sz w:val="18"/>
                <w:szCs w:val="18"/>
              </w:rPr>
            </w:pPr>
            <w:r w:rsidRPr="003E349C">
              <w:rPr>
                <w:rFonts w:ascii="Verdana" w:hAnsi="Verdana"/>
                <w:sz w:val="18"/>
                <w:szCs w:val="18"/>
              </w:rPr>
              <w:t>Evaluatie aanlevering kwaliteitsinformatie</w:t>
            </w:r>
          </w:p>
        </w:tc>
        <w:tc>
          <w:tcPr>
            <w:tcW w:w="5156" w:type="dxa"/>
          </w:tcPr>
          <w:p w:rsidRPr="00CE4B87" w:rsidR="004575B8" w:rsidP="003E349C" w:rsidRDefault="001C3619">
            <w:pPr>
              <w:spacing w:line="240" w:lineRule="atLeast"/>
              <w:rPr>
                <w:rFonts w:ascii="Verdana" w:hAnsi="Verdana"/>
                <w:sz w:val="18"/>
                <w:szCs w:val="18"/>
              </w:rPr>
            </w:pPr>
            <w:r w:rsidRPr="00CE4B87">
              <w:rPr>
                <w:rFonts w:ascii="Verdana" w:hAnsi="Verdana" w:eastAsia="Times New Roman" w:cs="Calibri"/>
                <w:sz w:val="18"/>
                <w:szCs w:val="18"/>
              </w:rPr>
              <w:t>Afgerond</w:t>
            </w:r>
            <w:r>
              <w:rPr>
                <w:rFonts w:ascii="Verdana" w:hAnsi="Verdana" w:eastAsia="Times New Roman" w:cs="Calibri"/>
                <w:sz w:val="18"/>
                <w:szCs w:val="18"/>
              </w:rPr>
              <w:t>.</w:t>
            </w:r>
          </w:p>
          <w:p w:rsidRPr="00CE4B87" w:rsidR="004575B8" w:rsidP="003E349C" w:rsidRDefault="001C3619">
            <w:pPr>
              <w:spacing w:line="240" w:lineRule="atLeast"/>
              <w:rPr>
                <w:rFonts w:ascii="Verdana" w:hAnsi="Verdana"/>
                <w:sz w:val="18"/>
                <w:szCs w:val="18"/>
              </w:rPr>
            </w:pP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sz w:val="18"/>
                <w:szCs w:val="18"/>
              </w:rPr>
            </w:pPr>
            <w:r w:rsidRPr="003E349C">
              <w:rPr>
                <w:rFonts w:ascii="Verdana" w:hAnsi="Verdana"/>
                <w:sz w:val="18"/>
                <w:szCs w:val="18"/>
              </w:rPr>
              <w:t>Kwaliteitsstatuut GGZ</w:t>
            </w:r>
          </w:p>
        </w:tc>
        <w:tc>
          <w:tcPr>
            <w:tcW w:w="5156" w:type="dxa"/>
          </w:tcPr>
          <w:p w:rsidRPr="00CE4B87" w:rsidR="004575B8" w:rsidP="003E349C" w:rsidRDefault="001C3619">
            <w:pPr>
              <w:spacing w:line="240" w:lineRule="atLeast"/>
              <w:rPr>
                <w:rFonts w:ascii="Verdana" w:hAnsi="Verdana" w:eastAsia="Times New Roman" w:cs="Calibri"/>
                <w:sz w:val="18"/>
                <w:szCs w:val="18"/>
              </w:rPr>
            </w:pPr>
            <w:r>
              <w:rPr>
                <w:rFonts w:ascii="Verdana" w:hAnsi="Verdana" w:eastAsia="Times New Roman" w:cs="Calibri"/>
                <w:sz w:val="18"/>
                <w:szCs w:val="18"/>
              </w:rPr>
              <w:t xml:space="preserve">Het model kwaliteitsstatuut voor de GGZ is als kwaliteitsstandaard opgenomen in het register van het Zorginstituut en is daarmee op grond van artikel 2 van de Wet kwaliteit, klachten en geschillen zorg per 1 januari 2017 verplicht voor alle aanbieders van </w:t>
            </w:r>
            <w:r>
              <w:rPr>
                <w:rFonts w:ascii="Verdana" w:hAnsi="Verdana" w:eastAsia="Times New Roman" w:cs="Calibri"/>
                <w:sz w:val="18"/>
                <w:szCs w:val="18"/>
              </w:rPr>
              <w:t xml:space="preserve">GGZ. De NZa verwerkt het regiebehandelaarschap in de </w:t>
            </w:r>
            <w:r>
              <w:rPr>
                <w:rFonts w:ascii="Verdana" w:hAnsi="Verdana" w:eastAsia="Times New Roman" w:cs="Calibri"/>
                <w:sz w:val="18"/>
                <w:szCs w:val="18"/>
              </w:rPr>
              <w:t>beleids</w:t>
            </w:r>
            <w:r>
              <w:rPr>
                <w:rFonts w:ascii="Verdana" w:hAnsi="Verdana" w:eastAsia="Times New Roman" w:cs="Calibri"/>
                <w:sz w:val="18"/>
                <w:szCs w:val="18"/>
              </w:rPr>
              <w:t>regels voor 2017.</w:t>
            </w:r>
          </w:p>
        </w:tc>
      </w:tr>
      <w:tr w:rsidR="00597843" w:rsidTr="003C76B5">
        <w:tc>
          <w:tcPr>
            <w:tcW w:w="817" w:type="dxa"/>
          </w:tcPr>
          <w:p w:rsidRPr="00CE4B87"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sz w:val="18"/>
                <w:szCs w:val="18"/>
              </w:rPr>
            </w:pPr>
            <w:r w:rsidRPr="003E349C">
              <w:rPr>
                <w:rFonts w:ascii="Verdana" w:hAnsi="Verdana"/>
                <w:sz w:val="18"/>
                <w:szCs w:val="18"/>
              </w:rPr>
              <w:t>Sluiten meerjarige contracten</w:t>
            </w:r>
          </w:p>
        </w:tc>
        <w:tc>
          <w:tcPr>
            <w:tcW w:w="5156" w:type="dxa"/>
          </w:tcPr>
          <w:p w:rsidRPr="00CE4B87" w:rsidR="004575B8" w:rsidP="00CE4B87" w:rsidRDefault="001C3619">
            <w:pPr>
              <w:spacing w:line="276" w:lineRule="auto"/>
              <w:rPr>
                <w:rFonts w:ascii="Verdana" w:hAnsi="Verdana" w:eastAsia="Times New Roman" w:cs="Calibri"/>
                <w:sz w:val="18"/>
                <w:szCs w:val="18"/>
              </w:rPr>
            </w:pPr>
            <w:r w:rsidRPr="00CE4B87">
              <w:rPr>
                <w:rFonts w:ascii="Verdana" w:hAnsi="Verdana"/>
                <w:sz w:val="18"/>
                <w:szCs w:val="18"/>
              </w:rPr>
              <w:t xml:space="preserve">Inventarisatie afgerond wat de meerwaarde is van meerjarige contracten voor de betrokken partijen, wat de randvoorwaarden zijn, hoe vaak dit soort contracten worden gesloten en welke belemmeringen zorgverzekeraars en zorgaanbieders hierbij ervaren. </w:t>
            </w:r>
            <w:r>
              <w:rPr>
                <w:rFonts w:ascii="Verdana" w:hAnsi="Verdana"/>
                <w:sz w:val="18"/>
                <w:szCs w:val="18"/>
              </w:rPr>
              <w:t>Uitwerk</w:t>
            </w:r>
            <w:r>
              <w:rPr>
                <w:rFonts w:ascii="Verdana" w:hAnsi="Verdana"/>
                <w:sz w:val="18"/>
                <w:szCs w:val="18"/>
              </w:rPr>
              <w:t>ing s</w:t>
            </w:r>
            <w:r w:rsidRPr="00D55C6E">
              <w:rPr>
                <w:rFonts w:ascii="Verdana" w:hAnsi="Verdana"/>
                <w:sz w:val="18"/>
                <w:szCs w:val="18"/>
              </w:rPr>
              <w:t xml:space="preserve">amen met </w:t>
            </w:r>
            <w:r>
              <w:rPr>
                <w:rFonts w:ascii="Verdana" w:hAnsi="Verdana"/>
                <w:sz w:val="18"/>
                <w:szCs w:val="18"/>
              </w:rPr>
              <w:t>de betrokken p</w:t>
            </w:r>
            <w:r w:rsidRPr="00D55C6E">
              <w:rPr>
                <w:rFonts w:ascii="Verdana" w:hAnsi="Verdana"/>
                <w:sz w:val="18"/>
                <w:szCs w:val="18"/>
              </w:rPr>
              <w:t>artijen.</w:t>
            </w:r>
          </w:p>
        </w:tc>
      </w:tr>
      <w:tr w:rsidR="00597843" w:rsidTr="003C76B5">
        <w:tc>
          <w:tcPr>
            <w:tcW w:w="817" w:type="dxa"/>
          </w:tcPr>
          <w:p w:rsidRPr="00CE4B87" w:rsidR="004575B8" w:rsidP="003E349C" w:rsidRDefault="001C3619">
            <w:pPr>
              <w:spacing w:line="240" w:lineRule="atLeast"/>
              <w:rPr>
                <w:rFonts w:ascii="Verdana" w:hAnsi="Verdana"/>
                <w:sz w:val="18"/>
                <w:szCs w:val="18"/>
              </w:rPr>
            </w:pPr>
          </w:p>
        </w:tc>
        <w:tc>
          <w:tcPr>
            <w:tcW w:w="3633" w:type="dxa"/>
          </w:tcPr>
          <w:p w:rsidRPr="00CE4B87" w:rsidR="004575B8" w:rsidP="003E349C" w:rsidRDefault="001C3619">
            <w:pPr>
              <w:spacing w:line="240" w:lineRule="atLeast"/>
              <w:rPr>
                <w:rFonts w:ascii="Verdana" w:hAnsi="Verdana"/>
                <w:i/>
                <w:sz w:val="18"/>
                <w:szCs w:val="18"/>
                <w:shd w:val="clear" w:color="auto" w:fill="FFFFFF"/>
              </w:rPr>
            </w:pPr>
          </w:p>
        </w:tc>
        <w:tc>
          <w:tcPr>
            <w:tcW w:w="5156" w:type="dxa"/>
          </w:tcPr>
          <w:p w:rsidRPr="00CE4B87" w:rsidR="004575B8" w:rsidP="003E349C" w:rsidRDefault="001C3619">
            <w:pPr>
              <w:spacing w:line="240" w:lineRule="atLeast"/>
              <w:rPr>
                <w:rFonts w:ascii="Verdana" w:hAnsi="Verdana"/>
                <w:sz w:val="18"/>
                <w:szCs w:val="18"/>
              </w:rPr>
            </w:pPr>
          </w:p>
        </w:tc>
      </w:tr>
      <w:tr w:rsidR="00597843" w:rsidTr="003C76B5">
        <w:tc>
          <w:tcPr>
            <w:tcW w:w="817" w:type="dxa"/>
          </w:tcPr>
          <w:p w:rsidRPr="00CE4B87" w:rsidR="004575B8" w:rsidP="003E349C" w:rsidRDefault="001C3619">
            <w:p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i/>
                <w:sz w:val="18"/>
                <w:szCs w:val="18"/>
                <w:shd w:val="clear" w:color="auto" w:fill="FFFFFF"/>
              </w:rPr>
            </w:pPr>
            <w:r w:rsidRPr="003E349C">
              <w:rPr>
                <w:rFonts w:ascii="Verdana" w:hAnsi="Verdana"/>
                <w:i/>
                <w:sz w:val="18"/>
                <w:szCs w:val="18"/>
                <w:shd w:val="clear" w:color="auto" w:fill="FFFFFF"/>
              </w:rPr>
              <w:t>Versterken samenwerking toezicht</w:t>
            </w:r>
          </w:p>
        </w:tc>
        <w:tc>
          <w:tcPr>
            <w:tcW w:w="5156" w:type="dxa"/>
          </w:tcPr>
          <w:p w:rsidRPr="003E349C" w:rsidR="004575B8" w:rsidP="003E349C" w:rsidRDefault="001C3619">
            <w:pPr>
              <w:spacing w:line="240" w:lineRule="atLeast"/>
              <w:rPr>
                <w:rFonts w:ascii="Verdana" w:hAnsi="Verdana"/>
                <w:sz w:val="18"/>
                <w:szCs w:val="18"/>
              </w:rPr>
            </w:pP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Opstellen gezamenlijk toezichtskader goed bestuur door</w:t>
            </w:r>
            <w:r w:rsidRPr="003E349C">
              <w:rPr>
                <w:rFonts w:ascii="Verdana" w:hAnsi="Verdana"/>
                <w:iCs/>
                <w:sz w:val="18"/>
                <w:szCs w:val="18"/>
              </w:rPr>
              <w:t xml:space="preserve"> IGZ en NZa</w:t>
            </w:r>
          </w:p>
        </w:tc>
        <w:tc>
          <w:tcPr>
            <w:tcW w:w="5156" w:type="dxa"/>
          </w:tcPr>
          <w:p w:rsidRPr="003E349C" w:rsidR="004575B8" w:rsidP="003E349C" w:rsidRDefault="001C3619">
            <w:pPr>
              <w:spacing w:line="240" w:lineRule="atLeast"/>
              <w:rPr>
                <w:rFonts w:ascii="Verdana" w:hAnsi="Verdana"/>
                <w:sz w:val="18"/>
                <w:szCs w:val="18"/>
              </w:rPr>
            </w:pPr>
            <w:r w:rsidRPr="003E349C">
              <w:rPr>
                <w:rFonts w:ascii="Verdana" w:hAnsi="Verdana"/>
                <w:sz w:val="18"/>
                <w:szCs w:val="18"/>
              </w:rPr>
              <w:t xml:space="preserve">Het toezichtskader wordt in de zomer van 2016 gepresenteerd. </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 xml:space="preserve">Versterken informatie-uitwisseling in het </w:t>
            </w:r>
            <w:r w:rsidRPr="003E349C">
              <w:rPr>
                <w:rFonts w:ascii="Verdana" w:hAnsi="Verdana" w:eastAsia="Times New Roman" w:cs="Calibri"/>
                <w:sz w:val="18"/>
                <w:szCs w:val="18"/>
              </w:rPr>
              <w:t>toezicht</w:t>
            </w:r>
            <w:r w:rsidRPr="003E349C">
              <w:rPr>
                <w:rFonts w:ascii="Verdana" w:hAnsi="Verdana"/>
                <w:sz w:val="18"/>
                <w:szCs w:val="18"/>
                <w:shd w:val="clear" w:color="auto" w:fill="FFFFFF"/>
              </w:rPr>
              <w:t xml:space="preserve"> door IGZ en NZa</w:t>
            </w:r>
          </w:p>
        </w:tc>
        <w:tc>
          <w:tcPr>
            <w:tcW w:w="5156"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sz w:val="18"/>
                <w:szCs w:val="18"/>
              </w:rPr>
              <w:t xml:space="preserve">Doorlopend. </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Times New Roman" w:cs="Times New Roman"/>
                <w:sz w:val="18"/>
                <w:szCs w:val="18"/>
              </w:rPr>
              <w:t xml:space="preserve">Traject met NZa, IGZ en ZIN inzake informatievoorziening declaratiegegevens. </w:t>
            </w:r>
          </w:p>
        </w:tc>
        <w:tc>
          <w:tcPr>
            <w:tcW w:w="5156" w:type="dxa"/>
          </w:tcPr>
          <w:p w:rsidRPr="003E349C" w:rsidR="004575B8" w:rsidP="00257EE1" w:rsidRDefault="001C3619">
            <w:pPr>
              <w:spacing w:line="240" w:lineRule="atLeast"/>
              <w:rPr>
                <w:rFonts w:ascii="Verdana" w:hAnsi="Verdana"/>
                <w:sz w:val="18"/>
                <w:szCs w:val="18"/>
              </w:rPr>
            </w:pPr>
            <w:r w:rsidRPr="003E349C">
              <w:rPr>
                <w:rFonts w:ascii="Verdana" w:hAnsi="Verdana" w:eastAsia="Times New Roman" w:cs="Times New Roman"/>
                <w:sz w:val="18"/>
                <w:szCs w:val="18"/>
              </w:rPr>
              <w:t xml:space="preserve">Het feit dat er gebruik gemaakt wordt van Vektis en geen aparte uitvragen van ZIN en NZa bij verzekeraars leidt naar verwachting tot een </w:t>
            </w:r>
            <w:r>
              <w:rPr>
                <w:rFonts w:ascii="Verdana" w:hAnsi="Verdana" w:eastAsia="Times New Roman" w:cs="Times New Roman"/>
                <w:sz w:val="18"/>
                <w:szCs w:val="18"/>
              </w:rPr>
              <w:t>v</w:t>
            </w:r>
            <w:r>
              <w:rPr>
                <w:rFonts w:ascii="Verdana" w:hAnsi="Verdana" w:eastAsia="Times New Roman" w:cs="Times New Roman"/>
                <w:sz w:val="18"/>
                <w:szCs w:val="18"/>
              </w:rPr>
              <w:t>ermindering van de regeldruk</w:t>
            </w:r>
            <w:r w:rsidRPr="003E349C">
              <w:rPr>
                <w:rFonts w:ascii="Verdana" w:hAnsi="Verdana" w:eastAsia="Times New Roman" w:cs="Times New Roman"/>
                <w:sz w:val="18"/>
                <w:szCs w:val="18"/>
              </w:rPr>
              <w:t>.</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hd w:val="clear" w:color="auto" w:fill="FFFFFF" w:themeFill="background1"/>
              <w:spacing w:line="240" w:lineRule="atLeast"/>
              <w:rPr>
                <w:rFonts w:ascii="Verdana" w:hAnsi="Verdana"/>
                <w:sz w:val="18"/>
                <w:szCs w:val="18"/>
              </w:rPr>
            </w:pPr>
            <w:r w:rsidRPr="003E349C">
              <w:rPr>
                <w:rFonts w:ascii="Verdana" w:hAnsi="Verdana"/>
                <w:sz w:val="18"/>
                <w:szCs w:val="18"/>
              </w:rPr>
              <w:t>Vermindering regeldruk in samenwerking met het CAK</w:t>
            </w:r>
          </w:p>
          <w:p w:rsidRPr="003E349C" w:rsidR="004575B8" w:rsidP="003E349C" w:rsidRDefault="001C3619">
            <w:pPr>
              <w:spacing w:line="240" w:lineRule="atLeast"/>
              <w:rPr>
                <w:rFonts w:ascii="Verdana" w:hAnsi="Verdana" w:eastAsia="Times New Roman" w:cs="Times New Roman"/>
                <w:sz w:val="18"/>
                <w:szCs w:val="18"/>
              </w:rPr>
            </w:pPr>
          </w:p>
        </w:tc>
        <w:tc>
          <w:tcPr>
            <w:tcW w:w="5156" w:type="dxa"/>
          </w:tcPr>
          <w:p w:rsidRPr="003E349C" w:rsidR="004575B8" w:rsidP="003E349C" w:rsidRDefault="001C3619">
            <w:pPr>
              <w:spacing w:line="240" w:lineRule="atLeast"/>
              <w:rPr>
                <w:rFonts w:ascii="Verdana" w:hAnsi="Verdana" w:eastAsia="Times New Roman" w:cs="Times New Roman"/>
                <w:sz w:val="18"/>
                <w:szCs w:val="18"/>
              </w:rPr>
            </w:pPr>
            <w:r w:rsidRPr="003E349C">
              <w:rPr>
                <w:rFonts w:ascii="Verdana" w:hAnsi="Verdana"/>
                <w:sz w:val="18"/>
                <w:szCs w:val="18"/>
              </w:rPr>
              <w:t xml:space="preserve">Het CAK heeft een verkenning uitgevoerd naar trajecten en voorstellen die bij kunnen dragen aan het verminderen van regeldruk voor hun klant en de keten. Het gaat daarbij </w:t>
            </w:r>
            <w:r w:rsidRPr="003E349C">
              <w:rPr>
                <w:rFonts w:ascii="Verdana" w:hAnsi="Verdana"/>
                <w:sz w:val="18"/>
                <w:szCs w:val="18"/>
              </w:rPr>
              <w:t>om voorstellen op het gebied van standaardisatie, ICT oplossingen en verbeteringen op het gebied van gegevensuitwisseling.</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hd w:val="clear" w:color="auto" w:fill="FFFFFF" w:themeFill="background1"/>
              <w:spacing w:line="240" w:lineRule="atLeast"/>
              <w:rPr>
                <w:rFonts w:ascii="Verdana" w:hAnsi="Verdana"/>
                <w:sz w:val="18"/>
                <w:szCs w:val="18"/>
              </w:rPr>
            </w:pPr>
            <w:r w:rsidRPr="003E349C">
              <w:rPr>
                <w:rFonts w:ascii="Verdana" w:hAnsi="Verdana"/>
                <w:sz w:val="18"/>
                <w:szCs w:val="18"/>
              </w:rPr>
              <w:t>Integratie jaardocument</w:t>
            </w:r>
          </w:p>
          <w:p w:rsidRPr="003E349C" w:rsidR="004575B8" w:rsidP="003E349C" w:rsidRDefault="001C3619">
            <w:pPr>
              <w:shd w:val="clear" w:color="auto" w:fill="FFFFFF" w:themeFill="background1"/>
              <w:spacing w:line="240" w:lineRule="atLeast"/>
              <w:rPr>
                <w:rFonts w:ascii="Verdana" w:hAnsi="Verdana"/>
                <w:sz w:val="18"/>
                <w:szCs w:val="18"/>
              </w:rPr>
            </w:pPr>
          </w:p>
        </w:tc>
        <w:tc>
          <w:tcPr>
            <w:tcW w:w="5156" w:type="dxa"/>
          </w:tcPr>
          <w:p w:rsidRPr="003E349C" w:rsidR="004575B8" w:rsidP="003E349C" w:rsidRDefault="001C3619">
            <w:pPr>
              <w:spacing w:line="240" w:lineRule="atLeast"/>
              <w:rPr>
                <w:rFonts w:ascii="Verdana" w:hAnsi="Verdana"/>
                <w:sz w:val="18"/>
                <w:szCs w:val="18"/>
              </w:rPr>
            </w:pPr>
            <w:r w:rsidRPr="003E349C">
              <w:rPr>
                <w:rFonts w:ascii="Verdana" w:hAnsi="Verdana"/>
                <w:sz w:val="18"/>
                <w:szCs w:val="18"/>
              </w:rPr>
              <w:t>De instellingen voor jeugdhulp zijn net als de aanbieders in de gezondheidszorg verplicht een jaardocument</w:t>
            </w:r>
            <w:r w:rsidRPr="003E349C">
              <w:rPr>
                <w:rFonts w:ascii="Verdana" w:hAnsi="Verdana"/>
                <w:sz w:val="18"/>
                <w:szCs w:val="18"/>
              </w:rPr>
              <w:t xml:space="preserve"> aan te leveren waarmee zij zich verantwoorden. Om de bevragingslast en verantwoordingsdruk zo klein mogelijk te maken zijn beide jaardocumenten geïntegreerd. Dat verlicht de lasten van instellingen die zowel jeugdhulp als gezondheidszorg leveren.</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hd w:val="clear" w:color="auto" w:fill="FFFFFF" w:themeFill="background1"/>
              <w:spacing w:line="240" w:lineRule="atLeast"/>
              <w:rPr>
                <w:rFonts w:ascii="Verdana" w:hAnsi="Verdana"/>
                <w:sz w:val="18"/>
                <w:szCs w:val="18"/>
              </w:rPr>
            </w:pPr>
            <w:r w:rsidRPr="003E349C">
              <w:rPr>
                <w:rFonts w:ascii="Verdana" w:hAnsi="Verdana"/>
                <w:sz w:val="18"/>
                <w:szCs w:val="18"/>
              </w:rPr>
              <w:t>Vermin</w:t>
            </w:r>
            <w:r w:rsidRPr="003E349C">
              <w:rPr>
                <w:rFonts w:ascii="Verdana" w:hAnsi="Verdana"/>
                <w:sz w:val="18"/>
                <w:szCs w:val="18"/>
              </w:rPr>
              <w:t>dering regeldruk door maatregelen Nederlandse Zorgautoriteit</w:t>
            </w:r>
          </w:p>
          <w:p w:rsidRPr="003E349C" w:rsidR="004575B8" w:rsidP="003E349C" w:rsidRDefault="001C3619">
            <w:pPr>
              <w:shd w:val="clear" w:color="auto" w:fill="FFFFFF" w:themeFill="background1"/>
              <w:spacing w:line="240" w:lineRule="atLeast"/>
              <w:rPr>
                <w:rFonts w:ascii="Verdana" w:hAnsi="Verdana"/>
                <w:sz w:val="18"/>
                <w:szCs w:val="18"/>
              </w:rPr>
            </w:pPr>
          </w:p>
        </w:tc>
        <w:tc>
          <w:tcPr>
            <w:tcW w:w="5156" w:type="dxa"/>
          </w:tcPr>
          <w:p w:rsidRPr="003E349C" w:rsidR="004575B8" w:rsidP="003E349C" w:rsidRDefault="001C3619">
            <w:pPr>
              <w:spacing w:line="240" w:lineRule="atLeast"/>
              <w:rPr>
                <w:rFonts w:ascii="Verdana" w:hAnsi="Verdana"/>
                <w:sz w:val="18"/>
                <w:szCs w:val="18"/>
              </w:rPr>
            </w:pPr>
            <w:r w:rsidRPr="003E349C">
              <w:rPr>
                <w:rFonts w:ascii="Verdana" w:hAnsi="Verdana"/>
                <w:sz w:val="18"/>
                <w:szCs w:val="18"/>
              </w:rPr>
              <w:t>Diverse maatregelen, zo heeft de NZa voor de afhandeling van budget- en nacalculatie aanvragen in zowel de zorgmarkten Care, Cure en voor beschikbaarheidsbijdragen een nieuw ICT-systeem geïmplem</w:t>
            </w:r>
            <w:r w:rsidRPr="003E349C">
              <w:rPr>
                <w:rFonts w:ascii="Verdana" w:hAnsi="Verdana"/>
                <w:sz w:val="18"/>
                <w:szCs w:val="18"/>
              </w:rPr>
              <w:t xml:space="preserve">enteerd waardoor informatie uitwisseling tussen zorgaanbieders, ziektekostenverzekeraars, zorgkantoren en de NZa veiliger wordt. Aanvragen en verantwoording van budgetten wordt eenvoudiger voor zorgaanbieders en ziektekostenverzekeraars. Ook wordt gewerkt </w:t>
            </w:r>
            <w:r w:rsidRPr="003E349C">
              <w:rPr>
                <w:rFonts w:ascii="Verdana" w:hAnsi="Verdana"/>
                <w:sz w:val="18"/>
                <w:szCs w:val="18"/>
              </w:rPr>
              <w:t>aan de doorontwikkeling en vereenvoudiging van de dbc/dot-productstructuur voor de medisch specialistische zorg.</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sz w:val="18"/>
                <w:szCs w:val="18"/>
              </w:rPr>
            </w:pPr>
            <w:r w:rsidRPr="003E349C">
              <w:rPr>
                <w:rFonts w:ascii="Verdana" w:hAnsi="Verdana"/>
                <w:sz w:val="18"/>
                <w:szCs w:val="18"/>
              </w:rPr>
              <w:t xml:space="preserve">Vermindering aantal kwaliteitsindicatoren IGZ voor ziekenhuizen </w:t>
            </w:r>
          </w:p>
          <w:p w:rsidRPr="003E349C" w:rsidR="004575B8" w:rsidP="003E349C" w:rsidRDefault="001C3619">
            <w:pPr>
              <w:spacing w:line="240" w:lineRule="atLeast"/>
              <w:rPr>
                <w:rFonts w:ascii="Verdana" w:hAnsi="Verdana" w:eastAsia="Times New Roman" w:cs="Calibri"/>
                <w:sz w:val="18"/>
                <w:szCs w:val="18"/>
              </w:rPr>
            </w:pPr>
          </w:p>
        </w:tc>
        <w:tc>
          <w:tcPr>
            <w:tcW w:w="5156" w:type="dxa"/>
          </w:tcPr>
          <w:p w:rsidRPr="003E349C" w:rsidR="004575B8" w:rsidP="00FA21FB" w:rsidRDefault="001C3619">
            <w:pPr>
              <w:spacing w:line="240" w:lineRule="atLeast"/>
              <w:rPr>
                <w:rFonts w:ascii="Verdana" w:hAnsi="Verdana"/>
                <w:sz w:val="18"/>
                <w:szCs w:val="18"/>
              </w:rPr>
            </w:pPr>
            <w:r w:rsidRPr="003E349C">
              <w:rPr>
                <w:rFonts w:ascii="Verdana" w:hAnsi="Verdana"/>
                <w:sz w:val="18"/>
                <w:szCs w:val="18"/>
              </w:rPr>
              <w:t xml:space="preserve">Voor ziekenhuizen stelt de IGZ elk jaar een basisset kwaliteitsindicatoren vast. </w:t>
            </w:r>
            <w:r w:rsidRPr="003E349C">
              <w:rPr>
                <w:rFonts w:ascii="Verdana" w:hAnsi="Verdana" w:eastAsia="Times New Roman" w:cs="Times New Roman"/>
                <w:color w:val="000000"/>
                <w:sz w:val="18"/>
                <w:szCs w:val="18"/>
                <w:lang w:eastAsia="nl-NL"/>
              </w:rPr>
              <w:t xml:space="preserve">Tussen 2013 en 2016 is sprake geweest van een afname van 25% van het totaal aantal variabelen vanuit de IGZ basisset voor ziekenhuizen. </w:t>
            </w:r>
          </w:p>
        </w:tc>
      </w:tr>
      <w:tr w:rsidR="00597843" w:rsidTr="003C76B5">
        <w:tc>
          <w:tcPr>
            <w:tcW w:w="817" w:type="dxa"/>
          </w:tcPr>
          <w:p w:rsidRPr="003E349C" w:rsidR="004575B8" w:rsidP="003E349C" w:rsidRDefault="001C3619">
            <w:pPr>
              <w:pStyle w:val="Lijstalinea"/>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b/>
                <w:sz w:val="18"/>
                <w:szCs w:val="18"/>
              </w:rPr>
            </w:pPr>
          </w:p>
        </w:tc>
        <w:tc>
          <w:tcPr>
            <w:tcW w:w="5156" w:type="dxa"/>
          </w:tcPr>
          <w:p w:rsidRPr="003E349C" w:rsidR="004575B8"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4575B8" w:rsidP="003E349C" w:rsidRDefault="001C3619">
            <w:pPr>
              <w:pStyle w:val="Lijstalinea"/>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b/>
                <w:sz w:val="18"/>
                <w:szCs w:val="18"/>
              </w:rPr>
            </w:pPr>
            <w:r w:rsidRPr="003E349C">
              <w:rPr>
                <w:rFonts w:ascii="Verdana" w:hAnsi="Verdana"/>
                <w:b/>
                <w:sz w:val="18"/>
                <w:szCs w:val="18"/>
              </w:rPr>
              <w:t xml:space="preserve">Vereenvoudigen valide regels </w:t>
            </w:r>
          </w:p>
          <w:p w:rsidRPr="003E349C" w:rsidR="004575B8" w:rsidP="003E349C" w:rsidRDefault="001C3619">
            <w:pPr>
              <w:spacing w:line="240" w:lineRule="atLeast"/>
              <w:rPr>
                <w:rFonts w:ascii="Verdana" w:hAnsi="Verdana" w:eastAsia="Times New Roman" w:cs="Calibri"/>
                <w:sz w:val="18"/>
                <w:szCs w:val="18"/>
              </w:rPr>
            </w:pPr>
          </w:p>
        </w:tc>
        <w:tc>
          <w:tcPr>
            <w:tcW w:w="5156" w:type="dxa"/>
          </w:tcPr>
          <w:p w:rsidRPr="003E349C" w:rsidR="004575B8"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Aanpassing bekostigingsregels die voortvloeien uit Wet marktordening gezondheidszorg (Wmg)</w:t>
            </w:r>
          </w:p>
        </w:tc>
        <w:tc>
          <w:tcPr>
            <w:tcW w:w="5156"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sz w:val="18"/>
                <w:szCs w:val="18"/>
              </w:rPr>
              <w:t xml:space="preserve">Wetsvoorstel met aanpassing om zorgaanbieders en zorgverzekeraars meer ruimte te geven in de bekostiging aan Tweede Kamer aangeboden. </w:t>
            </w:r>
            <w:r w:rsidRPr="003E349C">
              <w:rPr>
                <w:rFonts w:ascii="Verdana" w:hAnsi="Verdana" w:eastAsia="Times New Roman" w:cs="Calibri"/>
                <w:sz w:val="18"/>
                <w:szCs w:val="18"/>
              </w:rPr>
              <w:t xml:space="preserve">Beoogde inwerkingtreding wet </w:t>
            </w:r>
            <w:r w:rsidRPr="003E349C">
              <w:rPr>
                <w:rFonts w:ascii="Verdana" w:hAnsi="Verdana" w:eastAsia="Times New Roman" w:cs="Calibri"/>
                <w:sz w:val="18"/>
                <w:szCs w:val="18"/>
              </w:rPr>
              <w:t xml:space="preserve">per 1 januari 2017. </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sz w:val="18"/>
                <w:szCs w:val="18"/>
              </w:rPr>
              <w:t>Plan van aanpak NZa voor doorontwikkeling en vereenvoudiging van de DOT-systematiek</w:t>
            </w:r>
          </w:p>
        </w:tc>
        <w:tc>
          <w:tcPr>
            <w:tcW w:w="5156" w:type="dxa"/>
          </w:tcPr>
          <w:p w:rsidR="00257EE1" w:rsidP="00257EE1" w:rsidRDefault="001C3619">
            <w:pPr>
              <w:pStyle w:val="Huisstijl-Kopje"/>
              <w:rPr>
                <w:b w:val="0"/>
                <w:bCs w:val="0"/>
              </w:rPr>
            </w:pPr>
            <w:r>
              <w:rPr>
                <w:b w:val="0"/>
                <w:bCs w:val="0"/>
              </w:rPr>
              <w:t xml:space="preserve">Het </w:t>
            </w:r>
            <w:r>
              <w:rPr>
                <w:b w:val="0"/>
                <w:bCs w:val="0"/>
              </w:rPr>
              <w:t>plan van a</w:t>
            </w:r>
            <w:r>
              <w:rPr>
                <w:b w:val="0"/>
                <w:bCs w:val="0"/>
              </w:rPr>
              <w:t xml:space="preserve">anpak voor de doorontwikkeling van de </w:t>
            </w:r>
            <w:r>
              <w:rPr>
                <w:b w:val="0"/>
                <w:bCs w:val="0"/>
              </w:rPr>
              <w:t xml:space="preserve">productstructuur </w:t>
            </w:r>
            <w:r>
              <w:rPr>
                <w:b w:val="0"/>
                <w:bCs w:val="0"/>
              </w:rPr>
              <w:t>in de medisch specialistische zorg</w:t>
            </w:r>
            <w:r>
              <w:rPr>
                <w:b w:val="0"/>
                <w:bCs w:val="0"/>
              </w:rPr>
              <w:t xml:space="preserve"> is dit voorjaar opgeleverd en aan de Tweede Kamer verzonden. </w:t>
            </w:r>
          </w:p>
          <w:p w:rsidRPr="003E349C" w:rsidR="004575B8" w:rsidP="003E349C" w:rsidRDefault="001C3619">
            <w:pPr>
              <w:spacing w:line="240" w:lineRule="atLeast"/>
              <w:rPr>
                <w:rFonts w:ascii="Verdana" w:hAnsi="Verdana"/>
                <w:sz w:val="18"/>
                <w:szCs w:val="18"/>
              </w:rPr>
            </w:pP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 xml:space="preserve">Verder verduidelijken declaratieregelgeving en verbeteren informatievoorziening door NZa. </w:t>
            </w:r>
          </w:p>
        </w:tc>
        <w:tc>
          <w:tcPr>
            <w:tcW w:w="5156" w:type="dxa"/>
          </w:tcPr>
          <w:p w:rsidRPr="004E3BEC" w:rsidR="004575B8" w:rsidP="004E3BEC" w:rsidRDefault="001C3619">
            <w:pPr>
              <w:spacing w:line="240" w:lineRule="atLeast"/>
              <w:rPr>
                <w:rFonts w:ascii="Verdana" w:hAnsi="Verdana"/>
                <w:sz w:val="18"/>
                <w:szCs w:val="18"/>
              </w:rPr>
            </w:pPr>
            <w:r w:rsidRPr="004E3BEC">
              <w:rPr>
                <w:rFonts w:ascii="Verdana" w:hAnsi="Verdana"/>
                <w:sz w:val="18"/>
                <w:szCs w:val="18"/>
              </w:rPr>
              <w:t xml:space="preserve">De NZa en DBC-Onderhoud </w:t>
            </w:r>
            <w:r w:rsidRPr="004E3BEC">
              <w:rPr>
                <w:rFonts w:ascii="Verdana" w:hAnsi="Verdana"/>
                <w:sz w:val="18"/>
                <w:szCs w:val="18"/>
              </w:rPr>
              <w:t>integreren</w:t>
            </w:r>
            <w:r w:rsidRPr="004E3BEC">
              <w:rPr>
                <w:rFonts w:ascii="Verdana" w:hAnsi="Verdana"/>
                <w:sz w:val="18"/>
                <w:szCs w:val="18"/>
              </w:rPr>
              <w:t xml:space="preserve"> vanaf 2016 onder meer de bestaande toelichtingen op declaratiere</w:t>
            </w:r>
            <w:r w:rsidRPr="004E3BEC">
              <w:rPr>
                <w:rFonts w:ascii="Verdana" w:hAnsi="Verdana"/>
                <w:sz w:val="18"/>
                <w:szCs w:val="18"/>
              </w:rPr>
              <w:t>gelgeving geïntegreerd zodat interpretatieverschillen worden voorkomen.</w:t>
            </w:r>
            <w:r w:rsidRPr="004E3BEC">
              <w:rPr>
                <w:rFonts w:ascii="Verdana" w:hAnsi="Verdana"/>
                <w:sz w:val="18"/>
                <w:szCs w:val="18"/>
              </w:rPr>
              <w:t xml:space="preserve"> </w:t>
            </w:r>
            <w:r w:rsidRPr="004E3BEC">
              <w:rPr>
                <w:rFonts w:ascii="Verdana" w:hAnsi="Verdana"/>
                <w:sz w:val="18"/>
                <w:szCs w:val="18"/>
              </w:rPr>
              <w:t xml:space="preserve">Eerste </w:t>
            </w:r>
            <w:r w:rsidRPr="004E3BEC">
              <w:rPr>
                <w:rFonts w:ascii="Verdana" w:hAnsi="Verdana"/>
                <w:sz w:val="18"/>
                <w:szCs w:val="18"/>
              </w:rPr>
              <w:t>versoepelingen en verduidelijkingen aangebracht</w:t>
            </w:r>
            <w:r w:rsidRPr="004E3BEC">
              <w:rPr>
                <w:rFonts w:ascii="Verdana" w:hAnsi="Verdana"/>
                <w:sz w:val="18"/>
                <w:szCs w:val="18"/>
              </w:rPr>
              <w:t xml:space="preserve"> en wordt in overleg met veldpartijen komende jaren verder aan gewerkt.</w:t>
            </w:r>
          </w:p>
        </w:tc>
      </w:tr>
      <w:tr w:rsidR="00597843" w:rsidTr="003C76B5">
        <w:tc>
          <w:tcPr>
            <w:tcW w:w="817" w:type="dxa"/>
            <w:shd w:val="clear" w:color="auto" w:fill="auto"/>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shd w:val="clear" w:color="auto" w:fill="auto"/>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Verbeteren informatievoorziening zorguitgaven</w:t>
            </w:r>
          </w:p>
        </w:tc>
        <w:tc>
          <w:tcPr>
            <w:tcW w:w="5156" w:type="dxa"/>
            <w:shd w:val="clear" w:color="auto" w:fill="auto"/>
          </w:tcPr>
          <w:p w:rsidRPr="004E3BEC" w:rsidR="004575B8" w:rsidP="003E349C" w:rsidRDefault="001C3619">
            <w:pPr>
              <w:spacing w:line="240" w:lineRule="atLeast"/>
              <w:rPr>
                <w:rFonts w:ascii="Verdana" w:hAnsi="Verdana" w:eastAsia="Times New Roman" w:cs="Calibri"/>
                <w:sz w:val="18"/>
                <w:szCs w:val="18"/>
              </w:rPr>
            </w:pPr>
            <w:r w:rsidRPr="004E3BEC">
              <w:rPr>
                <w:rFonts w:ascii="Verdana" w:hAnsi="Verdana" w:eastAsia="Times New Roman" w:cs="Calibri"/>
                <w:sz w:val="18"/>
                <w:szCs w:val="18"/>
              </w:rPr>
              <w:t>Informatie</w:t>
            </w:r>
            <w:r w:rsidRPr="004E3BEC">
              <w:rPr>
                <w:rFonts w:ascii="Verdana" w:hAnsi="Verdana" w:eastAsia="Times New Roman" w:cs="Calibri"/>
                <w:sz w:val="18"/>
                <w:szCs w:val="18"/>
              </w:rPr>
              <w:t xml:space="preserve"> ove</w:t>
            </w:r>
            <w:r>
              <w:rPr>
                <w:rFonts w:ascii="Verdana" w:hAnsi="Verdana" w:eastAsia="Times New Roman" w:cs="Calibri"/>
                <w:sz w:val="18"/>
                <w:szCs w:val="18"/>
              </w:rPr>
              <w:t xml:space="preserve">r de zorguitgaven in de medisch </w:t>
            </w:r>
            <w:r w:rsidRPr="004E3BEC">
              <w:rPr>
                <w:rFonts w:ascii="Verdana" w:hAnsi="Verdana" w:eastAsia="Times New Roman" w:cs="Calibri"/>
                <w:sz w:val="18"/>
                <w:szCs w:val="18"/>
              </w:rPr>
              <w:t>specialistische zorg wordt sneller beschikbaar gemaakt en de jaarschade systematisch geraamd.</w:t>
            </w:r>
            <w:r>
              <w:rPr>
                <w:rFonts w:ascii="Verdana" w:hAnsi="Verdana" w:eastAsia="Times New Roman" w:cs="Calibri"/>
                <w:sz w:val="18"/>
                <w:szCs w:val="18"/>
              </w:rPr>
              <w:t xml:space="preserve"> Naar verwachting is eind 2016 het model hiervoor beschikbaar. </w:t>
            </w:r>
          </w:p>
          <w:p w:rsidRPr="004E3BEC" w:rsidR="004575B8"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257EE1" w:rsidR="004575B8" w:rsidP="003E349C" w:rsidRDefault="001C3619">
            <w:pPr>
              <w:spacing w:line="240" w:lineRule="atLeast"/>
              <w:rPr>
                <w:rFonts w:ascii="Verdana" w:hAnsi="Verdana" w:eastAsia="Times New Roman" w:cs="Calibri"/>
                <w:sz w:val="18"/>
                <w:szCs w:val="18"/>
              </w:rPr>
            </w:pPr>
            <w:r w:rsidRPr="00257EE1">
              <w:rPr>
                <w:rFonts w:ascii="Verdana" w:hAnsi="Verdana" w:eastAsia="Times New Roman" w:cs="Calibri"/>
                <w:sz w:val="18"/>
                <w:szCs w:val="18"/>
              </w:rPr>
              <w:t xml:space="preserve">Digitale verstrekking UZI-passen (Unieke Zorgverlener </w:t>
            </w:r>
            <w:r w:rsidRPr="00257EE1">
              <w:rPr>
                <w:rFonts w:ascii="Verdana" w:hAnsi="Verdana" w:eastAsia="Times New Roman" w:cs="Calibri"/>
                <w:sz w:val="18"/>
                <w:szCs w:val="18"/>
              </w:rPr>
              <w:t>Identificatie)</w:t>
            </w:r>
          </w:p>
        </w:tc>
        <w:tc>
          <w:tcPr>
            <w:tcW w:w="5156" w:type="dxa"/>
          </w:tcPr>
          <w:p w:rsidRPr="00257EE1" w:rsidR="004575B8" w:rsidP="003E349C" w:rsidRDefault="001C3619">
            <w:pPr>
              <w:spacing w:line="240" w:lineRule="atLeast"/>
              <w:rPr>
                <w:rFonts w:ascii="Verdana" w:hAnsi="Verdana"/>
                <w:sz w:val="18"/>
                <w:szCs w:val="18"/>
              </w:rPr>
            </w:pPr>
            <w:r w:rsidRPr="00257EE1">
              <w:rPr>
                <w:rFonts w:ascii="Verdana" w:hAnsi="Verdana"/>
                <w:sz w:val="18"/>
                <w:szCs w:val="18"/>
              </w:rPr>
              <w:t>Het hele aanvraagproces is nu digitaal en men hoeft geen stukken meer op te sturen. Daarnaast is de doorlooptijd van 22 naar 7 dagen gegaan.</w:t>
            </w:r>
            <w:r w:rsidRPr="00257EE1">
              <w:rPr>
                <w:rFonts w:ascii="Verdana" w:hAnsi="Verdana"/>
                <w:sz w:val="18"/>
                <w:szCs w:val="18"/>
              </w:rPr>
              <w:br/>
            </w:r>
          </w:p>
        </w:tc>
      </w:tr>
      <w:tr w:rsidR="00597843" w:rsidTr="003C76B5">
        <w:tc>
          <w:tcPr>
            <w:tcW w:w="817" w:type="dxa"/>
          </w:tcPr>
          <w:p w:rsidRPr="004830B7"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4830B7" w:rsidR="004575B8" w:rsidP="003E349C" w:rsidRDefault="001C3619">
            <w:pPr>
              <w:spacing w:line="240" w:lineRule="atLeast"/>
              <w:contextualSpacing/>
              <w:rPr>
                <w:rFonts w:ascii="Verdana" w:hAnsi="Verdana"/>
                <w:sz w:val="18"/>
                <w:szCs w:val="18"/>
              </w:rPr>
            </w:pPr>
            <w:r w:rsidRPr="004830B7">
              <w:rPr>
                <w:rFonts w:ascii="Verdana" w:hAnsi="Verdana"/>
                <w:sz w:val="18"/>
                <w:szCs w:val="18"/>
              </w:rPr>
              <w:t>Vereenvoudiging proces melden beschikbaa</w:t>
            </w:r>
            <w:r w:rsidRPr="004830B7">
              <w:rPr>
                <w:rFonts w:ascii="Verdana" w:hAnsi="Verdana"/>
                <w:sz w:val="18"/>
                <w:szCs w:val="18"/>
              </w:rPr>
              <w:t>rheid organen door melding via d</w:t>
            </w:r>
            <w:r w:rsidRPr="004830B7">
              <w:rPr>
                <w:rFonts w:ascii="Verdana" w:hAnsi="Verdana"/>
                <w:sz w:val="18"/>
                <w:szCs w:val="18"/>
              </w:rPr>
              <w:t>onatiefunctionaris in pla</w:t>
            </w:r>
            <w:r w:rsidRPr="004830B7">
              <w:rPr>
                <w:rFonts w:ascii="Verdana" w:hAnsi="Verdana"/>
                <w:sz w:val="18"/>
                <w:szCs w:val="18"/>
              </w:rPr>
              <w:t xml:space="preserve">ats van via arts. </w:t>
            </w:r>
          </w:p>
        </w:tc>
        <w:tc>
          <w:tcPr>
            <w:tcW w:w="5156"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SimSun"/>
                <w:sz w:val="18"/>
                <w:szCs w:val="18"/>
                <w:lang w:eastAsia="zh-CN"/>
              </w:rPr>
              <w:t xml:space="preserve">Er is een wetswijziging doorgevoerd die heeft geleid tot een vereenvoudiging van het proces. De gevraagde informatie wordt door een aangewezen functionaris (“de Donatiefunctionaris”) ingevuld (voorheen was dit de arts). De aangewezen functionaris kan door </w:t>
            </w:r>
            <w:r w:rsidRPr="003E349C">
              <w:rPr>
                <w:rFonts w:ascii="Verdana" w:hAnsi="Verdana" w:eastAsia="SimSun"/>
                <w:sz w:val="18"/>
                <w:szCs w:val="18"/>
                <w:lang w:eastAsia="zh-CN"/>
              </w:rPr>
              <w:t>een vereenvoudiging van het proces de activiteiten sneller en voor een lager tarief uitvoeren, de arts heeft meer tijd voor het verlenen van zorg. Melding vindt niet per orgaan plaats, maar per donor (een donor kan meerdere organen ter beschikking stellen)</w:t>
            </w:r>
            <w:r w:rsidRPr="003E349C">
              <w:rPr>
                <w:rFonts w:ascii="Verdana" w:hAnsi="Verdana" w:eastAsia="SimSun"/>
                <w:sz w:val="18"/>
                <w:szCs w:val="18"/>
                <w:lang w:eastAsia="zh-CN"/>
              </w:rPr>
              <w:t>.</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hd w:val="clear" w:color="auto" w:fill="FFFFFF" w:themeFill="background1"/>
              <w:spacing w:before="40" w:after="40" w:line="240" w:lineRule="atLeast"/>
              <w:rPr>
                <w:rFonts w:ascii="Verdana" w:hAnsi="Verdana"/>
                <w:sz w:val="18"/>
                <w:szCs w:val="18"/>
              </w:rPr>
            </w:pPr>
            <w:r w:rsidRPr="003E349C">
              <w:rPr>
                <w:rFonts w:ascii="Verdana" w:hAnsi="Verdana"/>
                <w:sz w:val="18"/>
                <w:szCs w:val="18"/>
              </w:rPr>
              <w:t xml:space="preserve">Digitalisering aanvraag geneesmiddel zonder handelsvergunning </w:t>
            </w:r>
          </w:p>
        </w:tc>
        <w:tc>
          <w:tcPr>
            <w:tcW w:w="5156" w:type="dxa"/>
          </w:tcPr>
          <w:p w:rsidRPr="003E349C" w:rsidR="004575B8" w:rsidP="003E349C" w:rsidRDefault="001C3619">
            <w:pPr>
              <w:spacing w:line="240" w:lineRule="atLeast"/>
              <w:rPr>
                <w:rFonts w:ascii="Verdana" w:hAnsi="Verdana" w:eastAsia="Times New Roman" w:cs="Calibri"/>
                <w:sz w:val="18"/>
                <w:szCs w:val="18"/>
              </w:rPr>
            </w:pPr>
            <w:r w:rsidRPr="003E349C">
              <w:rPr>
                <w:rFonts w:ascii="Verdana" w:hAnsi="Verdana" w:eastAsia="SimSun"/>
                <w:sz w:val="18"/>
                <w:szCs w:val="18"/>
                <w:lang w:eastAsia="zh-CN"/>
              </w:rPr>
              <w:t>Inmiddels is er een digitaal aanvraagformulier beschikbaar voor aflevering van een niet-geregistreerd geneesmiddel op artsenverklaring. De gemiddelde tijdsbesteding van apotheekhoudenden ne</w:t>
            </w:r>
            <w:r w:rsidRPr="003E349C">
              <w:rPr>
                <w:rFonts w:ascii="Verdana" w:hAnsi="Verdana" w:eastAsia="SimSun"/>
                <w:sz w:val="18"/>
                <w:szCs w:val="18"/>
                <w:lang w:eastAsia="zh-CN"/>
              </w:rPr>
              <w:t>emt hierdoor af.</w:t>
            </w:r>
          </w:p>
        </w:tc>
      </w:tr>
      <w:tr w:rsidR="00597843" w:rsidTr="003C76B5">
        <w:tc>
          <w:tcPr>
            <w:tcW w:w="817" w:type="dxa"/>
          </w:tcPr>
          <w:p w:rsidRPr="003E349C" w:rsidR="004575B8"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4575B8" w:rsidP="003E349C" w:rsidRDefault="001C3619">
            <w:pPr>
              <w:shd w:val="clear" w:color="auto" w:fill="FFFFFF" w:themeFill="background1"/>
              <w:spacing w:line="240" w:lineRule="atLeast"/>
              <w:rPr>
                <w:rFonts w:ascii="Verdana" w:hAnsi="Verdana"/>
                <w:sz w:val="18"/>
                <w:szCs w:val="18"/>
              </w:rPr>
            </w:pPr>
            <w:r w:rsidRPr="003E349C">
              <w:rPr>
                <w:rFonts w:ascii="Verdana" w:hAnsi="Verdana"/>
                <w:sz w:val="18"/>
                <w:szCs w:val="18"/>
              </w:rPr>
              <w:t>Verminderen aantal schakels voor eerstelijns</w:t>
            </w:r>
            <w:r w:rsidRPr="003E349C">
              <w:rPr>
                <w:rFonts w:ascii="Verdana" w:hAnsi="Verdana"/>
                <w:sz w:val="18"/>
                <w:szCs w:val="18"/>
              </w:rPr>
              <w:t xml:space="preserve"> </w:t>
            </w:r>
            <w:r w:rsidRPr="003E349C">
              <w:rPr>
                <w:rFonts w:ascii="Verdana" w:hAnsi="Verdana"/>
                <w:sz w:val="18"/>
                <w:szCs w:val="18"/>
              </w:rPr>
              <w:t xml:space="preserve">verblijf </w:t>
            </w:r>
          </w:p>
        </w:tc>
        <w:tc>
          <w:tcPr>
            <w:tcW w:w="5156" w:type="dxa"/>
          </w:tcPr>
          <w:p w:rsidRPr="003E349C" w:rsidR="004575B8" w:rsidP="003E349C" w:rsidRDefault="001C3619">
            <w:pPr>
              <w:spacing w:line="240" w:lineRule="atLeast"/>
              <w:rPr>
                <w:rFonts w:ascii="Verdana" w:hAnsi="Verdana" w:eastAsia="SimSun"/>
                <w:sz w:val="18"/>
                <w:szCs w:val="18"/>
                <w:lang w:eastAsia="zh-CN"/>
              </w:rPr>
            </w:pPr>
            <w:r w:rsidRPr="003E349C">
              <w:rPr>
                <w:rFonts w:ascii="Verdana" w:hAnsi="Verdana"/>
                <w:sz w:val="18"/>
                <w:szCs w:val="18"/>
              </w:rPr>
              <w:t>Voor de toegang tot eerstelijns</w:t>
            </w:r>
            <w:r w:rsidRPr="003E349C">
              <w:rPr>
                <w:rFonts w:ascii="Verdana" w:hAnsi="Verdana"/>
                <w:sz w:val="18"/>
                <w:szCs w:val="18"/>
              </w:rPr>
              <w:t xml:space="preserve"> </w:t>
            </w:r>
            <w:r w:rsidRPr="003E349C">
              <w:rPr>
                <w:rFonts w:ascii="Verdana" w:hAnsi="Verdana"/>
                <w:sz w:val="18"/>
                <w:szCs w:val="18"/>
              </w:rPr>
              <w:t xml:space="preserve">verblijf is een CIZ indicatie nodig. Wanneer de zorg in 2017 wordt bekostigd vanuit de Zvw valt de indicatiestelling door het CIZ weg. Het is dan aan </w:t>
            </w:r>
            <w:r w:rsidRPr="003E349C">
              <w:rPr>
                <w:rFonts w:ascii="Verdana" w:hAnsi="Verdana"/>
                <w:sz w:val="18"/>
                <w:szCs w:val="18"/>
              </w:rPr>
              <w:t>de zorgprofessionals zelf om te bepalen of eerstelijns verblijf is aangewezen (vanuit de eerste lijn de huisarts, in samenspraak met de wijkverpleegkundige en vanuit de tweede lijn de medisch specialist, in samenspraak met de transfer- of wijkverpleegkundi</w:t>
            </w:r>
            <w:r w:rsidRPr="003E349C">
              <w:rPr>
                <w:rFonts w:ascii="Verdana" w:hAnsi="Verdana"/>
                <w:sz w:val="18"/>
                <w:szCs w:val="18"/>
              </w:rPr>
              <w:t>ge en de huisarts). Dit scheelt een (administratieve) schakel in het plaatsen van de patiënt in het eerstelijns verblijf.</w:t>
            </w:r>
          </w:p>
        </w:tc>
      </w:tr>
      <w:tr w:rsidR="00597843" w:rsidTr="003C76B5">
        <w:tc>
          <w:tcPr>
            <w:tcW w:w="817" w:type="dxa"/>
          </w:tcPr>
          <w:p w:rsidRPr="003E349C" w:rsidR="006C3863" w:rsidP="000D7793" w:rsidRDefault="001C3619">
            <w:pPr>
              <w:pStyle w:val="Lijstalinea"/>
              <w:numPr>
                <w:ilvl w:val="0"/>
                <w:numId w:val="6"/>
              </w:numPr>
              <w:spacing w:line="240" w:lineRule="atLeast"/>
              <w:rPr>
                <w:rFonts w:ascii="Verdana" w:hAnsi="Verdana"/>
                <w:sz w:val="18"/>
                <w:szCs w:val="18"/>
              </w:rPr>
            </w:pPr>
          </w:p>
        </w:tc>
        <w:tc>
          <w:tcPr>
            <w:tcW w:w="3633" w:type="dxa"/>
          </w:tcPr>
          <w:p w:rsidRPr="003E349C" w:rsidR="006C3863" w:rsidP="000D7793"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Onderzoek zorginkoop</w:t>
            </w:r>
          </w:p>
        </w:tc>
        <w:tc>
          <w:tcPr>
            <w:tcW w:w="5156" w:type="dxa"/>
          </w:tcPr>
          <w:p w:rsidRPr="003E349C" w:rsidR="006C3863" w:rsidP="000D7793"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Onderzoek gestart in mei. Resultaten worden in oktober verwacht.</w:t>
            </w:r>
          </w:p>
        </w:tc>
      </w:tr>
      <w:tr w:rsidR="00597843" w:rsidTr="003C76B5">
        <w:tc>
          <w:tcPr>
            <w:tcW w:w="817" w:type="dxa"/>
          </w:tcPr>
          <w:p w:rsidRPr="003E349C" w:rsidR="006C3863" w:rsidP="003E349C" w:rsidRDefault="001C3619">
            <w:pPr>
              <w:spacing w:line="240" w:lineRule="atLeast"/>
              <w:rPr>
                <w:rFonts w:ascii="Verdana" w:hAnsi="Verdana"/>
                <w:sz w:val="18"/>
                <w:szCs w:val="18"/>
              </w:rPr>
            </w:pPr>
          </w:p>
        </w:tc>
        <w:tc>
          <w:tcPr>
            <w:tcW w:w="3633" w:type="dxa"/>
          </w:tcPr>
          <w:p w:rsidRPr="003E349C" w:rsidR="006C3863" w:rsidP="003E349C" w:rsidRDefault="001C3619">
            <w:pPr>
              <w:spacing w:line="240" w:lineRule="atLeast"/>
              <w:rPr>
                <w:rFonts w:ascii="Verdana" w:hAnsi="Verdana"/>
                <w:b/>
                <w:sz w:val="18"/>
                <w:szCs w:val="18"/>
              </w:rPr>
            </w:pPr>
          </w:p>
        </w:tc>
        <w:tc>
          <w:tcPr>
            <w:tcW w:w="5156" w:type="dxa"/>
          </w:tcPr>
          <w:p w:rsidRPr="003E349C" w:rsidR="006C3863"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6C3863" w:rsidP="003E349C" w:rsidRDefault="001C3619">
            <w:pPr>
              <w:pStyle w:val="Lijstalinea"/>
              <w:spacing w:line="240" w:lineRule="atLeast"/>
              <w:rPr>
                <w:rFonts w:ascii="Verdana" w:hAnsi="Verdana"/>
                <w:sz w:val="18"/>
                <w:szCs w:val="18"/>
              </w:rPr>
            </w:pPr>
          </w:p>
        </w:tc>
        <w:tc>
          <w:tcPr>
            <w:tcW w:w="3633" w:type="dxa"/>
          </w:tcPr>
          <w:p w:rsidRPr="003E349C" w:rsidR="006C3863" w:rsidP="003E349C" w:rsidRDefault="001C3619">
            <w:pPr>
              <w:spacing w:line="240" w:lineRule="atLeast"/>
              <w:rPr>
                <w:rFonts w:ascii="Verdana" w:hAnsi="Verdana"/>
                <w:b/>
                <w:sz w:val="18"/>
                <w:szCs w:val="18"/>
              </w:rPr>
            </w:pPr>
            <w:r w:rsidRPr="003E349C">
              <w:rPr>
                <w:rFonts w:ascii="Verdana" w:hAnsi="Verdana"/>
                <w:b/>
                <w:sz w:val="18"/>
                <w:szCs w:val="18"/>
              </w:rPr>
              <w:t>Schrappen van overbodige regels</w:t>
            </w:r>
          </w:p>
          <w:p w:rsidRPr="003E349C" w:rsidR="006C3863" w:rsidP="003E349C" w:rsidRDefault="001C3619">
            <w:pPr>
              <w:pStyle w:val="Lijstalinea"/>
              <w:spacing w:line="240" w:lineRule="atLeast"/>
              <w:rPr>
                <w:rFonts w:ascii="Verdana" w:hAnsi="Verdana" w:eastAsia="Times New Roman" w:cs="Calibri"/>
                <w:b/>
                <w:sz w:val="18"/>
                <w:szCs w:val="18"/>
              </w:rPr>
            </w:pPr>
          </w:p>
        </w:tc>
        <w:tc>
          <w:tcPr>
            <w:tcW w:w="5156" w:type="dxa"/>
          </w:tcPr>
          <w:p w:rsidRPr="003E349C" w:rsidR="006C3863"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6C3863"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6C3863"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Digitale zorgpolis</w:t>
            </w:r>
          </w:p>
          <w:p w:rsidRPr="003E349C" w:rsidR="006C3863" w:rsidP="003E349C" w:rsidRDefault="001C3619">
            <w:pPr>
              <w:spacing w:line="240" w:lineRule="atLeast"/>
              <w:rPr>
                <w:rFonts w:ascii="Verdana" w:hAnsi="Verdana" w:eastAsia="Times New Roman" w:cs="Calibri"/>
                <w:sz w:val="18"/>
                <w:szCs w:val="18"/>
              </w:rPr>
            </w:pPr>
          </w:p>
          <w:p w:rsidRPr="003E349C" w:rsidR="006C3863" w:rsidP="003E349C" w:rsidRDefault="001C3619">
            <w:pPr>
              <w:spacing w:line="240" w:lineRule="atLeast"/>
              <w:rPr>
                <w:rFonts w:ascii="Verdana" w:hAnsi="Verdana" w:eastAsia="Times New Roman" w:cs="Calibri"/>
                <w:sz w:val="18"/>
                <w:szCs w:val="18"/>
              </w:rPr>
            </w:pPr>
          </w:p>
          <w:p w:rsidRPr="003E349C" w:rsidR="006C3863" w:rsidP="003E349C" w:rsidRDefault="001C3619">
            <w:pPr>
              <w:spacing w:line="240" w:lineRule="atLeast"/>
              <w:rPr>
                <w:rFonts w:ascii="Verdana" w:hAnsi="Verdana" w:eastAsia="Times New Roman" w:cs="Calibri"/>
                <w:sz w:val="18"/>
                <w:szCs w:val="18"/>
              </w:rPr>
            </w:pPr>
          </w:p>
        </w:tc>
        <w:tc>
          <w:tcPr>
            <w:tcW w:w="5156" w:type="dxa"/>
          </w:tcPr>
          <w:p w:rsidRPr="003E349C" w:rsidR="006C3863" w:rsidP="003E349C" w:rsidRDefault="001C3619">
            <w:pPr>
              <w:spacing w:line="240" w:lineRule="atLeast"/>
              <w:rPr>
                <w:rFonts w:ascii="Verdana" w:hAnsi="Verdana"/>
                <w:sz w:val="18"/>
                <w:szCs w:val="18"/>
              </w:rPr>
            </w:pPr>
            <w:r w:rsidRPr="003E349C">
              <w:rPr>
                <w:rFonts w:ascii="Verdana" w:hAnsi="Verdana"/>
                <w:sz w:val="18"/>
                <w:szCs w:val="18"/>
              </w:rPr>
              <w:t xml:space="preserve">Wetsvoorstel is aan Tweede Kamer aangeboden waarmee </w:t>
            </w:r>
            <w:r w:rsidRPr="003E349C">
              <w:rPr>
                <w:rFonts w:ascii="Verdana" w:hAnsi="Verdana" w:eastAsia="Times New Roman" w:cs="Calibri"/>
                <w:sz w:val="18"/>
                <w:szCs w:val="18"/>
              </w:rPr>
              <w:t xml:space="preserve">het voor zorgverzekeraars mogelijk wordt zorgpolissen digitaal te verstrekken, zonder dat de verzekeringnemer hiervoor expliciet toestemming moet geven. </w:t>
            </w:r>
            <w:r w:rsidRPr="003E349C">
              <w:rPr>
                <w:rFonts w:ascii="Verdana" w:hAnsi="Verdana"/>
                <w:sz w:val="18"/>
                <w:szCs w:val="18"/>
              </w:rPr>
              <w:t>De situatie van 'ja, mits toe</w:t>
            </w:r>
            <w:r w:rsidRPr="003E349C">
              <w:rPr>
                <w:rFonts w:ascii="Verdana" w:hAnsi="Verdana"/>
                <w:sz w:val="18"/>
                <w:szCs w:val="18"/>
              </w:rPr>
              <w:t>stemming' vervangen door 'ja, tenzij bezwaar'.</w:t>
            </w:r>
          </w:p>
        </w:tc>
      </w:tr>
      <w:tr w:rsidR="00597843" w:rsidTr="003C76B5">
        <w:tc>
          <w:tcPr>
            <w:tcW w:w="817" w:type="dxa"/>
          </w:tcPr>
          <w:p w:rsidRPr="003E349C" w:rsidR="006C3863" w:rsidP="003E349C" w:rsidRDefault="001C3619">
            <w:pPr>
              <w:spacing w:line="240" w:lineRule="atLeast"/>
              <w:rPr>
                <w:rFonts w:ascii="Verdana" w:hAnsi="Verdana"/>
                <w:sz w:val="18"/>
                <w:szCs w:val="18"/>
              </w:rPr>
            </w:pPr>
          </w:p>
        </w:tc>
        <w:tc>
          <w:tcPr>
            <w:tcW w:w="3633" w:type="dxa"/>
          </w:tcPr>
          <w:p w:rsidRPr="003E349C" w:rsidR="006C3863" w:rsidP="003E349C" w:rsidRDefault="001C3619">
            <w:pPr>
              <w:spacing w:line="240" w:lineRule="atLeast"/>
              <w:rPr>
                <w:rFonts w:ascii="Verdana" w:hAnsi="Verdana"/>
                <w:b/>
                <w:sz w:val="18"/>
                <w:szCs w:val="18"/>
              </w:rPr>
            </w:pPr>
          </w:p>
        </w:tc>
        <w:tc>
          <w:tcPr>
            <w:tcW w:w="5156" w:type="dxa"/>
          </w:tcPr>
          <w:p w:rsidRPr="003E349C" w:rsidR="006C3863"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6C3863" w:rsidP="003E349C" w:rsidRDefault="001C3619">
            <w:pPr>
              <w:pStyle w:val="Lijstalinea"/>
              <w:spacing w:line="240" w:lineRule="atLeast"/>
              <w:rPr>
                <w:rFonts w:ascii="Verdana" w:hAnsi="Verdana"/>
                <w:sz w:val="18"/>
                <w:szCs w:val="18"/>
              </w:rPr>
            </w:pPr>
          </w:p>
        </w:tc>
        <w:tc>
          <w:tcPr>
            <w:tcW w:w="3633" w:type="dxa"/>
          </w:tcPr>
          <w:p w:rsidRPr="003E349C" w:rsidR="006C3863" w:rsidP="003E349C" w:rsidRDefault="001C3619">
            <w:pPr>
              <w:spacing w:line="240" w:lineRule="atLeast"/>
              <w:rPr>
                <w:rFonts w:ascii="Verdana" w:hAnsi="Verdana"/>
                <w:b/>
                <w:sz w:val="18"/>
                <w:szCs w:val="18"/>
              </w:rPr>
            </w:pPr>
            <w:r w:rsidRPr="003E349C">
              <w:rPr>
                <w:rFonts w:ascii="Verdana" w:hAnsi="Verdana"/>
                <w:b/>
                <w:sz w:val="18"/>
                <w:szCs w:val="18"/>
              </w:rPr>
              <w:t>Nieuwe regels goed bezien op toegevoegde waarde in relatie tot toename regeldruk</w:t>
            </w:r>
          </w:p>
        </w:tc>
        <w:tc>
          <w:tcPr>
            <w:tcW w:w="5156" w:type="dxa"/>
          </w:tcPr>
          <w:p w:rsidRPr="003E349C" w:rsidR="006C3863" w:rsidP="003E349C" w:rsidRDefault="001C3619">
            <w:pPr>
              <w:spacing w:line="240" w:lineRule="atLeast"/>
              <w:rPr>
                <w:rFonts w:ascii="Verdana" w:hAnsi="Verdana" w:eastAsia="Times New Roman" w:cs="Calibri"/>
                <w:sz w:val="18"/>
                <w:szCs w:val="18"/>
              </w:rPr>
            </w:pPr>
          </w:p>
        </w:tc>
      </w:tr>
      <w:tr w:rsidR="00597843" w:rsidTr="003C76B5">
        <w:tc>
          <w:tcPr>
            <w:tcW w:w="817" w:type="dxa"/>
          </w:tcPr>
          <w:p w:rsidRPr="003E349C" w:rsidR="006C3863"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6C3863"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Versterken interne organisatie aanpak regeldruk zorg</w:t>
            </w:r>
          </w:p>
        </w:tc>
        <w:tc>
          <w:tcPr>
            <w:tcW w:w="5156" w:type="dxa"/>
          </w:tcPr>
          <w:p w:rsidRPr="003E349C" w:rsidR="006C3863" w:rsidP="009F49E8" w:rsidRDefault="001C3619">
            <w:pPr>
              <w:pStyle w:val="Default"/>
              <w:spacing w:line="240" w:lineRule="atLeast"/>
              <w:rPr>
                <w:rFonts w:ascii="Verdana" w:hAnsi="Verdana" w:eastAsia="Times New Roman" w:cs="Calibri"/>
                <w:sz w:val="18"/>
                <w:szCs w:val="18"/>
              </w:rPr>
            </w:pPr>
            <w:r w:rsidRPr="003E349C">
              <w:rPr>
                <w:rFonts w:ascii="Verdana" w:hAnsi="Verdana" w:eastAsia="Times New Roman" w:cs="Calibri"/>
                <w:sz w:val="18"/>
                <w:szCs w:val="18"/>
              </w:rPr>
              <w:t xml:space="preserve">Er is extra capaciteit beschikbaar gesteld om de checks and balances bij de regeldrukafweging te versterken en om deze afweging eerder in het besluitvormingsproces te organiseren. </w:t>
            </w:r>
            <w:r>
              <w:rPr>
                <w:rFonts w:ascii="Verdana" w:hAnsi="Verdana" w:eastAsia="Times New Roman" w:cs="Calibri"/>
                <w:sz w:val="18"/>
                <w:szCs w:val="18"/>
              </w:rPr>
              <w:t>Startnota is opnieuw ingevoerd en er vinden vaker internetconsultaties plaat</w:t>
            </w:r>
            <w:r>
              <w:rPr>
                <w:rFonts w:ascii="Verdana" w:hAnsi="Verdana" w:eastAsia="Times New Roman" w:cs="Calibri"/>
                <w:sz w:val="18"/>
                <w:szCs w:val="18"/>
              </w:rPr>
              <w:t>s.</w:t>
            </w:r>
          </w:p>
        </w:tc>
      </w:tr>
      <w:tr w:rsidR="00597843" w:rsidTr="003C76B5">
        <w:tc>
          <w:tcPr>
            <w:tcW w:w="817" w:type="dxa"/>
          </w:tcPr>
          <w:p w:rsidRPr="003E349C" w:rsidR="006C3863"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6C3863"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Toetsing Actal nieuwe wetsvoorstellen</w:t>
            </w:r>
          </w:p>
        </w:tc>
        <w:tc>
          <w:tcPr>
            <w:tcW w:w="5156" w:type="dxa"/>
          </w:tcPr>
          <w:p w:rsidRPr="003E349C" w:rsidR="006C3863" w:rsidP="003E349C" w:rsidRDefault="001C3619">
            <w:pPr>
              <w:pStyle w:val="Default"/>
              <w:spacing w:line="240" w:lineRule="atLeast"/>
              <w:rPr>
                <w:rFonts w:ascii="Verdana" w:hAnsi="Verdana"/>
                <w:sz w:val="18"/>
                <w:szCs w:val="18"/>
              </w:rPr>
            </w:pPr>
            <w:r w:rsidRPr="003E349C">
              <w:rPr>
                <w:rFonts w:ascii="Verdana" w:hAnsi="Verdana" w:eastAsia="Times New Roman" w:cs="Calibri"/>
                <w:sz w:val="18"/>
                <w:szCs w:val="18"/>
              </w:rPr>
              <w:t xml:space="preserve">Actal is gevraagd alle wetsvoorstellen die VWS opstelt voor toezending aan Kamer te toetsen. Alle nieuwe wetsvoorstellen worden nu aan Actal voorgelegd voor toetsing. </w:t>
            </w:r>
          </w:p>
          <w:p w:rsidRPr="003E349C" w:rsidR="006C3863" w:rsidP="003E349C" w:rsidRDefault="001C3619">
            <w:pPr>
              <w:pStyle w:val="Default"/>
              <w:spacing w:line="240" w:lineRule="atLeast"/>
              <w:rPr>
                <w:rFonts w:ascii="Verdana" w:hAnsi="Verdana" w:eastAsia="Times New Roman" w:cs="Calibri"/>
                <w:sz w:val="18"/>
                <w:szCs w:val="18"/>
              </w:rPr>
            </w:pPr>
            <w:r w:rsidRPr="003E349C">
              <w:rPr>
                <w:rFonts w:ascii="Verdana" w:hAnsi="Verdana"/>
                <w:sz w:val="18"/>
                <w:szCs w:val="18"/>
              </w:rPr>
              <w:t>In 2017 zal samen worden geëvalueerd en beoor</w:t>
            </w:r>
            <w:r w:rsidRPr="003E349C">
              <w:rPr>
                <w:rFonts w:ascii="Verdana" w:hAnsi="Verdana"/>
                <w:sz w:val="18"/>
                <w:szCs w:val="18"/>
              </w:rPr>
              <w:t>deeld hoe de afspraken een vervolg kunnen krijgen.</w:t>
            </w:r>
          </w:p>
        </w:tc>
      </w:tr>
      <w:tr w:rsidR="00597843" w:rsidTr="003C76B5">
        <w:tc>
          <w:tcPr>
            <w:tcW w:w="817" w:type="dxa"/>
          </w:tcPr>
          <w:p w:rsidRPr="003E349C" w:rsidR="006C3863"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6C3863"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 xml:space="preserve">Onderzoek kwantitatieve vermindering </w:t>
            </w:r>
          </w:p>
        </w:tc>
        <w:tc>
          <w:tcPr>
            <w:tcW w:w="5156" w:type="dxa"/>
          </w:tcPr>
          <w:p w:rsidRPr="003E349C" w:rsidR="006C3863" w:rsidP="0085463F" w:rsidRDefault="001C3619">
            <w:pPr>
              <w:spacing w:line="240" w:lineRule="atLeast"/>
              <w:rPr>
                <w:rFonts w:ascii="Verdana" w:hAnsi="Verdana" w:eastAsia="Times New Roman" w:cs="Calibri"/>
                <w:sz w:val="18"/>
                <w:szCs w:val="18"/>
              </w:rPr>
            </w:pPr>
            <w:r w:rsidRPr="003E349C">
              <w:rPr>
                <w:rFonts w:ascii="Verdana" w:hAnsi="Verdana"/>
                <w:sz w:val="18"/>
                <w:szCs w:val="18"/>
              </w:rPr>
              <w:t xml:space="preserve">Er is een interne inventarisatie uitgevoerd voor potentiële extra maatregelen om de regeldruk te verminderen en Sira Consulting </w:t>
            </w:r>
            <w:r>
              <w:rPr>
                <w:rFonts w:ascii="Verdana" w:hAnsi="Verdana"/>
                <w:sz w:val="18"/>
                <w:szCs w:val="18"/>
              </w:rPr>
              <w:t>heeft onderzoek gedaan naar nieuwe ma</w:t>
            </w:r>
            <w:r>
              <w:rPr>
                <w:rFonts w:ascii="Verdana" w:hAnsi="Verdana"/>
                <w:sz w:val="18"/>
                <w:szCs w:val="18"/>
              </w:rPr>
              <w:t xml:space="preserve">atregelen. Verder is </w:t>
            </w:r>
            <w:r w:rsidRPr="003E349C">
              <w:rPr>
                <w:rFonts w:ascii="Verdana" w:hAnsi="Verdana"/>
                <w:sz w:val="18"/>
                <w:szCs w:val="18"/>
              </w:rPr>
              <w:t>een onderzoek uitgezet om de vermindering van regeldruk te berekenen voor de afgeronde, lopende en aankomende maatregelen die een bijdrage leveren aan de kwantitatieve kabinetsdoelstelling.</w:t>
            </w:r>
          </w:p>
        </w:tc>
      </w:tr>
      <w:tr w:rsidR="00597843" w:rsidTr="003C76B5">
        <w:tc>
          <w:tcPr>
            <w:tcW w:w="817" w:type="dxa"/>
          </w:tcPr>
          <w:p w:rsidRPr="003E349C" w:rsidR="006C3863" w:rsidP="003E349C" w:rsidRDefault="001C3619">
            <w:pPr>
              <w:pStyle w:val="Lijstalinea"/>
              <w:numPr>
                <w:ilvl w:val="0"/>
                <w:numId w:val="6"/>
              </w:numPr>
              <w:spacing w:line="240" w:lineRule="atLeast"/>
              <w:rPr>
                <w:rFonts w:ascii="Verdana" w:hAnsi="Verdana"/>
                <w:sz w:val="18"/>
                <w:szCs w:val="18"/>
              </w:rPr>
            </w:pPr>
          </w:p>
        </w:tc>
        <w:tc>
          <w:tcPr>
            <w:tcW w:w="3633" w:type="dxa"/>
          </w:tcPr>
          <w:p w:rsidRPr="003E349C" w:rsidR="006C3863" w:rsidP="003E349C" w:rsidRDefault="001C3619">
            <w:pPr>
              <w:spacing w:line="240" w:lineRule="atLeast"/>
              <w:rPr>
                <w:rFonts w:ascii="Verdana" w:hAnsi="Verdana" w:eastAsia="Times New Roman" w:cs="Calibri"/>
                <w:sz w:val="18"/>
                <w:szCs w:val="18"/>
              </w:rPr>
            </w:pPr>
            <w:r w:rsidRPr="003E349C">
              <w:rPr>
                <w:rFonts w:ascii="Verdana" w:hAnsi="Verdana" w:eastAsia="Times New Roman" w:cs="Calibri"/>
                <w:sz w:val="18"/>
                <w:szCs w:val="18"/>
              </w:rPr>
              <w:t xml:space="preserve">Onderzoek indicatoren vermindering ervaren </w:t>
            </w:r>
            <w:r w:rsidRPr="003E349C">
              <w:rPr>
                <w:rFonts w:ascii="Verdana" w:hAnsi="Verdana" w:eastAsia="Times New Roman" w:cs="Calibri"/>
                <w:sz w:val="18"/>
                <w:szCs w:val="18"/>
              </w:rPr>
              <w:t>regeldruk</w:t>
            </w:r>
          </w:p>
        </w:tc>
        <w:tc>
          <w:tcPr>
            <w:tcW w:w="5156" w:type="dxa"/>
          </w:tcPr>
          <w:p w:rsidRPr="003E349C" w:rsidR="006C3863" w:rsidP="003E349C" w:rsidRDefault="001C3619">
            <w:pPr>
              <w:spacing w:line="240" w:lineRule="atLeast"/>
              <w:rPr>
                <w:rFonts w:ascii="Verdana" w:hAnsi="Verdana" w:eastAsia="Times New Roman" w:cs="Calibri"/>
                <w:sz w:val="18"/>
                <w:szCs w:val="18"/>
              </w:rPr>
            </w:pPr>
            <w:r w:rsidRPr="003E349C">
              <w:rPr>
                <w:rFonts w:ascii="Verdana" w:hAnsi="Verdana"/>
                <w:color w:val="211D1F"/>
                <w:sz w:val="18"/>
                <w:szCs w:val="18"/>
              </w:rPr>
              <w:t>Resultaten worden eind dit jaar verwacht.</w:t>
            </w:r>
          </w:p>
        </w:tc>
      </w:tr>
    </w:tbl>
    <w:p w:rsidRPr="003E349C" w:rsidR="00440296" w:rsidP="003E349C" w:rsidRDefault="001C3619">
      <w:pPr>
        <w:spacing w:line="240" w:lineRule="atLeast"/>
        <w:rPr>
          <w:rFonts w:ascii="Verdana" w:hAnsi="Verdana"/>
          <w:sz w:val="18"/>
          <w:szCs w:val="18"/>
        </w:rPr>
      </w:pPr>
    </w:p>
    <w:sectPr w:rsidRPr="003E349C" w:rsidR="00440296" w:rsidSect="00440296">
      <w:pgSz w:w="11906" w:h="16838"/>
      <w:pgMar w:top="1418" w:right="851" w:bottom="1134" w:left="1134" w:header="709" w:footer="709"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2C3F"/>
    <w:multiLevelType w:val="hybridMultilevel"/>
    <w:tmpl w:val="5DEC922E"/>
    <w:lvl w:ilvl="0" w:tplc="B2FE3E5C">
      <w:start w:val="2015"/>
      <w:numFmt w:val="bullet"/>
      <w:lvlText w:val="-"/>
      <w:lvlJc w:val="left"/>
      <w:pPr>
        <w:ind w:left="720" w:hanging="360"/>
      </w:pPr>
      <w:rPr>
        <w:rFonts w:ascii="Verdana" w:eastAsiaTheme="minorHAnsi" w:hAnsi="Verdana" w:cstheme="minorBidi" w:hint="default"/>
      </w:rPr>
    </w:lvl>
    <w:lvl w:ilvl="1" w:tplc="E4AAE0DC" w:tentative="1">
      <w:start w:val="1"/>
      <w:numFmt w:val="bullet"/>
      <w:lvlText w:val="o"/>
      <w:lvlJc w:val="left"/>
      <w:pPr>
        <w:ind w:left="1440" w:hanging="360"/>
      </w:pPr>
      <w:rPr>
        <w:rFonts w:ascii="Courier New" w:hAnsi="Courier New" w:cs="Courier New" w:hint="default"/>
      </w:rPr>
    </w:lvl>
    <w:lvl w:ilvl="2" w:tplc="E2628D00" w:tentative="1">
      <w:start w:val="1"/>
      <w:numFmt w:val="bullet"/>
      <w:lvlText w:val=""/>
      <w:lvlJc w:val="left"/>
      <w:pPr>
        <w:ind w:left="2160" w:hanging="360"/>
      </w:pPr>
      <w:rPr>
        <w:rFonts w:ascii="Wingdings" w:hAnsi="Wingdings" w:hint="default"/>
      </w:rPr>
    </w:lvl>
    <w:lvl w:ilvl="3" w:tplc="9FFAC916" w:tentative="1">
      <w:start w:val="1"/>
      <w:numFmt w:val="bullet"/>
      <w:lvlText w:val=""/>
      <w:lvlJc w:val="left"/>
      <w:pPr>
        <w:ind w:left="2880" w:hanging="360"/>
      </w:pPr>
      <w:rPr>
        <w:rFonts w:ascii="Symbol" w:hAnsi="Symbol" w:hint="default"/>
      </w:rPr>
    </w:lvl>
    <w:lvl w:ilvl="4" w:tplc="E94E113A" w:tentative="1">
      <w:start w:val="1"/>
      <w:numFmt w:val="bullet"/>
      <w:lvlText w:val="o"/>
      <w:lvlJc w:val="left"/>
      <w:pPr>
        <w:ind w:left="3600" w:hanging="360"/>
      </w:pPr>
      <w:rPr>
        <w:rFonts w:ascii="Courier New" w:hAnsi="Courier New" w:cs="Courier New" w:hint="default"/>
      </w:rPr>
    </w:lvl>
    <w:lvl w:ilvl="5" w:tplc="3040985C" w:tentative="1">
      <w:start w:val="1"/>
      <w:numFmt w:val="bullet"/>
      <w:lvlText w:val=""/>
      <w:lvlJc w:val="left"/>
      <w:pPr>
        <w:ind w:left="4320" w:hanging="360"/>
      </w:pPr>
      <w:rPr>
        <w:rFonts w:ascii="Wingdings" w:hAnsi="Wingdings" w:hint="default"/>
      </w:rPr>
    </w:lvl>
    <w:lvl w:ilvl="6" w:tplc="9E32584E" w:tentative="1">
      <w:start w:val="1"/>
      <w:numFmt w:val="bullet"/>
      <w:lvlText w:val=""/>
      <w:lvlJc w:val="left"/>
      <w:pPr>
        <w:ind w:left="5040" w:hanging="360"/>
      </w:pPr>
      <w:rPr>
        <w:rFonts w:ascii="Symbol" w:hAnsi="Symbol" w:hint="default"/>
      </w:rPr>
    </w:lvl>
    <w:lvl w:ilvl="7" w:tplc="264EC706" w:tentative="1">
      <w:start w:val="1"/>
      <w:numFmt w:val="bullet"/>
      <w:lvlText w:val="o"/>
      <w:lvlJc w:val="left"/>
      <w:pPr>
        <w:ind w:left="5760" w:hanging="360"/>
      </w:pPr>
      <w:rPr>
        <w:rFonts w:ascii="Courier New" w:hAnsi="Courier New" w:cs="Courier New" w:hint="default"/>
      </w:rPr>
    </w:lvl>
    <w:lvl w:ilvl="8" w:tplc="C83AFBA6" w:tentative="1">
      <w:start w:val="1"/>
      <w:numFmt w:val="bullet"/>
      <w:lvlText w:val=""/>
      <w:lvlJc w:val="left"/>
      <w:pPr>
        <w:ind w:left="6480" w:hanging="360"/>
      </w:pPr>
      <w:rPr>
        <w:rFonts w:ascii="Wingdings" w:hAnsi="Wingdings" w:hint="default"/>
      </w:rPr>
    </w:lvl>
  </w:abstractNum>
  <w:abstractNum w:abstractNumId="1">
    <w:nsid w:val="081676AA"/>
    <w:multiLevelType w:val="hybridMultilevel"/>
    <w:tmpl w:val="F9E0C514"/>
    <w:lvl w:ilvl="0" w:tplc="022CAD3C">
      <w:start w:val="1"/>
      <w:numFmt w:val="decimal"/>
      <w:lvlText w:val="%1."/>
      <w:lvlJc w:val="left"/>
      <w:pPr>
        <w:ind w:left="720" w:hanging="360"/>
      </w:pPr>
      <w:rPr>
        <w:rFonts w:hint="default"/>
      </w:rPr>
    </w:lvl>
    <w:lvl w:ilvl="1" w:tplc="8A846E3C" w:tentative="1">
      <w:start w:val="1"/>
      <w:numFmt w:val="lowerLetter"/>
      <w:lvlText w:val="%2."/>
      <w:lvlJc w:val="left"/>
      <w:pPr>
        <w:ind w:left="1440" w:hanging="360"/>
      </w:pPr>
    </w:lvl>
    <w:lvl w:ilvl="2" w:tplc="6B2C0230" w:tentative="1">
      <w:start w:val="1"/>
      <w:numFmt w:val="lowerRoman"/>
      <w:lvlText w:val="%3."/>
      <w:lvlJc w:val="right"/>
      <w:pPr>
        <w:ind w:left="2160" w:hanging="180"/>
      </w:pPr>
    </w:lvl>
    <w:lvl w:ilvl="3" w:tplc="5210B2F4" w:tentative="1">
      <w:start w:val="1"/>
      <w:numFmt w:val="decimal"/>
      <w:lvlText w:val="%4."/>
      <w:lvlJc w:val="left"/>
      <w:pPr>
        <w:ind w:left="2880" w:hanging="360"/>
      </w:pPr>
    </w:lvl>
    <w:lvl w:ilvl="4" w:tplc="C4F6A552" w:tentative="1">
      <w:start w:val="1"/>
      <w:numFmt w:val="lowerLetter"/>
      <w:lvlText w:val="%5."/>
      <w:lvlJc w:val="left"/>
      <w:pPr>
        <w:ind w:left="3600" w:hanging="360"/>
      </w:pPr>
    </w:lvl>
    <w:lvl w:ilvl="5" w:tplc="A75021D0" w:tentative="1">
      <w:start w:val="1"/>
      <w:numFmt w:val="lowerRoman"/>
      <w:lvlText w:val="%6."/>
      <w:lvlJc w:val="right"/>
      <w:pPr>
        <w:ind w:left="4320" w:hanging="180"/>
      </w:pPr>
    </w:lvl>
    <w:lvl w:ilvl="6" w:tplc="9C9EFEC8" w:tentative="1">
      <w:start w:val="1"/>
      <w:numFmt w:val="decimal"/>
      <w:lvlText w:val="%7."/>
      <w:lvlJc w:val="left"/>
      <w:pPr>
        <w:ind w:left="5040" w:hanging="360"/>
      </w:pPr>
    </w:lvl>
    <w:lvl w:ilvl="7" w:tplc="F870AC40" w:tentative="1">
      <w:start w:val="1"/>
      <w:numFmt w:val="lowerLetter"/>
      <w:lvlText w:val="%8."/>
      <w:lvlJc w:val="left"/>
      <w:pPr>
        <w:ind w:left="5760" w:hanging="360"/>
      </w:pPr>
    </w:lvl>
    <w:lvl w:ilvl="8" w:tplc="9DBA5444" w:tentative="1">
      <w:start w:val="1"/>
      <w:numFmt w:val="lowerRoman"/>
      <w:lvlText w:val="%9."/>
      <w:lvlJc w:val="right"/>
      <w:pPr>
        <w:ind w:left="6480" w:hanging="180"/>
      </w:pPr>
    </w:lvl>
  </w:abstractNum>
  <w:abstractNum w:abstractNumId="2">
    <w:nsid w:val="084D29CA"/>
    <w:multiLevelType w:val="hybridMultilevel"/>
    <w:tmpl w:val="E2C05B62"/>
    <w:lvl w:ilvl="0" w:tplc="60FC3D5E">
      <w:start w:val="1"/>
      <w:numFmt w:val="decimal"/>
      <w:lvlText w:val="%1."/>
      <w:lvlJc w:val="left"/>
      <w:pPr>
        <w:ind w:left="360" w:hanging="360"/>
      </w:pPr>
    </w:lvl>
    <w:lvl w:ilvl="1" w:tplc="981261DE" w:tentative="1">
      <w:start w:val="1"/>
      <w:numFmt w:val="lowerLetter"/>
      <w:lvlText w:val="%2."/>
      <w:lvlJc w:val="left"/>
      <w:pPr>
        <w:ind w:left="1080" w:hanging="360"/>
      </w:pPr>
    </w:lvl>
    <w:lvl w:ilvl="2" w:tplc="0EC62D5E" w:tentative="1">
      <w:start w:val="1"/>
      <w:numFmt w:val="lowerRoman"/>
      <w:lvlText w:val="%3."/>
      <w:lvlJc w:val="right"/>
      <w:pPr>
        <w:ind w:left="1800" w:hanging="180"/>
      </w:pPr>
    </w:lvl>
    <w:lvl w:ilvl="3" w:tplc="F5E28C68" w:tentative="1">
      <w:start w:val="1"/>
      <w:numFmt w:val="decimal"/>
      <w:lvlText w:val="%4."/>
      <w:lvlJc w:val="left"/>
      <w:pPr>
        <w:ind w:left="2520" w:hanging="360"/>
      </w:pPr>
    </w:lvl>
    <w:lvl w:ilvl="4" w:tplc="02B0600A" w:tentative="1">
      <w:start w:val="1"/>
      <w:numFmt w:val="lowerLetter"/>
      <w:lvlText w:val="%5."/>
      <w:lvlJc w:val="left"/>
      <w:pPr>
        <w:ind w:left="3240" w:hanging="360"/>
      </w:pPr>
    </w:lvl>
    <w:lvl w:ilvl="5" w:tplc="E3282ACE" w:tentative="1">
      <w:start w:val="1"/>
      <w:numFmt w:val="lowerRoman"/>
      <w:lvlText w:val="%6."/>
      <w:lvlJc w:val="right"/>
      <w:pPr>
        <w:ind w:left="3960" w:hanging="180"/>
      </w:pPr>
    </w:lvl>
    <w:lvl w:ilvl="6" w:tplc="9E8A9230" w:tentative="1">
      <w:start w:val="1"/>
      <w:numFmt w:val="decimal"/>
      <w:lvlText w:val="%7."/>
      <w:lvlJc w:val="left"/>
      <w:pPr>
        <w:ind w:left="4680" w:hanging="360"/>
      </w:pPr>
    </w:lvl>
    <w:lvl w:ilvl="7" w:tplc="D1346E06" w:tentative="1">
      <w:start w:val="1"/>
      <w:numFmt w:val="lowerLetter"/>
      <w:lvlText w:val="%8."/>
      <w:lvlJc w:val="left"/>
      <w:pPr>
        <w:ind w:left="5400" w:hanging="360"/>
      </w:pPr>
    </w:lvl>
    <w:lvl w:ilvl="8" w:tplc="45AEB7EC" w:tentative="1">
      <w:start w:val="1"/>
      <w:numFmt w:val="lowerRoman"/>
      <w:lvlText w:val="%9."/>
      <w:lvlJc w:val="right"/>
      <w:pPr>
        <w:ind w:left="6120" w:hanging="180"/>
      </w:pPr>
    </w:lvl>
  </w:abstractNum>
  <w:abstractNum w:abstractNumId="3">
    <w:nsid w:val="370F7FDE"/>
    <w:multiLevelType w:val="hybridMultilevel"/>
    <w:tmpl w:val="78E461FE"/>
    <w:lvl w:ilvl="0" w:tplc="75500662">
      <w:start w:val="1"/>
      <w:numFmt w:val="bullet"/>
      <w:lvlText w:val=""/>
      <w:lvlJc w:val="left"/>
      <w:pPr>
        <w:ind w:left="1144" w:hanging="360"/>
      </w:pPr>
      <w:rPr>
        <w:rFonts w:ascii="Symbol" w:hAnsi="Symbol" w:hint="default"/>
      </w:rPr>
    </w:lvl>
    <w:lvl w:ilvl="1" w:tplc="44BC50B6">
      <w:start w:val="1"/>
      <w:numFmt w:val="decimal"/>
      <w:lvlText w:val="%2."/>
      <w:lvlJc w:val="left"/>
      <w:pPr>
        <w:tabs>
          <w:tab w:val="num" w:pos="1440"/>
        </w:tabs>
        <w:ind w:left="1440" w:hanging="360"/>
      </w:pPr>
    </w:lvl>
    <w:lvl w:ilvl="2" w:tplc="C242E352">
      <w:start w:val="1"/>
      <w:numFmt w:val="decimal"/>
      <w:lvlText w:val="%3."/>
      <w:lvlJc w:val="left"/>
      <w:pPr>
        <w:tabs>
          <w:tab w:val="num" w:pos="2160"/>
        </w:tabs>
        <w:ind w:left="2160" w:hanging="360"/>
      </w:pPr>
    </w:lvl>
    <w:lvl w:ilvl="3" w:tplc="5672D1D6">
      <w:start w:val="1"/>
      <w:numFmt w:val="decimal"/>
      <w:lvlText w:val="%4."/>
      <w:lvlJc w:val="left"/>
      <w:pPr>
        <w:tabs>
          <w:tab w:val="num" w:pos="2880"/>
        </w:tabs>
        <w:ind w:left="2880" w:hanging="360"/>
      </w:pPr>
    </w:lvl>
    <w:lvl w:ilvl="4" w:tplc="91D64032">
      <w:start w:val="1"/>
      <w:numFmt w:val="decimal"/>
      <w:lvlText w:val="%5."/>
      <w:lvlJc w:val="left"/>
      <w:pPr>
        <w:tabs>
          <w:tab w:val="num" w:pos="3600"/>
        </w:tabs>
        <w:ind w:left="3600" w:hanging="360"/>
      </w:pPr>
    </w:lvl>
    <w:lvl w:ilvl="5" w:tplc="428E9498">
      <w:start w:val="1"/>
      <w:numFmt w:val="decimal"/>
      <w:lvlText w:val="%6."/>
      <w:lvlJc w:val="left"/>
      <w:pPr>
        <w:tabs>
          <w:tab w:val="num" w:pos="4320"/>
        </w:tabs>
        <w:ind w:left="4320" w:hanging="360"/>
      </w:pPr>
    </w:lvl>
    <w:lvl w:ilvl="6" w:tplc="18A86532">
      <w:start w:val="1"/>
      <w:numFmt w:val="decimal"/>
      <w:lvlText w:val="%7."/>
      <w:lvlJc w:val="left"/>
      <w:pPr>
        <w:tabs>
          <w:tab w:val="num" w:pos="5040"/>
        </w:tabs>
        <w:ind w:left="5040" w:hanging="360"/>
      </w:pPr>
    </w:lvl>
    <w:lvl w:ilvl="7" w:tplc="BF06EB4C">
      <w:start w:val="1"/>
      <w:numFmt w:val="decimal"/>
      <w:lvlText w:val="%8."/>
      <w:lvlJc w:val="left"/>
      <w:pPr>
        <w:tabs>
          <w:tab w:val="num" w:pos="5760"/>
        </w:tabs>
        <w:ind w:left="5760" w:hanging="360"/>
      </w:pPr>
    </w:lvl>
    <w:lvl w:ilvl="8" w:tplc="4CEC84C6">
      <w:start w:val="1"/>
      <w:numFmt w:val="decimal"/>
      <w:lvlText w:val="%9."/>
      <w:lvlJc w:val="left"/>
      <w:pPr>
        <w:tabs>
          <w:tab w:val="num" w:pos="6480"/>
        </w:tabs>
        <w:ind w:left="6480" w:hanging="360"/>
      </w:pPr>
    </w:lvl>
  </w:abstractNum>
  <w:abstractNum w:abstractNumId="4">
    <w:nsid w:val="45A471E1"/>
    <w:multiLevelType w:val="hybridMultilevel"/>
    <w:tmpl w:val="C6A432B6"/>
    <w:lvl w:ilvl="0" w:tplc="7CA421DC">
      <w:start w:val="200"/>
      <w:numFmt w:val="decimal"/>
      <w:lvlText w:val="%1"/>
      <w:lvlJc w:val="left"/>
      <w:pPr>
        <w:ind w:left="720" w:hanging="360"/>
      </w:pPr>
      <w:rPr>
        <w:rFonts w:hint="default"/>
      </w:rPr>
    </w:lvl>
    <w:lvl w:ilvl="1" w:tplc="3670F6FA" w:tentative="1">
      <w:start w:val="1"/>
      <w:numFmt w:val="lowerLetter"/>
      <w:lvlText w:val="%2."/>
      <w:lvlJc w:val="left"/>
      <w:pPr>
        <w:ind w:left="1440" w:hanging="360"/>
      </w:pPr>
    </w:lvl>
    <w:lvl w:ilvl="2" w:tplc="8048C024" w:tentative="1">
      <w:start w:val="1"/>
      <w:numFmt w:val="lowerRoman"/>
      <w:lvlText w:val="%3."/>
      <w:lvlJc w:val="right"/>
      <w:pPr>
        <w:ind w:left="2160" w:hanging="180"/>
      </w:pPr>
    </w:lvl>
    <w:lvl w:ilvl="3" w:tplc="D9AEA8A8" w:tentative="1">
      <w:start w:val="1"/>
      <w:numFmt w:val="decimal"/>
      <w:lvlText w:val="%4."/>
      <w:lvlJc w:val="left"/>
      <w:pPr>
        <w:ind w:left="2880" w:hanging="360"/>
      </w:pPr>
    </w:lvl>
    <w:lvl w:ilvl="4" w:tplc="CF966458" w:tentative="1">
      <w:start w:val="1"/>
      <w:numFmt w:val="lowerLetter"/>
      <w:lvlText w:val="%5."/>
      <w:lvlJc w:val="left"/>
      <w:pPr>
        <w:ind w:left="3600" w:hanging="360"/>
      </w:pPr>
    </w:lvl>
    <w:lvl w:ilvl="5" w:tplc="E988B0E8" w:tentative="1">
      <w:start w:val="1"/>
      <w:numFmt w:val="lowerRoman"/>
      <w:lvlText w:val="%6."/>
      <w:lvlJc w:val="right"/>
      <w:pPr>
        <w:ind w:left="4320" w:hanging="180"/>
      </w:pPr>
    </w:lvl>
    <w:lvl w:ilvl="6" w:tplc="3CB077BA" w:tentative="1">
      <w:start w:val="1"/>
      <w:numFmt w:val="decimal"/>
      <w:lvlText w:val="%7."/>
      <w:lvlJc w:val="left"/>
      <w:pPr>
        <w:ind w:left="5040" w:hanging="360"/>
      </w:pPr>
    </w:lvl>
    <w:lvl w:ilvl="7" w:tplc="8B4E9014" w:tentative="1">
      <w:start w:val="1"/>
      <w:numFmt w:val="lowerLetter"/>
      <w:lvlText w:val="%8."/>
      <w:lvlJc w:val="left"/>
      <w:pPr>
        <w:ind w:left="5760" w:hanging="360"/>
      </w:pPr>
    </w:lvl>
    <w:lvl w:ilvl="8" w:tplc="C368F804" w:tentative="1">
      <w:start w:val="1"/>
      <w:numFmt w:val="lowerRoman"/>
      <w:lvlText w:val="%9."/>
      <w:lvlJc w:val="right"/>
      <w:pPr>
        <w:ind w:left="6480" w:hanging="180"/>
      </w:pPr>
    </w:lvl>
  </w:abstractNum>
  <w:abstractNum w:abstractNumId="5">
    <w:nsid w:val="6FEB68B8"/>
    <w:multiLevelType w:val="hybridMultilevel"/>
    <w:tmpl w:val="7DF47F58"/>
    <w:lvl w:ilvl="0" w:tplc="7C8A1FD8">
      <w:start w:val="1"/>
      <w:numFmt w:val="decimal"/>
      <w:lvlText w:val="%1."/>
      <w:lvlJc w:val="left"/>
      <w:pPr>
        <w:ind w:left="360" w:hanging="360"/>
      </w:pPr>
      <w:rPr>
        <w:b w:val="0"/>
        <w:sz w:val="20"/>
        <w:szCs w:val="20"/>
      </w:rPr>
    </w:lvl>
    <w:lvl w:ilvl="1" w:tplc="EA8470EA" w:tentative="1">
      <w:start w:val="1"/>
      <w:numFmt w:val="lowerLetter"/>
      <w:lvlText w:val="%2."/>
      <w:lvlJc w:val="left"/>
      <w:pPr>
        <w:ind w:left="1080" w:hanging="360"/>
      </w:pPr>
    </w:lvl>
    <w:lvl w:ilvl="2" w:tplc="29C4C6A6" w:tentative="1">
      <w:start w:val="1"/>
      <w:numFmt w:val="lowerRoman"/>
      <w:lvlText w:val="%3."/>
      <w:lvlJc w:val="right"/>
      <w:pPr>
        <w:ind w:left="1800" w:hanging="180"/>
      </w:pPr>
    </w:lvl>
    <w:lvl w:ilvl="3" w:tplc="678035D2" w:tentative="1">
      <w:start w:val="1"/>
      <w:numFmt w:val="decimal"/>
      <w:lvlText w:val="%4."/>
      <w:lvlJc w:val="left"/>
      <w:pPr>
        <w:ind w:left="2520" w:hanging="360"/>
      </w:pPr>
    </w:lvl>
    <w:lvl w:ilvl="4" w:tplc="058C1A42" w:tentative="1">
      <w:start w:val="1"/>
      <w:numFmt w:val="lowerLetter"/>
      <w:lvlText w:val="%5."/>
      <w:lvlJc w:val="left"/>
      <w:pPr>
        <w:ind w:left="3240" w:hanging="360"/>
      </w:pPr>
    </w:lvl>
    <w:lvl w:ilvl="5" w:tplc="AA4472B4" w:tentative="1">
      <w:start w:val="1"/>
      <w:numFmt w:val="lowerRoman"/>
      <w:lvlText w:val="%6."/>
      <w:lvlJc w:val="right"/>
      <w:pPr>
        <w:ind w:left="3960" w:hanging="180"/>
      </w:pPr>
    </w:lvl>
    <w:lvl w:ilvl="6" w:tplc="D66EB862" w:tentative="1">
      <w:start w:val="1"/>
      <w:numFmt w:val="decimal"/>
      <w:lvlText w:val="%7."/>
      <w:lvlJc w:val="left"/>
      <w:pPr>
        <w:ind w:left="4680" w:hanging="360"/>
      </w:pPr>
    </w:lvl>
    <w:lvl w:ilvl="7" w:tplc="38406414" w:tentative="1">
      <w:start w:val="1"/>
      <w:numFmt w:val="lowerLetter"/>
      <w:lvlText w:val="%8."/>
      <w:lvlJc w:val="left"/>
      <w:pPr>
        <w:ind w:left="5400" w:hanging="360"/>
      </w:pPr>
    </w:lvl>
    <w:lvl w:ilvl="8" w:tplc="E86E4D24" w:tentative="1">
      <w:start w:val="1"/>
      <w:numFmt w:val="lowerRoman"/>
      <w:lvlText w:val="%9."/>
      <w:lvlJc w:val="right"/>
      <w:pPr>
        <w:ind w:left="6120" w:hanging="180"/>
      </w:pPr>
    </w:lvl>
  </w:abstractNum>
  <w:abstractNum w:abstractNumId="6">
    <w:nsid w:val="7929685B"/>
    <w:multiLevelType w:val="hybridMultilevel"/>
    <w:tmpl w:val="BBFAE19E"/>
    <w:lvl w:ilvl="0" w:tplc="8BD61A92">
      <w:start w:val="11"/>
      <w:numFmt w:val="bullet"/>
      <w:lvlText w:val="-"/>
      <w:lvlJc w:val="left"/>
      <w:pPr>
        <w:ind w:left="720" w:hanging="360"/>
      </w:pPr>
      <w:rPr>
        <w:rFonts w:ascii="Verdana" w:eastAsiaTheme="minorHAnsi" w:hAnsi="Verdana" w:cstheme="minorBidi" w:hint="default"/>
      </w:rPr>
    </w:lvl>
    <w:lvl w:ilvl="1" w:tplc="DBD047D4" w:tentative="1">
      <w:start w:val="1"/>
      <w:numFmt w:val="bullet"/>
      <w:lvlText w:val="o"/>
      <w:lvlJc w:val="left"/>
      <w:pPr>
        <w:ind w:left="1440" w:hanging="360"/>
      </w:pPr>
      <w:rPr>
        <w:rFonts w:ascii="Courier New" w:hAnsi="Courier New" w:cs="Courier New" w:hint="default"/>
      </w:rPr>
    </w:lvl>
    <w:lvl w:ilvl="2" w:tplc="1FD8EDD4" w:tentative="1">
      <w:start w:val="1"/>
      <w:numFmt w:val="bullet"/>
      <w:lvlText w:val=""/>
      <w:lvlJc w:val="left"/>
      <w:pPr>
        <w:ind w:left="2160" w:hanging="360"/>
      </w:pPr>
      <w:rPr>
        <w:rFonts w:ascii="Wingdings" w:hAnsi="Wingdings" w:hint="default"/>
      </w:rPr>
    </w:lvl>
    <w:lvl w:ilvl="3" w:tplc="8B7A3284" w:tentative="1">
      <w:start w:val="1"/>
      <w:numFmt w:val="bullet"/>
      <w:lvlText w:val=""/>
      <w:lvlJc w:val="left"/>
      <w:pPr>
        <w:ind w:left="2880" w:hanging="360"/>
      </w:pPr>
      <w:rPr>
        <w:rFonts w:ascii="Symbol" w:hAnsi="Symbol" w:hint="default"/>
      </w:rPr>
    </w:lvl>
    <w:lvl w:ilvl="4" w:tplc="6E0AF2A2" w:tentative="1">
      <w:start w:val="1"/>
      <w:numFmt w:val="bullet"/>
      <w:lvlText w:val="o"/>
      <w:lvlJc w:val="left"/>
      <w:pPr>
        <w:ind w:left="3600" w:hanging="360"/>
      </w:pPr>
      <w:rPr>
        <w:rFonts w:ascii="Courier New" w:hAnsi="Courier New" w:cs="Courier New" w:hint="default"/>
      </w:rPr>
    </w:lvl>
    <w:lvl w:ilvl="5" w:tplc="FAC4D12E" w:tentative="1">
      <w:start w:val="1"/>
      <w:numFmt w:val="bullet"/>
      <w:lvlText w:val=""/>
      <w:lvlJc w:val="left"/>
      <w:pPr>
        <w:ind w:left="4320" w:hanging="360"/>
      </w:pPr>
      <w:rPr>
        <w:rFonts w:ascii="Wingdings" w:hAnsi="Wingdings" w:hint="default"/>
      </w:rPr>
    </w:lvl>
    <w:lvl w:ilvl="6" w:tplc="7CD21D8A" w:tentative="1">
      <w:start w:val="1"/>
      <w:numFmt w:val="bullet"/>
      <w:lvlText w:val=""/>
      <w:lvlJc w:val="left"/>
      <w:pPr>
        <w:ind w:left="5040" w:hanging="360"/>
      </w:pPr>
      <w:rPr>
        <w:rFonts w:ascii="Symbol" w:hAnsi="Symbol" w:hint="default"/>
      </w:rPr>
    </w:lvl>
    <w:lvl w:ilvl="7" w:tplc="9F24AB8C" w:tentative="1">
      <w:start w:val="1"/>
      <w:numFmt w:val="bullet"/>
      <w:lvlText w:val="o"/>
      <w:lvlJc w:val="left"/>
      <w:pPr>
        <w:ind w:left="5760" w:hanging="360"/>
      </w:pPr>
      <w:rPr>
        <w:rFonts w:ascii="Courier New" w:hAnsi="Courier New" w:cs="Courier New" w:hint="default"/>
      </w:rPr>
    </w:lvl>
    <w:lvl w:ilvl="8" w:tplc="C04A7AA2" w:tentative="1">
      <w:start w:val="1"/>
      <w:numFmt w:val="bullet"/>
      <w:lvlText w:val=""/>
      <w:lvlJc w:val="left"/>
      <w:pPr>
        <w:ind w:left="6480" w:hanging="360"/>
      </w:pPr>
      <w:rPr>
        <w:rFonts w:ascii="Wingdings" w:hAnsi="Wingdings" w:hint="default"/>
      </w:rPr>
    </w:lvl>
  </w:abstractNum>
  <w:abstractNum w:abstractNumId="7">
    <w:nsid w:val="7FB1704A"/>
    <w:multiLevelType w:val="hybridMultilevel"/>
    <w:tmpl w:val="F690A396"/>
    <w:lvl w:ilvl="0" w:tplc="FE661948">
      <w:numFmt w:val="bullet"/>
      <w:lvlText w:val="-"/>
      <w:lvlJc w:val="left"/>
      <w:pPr>
        <w:ind w:left="720" w:hanging="360"/>
      </w:pPr>
      <w:rPr>
        <w:rFonts w:ascii="Calibri" w:eastAsia="Calibri" w:hAnsi="Calibri" w:cs="Calibri" w:hint="default"/>
      </w:rPr>
    </w:lvl>
    <w:lvl w:ilvl="1" w:tplc="1D2EF3CA">
      <w:start w:val="1"/>
      <w:numFmt w:val="decimal"/>
      <w:lvlText w:val="%2."/>
      <w:lvlJc w:val="left"/>
      <w:pPr>
        <w:tabs>
          <w:tab w:val="num" w:pos="1440"/>
        </w:tabs>
        <w:ind w:left="1440" w:hanging="360"/>
      </w:pPr>
    </w:lvl>
    <w:lvl w:ilvl="2" w:tplc="41688528">
      <w:start w:val="1"/>
      <w:numFmt w:val="decimal"/>
      <w:lvlText w:val="%3."/>
      <w:lvlJc w:val="left"/>
      <w:pPr>
        <w:tabs>
          <w:tab w:val="num" w:pos="2160"/>
        </w:tabs>
        <w:ind w:left="2160" w:hanging="360"/>
      </w:pPr>
    </w:lvl>
    <w:lvl w:ilvl="3" w:tplc="E23CB980">
      <w:start w:val="1"/>
      <w:numFmt w:val="decimal"/>
      <w:lvlText w:val="%4."/>
      <w:lvlJc w:val="left"/>
      <w:pPr>
        <w:tabs>
          <w:tab w:val="num" w:pos="2880"/>
        </w:tabs>
        <w:ind w:left="2880" w:hanging="360"/>
      </w:pPr>
    </w:lvl>
    <w:lvl w:ilvl="4" w:tplc="DA684C44">
      <w:start w:val="1"/>
      <w:numFmt w:val="decimal"/>
      <w:lvlText w:val="%5."/>
      <w:lvlJc w:val="left"/>
      <w:pPr>
        <w:tabs>
          <w:tab w:val="num" w:pos="3600"/>
        </w:tabs>
        <w:ind w:left="3600" w:hanging="360"/>
      </w:pPr>
    </w:lvl>
    <w:lvl w:ilvl="5" w:tplc="6046CB20">
      <w:start w:val="1"/>
      <w:numFmt w:val="decimal"/>
      <w:lvlText w:val="%6."/>
      <w:lvlJc w:val="left"/>
      <w:pPr>
        <w:tabs>
          <w:tab w:val="num" w:pos="4320"/>
        </w:tabs>
        <w:ind w:left="4320" w:hanging="360"/>
      </w:pPr>
    </w:lvl>
    <w:lvl w:ilvl="6" w:tplc="37F62B14">
      <w:start w:val="1"/>
      <w:numFmt w:val="decimal"/>
      <w:lvlText w:val="%7."/>
      <w:lvlJc w:val="left"/>
      <w:pPr>
        <w:tabs>
          <w:tab w:val="num" w:pos="5040"/>
        </w:tabs>
        <w:ind w:left="5040" w:hanging="360"/>
      </w:pPr>
    </w:lvl>
    <w:lvl w:ilvl="7" w:tplc="00C4B38A">
      <w:start w:val="1"/>
      <w:numFmt w:val="decimal"/>
      <w:lvlText w:val="%8."/>
      <w:lvlJc w:val="left"/>
      <w:pPr>
        <w:tabs>
          <w:tab w:val="num" w:pos="5760"/>
        </w:tabs>
        <w:ind w:left="5760" w:hanging="360"/>
      </w:pPr>
    </w:lvl>
    <w:lvl w:ilvl="8" w:tplc="66125FF2">
      <w:start w:val="1"/>
      <w:numFmt w:val="decimal"/>
      <w:lvlText w:val="%9."/>
      <w:lvlJc w:val="left"/>
      <w:pPr>
        <w:tabs>
          <w:tab w:val="num" w:pos="6480"/>
        </w:tabs>
        <w:ind w:left="6480" w:hanging="360"/>
      </w:pPr>
    </w:lvl>
  </w:abstractNum>
  <w:num w:numId="1">
    <w:abstractNumId w:val="1"/>
  </w:num>
  <w:num w:numId="2">
    <w:abstractNumId w:val="6"/>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compat/>
  <w:rsids>
    <w:rsidRoot w:val="00597843"/>
    <w:rsid w:val="001C3619"/>
    <w:rsid w:val="005978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10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310CF6"/>
    <w:pPr>
      <w:spacing w:after="0" w:line="240" w:lineRule="auto"/>
    </w:pPr>
    <w:rPr>
      <w:sz w:val="24"/>
      <w:szCs w:val="24"/>
    </w:rPr>
  </w:style>
  <w:style w:type="character" w:customStyle="1" w:styleId="VoetnoottekstChar">
    <w:name w:val="Voetnoottekst Char"/>
    <w:basedOn w:val="Standaardalinea-lettertype"/>
    <w:link w:val="Voetnoottekst"/>
    <w:uiPriority w:val="99"/>
    <w:rsid w:val="00310CF6"/>
    <w:rPr>
      <w:sz w:val="24"/>
      <w:szCs w:val="24"/>
    </w:rPr>
  </w:style>
  <w:style w:type="character" w:styleId="Voetnootmarkering">
    <w:name w:val="footnote reference"/>
    <w:basedOn w:val="Standaardalinea-lettertype"/>
    <w:uiPriority w:val="99"/>
    <w:unhideWhenUsed/>
    <w:rsid w:val="00310CF6"/>
    <w:rPr>
      <w:vertAlign w:val="superscript"/>
    </w:rPr>
  </w:style>
  <w:style w:type="paragraph" w:styleId="Ballontekst">
    <w:name w:val="Balloon Text"/>
    <w:basedOn w:val="Standaard"/>
    <w:link w:val="BallontekstChar"/>
    <w:uiPriority w:val="99"/>
    <w:semiHidden/>
    <w:unhideWhenUsed/>
    <w:rsid w:val="00F37D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7D02"/>
    <w:rPr>
      <w:rFonts w:ascii="Tahoma" w:hAnsi="Tahoma" w:cs="Tahoma"/>
      <w:sz w:val="16"/>
      <w:szCs w:val="16"/>
    </w:rPr>
  </w:style>
  <w:style w:type="character" w:styleId="Verwijzingopmerking">
    <w:name w:val="annotation reference"/>
    <w:basedOn w:val="Standaardalinea-lettertype"/>
    <w:uiPriority w:val="99"/>
    <w:semiHidden/>
    <w:unhideWhenUsed/>
    <w:rsid w:val="00D33E5C"/>
    <w:rPr>
      <w:sz w:val="16"/>
      <w:szCs w:val="16"/>
    </w:rPr>
  </w:style>
  <w:style w:type="paragraph" w:styleId="Tekstopmerking">
    <w:name w:val="annotation text"/>
    <w:basedOn w:val="Standaard"/>
    <w:link w:val="TekstopmerkingChar"/>
    <w:uiPriority w:val="99"/>
    <w:unhideWhenUsed/>
    <w:rsid w:val="00D33E5C"/>
    <w:pPr>
      <w:spacing w:line="240" w:lineRule="auto"/>
    </w:pPr>
    <w:rPr>
      <w:sz w:val="20"/>
      <w:szCs w:val="20"/>
    </w:rPr>
  </w:style>
  <w:style w:type="character" w:customStyle="1" w:styleId="TekstopmerkingChar">
    <w:name w:val="Tekst opmerking Char"/>
    <w:basedOn w:val="Standaardalinea-lettertype"/>
    <w:link w:val="Tekstopmerking"/>
    <w:uiPriority w:val="99"/>
    <w:rsid w:val="00D33E5C"/>
    <w:rPr>
      <w:sz w:val="20"/>
      <w:szCs w:val="20"/>
    </w:rPr>
  </w:style>
  <w:style w:type="paragraph" w:styleId="Koptekst">
    <w:name w:val="header"/>
    <w:basedOn w:val="Standaard"/>
    <w:link w:val="KoptekstChar"/>
    <w:uiPriority w:val="99"/>
    <w:semiHidden/>
    <w:unhideWhenUsed/>
    <w:rsid w:val="00FD01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D0111"/>
  </w:style>
  <w:style w:type="paragraph" w:styleId="Voettekst">
    <w:name w:val="footer"/>
    <w:basedOn w:val="Standaard"/>
    <w:link w:val="VoettekstChar"/>
    <w:uiPriority w:val="99"/>
    <w:semiHidden/>
    <w:unhideWhenUsed/>
    <w:rsid w:val="00FD01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D0111"/>
  </w:style>
  <w:style w:type="paragraph" w:styleId="Standaardinspringing">
    <w:name w:val="Normal Indent"/>
    <w:basedOn w:val="Standaard"/>
    <w:uiPriority w:val="99"/>
    <w:unhideWhenUsed/>
    <w:rsid w:val="000722C0"/>
    <w:pPr>
      <w:spacing w:after="0" w:line="240" w:lineRule="atLeast"/>
      <w:ind w:left="709"/>
    </w:pPr>
    <w:rPr>
      <w:rFonts w:ascii="Verdana" w:hAnsi="Verdana" w:cs="Times New Roman"/>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0C3C4E"/>
    <w:rPr>
      <w:b/>
      <w:bCs/>
    </w:rPr>
  </w:style>
  <w:style w:type="character" w:customStyle="1" w:styleId="OnderwerpvanopmerkingChar">
    <w:name w:val="Onderwerp van opmerking Char"/>
    <w:basedOn w:val="TekstopmerkingChar"/>
    <w:link w:val="Onderwerpvanopmerking"/>
    <w:uiPriority w:val="99"/>
    <w:semiHidden/>
    <w:rsid w:val="000C3C4E"/>
    <w:rPr>
      <w:b/>
      <w:bCs/>
    </w:rPr>
  </w:style>
  <w:style w:type="paragraph" w:styleId="Revisie">
    <w:name w:val="Revision"/>
    <w:hidden/>
    <w:uiPriority w:val="99"/>
    <w:semiHidden/>
    <w:rsid w:val="00515DB3"/>
    <w:pPr>
      <w:spacing w:after="0" w:line="240" w:lineRule="auto"/>
    </w:pPr>
  </w:style>
  <w:style w:type="paragraph" w:styleId="Lijstalinea">
    <w:name w:val="List Paragraph"/>
    <w:aliases w:val="standaard"/>
    <w:basedOn w:val="Standaard"/>
    <w:link w:val="LijstalineaChar"/>
    <w:uiPriority w:val="34"/>
    <w:qFormat/>
    <w:rsid w:val="001603CD"/>
    <w:pPr>
      <w:spacing w:after="0" w:line="240" w:lineRule="auto"/>
      <w:ind w:left="720"/>
    </w:pPr>
    <w:rPr>
      <w:rFonts w:ascii="Calibri" w:hAnsi="Calibri" w:cs="Times New Roman"/>
      <w:lang w:eastAsia="nl-NL"/>
    </w:rPr>
  </w:style>
  <w:style w:type="character" w:customStyle="1" w:styleId="LijstalineaChar">
    <w:name w:val="Lijstalinea Char"/>
    <w:aliases w:val="standaard Char"/>
    <w:basedOn w:val="Standaardalinea-lettertype"/>
    <w:link w:val="Lijstalinea"/>
    <w:uiPriority w:val="34"/>
    <w:locked/>
    <w:rsid w:val="001603CD"/>
    <w:rPr>
      <w:rFonts w:ascii="Calibri" w:hAnsi="Calibri" w:cs="Times New Roman"/>
      <w:lang w:eastAsia="nl-NL"/>
    </w:rPr>
  </w:style>
  <w:style w:type="character" w:styleId="Hyperlink">
    <w:name w:val="Hyperlink"/>
    <w:basedOn w:val="Standaardalinea-lettertype"/>
    <w:uiPriority w:val="99"/>
    <w:unhideWhenUsed/>
    <w:rsid w:val="008F070D"/>
    <w:rPr>
      <w:color w:val="0000FF" w:themeColor="hyperlink"/>
      <w:u w:val="single"/>
    </w:rPr>
  </w:style>
  <w:style w:type="paragraph" w:customStyle="1" w:styleId="Default">
    <w:name w:val="Default"/>
    <w:rsid w:val="00545F75"/>
    <w:pPr>
      <w:autoSpaceDE w:val="0"/>
      <w:autoSpaceDN w:val="0"/>
      <w:adjustRightInd w:val="0"/>
      <w:spacing w:after="0" w:line="240" w:lineRule="auto"/>
    </w:pPr>
    <w:rPr>
      <w:rFonts w:ascii="Arial" w:hAnsi="Arial" w:cs="Arial"/>
      <w:color w:val="000000"/>
      <w:sz w:val="24"/>
      <w:szCs w:val="24"/>
    </w:rPr>
  </w:style>
  <w:style w:type="paragraph" w:customStyle="1" w:styleId="Huisstijl-Kopje">
    <w:name w:val="Huisstijl - Kopje"/>
    <w:basedOn w:val="Standaard"/>
    <w:rsid w:val="00257EE1"/>
    <w:pPr>
      <w:spacing w:after="0" w:line="240" w:lineRule="atLeast"/>
    </w:pPr>
    <w:rPr>
      <w:rFonts w:ascii="Verdana" w:hAnsi="Verdana" w:cs="Times New Roman"/>
      <w:b/>
      <w:bCs/>
      <w:sz w:val="18"/>
      <w:szCs w:val="18"/>
      <w:lang w:eastAsia="nl-NL"/>
    </w:rPr>
  </w:style>
  <w:style w:type="character" w:styleId="GevolgdeHyperlink">
    <w:name w:val="FollowedHyperlink"/>
    <w:basedOn w:val="Standaardalinea-lettertype"/>
    <w:uiPriority w:val="99"/>
    <w:semiHidden/>
    <w:unhideWhenUsed/>
    <w:rsid w:val="002D00A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hetroergaatom.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1830</ap:Words>
  <ap:Characters>10067</ap:Characters>
  <ap:DocSecurity>12</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2016-07-07T15:56:00.0000000Z</dcterms:created>
  <dcterms:modified xsi:type="dcterms:W3CDTF">2016-07-07T15:56:00.0000000Z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0x010100C64C5400E371494FB275A59918FCE396</vt:lpwstr>
  </property>
</Properties>
</file>