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AB" w:rsidRDefault="006E0A78">
      <w:pPr>
        <w:pStyle w:val="Pagedecouverture"/>
        <w:rPr>
          <w:noProof/>
        </w:rPr>
      </w:pPr>
      <w:bookmarkStart w:name="LW_BM_COVERPAGE" w:id="0"/>
      <w:bookmarkStart w:name="_GoBack" w:id="1"/>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35pt;height:361.35pt" alt="E2E471EAF5CF43BBAB1166ABD09B7D40" type="#_x0000_t75">
            <v:imagedata o:title="" r:id="rId9"/>
          </v:shape>
        </w:pict>
      </w:r>
      <w:bookmarkEnd w:id="1"/>
    </w:p>
    <w:bookmarkEnd w:id="0"/>
    <w:p w:rsidR="00B25BAB" w:rsidRDefault="00B25BAB">
      <w:pPr>
        <w:pStyle w:val="Pagedecouverture"/>
        <w:rPr>
          <w:noProof/>
        </w:rPr>
        <w:sectPr w:rsidR="00B25BAB">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B25BAB" w:rsidRDefault="006E0A78">
      <w:pPr>
        <w:pStyle w:val="Kop1"/>
        <w:spacing w:before="240" w:after="240"/>
        <w:rPr>
          <w:rFonts w:ascii="Times New Roman" w:hAnsi="Times New Roman" w:eastAsia="Times New Roman" w:cs="Times New Roman"/>
          <w:bCs w:val="0"/>
          <w:smallCaps/>
          <w:noProof/>
          <w:color w:val="auto"/>
          <w:sz w:val="24"/>
          <w:szCs w:val="20"/>
        </w:rPr>
      </w:pPr>
      <w:r>
        <w:rPr>
          <w:rFonts w:ascii="Times New Roman" w:hAnsi="Times New Roman"/>
          <w:noProof/>
          <w:color w:val="auto"/>
          <w:sz w:val="24"/>
        </w:rPr>
        <w:lastRenderedPageBreak/>
        <w:t xml:space="preserve">1. </w:t>
      </w:r>
      <w:r>
        <w:rPr>
          <w:noProof/>
        </w:rPr>
        <w:tab/>
      </w:r>
      <w:r>
        <w:rPr>
          <w:rFonts w:ascii="Times New Roman" w:hAnsi="Times New Roman"/>
          <w:smallCaps/>
          <w:noProof/>
          <w:color w:val="auto"/>
          <w:sz w:val="24"/>
        </w:rPr>
        <w:t>Inleiding</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Hormoonontregelende chemische stoffen ("hormoonontregelaars") zijn stoffen die een </w:t>
      </w:r>
      <w:r>
        <w:rPr>
          <w:rFonts w:ascii="Times New Roman" w:hAnsi="Times New Roman"/>
          <w:noProof/>
          <w:sz w:val="24"/>
        </w:rPr>
        <w:t>of meer functies van de hormoonhuishouding verstoren en bijgevolg schadelijke effecten veroorzaken. Niet alleen is de kennis over hormoonontregelaars gestegen, ook de publieke en politieke belangstelling ervoor is gegroeid. Naar aanleiding daarvan heeft de</w:t>
      </w:r>
      <w:r>
        <w:rPr>
          <w:rFonts w:ascii="Times New Roman" w:hAnsi="Times New Roman"/>
          <w:noProof/>
          <w:sz w:val="24"/>
        </w:rPr>
        <w:t xml:space="preserve"> Commissie in 1999 haar "Strategie voor hormoonontregelaars"</w:t>
      </w:r>
      <w:r>
        <w:rPr>
          <w:rStyle w:val="Voetnootmarkering"/>
          <w:rFonts w:ascii="Times New Roman" w:hAnsi="Times New Roman"/>
          <w:noProof/>
          <w:sz w:val="24"/>
        </w:rPr>
        <w:footnoteReference w:id="1"/>
      </w:r>
      <w:r>
        <w:rPr>
          <w:rFonts w:ascii="Times New Roman" w:hAnsi="Times New Roman"/>
          <w:noProof/>
          <w:sz w:val="24"/>
        </w:rPr>
        <w:t xml:space="preserve"> gepubliceerd</w:t>
      </w:r>
      <w:r>
        <w:rPr>
          <w:noProof/>
        </w:rPr>
        <w:t>.</w:t>
      </w:r>
      <w:r>
        <w:rPr>
          <w:rFonts w:ascii="Times New Roman" w:hAnsi="Times New Roman"/>
          <w:noProof/>
          <w:sz w:val="24"/>
        </w:rPr>
        <w:t xml:space="preserve"> Hierin wordt een aantal acties op EU-niveau voorgesteld en wordt beschreven welke stappen moeten worden ondernomen op korte termijn (onderzoek en internationale samenwerking), midd</w:t>
      </w:r>
      <w:r>
        <w:rPr>
          <w:rFonts w:ascii="Times New Roman" w:hAnsi="Times New Roman"/>
          <w:noProof/>
          <w:sz w:val="24"/>
        </w:rPr>
        <w:t>ellange termijn (testmethoden) en lange termijn (regelgeving) met het oog op de algemene doelstelling om blootstelling tot een minimum te beperken</w:t>
      </w:r>
      <w:r>
        <w:rPr>
          <w:rStyle w:val="Voetnootmarkering"/>
          <w:rFonts w:ascii="Times New Roman" w:hAnsi="Times New Roman"/>
          <w:noProof/>
          <w:sz w:val="24"/>
        </w:rPr>
        <w:footnoteReference w:id="2"/>
      </w:r>
      <w:r>
        <w:rPr>
          <w:rFonts w:ascii="Times New Roman" w:hAnsi="Times New Roman"/>
          <w:noProof/>
          <w:sz w:val="24"/>
        </w:rPr>
        <w:t>.</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In de wetgeving inzake biociden</w:t>
      </w:r>
      <w:r>
        <w:rPr>
          <w:rStyle w:val="Voetnootmarkering"/>
          <w:rFonts w:ascii="Times New Roman" w:hAnsi="Times New Roman"/>
          <w:noProof/>
          <w:sz w:val="24"/>
        </w:rPr>
        <w:footnoteReference w:id="3"/>
      </w:r>
      <w:r>
        <w:rPr>
          <w:rFonts w:ascii="Times New Roman" w:hAnsi="Times New Roman"/>
          <w:noProof/>
          <w:sz w:val="24"/>
        </w:rPr>
        <w:t xml:space="preserve"> en gewasbeschermingsmiddelen</w:t>
      </w:r>
      <w:r>
        <w:rPr>
          <w:rStyle w:val="Voetnootmarkering"/>
          <w:rFonts w:ascii="Times New Roman" w:hAnsi="Times New Roman"/>
          <w:noProof/>
          <w:sz w:val="24"/>
        </w:rPr>
        <w:footnoteReference w:id="4"/>
      </w:r>
      <w:r>
        <w:rPr>
          <w:rFonts w:ascii="Times New Roman" w:hAnsi="Times New Roman"/>
          <w:noProof/>
          <w:sz w:val="24"/>
        </w:rPr>
        <w:t xml:space="preserve"> zijn regelgevingsimplicaties met betrekking </w:t>
      </w:r>
      <w:r>
        <w:rPr>
          <w:rFonts w:ascii="Times New Roman" w:hAnsi="Times New Roman"/>
          <w:noProof/>
          <w:sz w:val="24"/>
        </w:rPr>
        <w:t>tot hormoonontregelaars vastgelegd. De wetgeving vereist ook dat de Commissie voorschrijft hoe de criteria voor hormoonontregelaars moeten worden vastgesteld, door middel van handelingen "ter vaststelling van wetenschappelijke criteria voor het bepalen van</w:t>
      </w:r>
      <w:r>
        <w:rPr>
          <w:rFonts w:ascii="Times New Roman" w:hAnsi="Times New Roman"/>
          <w:noProof/>
          <w:sz w:val="24"/>
        </w:rPr>
        <w:t xml:space="preserve"> hormoonontregelende eigenschappen"</w:t>
      </w:r>
      <w:r>
        <w:rPr>
          <w:rStyle w:val="Voetnootmarkering"/>
          <w:rFonts w:ascii="Times New Roman" w:hAnsi="Times New Roman"/>
          <w:noProof/>
          <w:sz w:val="24"/>
        </w:rPr>
        <w:footnoteReference w:id="5"/>
      </w:r>
      <w:r>
        <w:rPr>
          <w:rFonts w:ascii="Times New Roman" w:hAnsi="Times New Roman"/>
          <w:noProof/>
          <w:sz w:val="24"/>
        </w:rPr>
        <w:t>. Gewasbeschermingsmiddelen beschermen planten tegen schadelijke organismen (bijvoorbeeld herbiciden of insecticiden in de landbouw). Biociden voorkomen de verspreiding van schadelijke organismen en bestrijden deze (bijv</w:t>
      </w:r>
      <w:r>
        <w:rPr>
          <w:rFonts w:ascii="Times New Roman" w:hAnsi="Times New Roman"/>
          <w:noProof/>
          <w:sz w:val="24"/>
        </w:rPr>
        <w:t>oorbeeld ontsmettingsmiddelen in ziekenhuizen).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Commissie heeft bijzondere aandacht besteed aan haar taak criteria te ontwikkelen op deze twee gebieden. Het resultaat hiervan is te vinden in twee ontwerpmaatregelen</w:t>
      </w:r>
      <w:r>
        <w:rPr>
          <w:rStyle w:val="Voetnootmarkering"/>
          <w:rFonts w:ascii="Times New Roman" w:hAnsi="Times New Roman"/>
          <w:noProof/>
          <w:sz w:val="24"/>
        </w:rPr>
        <w:footnoteReference w:id="6"/>
      </w:r>
      <w:r>
        <w:rPr>
          <w:rFonts w:ascii="Times New Roman" w:hAnsi="Times New Roman"/>
          <w:noProof/>
          <w:sz w:val="24"/>
        </w:rPr>
        <w:t>, die nu de vastgestelde procedures me</w:t>
      </w:r>
      <w:r>
        <w:rPr>
          <w:rFonts w:ascii="Times New Roman" w:hAnsi="Times New Roman"/>
          <w:noProof/>
          <w:sz w:val="24"/>
        </w:rPr>
        <w:t xml:space="preserve">t (deskundigen van) de lidstaten en de andere EU-instellingen zullen doorlopen, voorafgaand aan de definitieve vaststelling door de Commissie. Hoewel voor de twee maatregelen niet dezelfde procedures gelden, hield het onderzoek van de problematiek door de </w:t>
      </w:r>
      <w:r>
        <w:rPr>
          <w:rFonts w:ascii="Times New Roman" w:hAnsi="Times New Roman"/>
          <w:noProof/>
          <w:sz w:val="24"/>
        </w:rPr>
        <w:t>Commissie verband met beide gebieden, die parallel zullen worden behandeld</w:t>
      </w:r>
      <w:r>
        <w:rPr>
          <w:rStyle w:val="Voetnootmarkering"/>
          <w:rFonts w:ascii="Times New Roman" w:hAnsi="Times New Roman"/>
          <w:noProof/>
          <w:sz w:val="24"/>
        </w:rPr>
        <w:footnoteReference w:id="7"/>
      </w:r>
      <w:r>
        <w:rPr>
          <w:rFonts w:ascii="Times New Roman" w:hAnsi="Times New Roman"/>
          <w:noProof/>
          <w:sz w:val="24"/>
        </w:rPr>
        <w:t>.</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In deze mededeling worden de wetenschappelijk gefundeerde besluiten uiteengezet die aan de basis liggen van de twee ontwerpmaatregelen. Zij gaat vergezeld van een </w:t>
      </w:r>
      <w:r>
        <w:rPr>
          <w:rFonts w:ascii="Times New Roman" w:hAnsi="Times New Roman"/>
          <w:noProof/>
          <w:sz w:val="24"/>
        </w:rPr>
        <w:t>effectbeoordeling waarin de stand van de wetenschap wordt belicht met betrekking tot verschillende criteria voor de identificatie van hormoonontregelaars. Bovendien biedt zij informatie over de mogelijke gevolgen</w:t>
      </w:r>
      <w:r>
        <w:rPr>
          <w:rStyle w:val="Voetnootmarkering"/>
          <w:rFonts w:ascii="Times New Roman" w:hAnsi="Times New Roman"/>
          <w:noProof/>
          <w:sz w:val="24"/>
        </w:rPr>
        <w:footnoteReference w:id="8"/>
      </w:r>
      <w:r>
        <w:rPr>
          <w:rFonts w:ascii="Times New Roman" w:hAnsi="Times New Roman"/>
          <w:noProof/>
          <w:sz w:val="24"/>
        </w:rPr>
        <w:t xml:space="preserve">. De effectbeoordeling is gebaseerd op een </w:t>
      </w:r>
      <w:r>
        <w:rPr>
          <w:rFonts w:ascii="Times New Roman" w:hAnsi="Times New Roman"/>
          <w:noProof/>
          <w:sz w:val="24"/>
        </w:rPr>
        <w:t>voorbereidende screening van werkzame stoffen die zijn goedgekeurd voor gewasbeschermingsmiddelen en biociden en waarover informatie op het niveau van de EU beschikbaar was. Zij houdt dan ook geen beoordeling in van specifieke stoffen in het kader van de d</w:t>
      </w:r>
      <w:r>
        <w:rPr>
          <w:rFonts w:ascii="Times New Roman" w:hAnsi="Times New Roman"/>
          <w:noProof/>
          <w:sz w:val="24"/>
        </w:rPr>
        <w:t>esbetreffende wetgeving (de verordeningen inzake gewasbeschermingsmiddelen en biociden)</w:t>
      </w:r>
      <w:r>
        <w:rPr>
          <w:rStyle w:val="Voetnootmarkering"/>
          <w:rFonts w:ascii="Times New Roman" w:hAnsi="Times New Roman"/>
          <w:noProof/>
          <w:sz w:val="24"/>
        </w:rPr>
        <w:footnoteReference w:id="9"/>
      </w:r>
      <w:r>
        <w:rPr>
          <w:rFonts w:ascii="Times New Roman" w:hAnsi="Times New Roman"/>
          <w:noProof/>
          <w:sz w:val="24"/>
        </w:rPr>
        <w:t>.</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In deze mededeling wordt uiteengezet op welke punten de Commissie tot een conclusie is gekomen en worden deze binnen de bredere context geplaatst; tegelijkertijd word</w:t>
      </w:r>
      <w:r>
        <w:rPr>
          <w:rFonts w:ascii="Times New Roman" w:hAnsi="Times New Roman"/>
          <w:noProof/>
          <w:sz w:val="24"/>
        </w:rPr>
        <w:t>t beklemtoond dat sommige aspecten van het debat niet rechtstreeks relevant zijn voor de specifieke taak van de Commissie om criteria vast te stellen om te bepalen welke stoffen al dan niet onder de hormoonontregelaars vallen (zie deel 2). De implicaties v</w:t>
      </w:r>
      <w:r>
        <w:rPr>
          <w:rFonts w:ascii="Times New Roman" w:hAnsi="Times New Roman"/>
          <w:noProof/>
          <w:sz w:val="24"/>
        </w:rPr>
        <w:t>an de vaststelling van criteria wordt uiteengezet voor gewasbeschermingsmiddelen en biociden (deel 3) en voor andere EU-regelgevingsgebieden (deel 4) en de andere lopende of aanstaande acties van de Commissie met betrekking tot hormoonontregelaars worden o</w:t>
      </w:r>
      <w:r>
        <w:rPr>
          <w:rFonts w:ascii="Times New Roman" w:hAnsi="Times New Roman"/>
          <w:noProof/>
          <w:sz w:val="24"/>
        </w:rPr>
        <w:t>verlopen (deel 5).</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conclusies van de Commissie bouwen voort op de werkzaamheden met de lidstaten, de inbreng van regelgevende agentschappen van de EU, onafhankelijke wetenschappelijke comités die de Commissie adviseren, het interne wetenschappelijke org</w:t>
      </w:r>
      <w:r>
        <w:rPr>
          <w:rFonts w:ascii="Times New Roman" w:hAnsi="Times New Roman"/>
          <w:noProof/>
          <w:sz w:val="24"/>
        </w:rPr>
        <w:t>aan van de Commissie (het Gemeenschappelijk Centrum voor onderzoek</w:t>
      </w:r>
      <w:r>
        <w:rPr>
          <w:rStyle w:val="Voetnootmarkering"/>
          <w:rFonts w:ascii="Times New Roman" w:hAnsi="Times New Roman"/>
          <w:noProof/>
          <w:sz w:val="24"/>
        </w:rPr>
        <w:footnoteReference w:id="10"/>
      </w:r>
      <w:r>
        <w:rPr>
          <w:rFonts w:ascii="Times New Roman" w:hAnsi="Times New Roman"/>
          <w:noProof/>
          <w:sz w:val="24"/>
        </w:rPr>
        <w:t>), op multilaterale en bilaterale samenwerking met derde landen op wetenschappelijk en regelgevingsgebied en ook op uitgebreide contacten met belanghebbenden gedurende de afgelopen 15 jaren</w:t>
      </w:r>
      <w:r>
        <w:rPr>
          <w:rStyle w:val="Voetnootmarkering"/>
          <w:rFonts w:ascii="Times New Roman" w:hAnsi="Times New Roman"/>
          <w:noProof/>
          <w:sz w:val="24"/>
        </w:rPr>
        <w:footnoteReference w:id="11"/>
      </w:r>
      <w:r>
        <w:rPr>
          <w:rFonts w:ascii="Times New Roman" w:hAnsi="Times New Roman"/>
          <w:noProof/>
          <w:sz w:val="24"/>
        </w:rPr>
        <w:t>.</w:t>
      </w:r>
    </w:p>
    <w:p w:rsidR="00B25BAB" w:rsidRDefault="006E0A78">
      <w:pPr>
        <w:spacing w:after="360" w:line="240" w:lineRule="auto"/>
        <w:jc w:val="both"/>
        <w:rPr>
          <w:rFonts w:ascii="Times New Roman" w:hAnsi="Times New Roman" w:cs="Times New Roman"/>
          <w:noProof/>
          <w:sz w:val="24"/>
          <w:szCs w:val="24"/>
        </w:rPr>
      </w:pPr>
      <w:r>
        <w:rPr>
          <w:rFonts w:ascii="Times New Roman" w:hAnsi="Times New Roman"/>
          <w:noProof/>
          <w:sz w:val="24"/>
        </w:rPr>
        <w:t>Uit deze besprekingen is gebleken hoe complex dit thema is; dat blijkt ook hierdoor, dat nog geen enkel ander land tot nu toe juridisch bindende wetenschappelijke criteria heeft vastgesteld om te bepalen welke stoffen hormoonontregelaars zijn. Tegen dez</w:t>
      </w:r>
      <w:r>
        <w:rPr>
          <w:rFonts w:ascii="Times New Roman" w:hAnsi="Times New Roman"/>
          <w:noProof/>
          <w:sz w:val="24"/>
        </w:rPr>
        <w:t>e achtergrond heeft de Commissie de maatregelen degelijk voorbereid, hetgeen niet binnen de wettelijke termijn van december 2013 kon worden afgerond. Naar aanleiding van een uitspraak van het Hof van Justitie van de Europese Unie (Gerecht) in december 2015</w:t>
      </w:r>
      <w:r>
        <w:rPr>
          <w:rStyle w:val="Voetnootmarkering"/>
          <w:rFonts w:ascii="Times New Roman" w:hAnsi="Times New Roman"/>
          <w:noProof/>
          <w:sz w:val="24"/>
        </w:rPr>
        <w:footnoteReference w:id="12"/>
      </w:r>
      <w:r>
        <w:rPr>
          <w:rFonts w:ascii="Times New Roman" w:hAnsi="Times New Roman"/>
          <w:noProof/>
          <w:sz w:val="24"/>
        </w:rPr>
        <w:t xml:space="preserve"> heeft de Commissie de medewetgevers van de EU laten weten dat zij zich ondubbelzinnig zou blijven inzetten om </w:t>
      </w:r>
      <w:r>
        <w:rPr>
          <w:rFonts w:ascii="Times New Roman" w:hAnsi="Times New Roman"/>
          <w:noProof/>
          <w:sz w:val="24"/>
        </w:rPr>
        <w:lastRenderedPageBreak/>
        <w:t>haar lopende werkzaamheden, die op dat tijdstip nagenoeg waren afgerond, te beëindigen en de criteria voor te stellen vóór de zomer van 2016.</w:t>
      </w:r>
    </w:p>
    <w:p w:rsidR="00B25BAB" w:rsidRDefault="006E0A78">
      <w:pPr>
        <w:pStyle w:val="Kop1"/>
        <w:spacing w:before="240" w:after="240"/>
        <w:ind w:left="480" w:hanging="480"/>
        <w:rPr>
          <w:rFonts w:ascii="Times New Roman" w:hAnsi="Times New Roman" w:eastAsia="Times New Roman" w:cs="Times New Roman"/>
          <w:bCs w:val="0"/>
          <w:smallCaps/>
          <w:noProof/>
          <w:color w:val="auto"/>
          <w:sz w:val="24"/>
          <w:szCs w:val="20"/>
        </w:rPr>
      </w:pPr>
      <w:r>
        <w:rPr>
          <w:rFonts w:ascii="Times New Roman" w:hAnsi="Times New Roman"/>
          <w:smallCaps/>
          <w:noProof/>
          <w:color w:val="auto"/>
          <w:sz w:val="24"/>
        </w:rPr>
        <w:t xml:space="preserve">2. </w:t>
      </w:r>
      <w:r>
        <w:rPr>
          <w:noProof/>
        </w:rPr>
        <w:tab/>
      </w:r>
      <w:r>
        <w:rPr>
          <w:rFonts w:ascii="Times New Roman" w:hAnsi="Times New Roman"/>
          <w:smallCaps/>
          <w:noProof/>
          <w:color w:val="auto"/>
          <w:sz w:val="24"/>
        </w:rPr>
        <w:t>Het debat over de criteria voor de identificatie van hormoonontregelaars en de conclusies van de Commissie</w:t>
      </w:r>
    </w:p>
    <w:p w:rsidR="00B25BAB" w:rsidRDefault="006E0A78">
      <w:pPr>
        <w:spacing w:line="240" w:lineRule="auto"/>
        <w:jc w:val="both"/>
        <w:rPr>
          <w:rFonts w:ascii="Times New Roman" w:hAnsi="Times New Roman" w:eastAsia="Times New Roman" w:cs="Times New Roman"/>
          <w:noProof/>
          <w:sz w:val="24"/>
          <w:szCs w:val="20"/>
        </w:rPr>
      </w:pPr>
      <w:r>
        <w:rPr>
          <w:rFonts w:ascii="Times New Roman" w:hAnsi="Times New Roman"/>
          <w:noProof/>
          <w:sz w:val="24"/>
        </w:rPr>
        <w:t>Een aantal belangrijke wetenschappelijke kwesties is voorwerp van discussie en onderzoek; sommige van deze kwesties zijn rechtstreeks van invloed</w:t>
      </w:r>
      <w:r>
        <w:rPr>
          <w:rFonts w:ascii="Times New Roman" w:hAnsi="Times New Roman"/>
          <w:noProof/>
          <w:sz w:val="24"/>
        </w:rPr>
        <w:t xml:space="preserve"> op de ontwerpmaatregelen inzake gewasbeschermingsmiddelen en biociden. Verschillende punten hebben niet enkel betrekking op hormoonontregelaars, maar maken deel uit van een meer algemeen debat over toxicologie.</w:t>
      </w:r>
    </w:p>
    <w:p w:rsidR="00B25BAB" w:rsidRDefault="006E0A78">
      <w:pPr>
        <w:spacing w:line="240" w:lineRule="auto"/>
        <w:jc w:val="both"/>
        <w:rPr>
          <w:rFonts w:ascii="Times New Roman" w:hAnsi="Times New Roman" w:eastAsia="Times New Roman" w:cs="Times New Roman"/>
          <w:b/>
          <w:i/>
          <w:noProof/>
          <w:sz w:val="24"/>
          <w:szCs w:val="20"/>
        </w:rPr>
      </w:pPr>
      <w:r>
        <w:rPr>
          <w:rFonts w:ascii="Times New Roman" w:hAnsi="Times New Roman"/>
          <w:b/>
          <w:i/>
          <w:noProof/>
          <w:sz w:val="24"/>
        </w:rPr>
        <w:t>Wat zijn hormoonontregelaars?</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In 2002 heeft </w:t>
      </w:r>
      <w:r>
        <w:rPr>
          <w:rFonts w:ascii="Times New Roman" w:hAnsi="Times New Roman"/>
          <w:noProof/>
          <w:sz w:val="24"/>
        </w:rPr>
        <w:t xml:space="preserve">het Internationaal Programma voor chemische veiligheid, een gezamenlijk programma van verschillende VN-organisaties waaronder de Wereldgezondheidsorganisatie, deze gezaghebbende definitie van hormoonontregelaars geformuleerd: </w:t>
      </w:r>
      <w:r>
        <w:rPr>
          <w:rFonts w:ascii="Times New Roman" w:hAnsi="Times New Roman"/>
          <w:i/>
          <w:noProof/>
          <w:sz w:val="24"/>
        </w:rPr>
        <w:t>"exogene stoffen of mengsels v</w:t>
      </w:r>
      <w:r>
        <w:rPr>
          <w:rFonts w:ascii="Times New Roman" w:hAnsi="Times New Roman"/>
          <w:i/>
          <w:noProof/>
          <w:sz w:val="24"/>
        </w:rPr>
        <w:t>an stoffen die een of meer functies van het hormoonsysteem verstoren en als gevolg daarvan schadelijke gezondheidseffecten veroorzaken in een intact organisme of het nageslacht of (deel)populaties daarvan</w:t>
      </w:r>
      <w:r>
        <w:rPr>
          <w:rFonts w:ascii="Times New Roman" w:hAnsi="Times New Roman"/>
          <w:noProof/>
          <w:sz w:val="24"/>
        </w:rPr>
        <w:t>"</w:t>
      </w:r>
      <w:r>
        <w:rPr>
          <w:rStyle w:val="Voetnootmarkering"/>
          <w:rFonts w:ascii="Times New Roman" w:hAnsi="Times New Roman"/>
          <w:noProof/>
          <w:sz w:val="24"/>
        </w:rPr>
        <w:footnoteReference w:id="13"/>
      </w:r>
      <w:r>
        <w:rPr>
          <w:rFonts w:ascii="Times New Roman" w:hAnsi="Times New Roman"/>
          <w:noProof/>
          <w:sz w:val="24"/>
        </w:rPr>
        <w:t xml:space="preserve">. Nieuw in deze definitie was de aanwezigheid van </w:t>
      </w:r>
      <w:r>
        <w:rPr>
          <w:rFonts w:ascii="Times New Roman" w:hAnsi="Times New Roman"/>
          <w:noProof/>
          <w:sz w:val="24"/>
        </w:rPr>
        <w:t>een tweede element. Gewoonlijk wordt de toxiciteit van chemische stoffen bepaald aan de hand van "eindpunten" — anders gezegd de vraag of er schadelijke effecten zijn. Het nieuwe, bijkomende element ligt in het concept "werking", de wijze waarop een chemis</w:t>
      </w:r>
      <w:r>
        <w:rPr>
          <w:rFonts w:ascii="Times New Roman" w:hAnsi="Times New Roman"/>
          <w:noProof/>
          <w:sz w:val="24"/>
        </w:rPr>
        <w:t xml:space="preserve">che stof effect heeft (zie figuur). </w:t>
      </w:r>
    </w:p>
    <w:p w:rsidR="00B25BAB" w:rsidRDefault="006E0A78">
      <w:pPr>
        <w:spacing w:line="240" w:lineRule="auto"/>
        <w:jc w:val="both"/>
        <w:rPr>
          <w:noProof/>
          <w:szCs w:val="24"/>
        </w:rPr>
      </w:pPr>
      <w:r>
        <w:rPr>
          <w:b/>
          <w:noProof/>
          <w:lang w:bidi="ar-SA"/>
        </w:rPr>
        <mc:AlternateContent>
          <mc:Choice Requires="wps">
            <w:drawing>
              <wp:anchor distT="0" distB="0" distL="114300" distR="114300" simplePos="0" relativeHeight="251661312" behindDoc="0" locked="0" layoutInCell="1" allowOverlap="1">
                <wp:simplePos x="0" y="0"/>
                <wp:positionH relativeFrom="column">
                  <wp:posOffset>4175125</wp:posOffset>
                </wp:positionH>
                <wp:positionV relativeFrom="paragraph">
                  <wp:posOffset>151765</wp:posOffset>
                </wp:positionV>
                <wp:extent cx="1066800" cy="2042160"/>
                <wp:effectExtent l="57150" t="38100" r="76200" b="91440"/>
                <wp:wrapNone/>
                <wp:docPr id="2" name="Rounded Rectangle 2"/>
                <wp:cNvGraphicFramePr/>
                <a:graphic xmlns:a="http://schemas.openxmlformats.org/drawingml/2006/main">
                  <a:graphicData uri="http://schemas.microsoft.com/office/word/2010/wordprocessingShape">
                    <wps:wsp>
                      <wps:cNvSpPr/>
                      <wps:spPr>
                        <a:xfrm>
                          <a:off x="0" y="0"/>
                          <a:ext cx="1066800" cy="20421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B25BAB" w:rsidRDefault="006E0A78">
                            <w:pPr>
                              <w:jc w:val="center"/>
                              <w:rPr>
                                <w:b/>
                                <w:lang w:val="de-DE"/>
                              </w:rPr>
                            </w:pPr>
                            <w:proofErr w:type="spellStart"/>
                            <w:r>
                              <w:rPr>
                                <w:b/>
                                <w:lang w:val="de-DE"/>
                              </w:rPr>
                              <w:t>Schadelijk</w:t>
                            </w:r>
                            <w:proofErr w:type="spellEnd"/>
                            <w:r>
                              <w:rPr>
                                <w:b/>
                                <w:lang w:val="de-DE"/>
                              </w:rPr>
                              <w:t xml:space="preserve"> </w:t>
                            </w:r>
                            <w:proofErr w:type="spellStart"/>
                            <w:r>
                              <w:rPr>
                                <w:b/>
                                <w:lang w:val="de-DE"/>
                              </w:rPr>
                              <w:t>effect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left:0;text-align:left;margin-left:328.75pt;margin-top:11.95pt;width:84pt;height:1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bfde [1620]" strokecolor="#4579b8 [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" arcsize="10923f">
                <v:fill type="gradient" color2="#e4ecf5 [500]" colors="0 #a3c4ff;22938f #bfd5ff;1 #e5eeff" angle="180" focus="100%" rotate="t"/>
                <v:shadow on="t" color="black" opacity="24903f" offset="0,.55556mm" origin=",.5"/>
                <v:textbox>
                  <w:txbxContent>
                    <w:p>
                      <w:pPr>
                        <w:jc w:val="center"/>
                        <w:rPr>
                          <w:b/>
                          <w:lang w:val="de-DE"/>
                        </w:rPr>
                      </w:pPr>
                      <w:r>
                        <w:rPr>
                          <w:b/>
                          <w:lang w:val="de-DE"/>
                        </w:rPr>
                        <w:t>Schadelijk effect</w:t>
                      </w:r>
                    </w:p>
                  </w:txbxContent>
                </v:textbox>
              </v:roundrect>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708025</wp:posOffset>
                </wp:positionH>
                <wp:positionV relativeFrom="paragraph">
                  <wp:posOffset>174625</wp:posOffset>
                </wp:positionV>
                <wp:extent cx="1060450" cy="2019300"/>
                <wp:effectExtent l="57150" t="38100" r="82550" b="95250"/>
                <wp:wrapNone/>
                <wp:docPr id="1" name="Rounded Rectangle 1"/>
                <wp:cNvGraphicFramePr/>
                <a:graphic xmlns:a="http://schemas.openxmlformats.org/drawingml/2006/main">
                  <a:graphicData uri="http://schemas.microsoft.com/office/word/2010/wordprocessingShape">
                    <wps:wsp>
                      <wps:cNvSpPr/>
                      <wps:spPr>
                        <a:xfrm>
                          <a:off x="0" y="0"/>
                          <a:ext cx="1060450" cy="20193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B25BAB" w:rsidRDefault="006E0A78">
                            <w:pPr>
                              <w:jc w:val="center"/>
                              <w:rPr>
                                <w:b/>
                                <w:lang w:val="de-DE"/>
                              </w:rPr>
                            </w:pPr>
                            <w:proofErr w:type="spellStart"/>
                            <w:r>
                              <w:rPr>
                                <w:b/>
                                <w:lang w:val="de-DE"/>
                              </w:rPr>
                              <w:t>Endocriene</w:t>
                            </w:r>
                            <w:proofErr w:type="spellEnd"/>
                            <w:r>
                              <w:rPr>
                                <w:b/>
                                <w:lang w:val="de-DE"/>
                              </w:rPr>
                              <w:t xml:space="preserve"> </w:t>
                            </w:r>
                            <w:proofErr w:type="spellStart"/>
                            <w:r>
                              <w:rPr>
                                <w:b/>
                                <w:lang w:val="de-DE"/>
                              </w:rPr>
                              <w:t>werking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style="position:absolute;left:0;text-align:left;margin-left:55.75pt;margin-top:13.75pt;width:83.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a7bfde [1620]" strokecolor="#4579b8 [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" arcsize="10923f">
                <v:fill type="gradient" color2="#e4ecf5 [500]" colors="0 #a3c4ff;22938f #bfd5ff;1 #e5eeff" angle="180" focus="100%" rotate="t"/>
                <v:shadow on="t" color="black" opacity="24903f" offset="0,.55556mm" origin=",.5"/>
                <v:textbox>
                  <w:txbxContent>
                    <w:p>
                      <w:pPr>
                        <w:jc w:val="center"/>
                        <w:rPr>
                          <w:b/>
                          <w:lang w:val="de-DE"/>
                        </w:rPr>
                      </w:pPr>
                      <w:r>
                        <w:rPr>
                          <w:b/>
                          <w:lang w:val="de-DE"/>
                        </w:rPr>
                        <w:t>Endocriene werking</w:t>
                      </w:r>
                    </w:p>
                  </w:txbxContent>
                </v:textbox>
              </v:roundrect>
            </w:pict>
          </mc:Fallback>
        </mc:AlternateContent>
      </w:r>
      <w:r>
        <w:rPr>
          <w:rFonts w:ascii="Times New Roman" w:hAnsi="Times New Roman"/>
          <w:b/>
          <w:noProof/>
          <w:sz w:val="24"/>
        </w:rPr>
        <w:t xml:space="preserve">Figuur </w:t>
      </w:r>
    </w:p>
    <w:p w:rsidR="00B25BAB" w:rsidRDefault="00B25BAB">
      <w:pPr>
        <w:rPr>
          <w:noProof/>
        </w:rPr>
      </w:pPr>
    </w:p>
    <w:p w:rsidR="00B25BAB" w:rsidRDefault="00B25BAB">
      <w:pPr>
        <w:spacing w:after="0"/>
        <w:rPr>
          <w:noProof/>
        </w:rPr>
      </w:pPr>
    </w:p>
    <w:p w:rsidR="00B25BAB" w:rsidRDefault="006E0A78">
      <w:pPr>
        <w:spacing w:after="0"/>
        <w:rPr>
          <w:noProof/>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1767205</wp:posOffset>
                </wp:positionH>
                <wp:positionV relativeFrom="paragraph">
                  <wp:posOffset>85090</wp:posOffset>
                </wp:positionV>
                <wp:extent cx="2415540" cy="633730"/>
                <wp:effectExtent l="0" t="0" r="22860" b="13970"/>
                <wp:wrapNone/>
                <wp:docPr id="19" name="Rectangle 19"/>
                <wp:cNvGraphicFramePr/>
                <a:graphic xmlns:a="http://schemas.openxmlformats.org/drawingml/2006/main">
                  <a:graphicData uri="http://schemas.microsoft.com/office/word/2010/wordprocessingShape">
                    <wps:wsp>
                      <wps:cNvSpPr/>
                      <wps:spPr>
                        <a:xfrm>
                          <a:off x="0" y="0"/>
                          <a:ext cx="2415540" cy="633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5BAB" w:rsidRDefault="006E0A78">
                            <w:pPr>
                              <w:jc w:val="center"/>
                              <w:rPr>
                                <w:b/>
                              </w:rPr>
                            </w:pPr>
                            <w:r>
                              <w:rPr>
                                <w:b/>
                              </w:rPr>
                              <w:t>Causaliteit/correlatie</w:t>
                            </w:r>
                            <w:r>
                              <w:rPr>
                                <w:b/>
                              </w:rPr>
                              <w:br/>
                              <w:t>("en als gevolg daarvan")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139.15pt;margin-top:6.7pt;width:190.2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3204]" strokecolor="#243f60 [160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">
                <v:textbox>
                  <w:txbxContent>
                    <w:p>
                      <w:pPr>
                        <w:jc w:val="center"/>
                        <w:rPr>
                          <w:b/>
                        </w:rPr>
                      </w:pPr>
                      <w:r>
                        <w:rPr>
                          <w:b/>
                        </w:rPr>
                        <w:t>Causaliteit/correlatie</w:t>
                      </w:r>
                      <w:r>
                        <w:rPr>
                          <w:b/>
                        </w:rPr>
                        <w:br/>
                        <w:t>("en als gevolg daarvan")</w:t>
                      </w:r>
                    </w:p>
                  </w:txbxContent>
                </v:textbox>
              </v:rect>
            </w:pict>
          </mc:Fallback>
        </mc:AlternateContent>
      </w:r>
    </w:p>
    <w:p w:rsidR="00B25BAB" w:rsidRDefault="00B25BAB">
      <w:pPr>
        <w:spacing w:after="0"/>
        <w:rPr>
          <w:noProof/>
        </w:rPr>
      </w:pPr>
    </w:p>
    <w:p w:rsidR="00B25BAB" w:rsidRDefault="00B25BAB">
      <w:pPr>
        <w:spacing w:after="0"/>
        <w:rPr>
          <w:noProof/>
        </w:rPr>
      </w:pPr>
    </w:p>
    <w:p w:rsidR="00B25BAB" w:rsidRDefault="00B25BAB">
      <w:pPr>
        <w:spacing w:after="0"/>
        <w:rPr>
          <w:noProof/>
        </w:rPr>
      </w:pPr>
    </w:p>
    <w:p w:rsidR="00B25BAB" w:rsidRDefault="00B25BAB">
      <w:pPr>
        <w:spacing w:after="0"/>
        <w:rPr>
          <w:noProof/>
        </w:rPr>
      </w:pPr>
    </w:p>
    <w:p w:rsidR="00B25BAB" w:rsidRDefault="00B25BAB">
      <w:pPr>
        <w:spacing w:after="0"/>
        <w:rPr>
          <w:noProof/>
        </w:rPr>
      </w:pPr>
    </w:p>
    <w:p w:rsidR="00B25BAB" w:rsidRDefault="00B25BAB">
      <w:pPr>
        <w:spacing w:after="0"/>
        <w:rPr>
          <w:noProof/>
        </w:rPr>
      </w:pPr>
    </w:p>
    <w:p w:rsidR="00B25BAB" w:rsidRDefault="00B25BAB">
      <w:pPr>
        <w:spacing w:line="240" w:lineRule="auto"/>
        <w:jc w:val="center"/>
        <w:rPr>
          <w:rFonts w:ascii="Times New Roman" w:hAnsi="Times New Roman" w:cs="Times New Roman"/>
          <w:b/>
          <w:noProof/>
          <w:sz w:val="24"/>
          <w:szCs w:val="24"/>
        </w:rPr>
      </w:pP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Met de wetenschappelijke ontwerpcriteria die nu worden voorgesteld, wordt beoogd naast het schadelijk effect ook het concept "endocriene werking" in de wettelijke bepalingen op te nemen als te overwegen element bij de identificatie van hormoonontregelaars </w:t>
      </w:r>
      <w:r>
        <w:rPr>
          <w:rFonts w:ascii="Times New Roman" w:hAnsi="Times New Roman"/>
          <w:noProof/>
          <w:sz w:val="24"/>
        </w:rPr>
        <w:t xml:space="preserve">in de twee betrokken productsectoren. </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Meer specifiek wordt de endocriene werking in de criteria beschreven als "</w:t>
      </w:r>
      <w:r>
        <w:rPr>
          <w:rFonts w:ascii="Times New Roman" w:hAnsi="Times New Roman"/>
          <w:i/>
          <w:noProof/>
          <w:sz w:val="24"/>
        </w:rPr>
        <w:t>het inherente vermogen van een stof om met een of meer componenten van een endocrien systeem te interageren of om deze te verstoren</w:t>
      </w:r>
      <w:r>
        <w:rPr>
          <w:rFonts w:ascii="Times New Roman" w:hAnsi="Times New Roman"/>
          <w:noProof/>
          <w:sz w:val="24"/>
        </w:rPr>
        <w:t>", zonder da</w:t>
      </w:r>
      <w:r>
        <w:rPr>
          <w:rFonts w:ascii="Times New Roman" w:hAnsi="Times New Roman"/>
          <w:noProof/>
          <w:sz w:val="24"/>
        </w:rPr>
        <w:t>t zij noodzakelijkerwijs tot schadelijke effecten leidt. In overeenstemming met het advies van de Europese Autoriteit voor voedselveiligheid wordt ook verduidelijkt dat een endocriene werking op zich geen (eco)toxicologisch gevaar inhoudt</w:t>
      </w:r>
      <w:r>
        <w:rPr>
          <w:rStyle w:val="Voetnootmarkering"/>
          <w:rFonts w:ascii="Times New Roman" w:hAnsi="Times New Roman"/>
          <w:noProof/>
          <w:sz w:val="24"/>
        </w:rPr>
        <w:footnoteReference w:id="14"/>
      </w:r>
      <w:r>
        <w:rPr>
          <w:rFonts w:ascii="Times New Roman" w:hAnsi="Times New Roman"/>
          <w:noProof/>
          <w:sz w:val="24"/>
        </w:rPr>
        <w:t>.</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Momenteel staan</w:t>
      </w:r>
      <w:r>
        <w:rPr>
          <w:rFonts w:ascii="Times New Roman" w:hAnsi="Times New Roman"/>
          <w:noProof/>
          <w:sz w:val="24"/>
        </w:rPr>
        <w:t xml:space="preserve"> in de bespreking over de endocriene werking de hormoonsystemen met betrekking tot oestrogeen, androgeen en schildklierhormoon en de steroïdogenese centraal — omdat enkel op die gebieden genormaliseerde tests bestaan</w:t>
      </w:r>
      <w:r>
        <w:rPr>
          <w:rStyle w:val="Voetnootmarkering"/>
          <w:rFonts w:ascii="Times New Roman" w:hAnsi="Times New Roman"/>
          <w:noProof/>
          <w:sz w:val="24"/>
        </w:rPr>
        <w:footnoteReference w:id="15"/>
      </w:r>
      <w:r>
        <w:rPr>
          <w:rFonts w:ascii="Times New Roman" w:hAnsi="Times New Roman"/>
          <w:noProof/>
          <w:sz w:val="24"/>
        </w:rPr>
        <w:t>. De ontwerpmaatregelen zijn echter nie</w:t>
      </w:r>
      <w:r>
        <w:rPr>
          <w:rFonts w:ascii="Times New Roman" w:hAnsi="Times New Roman"/>
          <w:noProof/>
          <w:sz w:val="24"/>
        </w:rPr>
        <w:t>t beperkt tot deze hormoonsystemen, met het oog op de afstemming op wetenschappelijke ontwikkelingen in de toekomst.</w:t>
      </w:r>
    </w:p>
    <w:p w:rsidR="00B25BAB" w:rsidRDefault="006E0A78">
      <w:pPr>
        <w:spacing w:line="240" w:lineRule="auto"/>
        <w:jc w:val="both"/>
        <w:rPr>
          <w:rFonts w:ascii="Times New Roman" w:hAnsi="Times New Roman" w:cs="Times New Roman"/>
          <w:b/>
          <w:i/>
          <w:noProof/>
          <w:sz w:val="24"/>
          <w:szCs w:val="24"/>
        </w:rPr>
      </w:pPr>
      <w:r>
        <w:rPr>
          <w:rFonts w:ascii="Times New Roman" w:hAnsi="Times New Roman"/>
          <w:b/>
          <w:i/>
          <w:noProof/>
          <w:sz w:val="24"/>
        </w:rPr>
        <w:t xml:space="preserve">Definitie van "schadelijk effect" </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In de criteria moest onder meer worden ingegaan op de kwestie in verband met de definitie van het "schad</w:t>
      </w:r>
      <w:r>
        <w:rPr>
          <w:rFonts w:ascii="Times New Roman" w:hAnsi="Times New Roman"/>
          <w:noProof/>
          <w:sz w:val="24"/>
        </w:rPr>
        <w:t>elijk effect". De Commissie zal de definitie van het Internationaal Programma voor chemische veiligheid hanteren. Die luidt als volgt: "</w:t>
      </w:r>
      <w:r>
        <w:rPr>
          <w:rFonts w:ascii="Times New Roman" w:hAnsi="Times New Roman"/>
          <w:i/>
          <w:noProof/>
          <w:sz w:val="24"/>
        </w:rPr>
        <w:t>een verandering in de morfologie, fysiologie, groei, ontwikkeling, voortplanting of levensduur van een organisme, systee</w:t>
      </w:r>
      <w:r>
        <w:rPr>
          <w:rFonts w:ascii="Times New Roman" w:hAnsi="Times New Roman"/>
          <w:i/>
          <w:noProof/>
          <w:sz w:val="24"/>
        </w:rPr>
        <w:t>m of (deel)populatie die leidt tot een functiebeperking, een beperking van het vermogen om bijkomende belasting te compenseren of een grotere gevoeligheid voor andere factoren</w:t>
      </w:r>
      <w:r>
        <w:rPr>
          <w:rStyle w:val="Voetnootmarkering"/>
          <w:rFonts w:ascii="Times New Roman" w:hAnsi="Times New Roman"/>
          <w:noProof/>
          <w:sz w:val="24"/>
        </w:rPr>
        <w:footnoteReference w:id="16"/>
      </w:r>
      <w:r>
        <w:rPr>
          <w:rFonts w:ascii="Times New Roman" w:hAnsi="Times New Roman"/>
          <w:noProof/>
          <w:sz w:val="24"/>
        </w:rPr>
        <w:t>".</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De uitdaging bestaat erin de mogelijk schadelijke aard van een effect op </w:t>
      </w:r>
      <w:r>
        <w:rPr>
          <w:rFonts w:ascii="Times New Roman" w:hAnsi="Times New Roman"/>
          <w:noProof/>
          <w:sz w:val="24"/>
        </w:rPr>
        <w:t>suborganisch niveau (moleculair of celniveau) te beoordelen. De Europese Autoriteit voor voedselveiligheid heeft in 2013 besloten een onderscheid te maken naargelang van de waargenomen mate van verandering: "</w:t>
      </w:r>
      <w:r>
        <w:rPr>
          <w:rFonts w:ascii="Times New Roman" w:hAnsi="Times New Roman"/>
          <w:i/>
          <w:noProof/>
          <w:sz w:val="24"/>
        </w:rPr>
        <w:t>daarom zullen deskundigen geval per geval de tox</w:t>
      </w:r>
      <w:r>
        <w:rPr>
          <w:rFonts w:ascii="Times New Roman" w:hAnsi="Times New Roman"/>
          <w:i/>
          <w:noProof/>
          <w:sz w:val="24"/>
        </w:rPr>
        <w:t>icologische relevantie van [...] veranderingen moeten beoordelen. Over het algemeen kunnen tijdelijke, inconsistente en geringe schommelingen op biochemisch en moleculair niveau als adaptief (d.w.z. niet-schadelijk) worden aangemerkt, terwijl blijvende, co</w:t>
      </w:r>
      <w:r>
        <w:rPr>
          <w:rFonts w:ascii="Times New Roman" w:hAnsi="Times New Roman"/>
          <w:i/>
          <w:noProof/>
          <w:sz w:val="24"/>
        </w:rPr>
        <w:t>nsistente en permanente veranderingen op het niveau van cellen, organen of organismen, met pathologie of functiebeperking in vivo als gevolg, evenals ontwikkelingen volgens een verschillend tempo als schadelijk kunnen worden aangemerkt</w:t>
      </w:r>
      <w:r>
        <w:rPr>
          <w:rStyle w:val="Voetnootmarkering"/>
          <w:rFonts w:ascii="Times New Roman" w:hAnsi="Times New Roman"/>
          <w:noProof/>
          <w:sz w:val="24"/>
        </w:rPr>
        <w:footnoteReference w:id="17"/>
      </w:r>
      <w:r>
        <w:rPr>
          <w:rFonts w:ascii="Times New Roman" w:hAnsi="Times New Roman"/>
          <w:noProof/>
          <w:sz w:val="24"/>
        </w:rPr>
        <w:t>". De Commissie volg</w:t>
      </w:r>
      <w:r>
        <w:rPr>
          <w:rFonts w:ascii="Times New Roman" w:hAnsi="Times New Roman"/>
          <w:noProof/>
          <w:sz w:val="24"/>
        </w:rPr>
        <w:t>t deze benadering.</w:t>
      </w:r>
    </w:p>
    <w:p w:rsidR="00B25BAB" w:rsidRDefault="006E0A78">
      <w:pPr>
        <w:spacing w:line="240" w:lineRule="auto"/>
        <w:jc w:val="both"/>
        <w:rPr>
          <w:rFonts w:ascii="Times New Roman" w:hAnsi="Times New Roman" w:cs="Times New Roman"/>
          <w:i/>
          <w:noProof/>
          <w:sz w:val="24"/>
          <w:szCs w:val="24"/>
        </w:rPr>
      </w:pPr>
      <w:r>
        <w:rPr>
          <w:rFonts w:ascii="Times New Roman" w:hAnsi="Times New Roman"/>
          <w:noProof/>
          <w:sz w:val="24"/>
        </w:rPr>
        <w:t>In de criteria wordt tevens benadrukt dat de met hormonen samenhangende schadelijke effecten die slechts een indirect gevolg zijn en met name zijn veroorzaakt door niet-endocriene toxiciteit, er niet toe leiden dat een stof wordt aangeme</w:t>
      </w:r>
      <w:r>
        <w:rPr>
          <w:rFonts w:ascii="Times New Roman" w:hAnsi="Times New Roman"/>
          <w:noProof/>
          <w:sz w:val="24"/>
        </w:rPr>
        <w:t>rkt als hormoonontregelaar</w:t>
      </w:r>
      <w:r>
        <w:rPr>
          <w:rStyle w:val="Voetnootmarkering"/>
          <w:rFonts w:ascii="Times New Roman" w:hAnsi="Times New Roman"/>
          <w:noProof/>
          <w:sz w:val="24"/>
        </w:rPr>
        <w:footnoteReference w:id="18"/>
      </w:r>
      <w:r>
        <w:rPr>
          <w:rFonts w:ascii="Times New Roman" w:hAnsi="Times New Roman"/>
          <w:noProof/>
          <w:sz w:val="24"/>
        </w:rPr>
        <w:t>. Deze toelichting is nodig, want er kunnen reacties van het hormoonsysteem optreden die, zoals geldt voor het resultaat van elke algehele toxiciteit, eerder het gevolg zijn dan de oorzaak van het specifieke schadelijk effect dat</w:t>
      </w:r>
      <w:r>
        <w:rPr>
          <w:rFonts w:ascii="Times New Roman" w:hAnsi="Times New Roman"/>
          <w:noProof/>
          <w:sz w:val="24"/>
        </w:rPr>
        <w:t xml:space="preserve"> wordt waargenomen.</w:t>
      </w:r>
    </w:p>
    <w:p w:rsidR="00B25BAB" w:rsidRDefault="006E0A78">
      <w:pPr>
        <w:spacing w:line="240" w:lineRule="auto"/>
        <w:jc w:val="both"/>
        <w:rPr>
          <w:rFonts w:ascii="Times New Roman" w:hAnsi="Times New Roman" w:eastAsia="Times New Roman" w:cs="Times New Roman"/>
          <w:b/>
          <w:bCs/>
          <w:i/>
          <w:noProof/>
          <w:sz w:val="24"/>
          <w:szCs w:val="20"/>
        </w:rPr>
      </w:pPr>
      <w:r>
        <w:rPr>
          <w:rFonts w:ascii="Times New Roman" w:hAnsi="Times New Roman"/>
          <w:b/>
          <w:i/>
          <w:noProof/>
          <w:sz w:val="24"/>
        </w:rPr>
        <w:t>Vaststelling van de causaliteit</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Centraal in de definitie uit 2002 staat het verband tussen de werking en het schadelijk effect (de wending "en als gevolg daarvan"). Dit roept de vraag op in hoeverre dit verband duidelijk moet zijn vastg</w:t>
      </w:r>
      <w:r>
        <w:rPr>
          <w:rFonts w:ascii="Times New Roman" w:hAnsi="Times New Roman"/>
          <w:noProof/>
          <w:sz w:val="24"/>
        </w:rPr>
        <w:t xml:space="preserve">esteld — de mate waarin strikte causaliteit is vereist. In 2013 heeft de Europese Autoriteit voor voedselveiligheid geconcludeerd dat er nood is aan </w:t>
      </w:r>
      <w:r>
        <w:rPr>
          <w:rFonts w:ascii="Times New Roman" w:hAnsi="Times New Roman"/>
          <w:i/>
          <w:noProof/>
          <w:sz w:val="24"/>
        </w:rPr>
        <w:t>"overtuigende empirische gegevens voor een biologisch plausibel causaal verband tussen de [endocriene werki</w:t>
      </w:r>
      <w:r>
        <w:rPr>
          <w:rFonts w:ascii="Times New Roman" w:hAnsi="Times New Roman"/>
          <w:i/>
          <w:noProof/>
          <w:sz w:val="24"/>
        </w:rPr>
        <w:t>ng] en de schadelijke effecten die door middel van onderzoek worden vastgesteld in een intact organisme</w:t>
      </w:r>
      <w:r>
        <w:rPr>
          <w:rFonts w:ascii="Times New Roman" w:hAnsi="Times New Roman"/>
          <w:noProof/>
          <w:sz w:val="24"/>
        </w:rPr>
        <w:t>", d.w.z. "overtuigende empirische gegevens" om causaliteit vast te stellen. Het alternatief zou een striktere benadering van causaliteit zijn geweest (d</w:t>
      </w:r>
      <w:r>
        <w:rPr>
          <w:rFonts w:ascii="Times New Roman" w:hAnsi="Times New Roman"/>
          <w:noProof/>
          <w:sz w:val="24"/>
        </w:rPr>
        <w:t>oor bijvoorbeeld te verlangen naar een "sluitend bewijs" van het verband). De Commissie is van oordeel dat het in de praktijk bijzonder moeilijk zal zijn om "sluitend bewijs" van causaliteit te leveren. Daarom wil de Commissie conceptueel uitgaan van overt</w:t>
      </w:r>
      <w:r>
        <w:rPr>
          <w:rFonts w:ascii="Times New Roman" w:hAnsi="Times New Roman"/>
          <w:noProof/>
          <w:sz w:val="24"/>
        </w:rPr>
        <w:t>uigende gegevens ("biologische plausibiliteit") voor de vaststelling van causaliteit.</w:t>
      </w:r>
    </w:p>
    <w:p w:rsidR="00B25BAB" w:rsidRDefault="006E0A78">
      <w:pPr>
        <w:spacing w:line="240" w:lineRule="auto"/>
        <w:jc w:val="both"/>
        <w:rPr>
          <w:rFonts w:ascii="Times New Roman" w:hAnsi="Times New Roman" w:eastAsia="Times New Roman" w:cs="Times New Roman"/>
          <w:b/>
          <w:bCs/>
          <w:i/>
          <w:noProof/>
          <w:sz w:val="24"/>
          <w:szCs w:val="20"/>
        </w:rPr>
      </w:pPr>
      <w:r>
        <w:rPr>
          <w:rFonts w:ascii="Times New Roman" w:hAnsi="Times New Roman"/>
          <w:b/>
          <w:i/>
          <w:noProof/>
          <w:sz w:val="24"/>
        </w:rPr>
        <w:t>De relevantie van "categorieën"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In het debat over criteria om te bepalen welke stoffen hormoonontregelaars zijn, werd soms voorgesteld een systeem van "categorieën" hormo</w:t>
      </w:r>
      <w:r>
        <w:rPr>
          <w:rFonts w:ascii="Times New Roman" w:hAnsi="Times New Roman"/>
          <w:noProof/>
          <w:sz w:val="24"/>
        </w:rPr>
        <w:t>onontregelaars in te stellen. Deze "categorieën" geven aan in welke mate er wetenschappelijk bewijs bestaat voor de endocriene werking, het schadelijk effect en het oorzakelijk verband tussen beide (of een combinatie van deze elementen)</w:t>
      </w:r>
      <w:r>
        <w:rPr>
          <w:rStyle w:val="Voetnootmarkering"/>
          <w:rFonts w:ascii="Times New Roman" w:hAnsi="Times New Roman"/>
          <w:noProof/>
          <w:sz w:val="24"/>
        </w:rPr>
        <w:footnoteReference w:id="19"/>
      </w:r>
      <w:r>
        <w:rPr>
          <w:rFonts w:ascii="Times New Roman" w:hAnsi="Times New Roman"/>
          <w:noProof/>
          <w:sz w:val="24"/>
        </w:rPr>
        <w:t>. Voorgestelde cate</w:t>
      </w:r>
      <w:r>
        <w:rPr>
          <w:rFonts w:ascii="Times New Roman" w:hAnsi="Times New Roman"/>
          <w:noProof/>
          <w:sz w:val="24"/>
        </w:rPr>
        <w:t>gorieën zijn bijvoorbeeld "vermoedelijk hormoonontregelende stoffen", of stoffen die enkel een endocriene werking vertonen (d.w.z. zonder wetenschappelijk bewijs voor een schadelijk effect).</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Commissie is van oordeel dat de vaststelling van verschillende</w:t>
      </w:r>
      <w:r>
        <w:rPr>
          <w:rFonts w:ascii="Times New Roman" w:hAnsi="Times New Roman"/>
          <w:noProof/>
          <w:sz w:val="24"/>
        </w:rPr>
        <w:t xml:space="preserve"> categorieën van </w:t>
      </w:r>
      <w:r>
        <w:rPr>
          <w:rFonts w:ascii="Times New Roman" w:hAnsi="Times New Roman"/>
          <w:i/>
          <w:noProof/>
          <w:sz w:val="24"/>
        </w:rPr>
        <w:t>eventuele</w:t>
      </w:r>
      <w:r>
        <w:rPr>
          <w:rFonts w:ascii="Times New Roman" w:hAnsi="Times New Roman"/>
          <w:noProof/>
          <w:sz w:val="24"/>
        </w:rPr>
        <w:t xml:space="preserve"> hormoonontregelaars niet bijdraagt aan de identificatie van </w:t>
      </w:r>
      <w:r>
        <w:rPr>
          <w:rFonts w:ascii="Times New Roman" w:hAnsi="Times New Roman"/>
          <w:i/>
          <w:noProof/>
          <w:sz w:val="24"/>
        </w:rPr>
        <w:t>reële</w:t>
      </w:r>
      <w:r>
        <w:rPr>
          <w:rFonts w:ascii="Times New Roman" w:hAnsi="Times New Roman"/>
          <w:noProof/>
          <w:sz w:val="24"/>
        </w:rPr>
        <w:t xml:space="preserve"> hormoonontregelaars in het kader van biociden en gewasbeschermingsmiddelen. Bovendien zou een dergelijke categorisering bij gewasbeschermingsmiddelen en biociden d</w:t>
      </w:r>
      <w:r>
        <w:rPr>
          <w:rFonts w:ascii="Times New Roman" w:hAnsi="Times New Roman"/>
          <w:noProof/>
          <w:sz w:val="24"/>
        </w:rPr>
        <w:t>e rechtszekerheid voor regelgevende instanties en belanghebbenden verminderen, zonder dat de baten voor de bescherming van gezondheid en milieu zijn vastgesteld</w:t>
      </w:r>
      <w:r>
        <w:rPr>
          <w:rStyle w:val="Voetnootmarkering"/>
          <w:rFonts w:ascii="Times New Roman" w:hAnsi="Times New Roman"/>
          <w:noProof/>
          <w:sz w:val="24"/>
        </w:rPr>
        <w:footnoteReference w:id="20"/>
      </w:r>
      <w:r>
        <w:rPr>
          <w:rFonts w:ascii="Times New Roman" w:hAnsi="Times New Roman"/>
          <w:noProof/>
          <w:sz w:val="24"/>
        </w:rPr>
        <w:t>.</w:t>
      </w:r>
    </w:p>
    <w:p w:rsidR="00B25BAB" w:rsidRDefault="006E0A78">
      <w:pPr>
        <w:spacing w:line="240" w:lineRule="auto"/>
        <w:jc w:val="both"/>
        <w:rPr>
          <w:rFonts w:ascii="Times New Roman" w:hAnsi="Times New Roman" w:eastAsia="Times New Roman" w:cs="Times New Roman"/>
          <w:b/>
          <w:bCs/>
          <w:i/>
          <w:noProof/>
          <w:sz w:val="24"/>
          <w:szCs w:val="20"/>
        </w:rPr>
      </w:pPr>
      <w:r>
        <w:rPr>
          <w:rFonts w:ascii="Times New Roman" w:hAnsi="Times New Roman"/>
          <w:b/>
          <w:i/>
          <w:noProof/>
          <w:sz w:val="24"/>
        </w:rPr>
        <w:t>Het debat over een "veilige drempelwaarde" voor hormoonontregelaars</w:t>
      </w:r>
    </w:p>
    <w:p w:rsidR="00B25BAB" w:rsidRDefault="006E0A78">
      <w:pPr>
        <w:pStyle w:val="Kop2"/>
        <w:keepNext w:val="0"/>
        <w:keepLines w:val="0"/>
        <w:tabs>
          <w:tab w:val="num" w:pos="1080"/>
        </w:tabs>
        <w:spacing w:before="0" w:after="240"/>
        <w:jc w:val="both"/>
        <w:rPr>
          <w:rFonts w:ascii="Times New Roman" w:hAnsi="Times New Roman" w:cs="Times New Roman" w:eastAsiaTheme="minorHAnsi"/>
          <w:b w:val="0"/>
          <w:bCs w:val="0"/>
          <w:i/>
          <w:noProof/>
          <w:color w:val="auto"/>
          <w:sz w:val="24"/>
          <w:szCs w:val="24"/>
        </w:rPr>
      </w:pPr>
      <w:r>
        <w:rPr>
          <w:rFonts w:ascii="Times New Roman" w:hAnsi="Times New Roman" w:eastAsiaTheme="minorHAnsi"/>
          <w:b w:val="0"/>
          <w:noProof/>
          <w:color w:val="auto"/>
          <w:sz w:val="24"/>
        </w:rPr>
        <w:t>Gewoonlijk wordt de veili</w:t>
      </w:r>
      <w:r>
        <w:rPr>
          <w:rFonts w:ascii="Times New Roman" w:hAnsi="Times New Roman" w:eastAsiaTheme="minorHAnsi"/>
          <w:b w:val="0"/>
          <w:noProof/>
          <w:color w:val="auto"/>
          <w:sz w:val="24"/>
        </w:rPr>
        <w:t>gheid van een chemische stof aangetoond aan de hand van een "veilige drempelwaarde". Deze geeft aan onder welke dosis naar verwachting geen schadelijk effect zal optreden</w:t>
      </w:r>
      <w:r>
        <w:rPr>
          <w:rStyle w:val="Voetnootmarkering"/>
          <w:rFonts w:ascii="Times New Roman" w:hAnsi="Times New Roman" w:eastAsiaTheme="minorHAnsi"/>
          <w:b w:val="0"/>
          <w:noProof/>
          <w:color w:val="auto"/>
          <w:sz w:val="24"/>
        </w:rPr>
        <w:footnoteReference w:id="21"/>
      </w:r>
      <w:r>
        <w:rPr>
          <w:rFonts w:ascii="Times New Roman" w:hAnsi="Times New Roman" w:eastAsiaTheme="minorHAnsi"/>
          <w:b w:val="0"/>
          <w:noProof/>
          <w:color w:val="auto"/>
          <w:sz w:val="24"/>
        </w:rPr>
        <w:t xml:space="preserve">. Zodra dit niveau proefondervindelijk is vastgesteld, wordt doorgaans een </w:t>
      </w:r>
      <w:r>
        <w:rPr>
          <w:rFonts w:ascii="Times New Roman" w:hAnsi="Times New Roman" w:eastAsiaTheme="minorHAnsi"/>
          <w:b w:val="0"/>
          <w:noProof/>
          <w:color w:val="auto"/>
          <w:sz w:val="24"/>
        </w:rPr>
        <w:t>veiligheidsmarge ingebouwd door de eerder vastgestelde drempel tot een klein percentage daarvan te verlagen — bijvoorbeeld tot 1 % van de eerder vastgestelde drempel. Dit concept wordt in de hele wereld door regelgevende instanties gehanteerd</w:t>
      </w:r>
      <w:r>
        <w:rPr>
          <w:rStyle w:val="Voetnootmarkering"/>
          <w:rFonts w:ascii="Times New Roman" w:hAnsi="Times New Roman" w:eastAsiaTheme="minorHAnsi"/>
          <w:b w:val="0"/>
          <w:noProof/>
          <w:color w:val="auto"/>
          <w:sz w:val="24"/>
        </w:rPr>
        <w:footnoteReference w:id="22"/>
      </w:r>
      <w:r>
        <w:rPr>
          <w:rFonts w:ascii="Times New Roman" w:hAnsi="Times New Roman" w:eastAsiaTheme="minorHAnsi"/>
          <w:b w:val="0"/>
          <w:noProof/>
          <w:color w:val="auto"/>
          <w:sz w:val="24"/>
        </w:rPr>
        <w:t xml:space="preserve">, maar geeft </w:t>
      </w:r>
      <w:r>
        <w:rPr>
          <w:rFonts w:ascii="Times New Roman" w:hAnsi="Times New Roman" w:eastAsiaTheme="minorHAnsi"/>
          <w:b w:val="0"/>
          <w:noProof/>
          <w:color w:val="auto"/>
          <w:sz w:val="24"/>
        </w:rPr>
        <w:t xml:space="preserve">niettemin aanleiding tot controverse op het gebied van hormoonontregelaars — waar discussie is over de vraag of een veilige drempelwaarde überhaupt kan worden vastgesteld, dan wel de risico's geval per geval kunnen worden beoordeeld. De Commissie acht een </w:t>
      </w:r>
      <w:r>
        <w:rPr>
          <w:rFonts w:ascii="Times New Roman" w:hAnsi="Times New Roman" w:eastAsiaTheme="minorHAnsi"/>
          <w:b w:val="0"/>
          <w:noProof/>
          <w:color w:val="auto"/>
          <w:sz w:val="24"/>
        </w:rPr>
        <w:t>antwoord op de vraag of er een drempel bestaat, niet nodig en niet passend voor de vaststelling van wetenschappelijke criteria om te bepalen welke stoffen hormoonontregelaars zijn.</w:t>
      </w:r>
    </w:p>
    <w:p w:rsidR="00B25BAB" w:rsidRDefault="006E0A78">
      <w:pPr>
        <w:pStyle w:val="Kop2"/>
        <w:keepLines w:val="0"/>
        <w:tabs>
          <w:tab w:val="num" w:pos="1080"/>
        </w:tabs>
        <w:spacing w:before="0" w:after="240"/>
        <w:jc w:val="both"/>
        <w:rPr>
          <w:rFonts w:ascii="Times New Roman" w:hAnsi="Times New Roman" w:eastAsia="Times New Roman" w:cs="Times New Roman"/>
          <w:bCs w:val="0"/>
          <w:i/>
          <w:noProof/>
          <w:color w:val="auto"/>
          <w:sz w:val="24"/>
          <w:szCs w:val="20"/>
        </w:rPr>
      </w:pPr>
      <w:r>
        <w:rPr>
          <w:rFonts w:ascii="Times New Roman" w:hAnsi="Times New Roman"/>
          <w:i/>
          <w:noProof/>
          <w:color w:val="auto"/>
          <w:sz w:val="24"/>
        </w:rPr>
        <w:t>De relevantie van de werkzaamheid</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werkzaamheid van een chemische stof be</w:t>
      </w:r>
      <w:r>
        <w:rPr>
          <w:rFonts w:ascii="Times New Roman" w:hAnsi="Times New Roman"/>
          <w:noProof/>
          <w:sz w:val="24"/>
        </w:rPr>
        <w:t>schrijft het vermogen van die stof om een effect teweeg te brengen bij een specifiek doseringsniveau</w:t>
      </w:r>
      <w:r>
        <w:rPr>
          <w:rStyle w:val="Voetnootmarkering"/>
          <w:rFonts w:ascii="Times New Roman" w:hAnsi="Times New Roman"/>
          <w:noProof/>
          <w:sz w:val="24"/>
        </w:rPr>
        <w:footnoteReference w:id="23"/>
      </w:r>
      <w:r>
        <w:rPr>
          <w:rFonts w:ascii="Times New Roman" w:hAnsi="Times New Roman"/>
          <w:noProof/>
          <w:sz w:val="24"/>
        </w:rPr>
        <w:t>. In de algemene wetgeving van de EU betreffende de indeling van chemische stoffen</w:t>
      </w:r>
      <w:r>
        <w:rPr>
          <w:rStyle w:val="Voetnootmarkering"/>
          <w:rFonts w:ascii="Times New Roman" w:hAnsi="Times New Roman"/>
          <w:noProof/>
          <w:sz w:val="24"/>
        </w:rPr>
        <w:footnoteReference w:id="24"/>
      </w:r>
      <w:r>
        <w:rPr>
          <w:rFonts w:ascii="Times New Roman" w:hAnsi="Times New Roman"/>
          <w:noProof/>
          <w:sz w:val="24"/>
        </w:rPr>
        <w:t xml:space="preserve"> — op basis van het wereldwijd geharmoniseerd systeem — wordt aan de han</w:t>
      </w:r>
      <w:r>
        <w:rPr>
          <w:rFonts w:ascii="Times New Roman" w:hAnsi="Times New Roman"/>
          <w:noProof/>
          <w:sz w:val="24"/>
        </w:rPr>
        <w:t>d van de werkzaamheid bepaald onder welke gevarencategorie een stof moet vallen</w:t>
      </w:r>
      <w:r>
        <w:rPr>
          <w:rStyle w:val="Voetnootmarkering"/>
          <w:rFonts w:ascii="Times New Roman" w:hAnsi="Times New Roman"/>
          <w:noProof/>
          <w:sz w:val="24"/>
        </w:rPr>
        <w:footnoteReference w:id="25"/>
      </w:r>
      <w:r>
        <w:rPr>
          <w:rFonts w:ascii="Times New Roman" w:hAnsi="Times New Roman"/>
          <w:noProof/>
          <w:sz w:val="24"/>
        </w:rPr>
        <w:t>. Bij risicobeoordeling is het nodig de werkzaamheid in aanmerking te nemen. Dit kan ook nuttig zijn om stoffen te prioriteren en te screenen.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Om te bepalen welke stoffen hormo</w:t>
      </w:r>
      <w:r>
        <w:rPr>
          <w:rFonts w:ascii="Times New Roman" w:hAnsi="Times New Roman"/>
          <w:noProof/>
          <w:sz w:val="24"/>
        </w:rPr>
        <w:t xml:space="preserve">onontregelaars zijn, is evenwel uitsluitend van belang of de stof al dan niet hormoonontregelende eigenschappen heeft (d.w.z. de </w:t>
      </w:r>
      <w:r>
        <w:rPr>
          <w:rFonts w:ascii="Times New Roman" w:hAnsi="Times New Roman"/>
          <w:i/>
          <w:noProof/>
          <w:sz w:val="24"/>
        </w:rPr>
        <w:t>identificatie</w:t>
      </w:r>
      <w:r>
        <w:rPr>
          <w:rFonts w:ascii="Times New Roman" w:hAnsi="Times New Roman"/>
          <w:noProof/>
          <w:sz w:val="24"/>
        </w:rPr>
        <w:t xml:space="preserve"> van het gevaar, in tegenstelling tot de daaropvolgende </w:t>
      </w:r>
      <w:r>
        <w:rPr>
          <w:rFonts w:ascii="Times New Roman" w:hAnsi="Times New Roman"/>
          <w:i/>
          <w:noProof/>
          <w:sz w:val="24"/>
        </w:rPr>
        <w:t>karakterisering</w:t>
      </w:r>
      <w:r>
        <w:rPr>
          <w:rFonts w:ascii="Times New Roman" w:hAnsi="Times New Roman"/>
          <w:noProof/>
          <w:sz w:val="24"/>
        </w:rPr>
        <w:t xml:space="preserve">). Daarom heeft de Commissie geconcludeerd </w:t>
      </w:r>
      <w:r>
        <w:rPr>
          <w:rFonts w:ascii="Times New Roman" w:hAnsi="Times New Roman"/>
          <w:noProof/>
          <w:sz w:val="24"/>
        </w:rPr>
        <w:t xml:space="preserve">dat specifiek bij de vaststelling van wetenschappelijke criteria geen rekening hoeft te worden gehouden met de werkzaamheid van hormoonontregelaars. Pas wanneer een stof als hormoonontregelaar is aangemerkt, komt de vraag naar de werkzaamheid in beeld. In </w:t>
      </w:r>
      <w:r>
        <w:rPr>
          <w:rFonts w:ascii="Times New Roman" w:hAnsi="Times New Roman"/>
          <w:noProof/>
          <w:sz w:val="24"/>
        </w:rPr>
        <w:t>het effectbeoordelingsverslag dat bij deze mededeling hoort, wordt de werkzaamheid besproken en wordt het belang van de werkzaamheid beargumenteerd. Toch sluit de Commissie zich aan bij de brede wetenschappelijke consensus dat met de werkzaamheid geen reke</w:t>
      </w:r>
      <w:r>
        <w:rPr>
          <w:rFonts w:ascii="Times New Roman" w:hAnsi="Times New Roman"/>
          <w:noProof/>
          <w:sz w:val="24"/>
        </w:rPr>
        <w:t>ning hoeft te worden gehouden voor de identificatie van hormoonontregelaars, maar wel bij de evaluatie van het werkelijke risico van hormoonontregelaars.</w:t>
      </w:r>
    </w:p>
    <w:p w:rsidR="00B25BAB" w:rsidRDefault="006E0A78">
      <w:pPr>
        <w:pStyle w:val="Kop2"/>
        <w:keepLines w:val="0"/>
        <w:tabs>
          <w:tab w:val="num" w:pos="1080"/>
        </w:tabs>
        <w:spacing w:before="0" w:after="240"/>
        <w:jc w:val="both"/>
        <w:rPr>
          <w:rFonts w:ascii="Times New Roman" w:hAnsi="Times New Roman" w:eastAsia="Times New Roman" w:cs="Times New Roman"/>
          <w:bCs w:val="0"/>
          <w:i/>
          <w:noProof/>
          <w:color w:val="auto"/>
          <w:sz w:val="24"/>
          <w:szCs w:val="20"/>
        </w:rPr>
      </w:pPr>
      <w:r>
        <w:rPr>
          <w:rFonts w:ascii="Times New Roman" w:hAnsi="Times New Roman"/>
          <w:i/>
          <w:noProof/>
          <w:color w:val="auto"/>
          <w:sz w:val="24"/>
        </w:rPr>
        <w:t xml:space="preserve">Regelgeving gebaseerd op "gevaar" of "risico" </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regelgeving inzake chemische stoffen kan op twee ver</w:t>
      </w:r>
      <w:r>
        <w:rPr>
          <w:rFonts w:ascii="Times New Roman" w:hAnsi="Times New Roman"/>
          <w:noProof/>
          <w:sz w:val="24"/>
        </w:rPr>
        <w:t xml:space="preserve">schillende manieren worden benaderd: op basis van een gevaren- of een risicoanalyse. Bij een op gevaren gebaseerde benadering gaat de regelgeving uit van de intrinsieke eigenschappen van stoffen, zonder rekening te houden met de blootstelling aan de stof. </w:t>
      </w:r>
      <w:r>
        <w:rPr>
          <w:rFonts w:ascii="Times New Roman" w:hAnsi="Times New Roman"/>
          <w:noProof/>
          <w:sz w:val="24"/>
        </w:rPr>
        <w:t>Bij een op risico's gebaseerde benadering wordt wel rekening gehouden met de blootstelling. Het onderscheid tussen deze twee benaderingen wordt vaak uitgelegd aan de hand van een vergelijking met het dierenrijk: een leeuw is intrinsiek gevaarlijk, maar een</w:t>
      </w:r>
      <w:r>
        <w:rPr>
          <w:rFonts w:ascii="Times New Roman" w:hAnsi="Times New Roman"/>
          <w:noProof/>
          <w:sz w:val="24"/>
        </w:rPr>
        <w:t xml:space="preserve"> leeuw die veilig in een dierentuin is opgesloten, vormt geen risico, aangezien er geen blootstelling is. Op het gebied van de veiligheid van chemische stoffen zijn er diverse EU-wetgevingsinstrumenten waarin toxicologische veiligheid vanuit een gevarenana</w:t>
      </w:r>
      <w:r>
        <w:rPr>
          <w:rFonts w:ascii="Times New Roman" w:hAnsi="Times New Roman"/>
          <w:noProof/>
          <w:sz w:val="24"/>
        </w:rPr>
        <w:t>lyse wordt benaderd, terwijl andere deze vanuit een risicoanalyse benaderen</w:t>
      </w:r>
      <w:r>
        <w:rPr>
          <w:rStyle w:val="Voetnootmarkering"/>
          <w:rFonts w:ascii="Times New Roman" w:hAnsi="Times New Roman"/>
          <w:noProof/>
          <w:sz w:val="24"/>
        </w:rPr>
        <w:footnoteReference w:id="26"/>
      </w:r>
      <w:r>
        <w:rPr>
          <w:rFonts w:ascii="Times New Roman" w:hAnsi="Times New Roman"/>
          <w:noProof/>
          <w:sz w:val="24"/>
        </w:rPr>
        <w:t xml:space="preserve"> </w:t>
      </w:r>
      <w:r>
        <w:rPr>
          <w:rStyle w:val="Voetnootmarkering"/>
          <w:rFonts w:ascii="Times New Roman" w:hAnsi="Times New Roman"/>
          <w:noProof/>
          <w:sz w:val="24"/>
        </w:rPr>
        <w:footnoteReference w:id="27"/>
      </w:r>
      <w:r>
        <w:rPr>
          <w:rFonts w:ascii="Times New Roman" w:hAnsi="Times New Roman"/>
          <w:noProof/>
          <w:sz w:val="24"/>
        </w:rPr>
        <w:t>.</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uitdaging voor de Commissie is niet zozeer te besluiten hoe de stoffen worden gereguleerd, maar wel de vaststelling van criteria om te bepalen welke stoffen al dan niet horm</w:t>
      </w:r>
      <w:r>
        <w:rPr>
          <w:rFonts w:ascii="Times New Roman" w:hAnsi="Times New Roman"/>
          <w:noProof/>
          <w:sz w:val="24"/>
        </w:rPr>
        <w:t>oonontregelaars zijn voor de toepassing van de wetgeving inzake gewasbeschermingsmiddelen en biociden. De wetgever heeft de regelgevingsimplicaties al vastgelegd in de wetgeving inzake gewasbeschermingsmiddelen (2009) en biociden (2012). In dat kader worde</w:t>
      </w:r>
      <w:r>
        <w:rPr>
          <w:rFonts w:ascii="Times New Roman" w:hAnsi="Times New Roman"/>
          <w:noProof/>
          <w:sz w:val="24"/>
        </w:rPr>
        <w:t>n hormoonontregelaars over het algemeen verboden op grond van gevaar</w:t>
      </w:r>
      <w:r>
        <w:rPr>
          <w:rStyle w:val="Voetnootmarkering"/>
          <w:rFonts w:ascii="Times New Roman" w:hAnsi="Times New Roman"/>
          <w:noProof/>
          <w:sz w:val="24"/>
        </w:rPr>
        <w:footnoteReference w:id="28"/>
      </w:r>
      <w:r>
        <w:rPr>
          <w:rFonts w:ascii="Times New Roman" w:hAnsi="Times New Roman"/>
          <w:noProof/>
          <w:sz w:val="24"/>
        </w:rPr>
        <w:t xml:space="preserve">, zonder specifieke risicobeoordeling waarbij rekening wordt gehouden met de blootstelling (soms wordt hier evenwel geval per geval van afgeweken in overeenstemming met de wetgeving — op </w:t>
      </w:r>
      <w:r>
        <w:rPr>
          <w:rFonts w:ascii="Times New Roman" w:hAnsi="Times New Roman"/>
          <w:noProof/>
          <w:sz w:val="24"/>
        </w:rPr>
        <w:t xml:space="preserve">basis van een gevaren- of risicoanalyse of sociaaleconomische overwegingen). </w:t>
      </w:r>
    </w:p>
    <w:p w:rsidR="00B25BAB" w:rsidRDefault="006E0A78">
      <w:pPr>
        <w:spacing w:line="240" w:lineRule="auto"/>
        <w:jc w:val="both"/>
        <w:rPr>
          <w:rFonts w:ascii="Times New Roman" w:hAnsi="Times New Roman" w:eastAsia="Times New Roman" w:cs="Times New Roman"/>
          <w:b/>
          <w:smallCaps/>
          <w:noProof/>
          <w:sz w:val="24"/>
          <w:szCs w:val="20"/>
        </w:rPr>
      </w:pPr>
      <w:r>
        <w:rPr>
          <w:rFonts w:ascii="Times New Roman" w:hAnsi="Times New Roman"/>
          <w:b/>
          <w:smallCaps/>
          <w:noProof/>
          <w:sz w:val="24"/>
        </w:rPr>
        <w:t xml:space="preserve">3. </w:t>
      </w:r>
      <w:r>
        <w:rPr>
          <w:noProof/>
        </w:rPr>
        <w:tab/>
      </w:r>
      <w:r>
        <w:rPr>
          <w:rFonts w:ascii="Times New Roman" w:hAnsi="Times New Roman"/>
          <w:b/>
          <w:smallCaps/>
          <w:noProof/>
          <w:sz w:val="24"/>
        </w:rPr>
        <w:t>Welke implicaties hebben de criteria voor het regelgevingskader inzake biociden en gewasbeschermingsmiddelen?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De EU-wetgeving inzake biociden en gewasbeschermingsmiddelen </w:t>
      </w:r>
      <w:r>
        <w:rPr>
          <w:rFonts w:ascii="Times New Roman" w:hAnsi="Times New Roman"/>
          <w:noProof/>
          <w:sz w:val="24"/>
        </w:rPr>
        <w:t>bepaalt dat werkzame stoffen die hormoonontregelende eigenschappen hebben, niet worden goedgekeurd, tenzij de blootstelling — in het geval van gewasbeschermingsmiddelen — of het risico — in het geval van biociden — verwaarloosbaar is. In principe moet de v</w:t>
      </w:r>
      <w:r>
        <w:rPr>
          <w:rFonts w:ascii="Times New Roman" w:hAnsi="Times New Roman"/>
          <w:noProof/>
          <w:sz w:val="24"/>
        </w:rPr>
        <w:t>raag of een werkzame stof van een gewasbeschermingsmiddel of biocide hormoonontregelende eigenschappen heeft, bij elke goedkeurings- of verlengingsprocedure opnieuw worden beoordeeld. Bovendien gelden de goedkeuringen van werkzame stoffen die in gewasbesch</w:t>
      </w:r>
      <w:r>
        <w:rPr>
          <w:rFonts w:ascii="Times New Roman" w:hAnsi="Times New Roman"/>
          <w:noProof/>
          <w:sz w:val="24"/>
        </w:rPr>
        <w:t>ermingsmiddelen en biociden worden gebruikt slechts voor een beperkte periode en moeten zij regelmatig al dan niet worden verlengd.</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Een aantal van de schadelijke gevolgen van hormoonontregelaars (bijvoorbeeld effecten op de voortplanting) wordt al jarenlan</w:t>
      </w:r>
      <w:r>
        <w:rPr>
          <w:rFonts w:ascii="Times New Roman" w:hAnsi="Times New Roman"/>
          <w:noProof/>
          <w:sz w:val="24"/>
        </w:rPr>
        <w:t>g geëvalueerd. Zo komt het dat in de praktijk een groot aantal stoffen waarvan de hormoonontregelende eigenschappen zijn aangetoond, ook nu al verboden zijn in de EU. Maar met de nieuwe criteria zullen de beoordelingen nauwkeuriger zijn en de recentste evo</w:t>
      </w:r>
      <w:r>
        <w:rPr>
          <w:rFonts w:ascii="Times New Roman" w:hAnsi="Times New Roman"/>
          <w:noProof/>
          <w:sz w:val="24"/>
        </w:rPr>
        <w:t xml:space="preserve">luties volgen. </w:t>
      </w:r>
    </w:p>
    <w:p w:rsidR="00B25BAB" w:rsidRDefault="006E0A78">
      <w:pPr>
        <w:spacing w:line="240" w:lineRule="auto"/>
        <w:jc w:val="both"/>
        <w:rPr>
          <w:rFonts w:ascii="Times New Roman" w:hAnsi="Times New Roman" w:eastAsia="Times New Roman" w:cs="Times New Roman"/>
          <w:bCs/>
          <w:smallCaps/>
          <w:noProof/>
          <w:sz w:val="24"/>
          <w:szCs w:val="20"/>
        </w:rPr>
      </w:pPr>
      <w:r>
        <w:rPr>
          <w:rFonts w:ascii="Times New Roman" w:hAnsi="Times New Roman"/>
          <w:noProof/>
          <w:sz w:val="24"/>
        </w:rPr>
        <w:t xml:space="preserve">Om snel actie te ondernemen en rekening te houden met recente wetenschappelijke ontwikkelingen zullen de meest nauwkeurige wetenschappelijke criteria meteen worden toegepast, behalve ingeval reeds is gestemd over een ontwerpverordening van </w:t>
      </w:r>
      <w:r>
        <w:rPr>
          <w:rFonts w:ascii="Times New Roman" w:hAnsi="Times New Roman"/>
          <w:noProof/>
          <w:sz w:val="24"/>
        </w:rPr>
        <w:t>de Commissie, maar deze nog niet is vastgesteld. Bovendien wil de Commissie ervoor zorgen dat de beoordelingswerkzaamheden zo snel mogelijk van start kunnen gaan zodra de criteria zijn goedgekeurd. Daarom verzoekt zij vandaag de Europese Autoriteit voor vo</w:t>
      </w:r>
      <w:r>
        <w:rPr>
          <w:rFonts w:ascii="Times New Roman" w:hAnsi="Times New Roman"/>
          <w:noProof/>
          <w:sz w:val="24"/>
        </w:rPr>
        <w:t>edselveiligheid en het Europees Agentschap voor chemische stoffen om voor afzonderlijke goedgekeurde werkzame stoffen, waarvoor aanwijzingen bestaan dat zij voldoen aan de criteria om als hormoonontregelaars te worden aangemerkt, na te gaan of zij hormoono</w:t>
      </w:r>
      <w:r>
        <w:rPr>
          <w:rFonts w:ascii="Times New Roman" w:hAnsi="Times New Roman"/>
          <w:noProof/>
          <w:sz w:val="24"/>
        </w:rPr>
        <w:t xml:space="preserve">ntregelende eigenschappen hebben, uitgaande van de criteria in de vandaag voorgestelde ontwerpteksten. Dit zou ertoe bijdragen dat deze twee regelgevende agentschappen erop voorbereid zijn om de criteria toe te passen zodra deze overeenkomstig de geldende </w:t>
      </w:r>
      <w:r>
        <w:rPr>
          <w:rFonts w:ascii="Times New Roman" w:hAnsi="Times New Roman"/>
          <w:noProof/>
          <w:sz w:val="24"/>
        </w:rPr>
        <w:t xml:space="preserve">regelgevingsprocedures van kracht worden. </w:t>
      </w:r>
    </w:p>
    <w:p w:rsidR="00B25BAB" w:rsidRDefault="006E0A78">
      <w:pPr>
        <w:pStyle w:val="Kop2"/>
        <w:keepLines w:val="0"/>
        <w:tabs>
          <w:tab w:val="num" w:pos="1080"/>
        </w:tabs>
        <w:spacing w:before="0" w:after="240"/>
        <w:jc w:val="both"/>
        <w:rPr>
          <w:rFonts w:ascii="Times New Roman" w:hAnsi="Times New Roman" w:eastAsia="Times New Roman" w:cs="Times New Roman"/>
          <w:bCs w:val="0"/>
          <w:i/>
          <w:noProof/>
          <w:color w:val="auto"/>
          <w:sz w:val="24"/>
          <w:szCs w:val="20"/>
        </w:rPr>
      </w:pPr>
      <w:r>
        <w:rPr>
          <w:rFonts w:ascii="Times New Roman" w:hAnsi="Times New Roman"/>
          <w:i/>
          <w:noProof/>
          <w:color w:val="auto"/>
          <w:sz w:val="24"/>
        </w:rPr>
        <w:t xml:space="preserve">Redenen voor eventuele afwijkingen afstemmen op de stand van de wetenschappelijke en technische kennis </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Zowel in de wetgeving betreffende gewasbeschermingsmiddelen als in die betreffende biociden worden werkzame </w:t>
      </w:r>
      <w:r>
        <w:rPr>
          <w:rFonts w:ascii="Times New Roman" w:hAnsi="Times New Roman"/>
          <w:noProof/>
          <w:sz w:val="24"/>
        </w:rPr>
        <w:t>stoffen die hormoonontregelende eigenschappen hebben, verboden op grond van gevaar.</w:t>
      </w:r>
      <w:r>
        <w:rPr>
          <w:rFonts w:ascii="Times New Roman" w:hAnsi="Times New Roman"/>
          <w:b/>
          <w:noProof/>
          <w:sz w:val="24"/>
        </w:rPr>
        <w:t xml:space="preserve"> </w:t>
      </w:r>
      <w:r>
        <w:rPr>
          <w:rFonts w:ascii="Times New Roman" w:hAnsi="Times New Roman"/>
          <w:noProof/>
          <w:sz w:val="24"/>
        </w:rPr>
        <w:t>Toch geldt hier een beperkt aantal uitzonderingen. De biocidenwetgeving voorziet in uitzonderingen op grond van een "verwaarloosbaar risico" en sociaaleconomische overwegin</w:t>
      </w:r>
      <w:r>
        <w:rPr>
          <w:rFonts w:ascii="Times New Roman" w:hAnsi="Times New Roman"/>
          <w:noProof/>
          <w:sz w:val="24"/>
        </w:rPr>
        <w:t>gen. De gewasbeschermingsmiddelenwetgeving voorziet in uitzonderingen op grond van "verwaarloosbare blootstelling" of, in bepaalde situaties en onder strikte voorwaarden, een ernstig fytosanitair gevaar. In het kader van hormoonontregelaars heeft de Europe</w:t>
      </w:r>
      <w:r>
        <w:rPr>
          <w:rFonts w:ascii="Times New Roman" w:hAnsi="Times New Roman"/>
          <w:noProof/>
          <w:sz w:val="24"/>
        </w:rPr>
        <w:t>se Autoriteit voor voedselveiligheid het beginsel van een op risico gebaseerde benadering voor gewasbeschermingsmiddelen onderschreven</w:t>
      </w:r>
      <w:r>
        <w:rPr>
          <w:rStyle w:val="Voetnootmarkering"/>
          <w:rFonts w:ascii="Times New Roman" w:hAnsi="Times New Roman"/>
          <w:noProof/>
          <w:sz w:val="24"/>
        </w:rPr>
        <w:footnoteReference w:id="29"/>
      </w:r>
      <w:r>
        <w:rPr>
          <w:rFonts w:ascii="Times New Roman" w:hAnsi="Times New Roman"/>
          <w:noProof/>
          <w:sz w:val="24"/>
        </w:rPr>
        <w:t>. De wetenschappelijke en technische kennis heeft zich verder ontwikkeld en doet vermoeden dat hormoonontregelaars op dit</w:t>
      </w:r>
      <w:r>
        <w:rPr>
          <w:rFonts w:ascii="Times New Roman" w:hAnsi="Times New Roman"/>
          <w:noProof/>
          <w:sz w:val="24"/>
        </w:rPr>
        <w:t xml:space="preserve"> gebied zoals de meeste andere stoffen op basis van risico kunnen worden beoordeeld. Om die reden heeft de Commissie, in overeenstemming met het door de medewetgevers verleende mandaat</w:t>
      </w:r>
      <w:r>
        <w:rPr>
          <w:rStyle w:val="Voetnootmarkering"/>
          <w:rFonts w:ascii="Times New Roman" w:hAnsi="Times New Roman"/>
          <w:noProof/>
          <w:sz w:val="24"/>
        </w:rPr>
        <w:footnoteReference w:id="30"/>
      </w:r>
      <w:r>
        <w:rPr>
          <w:rFonts w:ascii="Times New Roman" w:hAnsi="Times New Roman"/>
          <w:noProof/>
          <w:sz w:val="24"/>
        </w:rPr>
        <w:t>, geconcludeerd dat de redenen voor eventuele afwijkingen voor gewasbes</w:t>
      </w:r>
      <w:r>
        <w:rPr>
          <w:rFonts w:ascii="Times New Roman" w:hAnsi="Times New Roman"/>
          <w:noProof/>
          <w:sz w:val="24"/>
        </w:rPr>
        <w:t>chermingsmiddelen moeten worden bijgewerkt en overeenkomstig de biocidenwetgeving moeten refereren aan "verwaarloosbaar risico"; terzelfder tijd moet voor hormoonontregelaars het concept van een verbod op grond van gevaar worden gehandhaafd en moet een eve</w:t>
      </w:r>
      <w:r>
        <w:rPr>
          <w:rFonts w:ascii="Times New Roman" w:hAnsi="Times New Roman"/>
          <w:noProof/>
          <w:sz w:val="24"/>
        </w:rPr>
        <w:t>n hoog niveau van bescherming van de gezondheid en het milieu worden gewaarborgd.</w:t>
      </w:r>
    </w:p>
    <w:p w:rsidR="00B25BAB" w:rsidRDefault="006E0A78">
      <w:pPr>
        <w:pStyle w:val="Kop1"/>
        <w:spacing w:before="240" w:after="240"/>
        <w:ind w:left="480" w:hanging="480"/>
        <w:rPr>
          <w:rFonts w:ascii="Times New Roman" w:hAnsi="Times New Roman" w:eastAsia="Times New Roman" w:cs="Times New Roman"/>
          <w:bCs w:val="0"/>
          <w:noProof/>
          <w:color w:val="auto"/>
          <w:sz w:val="24"/>
          <w:szCs w:val="20"/>
        </w:rPr>
      </w:pPr>
      <w:r>
        <w:rPr>
          <w:rFonts w:ascii="Times New Roman" w:hAnsi="Times New Roman"/>
          <w:smallCaps/>
          <w:noProof/>
          <w:color w:val="auto"/>
          <w:sz w:val="24"/>
        </w:rPr>
        <w:t xml:space="preserve">4. </w:t>
      </w:r>
      <w:r>
        <w:rPr>
          <w:noProof/>
        </w:rPr>
        <w:tab/>
      </w:r>
      <w:r>
        <w:rPr>
          <w:rFonts w:ascii="Times New Roman" w:hAnsi="Times New Roman"/>
          <w:smallCaps/>
          <w:noProof/>
          <w:color w:val="auto"/>
          <w:sz w:val="24"/>
        </w:rPr>
        <w:t>Welke implicaties hebben de voor biociden en gewasbeschermingsmiddelen vastgestelde criteria voor andere regelgevingsgebieden?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wetenschappelijke criteria om te bepalen</w:t>
      </w:r>
      <w:r>
        <w:rPr>
          <w:rFonts w:ascii="Times New Roman" w:hAnsi="Times New Roman"/>
          <w:noProof/>
          <w:sz w:val="24"/>
        </w:rPr>
        <w:t xml:space="preserve"> welke stoffen hormoonontregelaars zijn, worden vastgesteld om te voldoen aan de wettelijke verplichtingen uit hoofde van de EU-wetgeving voor biociden en gewasbeschermingsmiddelen. De criteria zijn uitsluitend op deze twee regelgevingsgebieden van toepass</w:t>
      </w:r>
      <w:r>
        <w:rPr>
          <w:rFonts w:ascii="Times New Roman" w:hAnsi="Times New Roman"/>
          <w:noProof/>
          <w:sz w:val="24"/>
        </w:rPr>
        <w:t>ing en hebben geen direct rechtsgevolg voor andere gebieden van het EU-recht. Het is de bedoeling criteria te verstrekken aan de desbetreffende EU-instanties (Europees Agentschap voor chemische stoffen, Europese Autoriteit voor voedselveiligheid, Commissie</w:t>
      </w:r>
      <w:r>
        <w:rPr>
          <w:rFonts w:ascii="Times New Roman" w:hAnsi="Times New Roman"/>
          <w:noProof/>
          <w:sz w:val="24"/>
        </w:rPr>
        <w:t>) en de lidstaten.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Zoals hierboven werd uiteengezet, zijn de voorgestelde criteria volledig in overeenstemming met de definitie van het Internationaal Programma voor chemische veiligheid van de Wereldgezondheidsorganisatie. Deze definitie is niet nieuw en </w:t>
      </w:r>
      <w:r>
        <w:rPr>
          <w:rFonts w:ascii="Times New Roman" w:hAnsi="Times New Roman"/>
          <w:noProof/>
          <w:sz w:val="24"/>
        </w:rPr>
        <w:t xml:space="preserve">biedt een gemeenschappelijke basis voor alle EU-beleidsgebieden in verband met chemische veiligheid. </w:t>
      </w:r>
      <w:r>
        <w:rPr>
          <w:rFonts w:ascii="Times New Roman" w:hAnsi="Times New Roman"/>
          <w:noProof/>
          <w:sz w:val="24"/>
          <w:szCs w:val="24"/>
        </w:rPr>
        <w:t>De definitie van de Wereldgezondheidsorganisatie wordt reeds toegepast voor de identificatie van hormoonontregelaars in het kader van andere wetgeving en z</w:t>
      </w:r>
      <w:r>
        <w:rPr>
          <w:rFonts w:ascii="Times New Roman" w:hAnsi="Times New Roman"/>
          <w:noProof/>
          <w:sz w:val="24"/>
          <w:szCs w:val="24"/>
        </w:rPr>
        <w:t>al naar verwachting in gebruik blijven, in het licht van de vaststelling van de criteria door de Commissie.</w:t>
      </w:r>
    </w:p>
    <w:p w:rsidR="00B25BAB" w:rsidRDefault="006E0A78">
      <w:pPr>
        <w:spacing w:after="360" w:line="240" w:lineRule="auto"/>
        <w:jc w:val="both"/>
        <w:rPr>
          <w:rFonts w:ascii="Times New Roman" w:hAnsi="Times New Roman" w:cs="Times New Roman"/>
          <w:noProof/>
          <w:sz w:val="24"/>
          <w:szCs w:val="24"/>
        </w:rPr>
      </w:pPr>
      <w:r>
        <w:rPr>
          <w:rFonts w:ascii="Times New Roman" w:hAnsi="Times New Roman"/>
          <w:noProof/>
          <w:sz w:val="24"/>
        </w:rPr>
        <w:t>In het regelgevend kader van de EU wordt hoe dan ook reeds gewerkt met het concept "hormoonontregelaars" (weliswaar zonder dat in de EU-wetgeving cr</w:t>
      </w:r>
      <w:r>
        <w:rPr>
          <w:rFonts w:ascii="Times New Roman" w:hAnsi="Times New Roman"/>
          <w:noProof/>
          <w:sz w:val="24"/>
        </w:rPr>
        <w:t>iteria zijn vastgesteld om te bepalen welke stoffen hormoonontregelaars zijn). Zo heeft het Europees Agentschap voor chemische stoffen in zijn "Kandidaatslijst van zeer zorgwekkende stoffen voor autorisatie" stoffen opgenomen louter op grond van hun hormoo</w:t>
      </w:r>
      <w:r>
        <w:rPr>
          <w:rFonts w:ascii="Times New Roman" w:hAnsi="Times New Roman"/>
          <w:noProof/>
          <w:sz w:val="24"/>
        </w:rPr>
        <w:t>nontregelende eigenschappen</w:t>
      </w:r>
      <w:r>
        <w:rPr>
          <w:rStyle w:val="Voetnootmarkering"/>
          <w:rFonts w:ascii="Times New Roman" w:hAnsi="Times New Roman"/>
          <w:noProof/>
        </w:rPr>
        <w:footnoteReference w:id="31"/>
      </w:r>
      <w:r>
        <w:rPr>
          <w:rFonts w:ascii="Times New Roman" w:hAnsi="Times New Roman"/>
          <w:noProof/>
          <w:sz w:val="24"/>
        </w:rPr>
        <w:t>. Het Wetenschappelijk Comité voor consumentenveiligheid heeft de veiligheid van verschillende cosmetische ingrediënten met betrekking tot hun hormoonontregelende eigenschappen beoordeeld</w:t>
      </w:r>
      <w:r>
        <w:rPr>
          <w:rStyle w:val="Voetnootmarkering"/>
          <w:rFonts w:ascii="Times New Roman" w:hAnsi="Times New Roman"/>
          <w:noProof/>
        </w:rPr>
        <w:footnoteReference w:id="32"/>
      </w:r>
      <w:r>
        <w:rPr>
          <w:rFonts w:ascii="Times New Roman" w:hAnsi="Times New Roman"/>
          <w:noProof/>
          <w:sz w:val="24"/>
        </w:rPr>
        <w:t>.</w:t>
      </w:r>
      <w:r>
        <w:rPr>
          <w:rStyle w:val="Voetnootmarkering"/>
          <w:noProof/>
        </w:rPr>
        <w:t xml:space="preserve"> </w:t>
      </w:r>
      <w:r>
        <w:rPr>
          <w:rFonts w:ascii="Times New Roman" w:hAnsi="Times New Roman"/>
          <w:noProof/>
          <w:sz w:val="24"/>
        </w:rPr>
        <w:t>De Commissie heeft hormoonontregelaars</w:t>
      </w:r>
      <w:r>
        <w:rPr>
          <w:rFonts w:ascii="Times New Roman" w:hAnsi="Times New Roman"/>
          <w:noProof/>
          <w:sz w:val="24"/>
        </w:rPr>
        <w:t xml:space="preserve"> opgenomen in het kader van de uitvoering van de EU-wetgeving inzake waterkwaliteit</w:t>
      </w:r>
      <w:r>
        <w:rPr>
          <w:rStyle w:val="Voetnootmarkering"/>
          <w:rFonts w:ascii="Times New Roman" w:hAnsi="Times New Roman"/>
          <w:noProof/>
          <w:sz w:val="24"/>
        </w:rPr>
        <w:footnoteReference w:id="33"/>
      </w:r>
      <w:r>
        <w:rPr>
          <w:rFonts w:ascii="Times New Roman" w:hAnsi="Times New Roman"/>
          <w:noProof/>
          <w:sz w:val="24"/>
        </w:rPr>
        <w:t xml:space="preserve"> en heeft het in de handel brengen van hormoonontregelaars beperkt in het kader van Reach</w:t>
      </w:r>
      <w:r>
        <w:rPr>
          <w:rStyle w:val="Voetnootmarkering"/>
          <w:rFonts w:ascii="Times New Roman" w:hAnsi="Times New Roman"/>
          <w:noProof/>
          <w:sz w:val="24"/>
        </w:rPr>
        <w:footnoteReference w:id="34"/>
      </w:r>
      <w:r>
        <w:rPr>
          <w:rFonts w:ascii="Times New Roman" w:hAnsi="Times New Roman"/>
          <w:noProof/>
          <w:sz w:val="24"/>
        </w:rPr>
        <w:t>. Anders dan op de twee beleidsgebieden die onder de ontwerpmaatregelen vallen, be</w:t>
      </w:r>
      <w:r>
        <w:rPr>
          <w:rFonts w:ascii="Times New Roman" w:hAnsi="Times New Roman"/>
          <w:noProof/>
          <w:sz w:val="24"/>
        </w:rPr>
        <w:t>staat hier geen juridische verplichting om criteria vast te stellen ter bepaling van welke stoffen hormoonontregelaars zijn.</w:t>
      </w:r>
    </w:p>
    <w:p w:rsidR="00B25BAB" w:rsidRDefault="006E0A78">
      <w:pPr>
        <w:pStyle w:val="Kop1"/>
        <w:spacing w:before="240" w:after="240"/>
        <w:ind w:left="480" w:hanging="480"/>
        <w:rPr>
          <w:rFonts w:ascii="Times New Roman" w:hAnsi="Times New Roman" w:eastAsia="Times New Roman" w:cs="Times New Roman"/>
          <w:bCs w:val="0"/>
          <w:smallCaps/>
          <w:noProof/>
          <w:color w:val="auto"/>
          <w:sz w:val="24"/>
          <w:szCs w:val="20"/>
        </w:rPr>
      </w:pPr>
      <w:r>
        <w:rPr>
          <w:rFonts w:ascii="Times New Roman" w:hAnsi="Times New Roman"/>
          <w:smallCaps/>
          <w:noProof/>
          <w:color w:val="auto"/>
          <w:sz w:val="24"/>
        </w:rPr>
        <w:t xml:space="preserve">5. </w:t>
      </w:r>
      <w:r>
        <w:rPr>
          <w:noProof/>
        </w:rPr>
        <w:tab/>
      </w:r>
      <w:r>
        <w:rPr>
          <w:rFonts w:ascii="Times New Roman" w:hAnsi="Times New Roman"/>
          <w:smallCaps/>
          <w:noProof/>
          <w:color w:val="auto"/>
          <w:sz w:val="24"/>
        </w:rPr>
        <w:t>Overige activiteiten van de Commissie</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Naast de vaststelling van wetenschappelijke criteria voor de identificatie van hormoonont</w:t>
      </w:r>
      <w:r>
        <w:rPr>
          <w:rFonts w:ascii="Times New Roman" w:hAnsi="Times New Roman"/>
          <w:noProof/>
          <w:sz w:val="24"/>
        </w:rPr>
        <w:t>regelaars zal de Commissie haar inspanningen opvoeren met andere activiteiten op de drie gebieden die in de EU-strategie voor hormoonontregelaars worden genoemd, om de blootstelling aan hormoonontregelaars tot een minimum te blijven beperken in overeenstem</w:t>
      </w:r>
      <w:r>
        <w:rPr>
          <w:rFonts w:ascii="Times New Roman" w:hAnsi="Times New Roman"/>
          <w:noProof/>
          <w:sz w:val="24"/>
        </w:rPr>
        <w:t xml:space="preserve">ming met het zevende milieuactieprogramma. Deze activiteiten kunnen verder worden uitgebreid door fora te ontwikkelen om de uitwisseling van informatie te verdiepen en zowel onder wetenschappers als onder regelgevers een consensus tot stand te brengen, in </w:t>
      </w:r>
      <w:r>
        <w:rPr>
          <w:rFonts w:ascii="Times New Roman" w:hAnsi="Times New Roman"/>
          <w:noProof/>
          <w:sz w:val="24"/>
        </w:rPr>
        <w:t>overeenstemming met de strategie.</w:t>
      </w:r>
    </w:p>
    <w:p w:rsidR="00B25BAB" w:rsidRDefault="006E0A78">
      <w:pPr>
        <w:pStyle w:val="Kop3"/>
        <w:keepLines w:val="0"/>
        <w:tabs>
          <w:tab w:val="num" w:pos="1920"/>
        </w:tabs>
        <w:spacing w:before="0" w:after="240"/>
        <w:ind w:left="840" w:hanging="840"/>
        <w:jc w:val="both"/>
        <w:rPr>
          <w:rFonts w:ascii="Times New Roman" w:hAnsi="Times New Roman" w:eastAsia="Times New Roman" w:cs="Times New Roman"/>
          <w:bCs w:val="0"/>
          <w:i/>
          <w:noProof/>
          <w:color w:val="auto"/>
          <w:sz w:val="24"/>
          <w:szCs w:val="20"/>
        </w:rPr>
      </w:pPr>
      <w:r>
        <w:rPr>
          <w:rFonts w:ascii="Times New Roman" w:hAnsi="Times New Roman"/>
          <w:i/>
          <w:noProof/>
          <w:color w:val="auto"/>
          <w:sz w:val="24"/>
        </w:rPr>
        <w:t>Onderzoek</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Sinds de vaststelling van de EU-strategie voor hormoonontregelaars in 1999 werden met de kaderprogramma's van de EU voor onderzoek meer dan 50 multinationale gezamenlijke onderzoeksprojecten ondersteund voor meer</w:t>
      </w:r>
      <w:r>
        <w:rPr>
          <w:rFonts w:ascii="Times New Roman" w:hAnsi="Times New Roman"/>
          <w:noProof/>
          <w:sz w:val="24"/>
        </w:rPr>
        <w:t xml:space="preserve"> dan 150 miljoen EUR aan financiering. In het kader van Horizon 2020 wordt verder onderzoek gestimuleerd om meer kennis te vergaren en betrouwbare wetenschappelijke gegevens te verstrekken aan regelgevende instanties en beleidsmakers op het gebied van de t</w:t>
      </w:r>
      <w:r>
        <w:rPr>
          <w:rFonts w:ascii="Times New Roman" w:hAnsi="Times New Roman"/>
          <w:noProof/>
          <w:sz w:val="24"/>
        </w:rPr>
        <w:t>oxicologie. Van grote betekenis is het Europees initiatief voor menselijke biomonitoring, dat zal fungeren als Europees kenniscentrum voor het meten van de blootstelling van de mens aan chemische stoffen. Ook het Gemeenschappelijk Centrum voor onderzoek sp</w:t>
      </w:r>
      <w:r>
        <w:rPr>
          <w:rFonts w:ascii="Times New Roman" w:hAnsi="Times New Roman"/>
          <w:noProof/>
          <w:sz w:val="24"/>
        </w:rPr>
        <w:t xml:space="preserve">eelt een belangrijke rol, bijvoorbeeld door beoordelingsmethoden en -benaderingen te ontwikkelen en deze uit te werken voor gebruik in het kader van regelgeving. </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Met het oog op de toekomst vindt de Commissie het belangrijk om een goede doorstroming van ve</w:t>
      </w:r>
      <w:r>
        <w:rPr>
          <w:rFonts w:ascii="Times New Roman" w:hAnsi="Times New Roman"/>
          <w:noProof/>
          <w:sz w:val="24"/>
        </w:rPr>
        <w:t>rgelijkbare gevaren-, biomonitoring- en surveillancegegevens tussen de lidstaten en de agentschappen te waarborgen. Dit zou tegelijkertijd de aanpak van problemen in verband met gecombineerde blootstelling bevorderen</w:t>
      </w:r>
      <w:r>
        <w:rPr>
          <w:rStyle w:val="Voetnootmarkering"/>
          <w:rFonts w:ascii="Times New Roman" w:hAnsi="Times New Roman"/>
          <w:noProof/>
          <w:sz w:val="24"/>
        </w:rPr>
        <w:footnoteReference w:id="35"/>
      </w:r>
      <w:r>
        <w:rPr>
          <w:rFonts w:ascii="Times New Roman" w:hAnsi="Times New Roman"/>
          <w:noProof/>
          <w:sz w:val="24"/>
        </w:rPr>
        <w:t xml:space="preserve">. De Commissie zal met medewerking van </w:t>
      </w:r>
      <w:r>
        <w:rPr>
          <w:rFonts w:ascii="Times New Roman" w:hAnsi="Times New Roman"/>
          <w:noProof/>
          <w:sz w:val="24"/>
        </w:rPr>
        <w:t>de EU-agentschappen en de lidstaten een webplatform ontwikkelen, dat samenwerking en uitwisseling van informatie zal bevorderen.</w:t>
      </w:r>
    </w:p>
    <w:p w:rsidR="00B25BAB" w:rsidRDefault="006E0A78">
      <w:pPr>
        <w:pStyle w:val="Kop3"/>
        <w:keepLines w:val="0"/>
        <w:tabs>
          <w:tab w:val="num" w:pos="1920"/>
        </w:tabs>
        <w:spacing w:before="0" w:after="240"/>
        <w:jc w:val="both"/>
        <w:rPr>
          <w:rFonts w:ascii="Times New Roman" w:hAnsi="Times New Roman" w:eastAsia="Times New Roman" w:cs="Times New Roman"/>
          <w:bCs w:val="0"/>
          <w:i/>
          <w:noProof/>
          <w:color w:val="auto"/>
          <w:sz w:val="24"/>
          <w:szCs w:val="20"/>
        </w:rPr>
      </w:pPr>
      <w:r>
        <w:rPr>
          <w:rFonts w:ascii="Times New Roman" w:hAnsi="Times New Roman"/>
          <w:i/>
          <w:noProof/>
          <w:color w:val="auto"/>
          <w:sz w:val="24"/>
        </w:rPr>
        <w:t>Internationale samenwerking</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Commissie is een actieve partner in de werkzaamheden op mondiaal niveau, in het bijzonder die va</w:t>
      </w:r>
      <w:r>
        <w:rPr>
          <w:rFonts w:ascii="Times New Roman" w:hAnsi="Times New Roman"/>
          <w:noProof/>
          <w:sz w:val="24"/>
        </w:rPr>
        <w:t>n de Organisatie voor Economische Samenwerking en Ontwikkeling (OESO), met het oog op de toxicologische veiligheid en met name de identificatie van chemische stoffen met hormoonontregelende eigenschappen. Momenteel is een aantal tests voor het screenen van</w:t>
      </w:r>
      <w:r>
        <w:rPr>
          <w:rFonts w:ascii="Times New Roman" w:hAnsi="Times New Roman"/>
          <w:noProof/>
          <w:sz w:val="24"/>
        </w:rPr>
        <w:t xml:space="preserve"> en testen op de endocriene werking van stoffen als OESO-testrichtsnoeren erkend en goedgekeurd, maar de werkzaamheden zijn nog niet afgerond. Aanvullende uitgebreide richtsnoeren zijn voorbereid om de testresultaten te helpen interpreteren. </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Volgens de Co</w:t>
      </w:r>
      <w:r>
        <w:rPr>
          <w:rFonts w:ascii="Times New Roman" w:hAnsi="Times New Roman"/>
          <w:noProof/>
          <w:sz w:val="24"/>
        </w:rPr>
        <w:t>mmissie is het van wezenlijk belang deze werkzaamheden voort te zetten en te intensiveren in het licht van de prioriteiten tot en met 2018 die in het kader van de OESO samen met de lidstaten zijn vastgesteld, zodat uiterlijk in 2025 de nodige erkende tests</w:t>
      </w:r>
      <w:r>
        <w:rPr>
          <w:rFonts w:ascii="Times New Roman" w:hAnsi="Times New Roman"/>
          <w:noProof/>
          <w:sz w:val="24"/>
        </w:rPr>
        <w:t xml:space="preserve"> voorhanden zijn.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Commissie onderhoudt ook regelmatige contacten met bevoegde autoriteiten in derde landen.</w:t>
      </w:r>
    </w:p>
    <w:p w:rsidR="00B25BAB" w:rsidRDefault="006E0A78">
      <w:pPr>
        <w:pStyle w:val="Kop3"/>
        <w:keepLines w:val="0"/>
        <w:tabs>
          <w:tab w:val="num" w:pos="1920"/>
        </w:tabs>
        <w:spacing w:before="0" w:after="240"/>
        <w:jc w:val="both"/>
        <w:rPr>
          <w:rFonts w:ascii="Times New Roman" w:hAnsi="Times New Roman" w:eastAsia="Times New Roman" w:cs="Times New Roman"/>
          <w:bCs w:val="0"/>
          <w:i/>
          <w:noProof/>
          <w:color w:val="auto"/>
          <w:sz w:val="24"/>
          <w:szCs w:val="20"/>
        </w:rPr>
      </w:pPr>
      <w:r>
        <w:rPr>
          <w:rFonts w:ascii="Times New Roman" w:hAnsi="Times New Roman"/>
          <w:i/>
          <w:noProof/>
          <w:color w:val="auto"/>
          <w:sz w:val="24"/>
        </w:rPr>
        <w:t>EU-regelgeving</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Zoals hierboven werd vermeld, hebben de regelgevende agentschappen van de EU, onafhankelijke wetenschappelijke comités, de Commiss</w:t>
      </w:r>
      <w:r>
        <w:rPr>
          <w:rFonts w:ascii="Times New Roman" w:hAnsi="Times New Roman"/>
          <w:noProof/>
          <w:sz w:val="24"/>
        </w:rPr>
        <w:t>ie en de lidstaten nu al oog voor hormoonontregelaars. Deze werkzaamheden worden gereguleerd door de sectorale wetgeving op gebieden zoals menselijke gezondheid (zowel consumenten als werknemers), diergezondheid en milieu. Voorbeelden hiervan zijn de EU-we</w:t>
      </w:r>
      <w:r>
        <w:rPr>
          <w:rFonts w:ascii="Times New Roman" w:hAnsi="Times New Roman"/>
          <w:noProof/>
          <w:sz w:val="24"/>
        </w:rPr>
        <w:t>tgeving inzake veiligheid en gezondheid op het werk (de wetgeving inzake chemische agentia op het werk</w:t>
      </w:r>
      <w:r>
        <w:rPr>
          <w:rStyle w:val="Voetnootmarkering"/>
          <w:rFonts w:ascii="Times New Roman" w:hAnsi="Times New Roman"/>
          <w:noProof/>
          <w:sz w:val="24"/>
        </w:rPr>
        <w:footnoteReference w:id="36"/>
      </w:r>
      <w:r>
        <w:rPr>
          <w:rFonts w:ascii="Times New Roman" w:hAnsi="Times New Roman"/>
          <w:noProof/>
          <w:sz w:val="24"/>
        </w:rPr>
        <w:t xml:space="preserve"> betreft alle chemische stoffen, met inbegrip van hormoonontregelaars), veiligheid van levensmiddelen en diervoeders (wat een grondige beoordeling inhoud</w:t>
      </w:r>
      <w:r>
        <w:rPr>
          <w:rFonts w:ascii="Times New Roman" w:hAnsi="Times New Roman"/>
          <w:noProof/>
          <w:sz w:val="24"/>
        </w:rPr>
        <w:t>t van toxicologische risico’s, waaronder die van hormoonontregelaars) en consumentenproducten (bijvoorbeeld cosmetica en speelgoed), alsook de milieuwetgeving.</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De beschikbaarheid van degelijke wetenschappelijke gegevens vormt echter duidelijk een grote uit</w:t>
      </w:r>
      <w:r>
        <w:rPr>
          <w:rFonts w:ascii="Times New Roman" w:hAnsi="Times New Roman"/>
          <w:noProof/>
          <w:sz w:val="24"/>
        </w:rPr>
        <w:t xml:space="preserve">daging voor de regelgevende instanties. De Commissie zal daarom alle noodzakelijke maatregelen treffen om ervoor te zorgen dat de gegevensvereisten voor hormoonontregelaars worden geëvalueerd — ongeacht of zij zijn vastgelegd in EU-wetgeving, richtsnoeren </w:t>
      </w:r>
      <w:r>
        <w:rPr>
          <w:rFonts w:ascii="Times New Roman" w:hAnsi="Times New Roman"/>
          <w:noProof/>
          <w:sz w:val="24"/>
        </w:rPr>
        <w:t>van de Commissie, of richtsnoeren van de regelgevende agentschappen of onafhankelijke wetenschappelijke comités.</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Bovendien zal de Commissie snel optreden om haar specifieke wettelijke verplichtingen inzake hormoonontregelaars in het acquis van de Unie verd</w:t>
      </w:r>
      <w:r>
        <w:rPr>
          <w:rFonts w:ascii="Times New Roman" w:hAnsi="Times New Roman"/>
          <w:noProof/>
          <w:sz w:val="24"/>
        </w:rPr>
        <w:t>er na te komen. Meer bepaald:</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u w:val="single"/>
        </w:rPr>
        <w:t>Cosmeticaverordening van de EU:</w:t>
      </w:r>
      <w:r>
        <w:rPr>
          <w:rFonts w:ascii="Times New Roman" w:hAnsi="Times New Roman"/>
          <w:noProof/>
          <w:sz w:val="24"/>
        </w:rPr>
        <w:t xml:space="preserve"> Overeenkomstig de cosmeticaverordening van de EU "</w:t>
      </w:r>
      <w:r>
        <w:rPr>
          <w:rFonts w:ascii="Times New Roman" w:hAnsi="Times New Roman"/>
          <w:i/>
          <w:noProof/>
          <w:sz w:val="24"/>
        </w:rPr>
        <w:t>herziet de Commissie deze verordening voor wat betreft stoffen met hormoonontregelende eigenschappen</w:t>
      </w:r>
      <w:r>
        <w:rPr>
          <w:rFonts w:ascii="Times New Roman" w:hAnsi="Times New Roman"/>
          <w:noProof/>
          <w:sz w:val="24"/>
        </w:rPr>
        <w:t>"</w:t>
      </w:r>
      <w:r>
        <w:rPr>
          <w:rStyle w:val="Voetnootmarkering"/>
          <w:rFonts w:ascii="Times New Roman" w:hAnsi="Times New Roman"/>
          <w:noProof/>
          <w:sz w:val="24"/>
        </w:rPr>
        <w:footnoteReference w:id="37"/>
      </w:r>
      <w:r>
        <w:rPr>
          <w:rFonts w:ascii="Times New Roman" w:hAnsi="Times New Roman"/>
          <w:noProof/>
          <w:sz w:val="24"/>
        </w:rPr>
        <w:t xml:space="preserve">. Deze herziening had reeds moeten </w:t>
      </w:r>
      <w:r>
        <w:rPr>
          <w:rFonts w:ascii="Times New Roman" w:hAnsi="Times New Roman"/>
          <w:noProof/>
          <w:sz w:val="24"/>
        </w:rPr>
        <w:t>plaatsvinden. Een screening van bepaalde cosmetische ingrediënten in opdracht van de Commissie is nu bijna afgerond. De Commissie zal de herziening aan het eind van dit jaar voorstellen.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u w:val="single"/>
        </w:rPr>
        <w:t>Reach:</w:t>
      </w:r>
      <w:r>
        <w:rPr>
          <w:rFonts w:ascii="Times New Roman" w:hAnsi="Times New Roman"/>
          <w:noProof/>
          <w:sz w:val="24"/>
        </w:rPr>
        <w:t xml:space="preserve"> De goedkeuring van chemische stoffen in het kader van de Reach</w:t>
      </w:r>
      <w:r>
        <w:rPr>
          <w:rFonts w:ascii="Times New Roman" w:hAnsi="Times New Roman"/>
          <w:noProof/>
          <w:sz w:val="24"/>
        </w:rPr>
        <w:t>-verordening kan op twee verschillende manieren verlopen. Wanneer een veilige drempelwaarde kan worden vastgesteld, wordt goedkeuring verleend op grond van een gecontroleerd risico. Indien geen veilige drempelwaarde kan worden vastgesteld, kan alleen goedk</w:t>
      </w:r>
      <w:r>
        <w:rPr>
          <w:rFonts w:ascii="Times New Roman" w:hAnsi="Times New Roman"/>
          <w:noProof/>
          <w:sz w:val="24"/>
        </w:rPr>
        <w:t>euring worden verleend "</w:t>
      </w:r>
      <w:r>
        <w:rPr>
          <w:rFonts w:ascii="Times New Roman" w:hAnsi="Times New Roman"/>
          <w:i/>
          <w:noProof/>
          <w:sz w:val="24"/>
        </w:rPr>
        <w:t>wanneer wordt aangetoond dat de sociaaleconomische voordelen zwaarder wegen dan het risico voor de gezondheid van de mens of voor het milieu van het gebruik van de stof en er geen geschikte alternatieve stoffen of technieken zijn</w:t>
      </w:r>
      <w:r>
        <w:rPr>
          <w:rFonts w:ascii="Times New Roman" w:hAnsi="Times New Roman"/>
          <w:noProof/>
          <w:sz w:val="24"/>
        </w:rPr>
        <w:t>"</w:t>
      </w:r>
      <w:r>
        <w:rPr>
          <w:rStyle w:val="Voetnootmarkering"/>
          <w:rFonts w:ascii="Times New Roman" w:hAnsi="Times New Roman"/>
          <w:noProof/>
          <w:sz w:val="24"/>
        </w:rPr>
        <w:footnoteReference w:id="38"/>
      </w:r>
      <w:r>
        <w:rPr>
          <w:rFonts w:ascii="Times New Roman" w:hAnsi="Times New Roman"/>
          <w:noProof/>
          <w:sz w:val="24"/>
        </w:rPr>
        <w:t>.</w:t>
      </w:r>
      <w:r>
        <w:rPr>
          <w:rFonts w:ascii="Times New Roman" w:hAnsi="Times New Roman"/>
          <w:noProof/>
          <w:sz w:val="24"/>
        </w:rPr>
        <w:t xml:space="preserve"> De Commissie kreeg de opdracht "</w:t>
      </w:r>
      <w:r>
        <w:rPr>
          <w:rFonts w:ascii="Times New Roman" w:hAnsi="Times New Roman"/>
          <w:i/>
          <w:noProof/>
          <w:sz w:val="24"/>
        </w:rPr>
        <w:t xml:space="preserve">een evaluatie uit [te voeren] om te beoordelen of, rekening houdend met de laatste ontwikkelingen op wetenschappelijk gebied, het toepassingsgebied van artikel 60, lid 3, </w:t>
      </w:r>
      <w:r>
        <w:rPr>
          <w:rFonts w:ascii="Times New Roman" w:hAnsi="Times New Roman"/>
          <w:noProof/>
          <w:sz w:val="24"/>
        </w:rPr>
        <w:t>[goedkeuring op grond van sociaaleconomische voordel</w:t>
      </w:r>
      <w:r>
        <w:rPr>
          <w:rFonts w:ascii="Times New Roman" w:hAnsi="Times New Roman"/>
          <w:noProof/>
          <w:sz w:val="24"/>
        </w:rPr>
        <w:t xml:space="preserve">en in plaats van veilige blootstelling] </w:t>
      </w:r>
      <w:r>
        <w:rPr>
          <w:rFonts w:ascii="Times New Roman" w:hAnsi="Times New Roman"/>
          <w:i/>
          <w:noProof/>
          <w:sz w:val="24"/>
        </w:rPr>
        <w:t>dient te worden uitgebreid</w:t>
      </w:r>
      <w:r>
        <w:rPr>
          <w:rFonts w:ascii="Times New Roman" w:hAnsi="Times New Roman"/>
          <w:noProof/>
          <w:sz w:val="24"/>
        </w:rPr>
        <w:t>" tot hormoonontregelaars</w:t>
      </w:r>
      <w:r>
        <w:rPr>
          <w:rStyle w:val="Voetnootmarkering"/>
          <w:rFonts w:ascii="Times New Roman" w:hAnsi="Times New Roman"/>
          <w:noProof/>
          <w:sz w:val="24"/>
        </w:rPr>
        <w:footnoteReference w:id="39"/>
      </w:r>
      <w:r>
        <w:rPr>
          <w:rFonts w:ascii="Times New Roman" w:hAnsi="Times New Roman"/>
          <w:noProof/>
          <w:sz w:val="24"/>
        </w:rPr>
        <w:t>. Na de voorstelling van de wetenschappelijke criteria die vandaag plaatsvindt, kan deze herziening worden voltooid. De Commissie zal deze aan het eind van dit jaar</w:t>
      </w:r>
      <w:r>
        <w:rPr>
          <w:rFonts w:ascii="Times New Roman" w:hAnsi="Times New Roman"/>
          <w:noProof/>
          <w:sz w:val="24"/>
        </w:rPr>
        <w:t xml:space="preserve"> presenteren.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u w:val="single"/>
        </w:rPr>
        <w:t>Wetgeving inzake waterkwaliteit:</w:t>
      </w:r>
      <w:r>
        <w:rPr>
          <w:rFonts w:ascii="Times New Roman" w:hAnsi="Times New Roman"/>
          <w:noProof/>
          <w:sz w:val="24"/>
        </w:rPr>
        <w:t xml:space="preserve"> Het regelgevingskader inzake waterkwaliteit bevat meerdere expliciete verwijzingen naar hormoonontregelaars, bijvoorbeeld als stoffen die in het bijzonder moeten worden beschouwd als stoffen die tot verontrein</w:t>
      </w:r>
      <w:r>
        <w:rPr>
          <w:rFonts w:ascii="Times New Roman" w:hAnsi="Times New Roman"/>
          <w:noProof/>
          <w:sz w:val="24"/>
        </w:rPr>
        <w:t>iging kunnen leiden</w:t>
      </w:r>
      <w:r>
        <w:rPr>
          <w:rStyle w:val="Voetnootmarkering"/>
          <w:rFonts w:ascii="Times New Roman" w:hAnsi="Times New Roman"/>
          <w:noProof/>
          <w:sz w:val="24"/>
        </w:rPr>
        <w:footnoteReference w:id="40"/>
      </w:r>
      <w:r>
        <w:rPr>
          <w:rFonts w:ascii="Times New Roman" w:hAnsi="Times New Roman"/>
          <w:noProof/>
          <w:sz w:val="24"/>
        </w:rPr>
        <w:t>. De Commissie moet regelmatig de lijst van prioritaire (gevaarlijke) stoffen toetsen</w:t>
      </w:r>
      <w:r>
        <w:rPr>
          <w:rStyle w:val="Voetnootmarkering"/>
          <w:rFonts w:ascii="Times New Roman" w:hAnsi="Times New Roman"/>
          <w:noProof/>
          <w:sz w:val="24"/>
        </w:rPr>
        <w:footnoteReference w:id="41"/>
      </w:r>
      <w:r>
        <w:rPr>
          <w:rFonts w:ascii="Times New Roman" w:hAnsi="Times New Roman"/>
          <w:noProof/>
          <w:sz w:val="24"/>
        </w:rPr>
        <w:t>, evenals de stoffen die moeten worden opgenomen in de "aandachtstoffenlijst"</w:t>
      </w:r>
      <w:r>
        <w:rPr>
          <w:rStyle w:val="Voetnootmarkering"/>
          <w:rFonts w:ascii="Times New Roman" w:hAnsi="Times New Roman"/>
          <w:noProof/>
          <w:sz w:val="24"/>
        </w:rPr>
        <w:footnoteReference w:id="42"/>
      </w:r>
      <w:r>
        <w:rPr>
          <w:rFonts w:ascii="Times New Roman" w:hAnsi="Times New Roman"/>
          <w:noProof/>
          <w:sz w:val="24"/>
        </w:rPr>
        <w:t xml:space="preserve"> en de kwaliteitsparameters met betrekking tot voor menselijke consumpti</w:t>
      </w:r>
      <w:r>
        <w:rPr>
          <w:rFonts w:ascii="Times New Roman" w:hAnsi="Times New Roman"/>
          <w:noProof/>
          <w:sz w:val="24"/>
        </w:rPr>
        <w:t>e bestemd water</w:t>
      </w:r>
      <w:r>
        <w:rPr>
          <w:rStyle w:val="Voetnootmarkering"/>
          <w:rFonts w:ascii="Times New Roman" w:hAnsi="Times New Roman"/>
          <w:noProof/>
          <w:sz w:val="24"/>
        </w:rPr>
        <w:footnoteReference w:id="43"/>
      </w:r>
      <w:r>
        <w:rPr>
          <w:rFonts w:ascii="Times New Roman" w:hAnsi="Times New Roman"/>
          <w:noProof/>
          <w:sz w:val="24"/>
        </w:rPr>
        <w:t>. Deze toetsingen vinden momenteel plaats overeenkomstig de toepasselijke wetgeving.</w:t>
      </w:r>
    </w:p>
    <w:p w:rsidR="00B25BAB" w:rsidRDefault="006E0A78">
      <w:pPr>
        <w:pStyle w:val="Kop1"/>
        <w:spacing w:before="240" w:after="240"/>
        <w:rPr>
          <w:rFonts w:ascii="Times New Roman" w:hAnsi="Times New Roman" w:eastAsia="Times New Roman" w:cs="Times New Roman"/>
          <w:bCs w:val="0"/>
          <w:smallCaps/>
          <w:noProof/>
          <w:color w:val="auto"/>
          <w:sz w:val="24"/>
          <w:szCs w:val="20"/>
        </w:rPr>
      </w:pPr>
      <w:r>
        <w:rPr>
          <w:rFonts w:ascii="Times New Roman" w:hAnsi="Times New Roman"/>
          <w:smallCaps/>
          <w:noProof/>
          <w:color w:val="auto"/>
          <w:sz w:val="24"/>
        </w:rPr>
        <w:t xml:space="preserve">6. </w:t>
      </w:r>
      <w:r>
        <w:rPr>
          <w:noProof/>
        </w:rPr>
        <w:tab/>
      </w:r>
      <w:r>
        <w:rPr>
          <w:rFonts w:ascii="Times New Roman" w:hAnsi="Times New Roman"/>
          <w:smallCaps/>
          <w:noProof/>
          <w:color w:val="auto"/>
          <w:sz w:val="24"/>
        </w:rPr>
        <w:t>Conclusie</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Wanneer de criteria voor de identificatie van hormoonontregelaars zijn vastgesteld, is voldaan aan de wettelijke verplichtingen uit hoofde </w:t>
      </w:r>
      <w:r>
        <w:rPr>
          <w:rFonts w:ascii="Times New Roman" w:hAnsi="Times New Roman"/>
          <w:noProof/>
          <w:sz w:val="24"/>
        </w:rPr>
        <w:t>van de wetgeving inzake gewasbeschermingsmiddelen en biociden. Na de goedkeuring zal het regelgevingssysteem van de EU het eerste ter wereld zijn waarin wetenschappelijke criteria voor hormoonontregelaars op wetgevingsniveau zijn vastgesteld.</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 xml:space="preserve">Nu moeten de </w:t>
      </w:r>
      <w:r>
        <w:rPr>
          <w:rFonts w:ascii="Times New Roman" w:hAnsi="Times New Roman"/>
          <w:noProof/>
          <w:sz w:val="24"/>
        </w:rPr>
        <w:t xml:space="preserve">ontwerpmaatregelen de toepasselijke procedures doorlopen en snel worden afgerond, om te voldoen aan de wettelijke verplichting criteria in de wetgeving op te nemen. De Commissie roept de lidstaten en de betrokken EU-instellingen op om nauw samen te werken </w:t>
      </w:r>
      <w:r>
        <w:rPr>
          <w:rFonts w:ascii="Times New Roman" w:hAnsi="Times New Roman"/>
          <w:noProof/>
          <w:sz w:val="24"/>
        </w:rPr>
        <w:t xml:space="preserve">en constructief bij te dragen aan het verdere verloop van de procedure met het oog op een snelle goedkeuring van deze teksten. </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Zoals reeds werd vermeld, verzoekt de Commissie bovendien de betrokken agentschappen om meteen van start te gaan met het onderzo</w:t>
      </w:r>
      <w:r>
        <w:rPr>
          <w:rFonts w:ascii="Times New Roman" w:hAnsi="Times New Roman"/>
          <w:noProof/>
          <w:sz w:val="24"/>
        </w:rPr>
        <w:t>ek van afzonderlijke stoffen, zodat de procedure zo snel mogelijk kan verlopen zodra de criteria van kracht zijn.</w:t>
      </w:r>
    </w:p>
    <w:p w:rsidR="00B25BAB" w:rsidRDefault="006E0A78">
      <w:pPr>
        <w:spacing w:line="240" w:lineRule="auto"/>
        <w:jc w:val="both"/>
        <w:rPr>
          <w:rFonts w:ascii="Times New Roman" w:hAnsi="Times New Roman" w:cs="Times New Roman"/>
          <w:noProof/>
          <w:sz w:val="24"/>
          <w:szCs w:val="24"/>
        </w:rPr>
      </w:pPr>
      <w:r>
        <w:rPr>
          <w:rFonts w:ascii="Times New Roman" w:hAnsi="Times New Roman"/>
          <w:noProof/>
          <w:sz w:val="24"/>
        </w:rPr>
        <w:t>In nauwe samenwerking met de regelgevende agentschappen van de EU, onafhankelijke wetenschappelijke comités, de lidstaten en de EU-instellinge</w:t>
      </w:r>
      <w:r>
        <w:rPr>
          <w:rFonts w:ascii="Times New Roman" w:hAnsi="Times New Roman"/>
          <w:noProof/>
          <w:sz w:val="24"/>
        </w:rPr>
        <w:t>n, blijft de Commissie zich inzetten om de gezondheid en het milieu een hoog niveau van bescherming te bieden tegen toxicologische risico's. Zij is van mening dat met de twee maatregelen aanzienlijke vooruitgang wordt geboekt inzake hormoonontregelaars.</w:t>
      </w:r>
    </w:p>
    <w:sectPr w:rsidR="00B25BA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AB" w:rsidRDefault="006E0A78">
      <w:pPr>
        <w:spacing w:after="0" w:line="240" w:lineRule="auto"/>
      </w:pPr>
      <w:r>
        <w:separator/>
      </w:r>
    </w:p>
  </w:endnote>
  <w:endnote w:type="continuationSeparator" w:id="0">
    <w:p w:rsidR="00B25BAB" w:rsidRDefault="006E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6E0A78">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89110"/>
      <w:docPartObj>
        <w:docPartGallery w:val="Page Numbers (Bottom of Page)"/>
        <w:docPartUnique/>
      </w:docPartObj>
    </w:sdtPr>
    <w:sdtEndPr>
      <w:rPr>
        <w:rFonts w:ascii="Times New Roman" w:hAnsi="Times New Roman" w:cs="Times New Roman"/>
        <w:noProof/>
        <w:sz w:val="24"/>
        <w:szCs w:val="24"/>
      </w:rPr>
    </w:sdtEndPr>
    <w:sdtContent>
      <w:p w:rsidR="00B25BAB" w:rsidRDefault="006E0A78">
        <w:pPr>
          <w:pStyle w:val="Voetteks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rsidR="00B25BAB" w:rsidRDefault="00B25BAB">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AB" w:rsidRDefault="006E0A78">
      <w:pPr>
        <w:spacing w:after="0" w:line="240" w:lineRule="auto"/>
      </w:pPr>
      <w:r>
        <w:separator/>
      </w:r>
    </w:p>
  </w:footnote>
  <w:footnote w:type="continuationSeparator" w:id="0">
    <w:p w:rsidR="00B25BAB" w:rsidRDefault="006E0A78">
      <w:pPr>
        <w:spacing w:after="0" w:line="240" w:lineRule="auto"/>
      </w:pPr>
      <w:r>
        <w:continuationSeparator/>
      </w:r>
    </w:p>
  </w:footnote>
  <w:footnote w:id="1">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COM(1999) 706 definitief van 17 december 1999.</w:t>
      </w:r>
    </w:p>
  </w:footnote>
  <w:footnote w:id="2">
    <w:p w:rsidR="00B25BAB" w:rsidRDefault="006E0A78">
      <w:pPr>
        <w:pStyle w:val="Voetnoottekst"/>
        <w:ind w:left="357" w:hanging="357"/>
        <w:jc w:val="both"/>
      </w:pPr>
      <w:r>
        <w:rPr>
          <w:rStyle w:val="Voetnootmarkering"/>
          <w:rFonts w:ascii="Times New Roman" w:hAnsi="Times New Roman"/>
        </w:rPr>
        <w:footnoteRef/>
      </w:r>
      <w:r>
        <w:t xml:space="preserve"> </w:t>
      </w:r>
      <w:r>
        <w:tab/>
      </w:r>
      <w:r>
        <w:rPr>
          <w:rFonts w:ascii="Times New Roman" w:hAnsi="Times New Roman"/>
        </w:rPr>
        <w:t xml:space="preserve">Onder meer dit aspect komt aan bod in het zevende milieuactieprogramma (Besluit nr. 1386/2013/EU van het Europees Parlement en de Raad van 20 november 2013 inzake </w:t>
      </w:r>
      <w:r>
        <w:rPr>
          <w:rFonts w:ascii="Times New Roman" w:hAnsi="Times New Roman"/>
        </w:rPr>
        <w:t>een nieuw algemeen milieuactieprogramma voor de Europese Unie voor de periode tot en met 2020 "Goed leven, binnen de grenzen van onze planeet" (PB L 354 van 28.12.2013, blz. 171)).</w:t>
      </w:r>
    </w:p>
  </w:footnote>
  <w:footnote w:id="3">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Style w:val="Voetnootmarkering"/>
          <w:rFonts w:ascii="Times New Roman" w:hAnsi="Times New Roman"/>
        </w:rPr>
        <w:t xml:space="preserve"> </w:t>
      </w:r>
      <w:r>
        <w:tab/>
      </w:r>
      <w:r>
        <w:rPr>
          <w:rFonts w:ascii="Times New Roman" w:hAnsi="Times New Roman"/>
        </w:rPr>
        <w:t>Verordening (EU) nr. 528/2012 van het Europees Parlement en de Raad betr</w:t>
      </w:r>
      <w:r>
        <w:rPr>
          <w:rFonts w:ascii="Times New Roman" w:hAnsi="Times New Roman"/>
        </w:rPr>
        <w:t>effende het op de markt aanbieden en het gebruik van biociden (PB L 167 van 27.6.2012, blz. 1).</w:t>
      </w:r>
    </w:p>
  </w:footnote>
  <w:footnote w:id="4">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Style w:val="Voetnootmarkering"/>
          <w:rFonts w:ascii="Times New Roman" w:hAnsi="Times New Roman"/>
        </w:rPr>
        <w:t xml:space="preserve"> </w:t>
      </w:r>
      <w:r>
        <w:tab/>
      </w:r>
      <w:r>
        <w:rPr>
          <w:rFonts w:ascii="Times New Roman" w:hAnsi="Times New Roman"/>
        </w:rPr>
        <w:t>Verordening (EG) nr. 1107/2009 van het Europees Parlement en de Raad betreffende het op de markt brengen van gewasbeschermingsmiddelen (PB L 309 van 24.11.20</w:t>
      </w:r>
      <w:r>
        <w:rPr>
          <w:rFonts w:ascii="Times New Roman" w:hAnsi="Times New Roman"/>
        </w:rPr>
        <w:t>09, blz. 1).</w:t>
      </w:r>
    </w:p>
  </w:footnote>
  <w:footnote w:id="5">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Artikel 5, lid 3, van Verordening (EU) nr. 528/2012.</w:t>
      </w:r>
    </w:p>
  </w:footnote>
  <w:footnote w:id="6">
    <w:p w:rsidR="00B25BAB" w:rsidRDefault="006E0A78">
      <w:pPr>
        <w:pStyle w:val="Titreobjet"/>
        <w:spacing w:before="0" w:after="0"/>
        <w:ind w:left="357" w:hanging="357"/>
        <w:jc w:val="both"/>
      </w:pPr>
      <w:r>
        <w:rPr>
          <w:rStyle w:val="Voetnootmarkering"/>
          <w:b w:val="0"/>
          <w:sz w:val="20"/>
        </w:rPr>
        <w:footnoteRef/>
      </w:r>
      <w:r>
        <w:rPr>
          <w:rStyle w:val="Voetnootmarkering"/>
        </w:rPr>
        <w:t xml:space="preserve"> </w:t>
      </w:r>
      <w:r>
        <w:tab/>
      </w:r>
      <w:r>
        <w:rPr>
          <w:b w:val="0"/>
          <w:sz w:val="20"/>
        </w:rPr>
        <w:t xml:space="preserve">Ontwerp voor een gedelegeerde verordening van de Commissie tot vaststelling van wetenschappelijke criteria voor het bepalen van </w:t>
      </w:r>
      <w:proofErr w:type="spellStart"/>
      <w:r>
        <w:rPr>
          <w:b w:val="0"/>
          <w:sz w:val="20"/>
        </w:rPr>
        <w:t>hormoonontregelende</w:t>
      </w:r>
      <w:proofErr w:type="spellEnd"/>
      <w:r>
        <w:rPr>
          <w:b w:val="0"/>
          <w:sz w:val="20"/>
        </w:rPr>
        <w:t xml:space="preserve"> eigenschappen uit hoofde van Verorde</w:t>
      </w:r>
      <w:r>
        <w:rPr>
          <w:b w:val="0"/>
          <w:sz w:val="20"/>
        </w:rPr>
        <w:t xml:space="preserve">ning (EU) nr. 528/2012 en ontwerpverordening van de Commissie tot vaststelling van specifieke wetenschappelijke criteria voor het bepalen van </w:t>
      </w:r>
      <w:proofErr w:type="spellStart"/>
      <w:r>
        <w:rPr>
          <w:b w:val="0"/>
          <w:sz w:val="20"/>
        </w:rPr>
        <w:t>hormoonontregelende</w:t>
      </w:r>
      <w:proofErr w:type="spellEnd"/>
      <w:r>
        <w:rPr>
          <w:b w:val="0"/>
          <w:sz w:val="20"/>
        </w:rPr>
        <w:t xml:space="preserve"> eigenschappen en tot wijziging van bijlage II bij Verordening (EG) nr. 1107/2009.</w:t>
      </w:r>
    </w:p>
  </w:footnote>
  <w:footnote w:id="7">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In het ge</w:t>
      </w:r>
      <w:r>
        <w:rPr>
          <w:rFonts w:ascii="Times New Roman" w:hAnsi="Times New Roman"/>
        </w:rPr>
        <w:t>val van gewasbeschermingsmiddelen stemt het Permanent Comité over de ontwerptekst (regelgevingsprocedure met toetsing). In het geval van biociden bespreekt een groep deskundigen van de lidstaten het ontwerp van gedelegeerde handeling. Beide maatregelen wor</w:t>
      </w:r>
      <w:r>
        <w:rPr>
          <w:rFonts w:ascii="Times New Roman" w:hAnsi="Times New Roman"/>
        </w:rPr>
        <w:t>den ook door het Parlement en de Raad behandeld, zij het volgens verschillende procedures (ontwerpmaatregel volgens regelgevingsprocedure met toetsing en vastgestelde gedelegeerde handeling). Om de samenhang van de twee handelingen te verzekeren, zal de Co</w:t>
      </w:r>
      <w:r>
        <w:rPr>
          <w:rFonts w:ascii="Times New Roman" w:hAnsi="Times New Roman"/>
        </w:rPr>
        <w:t>mmissie beide teksten terzelfder tijd aan de medewetgevers van de EU voorleggen, zodat zij hun controletaken kunnen uitoefenen.</w:t>
      </w:r>
    </w:p>
  </w:footnote>
  <w:footnote w:id="8">
    <w:p w:rsidR="00B25BAB" w:rsidRDefault="006E0A78">
      <w:pPr>
        <w:pStyle w:val="Voetnoottekst"/>
        <w:ind w:left="357" w:hanging="357"/>
        <w:jc w:val="both"/>
      </w:pPr>
      <w:r>
        <w:rPr>
          <w:rStyle w:val="Voetnootmarkering"/>
        </w:rPr>
        <w:footnoteRef/>
      </w:r>
      <w:r>
        <w:t xml:space="preserve"> </w:t>
      </w:r>
      <w:r>
        <w:tab/>
      </w:r>
      <w:r>
        <w:rPr>
          <w:rFonts w:ascii="Times New Roman" w:hAnsi="Times New Roman"/>
        </w:rPr>
        <w:t>SWD(2016) 211.</w:t>
      </w:r>
    </w:p>
  </w:footnote>
  <w:footnote w:id="9">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Style w:val="Voetnootmarkering"/>
          <w:rFonts w:ascii="Times New Roman" w:hAnsi="Times New Roman"/>
        </w:rPr>
        <w:t xml:space="preserve"> </w:t>
      </w:r>
      <w:r>
        <w:tab/>
      </w:r>
      <w:r>
        <w:rPr>
          <w:rFonts w:ascii="Times New Roman" w:hAnsi="Times New Roman"/>
        </w:rPr>
        <w:t>De analyse in de effectbeoordeling bouwt onder meer voort op een in opdracht gegeven onderzoek, waarin bijna alle voor gewasbeschermingsmiddelen goedgekeurde werkzame stoffen (en de werkzame stoffen voor biociden waarover informatie op EU-niveau beschikbaa</w:t>
      </w:r>
      <w:r>
        <w:rPr>
          <w:rFonts w:ascii="Times New Roman" w:hAnsi="Times New Roman"/>
        </w:rPr>
        <w:t xml:space="preserve">r was) werden gescreend om de effecten te beoordelen van verschillende opties voor criteria voor de identificatie van </w:t>
      </w:r>
      <w:proofErr w:type="spellStart"/>
      <w:r>
        <w:rPr>
          <w:rFonts w:ascii="Times New Roman" w:hAnsi="Times New Roman"/>
        </w:rPr>
        <w:t>hormoonontregelaars</w:t>
      </w:r>
      <w:proofErr w:type="spellEnd"/>
      <w:r>
        <w:rPr>
          <w:rFonts w:ascii="Times New Roman" w:hAnsi="Times New Roman"/>
        </w:rPr>
        <w:t xml:space="preserve"> in het kader van de verordeningen inzake gewasbeschermingsmiddelen en biociden. De screening vond plaats op basis van </w:t>
      </w:r>
      <w:r>
        <w:rPr>
          <w:rFonts w:ascii="Times New Roman" w:hAnsi="Times New Roman"/>
        </w:rPr>
        <w:t>de beschikbare gegevens (geen bijkomende tests) en moest in beperkte tijd worden uitgevoerd. De screeningmethode werd voor dit doel ontwikkeld. De resultaten van de screening houden dan ook geen in het kader van de desbetreffende wetgeving uit te voeren be</w:t>
      </w:r>
      <w:r>
        <w:rPr>
          <w:rFonts w:ascii="Times New Roman" w:hAnsi="Times New Roman"/>
        </w:rPr>
        <w:t xml:space="preserve">oordeling van specifieke stoffen in en lopen geenszins vooruit op toekomstige besluiten over werkzame stoffen uit hoofde van deze twee verordeningen. </w:t>
      </w:r>
    </w:p>
  </w:footnote>
  <w:footnote w:id="10">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 xml:space="preserve">De belangrijkste wetenschappelijke en beleidsverslagen van het Gemeenschappelijk Centrum voor </w:t>
      </w:r>
      <w:r>
        <w:rPr>
          <w:rFonts w:ascii="Times New Roman" w:hAnsi="Times New Roman"/>
        </w:rPr>
        <w:t xml:space="preserve">onderzoek zijn de verslagen van de deskundigenadviesgroep </w:t>
      </w:r>
      <w:proofErr w:type="spellStart"/>
      <w:r>
        <w:rPr>
          <w:rFonts w:ascii="Times New Roman" w:hAnsi="Times New Roman"/>
        </w:rPr>
        <w:t>hormoonontregelende</w:t>
      </w:r>
      <w:proofErr w:type="spellEnd"/>
      <w:r>
        <w:rPr>
          <w:rFonts w:ascii="Times New Roman" w:hAnsi="Times New Roman"/>
        </w:rPr>
        <w:t xml:space="preserve"> stoffen: "</w:t>
      </w:r>
      <w:proofErr w:type="spellStart"/>
      <w:r>
        <w:rPr>
          <w:rFonts w:ascii="Times New Roman" w:hAnsi="Times New Roman"/>
        </w:rPr>
        <w:t>Key</w:t>
      </w:r>
      <w:proofErr w:type="spellEnd"/>
      <w:r>
        <w:rPr>
          <w:rFonts w:ascii="Times New Roman" w:hAnsi="Times New Roman"/>
        </w:rPr>
        <w:t xml:space="preserve"> </w:t>
      </w:r>
      <w:proofErr w:type="spellStart"/>
      <w:r>
        <w:rPr>
          <w:rFonts w:ascii="Times New Roman" w:hAnsi="Times New Roman"/>
        </w:rPr>
        <w:t>scientific</w:t>
      </w:r>
      <w:proofErr w:type="spellEnd"/>
      <w:r>
        <w:rPr>
          <w:rFonts w:ascii="Times New Roman" w:hAnsi="Times New Roman"/>
        </w:rPr>
        <w:t xml:space="preserve"> issues relevant </w:t>
      </w:r>
      <w:proofErr w:type="spellStart"/>
      <w:r>
        <w:rPr>
          <w:rFonts w:ascii="Times New Roman" w:hAnsi="Times New Roman"/>
        </w:rPr>
        <w:t>to</w:t>
      </w:r>
      <w:proofErr w:type="spellEnd"/>
      <w:r>
        <w:rPr>
          <w:rFonts w:ascii="Times New Roman" w:hAnsi="Times New Roman"/>
        </w:rPr>
        <w:t xml:space="preserve"> the </w:t>
      </w:r>
      <w:proofErr w:type="spellStart"/>
      <w:r>
        <w:rPr>
          <w:rFonts w:ascii="Times New Roman" w:hAnsi="Times New Roman"/>
        </w:rPr>
        <w:t>identification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characterisation</w:t>
      </w:r>
      <w:proofErr w:type="spellEnd"/>
      <w:r>
        <w:rPr>
          <w:rFonts w:ascii="Times New Roman" w:hAnsi="Times New Roman"/>
        </w:rPr>
        <w:t xml:space="preserve"> of </w:t>
      </w:r>
      <w:proofErr w:type="spellStart"/>
      <w:r>
        <w:rPr>
          <w:rFonts w:ascii="Times New Roman" w:hAnsi="Times New Roman"/>
        </w:rPr>
        <w:t>endocrine</w:t>
      </w:r>
      <w:proofErr w:type="spellEnd"/>
      <w:r>
        <w:rPr>
          <w:rFonts w:ascii="Times New Roman" w:hAnsi="Times New Roman"/>
        </w:rPr>
        <w:t xml:space="preserve"> </w:t>
      </w:r>
      <w:proofErr w:type="spellStart"/>
      <w:r>
        <w:rPr>
          <w:rFonts w:ascii="Times New Roman" w:hAnsi="Times New Roman"/>
        </w:rPr>
        <w:t>disrupting</w:t>
      </w:r>
      <w:proofErr w:type="spellEnd"/>
      <w:r>
        <w:rPr>
          <w:rFonts w:ascii="Times New Roman" w:hAnsi="Times New Roman"/>
        </w:rPr>
        <w:t xml:space="preserve"> </w:t>
      </w:r>
      <w:proofErr w:type="spellStart"/>
      <w:r>
        <w:rPr>
          <w:rFonts w:ascii="Times New Roman" w:hAnsi="Times New Roman"/>
        </w:rPr>
        <w:t>substances</w:t>
      </w:r>
      <w:proofErr w:type="spellEnd"/>
      <w:r>
        <w:rPr>
          <w:rFonts w:ascii="Times New Roman" w:hAnsi="Times New Roman"/>
        </w:rPr>
        <w:t>" (2013); en "</w:t>
      </w:r>
      <w:proofErr w:type="spellStart"/>
      <w:r>
        <w:rPr>
          <w:rFonts w:ascii="Times New Roman" w:hAnsi="Times New Roman"/>
        </w:rPr>
        <w:t>Thresholds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endocrine</w:t>
      </w:r>
      <w:proofErr w:type="spellEnd"/>
      <w:r>
        <w:rPr>
          <w:rFonts w:ascii="Times New Roman" w:hAnsi="Times New Roman"/>
        </w:rPr>
        <w:t xml:space="preserve"> </w:t>
      </w:r>
      <w:proofErr w:type="spellStart"/>
      <w:r>
        <w:rPr>
          <w:rFonts w:ascii="Times New Roman" w:hAnsi="Times New Roman"/>
        </w:rPr>
        <w:t>disruptors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relate</w:t>
      </w:r>
      <w:r>
        <w:rPr>
          <w:rFonts w:ascii="Times New Roman" w:hAnsi="Times New Roman"/>
        </w:rPr>
        <w:t>d</w:t>
      </w:r>
      <w:proofErr w:type="spellEnd"/>
      <w:r>
        <w:rPr>
          <w:rFonts w:ascii="Times New Roman" w:hAnsi="Times New Roman"/>
        </w:rPr>
        <w:t xml:space="preserve"> </w:t>
      </w:r>
      <w:proofErr w:type="spellStart"/>
      <w:r>
        <w:rPr>
          <w:rFonts w:ascii="Times New Roman" w:hAnsi="Times New Roman"/>
        </w:rPr>
        <w:t>uncertainties</w:t>
      </w:r>
      <w:proofErr w:type="spellEnd"/>
      <w:r>
        <w:rPr>
          <w:rFonts w:ascii="Times New Roman" w:hAnsi="Times New Roman"/>
        </w:rPr>
        <w:t>" (2013) (</w:t>
      </w:r>
      <w:hyperlink r:id="rId1">
        <w:r>
          <w:rPr>
            <w:rStyle w:val="Hyperlink"/>
            <w:rFonts w:ascii="Times New Roman" w:hAnsi="Times New Roman"/>
          </w:rPr>
          <w:t>https://ec.europa.eu/jrc/en/publication/eur-scientific-and-technical</w:t>
        </w:r>
        <w:r>
          <w:rPr>
            <w:rStyle w:val="Hyperlink"/>
            <w:rFonts w:ascii="Times New Roman" w:hAnsi="Times New Roman"/>
          </w:rPr>
          <w:t>-research-reports/thresholds-endocrine-disrupters-and-related-uncertainties</w:t>
        </w:r>
      </w:hyperlink>
      <w:r>
        <w:rPr>
          <w:rFonts w:ascii="Times New Roman" w:hAnsi="Times New Roman"/>
        </w:rPr>
        <w:t>; https://ec.europa.eu/jrc/en/publication/eur-scientific-and-technical-research-reports/key-scientific-issues-relevant-identification-and-characterisation-endocrine-disrupting).</w:t>
      </w:r>
    </w:p>
  </w:footnote>
  <w:footnote w:id="11">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tab/>
      </w:r>
      <w:r>
        <w:rPr>
          <w:rFonts w:ascii="Times New Roman" w:hAnsi="Times New Roman"/>
        </w:rPr>
        <w:t>M</w:t>
      </w:r>
      <w:r>
        <w:rPr>
          <w:rFonts w:ascii="Times New Roman" w:hAnsi="Times New Roman"/>
        </w:rPr>
        <w:t xml:space="preserve">eer informatie over de vele EU-activiteiten is beschikbaar op de desbetreffende portaalsite van de Commissie: </w:t>
      </w:r>
      <w:hyperlink r:id="rId2">
        <w:r>
          <w:rPr>
            <w:rStyle w:val="Hyperlink"/>
            <w:rFonts w:ascii="Times New Roman" w:hAnsi="Times New Roman"/>
          </w:rPr>
          <w:t>http://ec.europa.eu/health/endocrine_disruptors/policy/inde</w:t>
        </w:r>
        <w:r>
          <w:rPr>
            <w:rStyle w:val="Hyperlink"/>
            <w:rFonts w:ascii="Times New Roman" w:hAnsi="Times New Roman"/>
          </w:rPr>
          <w:t>x_en.htm</w:t>
        </w:r>
      </w:hyperlink>
      <w:r>
        <w:rPr>
          <w:rFonts w:ascii="Times New Roman" w:hAnsi="Times New Roman"/>
        </w:rPr>
        <w:t xml:space="preserve"> </w:t>
      </w:r>
    </w:p>
  </w:footnote>
  <w:footnote w:id="12">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Arrest in zaak T-521/14 (Zweden v. Commissie).</w:t>
      </w:r>
    </w:p>
  </w:footnote>
  <w:footnote w:id="13">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Internationaal Programma voor chemische veiligheid van de Wereldgezondheidsorganisatie, Global assessment of the state-of-the-</w:t>
      </w:r>
      <w:proofErr w:type="spellStart"/>
      <w:r>
        <w:rPr>
          <w:rFonts w:ascii="Times New Roman" w:hAnsi="Times New Roman"/>
        </w:rPr>
        <w:t>science</w:t>
      </w:r>
      <w:proofErr w:type="spellEnd"/>
      <w:r>
        <w:rPr>
          <w:rFonts w:ascii="Times New Roman" w:hAnsi="Times New Roman"/>
        </w:rPr>
        <w:t xml:space="preserve"> of </w:t>
      </w:r>
      <w:proofErr w:type="spellStart"/>
      <w:r>
        <w:rPr>
          <w:rFonts w:ascii="Times New Roman" w:hAnsi="Times New Roman"/>
        </w:rPr>
        <w:t>endocrine</w:t>
      </w:r>
      <w:proofErr w:type="spellEnd"/>
      <w:r>
        <w:rPr>
          <w:rFonts w:ascii="Times New Roman" w:hAnsi="Times New Roman"/>
        </w:rPr>
        <w:t xml:space="preserve"> </w:t>
      </w:r>
      <w:proofErr w:type="spellStart"/>
      <w:r>
        <w:rPr>
          <w:rFonts w:ascii="Times New Roman" w:hAnsi="Times New Roman"/>
        </w:rPr>
        <w:t>disruptors</w:t>
      </w:r>
      <w:proofErr w:type="spellEnd"/>
      <w:r>
        <w:rPr>
          <w:rFonts w:ascii="Times New Roman" w:hAnsi="Times New Roman"/>
        </w:rPr>
        <w:t>, 2002, WHO/PCS/EDC/02.2.</w:t>
      </w:r>
    </w:p>
  </w:footnote>
  <w:footnote w:id="14">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Europes</w:t>
      </w:r>
      <w:r>
        <w:rPr>
          <w:rFonts w:ascii="Times New Roman" w:hAnsi="Times New Roman"/>
        </w:rPr>
        <w:t xml:space="preserve">e Autoriteit voor voedselveiligheid, </w:t>
      </w:r>
      <w:proofErr w:type="spellStart"/>
      <w:r>
        <w:rPr>
          <w:rFonts w:ascii="Times New Roman" w:hAnsi="Times New Roman"/>
        </w:rPr>
        <w:t>Scientific</w:t>
      </w:r>
      <w:proofErr w:type="spellEnd"/>
      <w:r>
        <w:rPr>
          <w:rFonts w:ascii="Times New Roman" w:hAnsi="Times New Roman"/>
        </w:rPr>
        <w:t xml:space="preserve"> criteria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identification</w:t>
      </w:r>
      <w:proofErr w:type="spellEnd"/>
      <w:r>
        <w:rPr>
          <w:rFonts w:ascii="Times New Roman" w:hAnsi="Times New Roman"/>
        </w:rPr>
        <w:t xml:space="preserve"> of </w:t>
      </w:r>
      <w:proofErr w:type="spellStart"/>
      <w:r>
        <w:rPr>
          <w:rFonts w:ascii="Times New Roman" w:hAnsi="Times New Roman"/>
        </w:rPr>
        <w:t>endocrine</w:t>
      </w:r>
      <w:proofErr w:type="spellEnd"/>
      <w:r>
        <w:rPr>
          <w:rFonts w:ascii="Times New Roman" w:hAnsi="Times New Roman"/>
        </w:rPr>
        <w:t xml:space="preserve"> </w:t>
      </w:r>
      <w:proofErr w:type="spellStart"/>
      <w:r>
        <w:rPr>
          <w:rFonts w:ascii="Times New Roman" w:hAnsi="Times New Roman"/>
        </w:rPr>
        <w:t>disruptors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appropriateness</w:t>
      </w:r>
      <w:proofErr w:type="spellEnd"/>
      <w:r>
        <w:rPr>
          <w:rFonts w:ascii="Times New Roman" w:hAnsi="Times New Roman"/>
        </w:rPr>
        <w:t xml:space="preserve"> of </w:t>
      </w:r>
      <w:proofErr w:type="spellStart"/>
      <w:r>
        <w:rPr>
          <w:rFonts w:ascii="Times New Roman" w:hAnsi="Times New Roman"/>
        </w:rPr>
        <w:t>existing</w:t>
      </w:r>
      <w:proofErr w:type="spellEnd"/>
      <w:r>
        <w:rPr>
          <w:rFonts w:ascii="Times New Roman" w:hAnsi="Times New Roman"/>
        </w:rPr>
        <w:t xml:space="preserve"> test </w:t>
      </w:r>
      <w:proofErr w:type="spellStart"/>
      <w:r>
        <w:rPr>
          <w:rFonts w:ascii="Times New Roman" w:hAnsi="Times New Roman"/>
        </w:rPr>
        <w:t>methods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assessing</w:t>
      </w:r>
      <w:proofErr w:type="spellEnd"/>
      <w:r>
        <w:rPr>
          <w:rFonts w:ascii="Times New Roman" w:hAnsi="Times New Roman"/>
        </w:rPr>
        <w:t xml:space="preserve"> </w:t>
      </w:r>
      <w:proofErr w:type="spellStart"/>
      <w:r>
        <w:rPr>
          <w:rFonts w:ascii="Times New Roman" w:hAnsi="Times New Roman"/>
        </w:rPr>
        <w:t>effects</w:t>
      </w:r>
      <w:proofErr w:type="spellEnd"/>
      <w:r>
        <w:rPr>
          <w:rFonts w:ascii="Times New Roman" w:hAnsi="Times New Roman"/>
        </w:rPr>
        <w:t xml:space="preserve"> </w:t>
      </w:r>
      <w:proofErr w:type="spellStart"/>
      <w:r>
        <w:rPr>
          <w:rFonts w:ascii="Times New Roman" w:hAnsi="Times New Roman"/>
        </w:rPr>
        <w:t>mediated</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these </w:t>
      </w:r>
      <w:proofErr w:type="spellStart"/>
      <w:r>
        <w:rPr>
          <w:rFonts w:ascii="Times New Roman" w:hAnsi="Times New Roman"/>
        </w:rPr>
        <w:t>substances</w:t>
      </w:r>
      <w:proofErr w:type="spellEnd"/>
      <w:r>
        <w:rPr>
          <w:rFonts w:ascii="Times New Roman" w:hAnsi="Times New Roman"/>
        </w:rPr>
        <w:t xml:space="preserve"> on human health </w:t>
      </w:r>
      <w:proofErr w:type="spellStart"/>
      <w:r>
        <w:rPr>
          <w:rFonts w:ascii="Times New Roman" w:hAnsi="Times New Roman"/>
        </w:rPr>
        <w:t>and</w:t>
      </w:r>
      <w:proofErr w:type="spellEnd"/>
      <w:r>
        <w:rPr>
          <w:rFonts w:ascii="Times New Roman" w:hAnsi="Times New Roman"/>
        </w:rPr>
        <w:t xml:space="preserve"> the environment, 28.2.2013, EFSA Journal</w:t>
      </w:r>
      <w:r>
        <w:rPr>
          <w:rFonts w:ascii="Times New Roman" w:hAnsi="Times New Roman"/>
        </w:rPr>
        <w:t xml:space="preserve"> 2013;11(3):3132, blz. 17 ("EFSA(2013)").</w:t>
      </w:r>
    </w:p>
  </w:footnote>
  <w:footnote w:id="15">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Zie EFSA(2013), blz. 29.</w:t>
      </w:r>
    </w:p>
  </w:footnote>
  <w:footnote w:id="16">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 xml:space="preserve">Internationaal Programma voor chemische veiligheid van de Wereldgezondheidsorganisatie, </w:t>
      </w:r>
      <w:proofErr w:type="spellStart"/>
      <w:r>
        <w:rPr>
          <w:rFonts w:ascii="Times New Roman" w:hAnsi="Times New Roman"/>
        </w:rPr>
        <w:t>Principles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methods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the risk assessment of </w:t>
      </w:r>
      <w:proofErr w:type="spellStart"/>
      <w:r>
        <w:rPr>
          <w:rFonts w:ascii="Times New Roman" w:hAnsi="Times New Roman"/>
        </w:rPr>
        <w:t>chemicals</w:t>
      </w:r>
      <w:proofErr w:type="spellEnd"/>
      <w:r>
        <w:rPr>
          <w:rFonts w:ascii="Times New Roman" w:hAnsi="Times New Roman"/>
        </w:rPr>
        <w:t xml:space="preserve"> in food (</w:t>
      </w:r>
      <w:proofErr w:type="spellStart"/>
      <w:r>
        <w:rPr>
          <w:rFonts w:ascii="Times New Roman" w:hAnsi="Times New Roman"/>
        </w:rPr>
        <w:t>Environmental</w:t>
      </w:r>
      <w:proofErr w:type="spellEnd"/>
      <w:r>
        <w:rPr>
          <w:rFonts w:ascii="Times New Roman" w:hAnsi="Times New Roman"/>
        </w:rPr>
        <w:t xml:space="preserve"> Health Crite</w:t>
      </w:r>
      <w:r>
        <w:rPr>
          <w:rFonts w:ascii="Times New Roman" w:hAnsi="Times New Roman"/>
        </w:rPr>
        <w:t>ria), 2009.</w:t>
      </w:r>
    </w:p>
  </w:footnote>
  <w:footnote w:id="17">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EFSA(2013), blz. 16.</w:t>
      </w:r>
    </w:p>
  </w:footnote>
  <w:footnote w:id="18">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Soms de "specificiteit van het schadelijk effect" genoemd.</w:t>
      </w:r>
    </w:p>
  </w:footnote>
  <w:footnote w:id="19">
    <w:p w:rsidR="00B25BAB" w:rsidRDefault="006E0A78">
      <w:pPr>
        <w:pStyle w:val="Voetnoottekst"/>
        <w:ind w:left="357" w:hanging="357"/>
        <w:jc w:val="both"/>
      </w:pPr>
      <w:r>
        <w:rPr>
          <w:rStyle w:val="Voetnootmarkering"/>
          <w:rFonts w:ascii="Times New Roman" w:hAnsi="Times New Roman"/>
        </w:rPr>
        <w:footnoteRef/>
      </w:r>
      <w:r>
        <w:rPr>
          <w:rStyle w:val="Voetnootmarkering"/>
        </w:rPr>
        <w:t xml:space="preserve"> </w:t>
      </w:r>
      <w:r>
        <w:tab/>
      </w:r>
      <w:r>
        <w:rPr>
          <w:rFonts w:ascii="Times New Roman" w:hAnsi="Times New Roman"/>
        </w:rPr>
        <w:t>Dergelijke categorieën worden gebruikt op sommige gebieden van de regelgeving inzake chemische stoffen. Niet te verwarren met werkzaamheidscategorieën (zie</w:t>
      </w:r>
      <w:r>
        <w:rPr>
          <w:rFonts w:ascii="Times New Roman" w:hAnsi="Times New Roman"/>
        </w:rPr>
        <w:t xml:space="preserve"> hieronder).</w:t>
      </w:r>
    </w:p>
  </w:footnote>
  <w:footnote w:id="20">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Dit sluit niet uit dat categorieën worden gebruikt als prioriteringsinstrument, bijvoorbeeld voor bijkomend onderzoek.</w:t>
      </w:r>
    </w:p>
  </w:footnote>
  <w:footnote w:id="21">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 xml:space="preserve">Uitgezonderd bijvoorbeeld bepaalde vormen van </w:t>
      </w:r>
      <w:proofErr w:type="spellStart"/>
      <w:r>
        <w:rPr>
          <w:rFonts w:ascii="Times New Roman" w:hAnsi="Times New Roman"/>
        </w:rPr>
        <w:t>mutageniteit</w:t>
      </w:r>
      <w:proofErr w:type="spellEnd"/>
      <w:r>
        <w:rPr>
          <w:rFonts w:ascii="Times New Roman" w:hAnsi="Times New Roman"/>
        </w:rPr>
        <w:t xml:space="preserve"> en genotoxische </w:t>
      </w:r>
      <w:proofErr w:type="spellStart"/>
      <w:r>
        <w:rPr>
          <w:rFonts w:ascii="Times New Roman" w:hAnsi="Times New Roman"/>
        </w:rPr>
        <w:t>kankerverwekkendheid</w:t>
      </w:r>
      <w:proofErr w:type="spellEnd"/>
      <w:r>
        <w:rPr>
          <w:rFonts w:ascii="Times New Roman" w:hAnsi="Times New Roman"/>
        </w:rPr>
        <w:t xml:space="preserve">. Voor deze eindpunten </w:t>
      </w:r>
      <w:r>
        <w:rPr>
          <w:rFonts w:ascii="Times New Roman" w:hAnsi="Times New Roman"/>
        </w:rPr>
        <w:t xml:space="preserve">worden in de huidige praktijk inzake risicobeoordeling geen drempelwaarden gehanteerd, d.w.z. er wordt aangenomen dat geen enkele mate van blootstelling zonder risico is. </w:t>
      </w:r>
    </w:p>
  </w:footnote>
  <w:footnote w:id="22">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De EFSA heeft erop gewezen dat "</w:t>
      </w:r>
      <w:r>
        <w:rPr>
          <w:rFonts w:ascii="Times New Roman" w:hAnsi="Times New Roman"/>
          <w:i/>
        </w:rPr>
        <w:t>over het algemeen voor de meeste toxische process</w:t>
      </w:r>
      <w:r>
        <w:rPr>
          <w:rFonts w:ascii="Times New Roman" w:hAnsi="Times New Roman"/>
          <w:i/>
        </w:rPr>
        <w:t xml:space="preserve">en wordt aangenomen dat er een drempelblootstelling bestaat waaronder geen biologisch </w:t>
      </w:r>
      <w:proofErr w:type="spellStart"/>
      <w:r>
        <w:rPr>
          <w:rFonts w:ascii="Times New Roman" w:hAnsi="Times New Roman"/>
          <w:i/>
        </w:rPr>
        <w:t>signifant</w:t>
      </w:r>
      <w:proofErr w:type="spellEnd"/>
      <w:r>
        <w:rPr>
          <w:rFonts w:ascii="Times New Roman" w:hAnsi="Times New Roman"/>
          <w:i/>
        </w:rPr>
        <w:t xml:space="preserve"> effect optreedt</w:t>
      </w:r>
      <w:r>
        <w:rPr>
          <w:rFonts w:ascii="Times New Roman" w:hAnsi="Times New Roman"/>
        </w:rPr>
        <w:t>" (EFSA(2013), blz. 16).</w:t>
      </w:r>
    </w:p>
  </w:footnote>
  <w:footnote w:id="23">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 xml:space="preserve">De vergelijking van suiker met zoetstoffen kan dienen ter illustratie. In beide gevallen is zoetheid een intrinsieke </w:t>
      </w:r>
      <w:r>
        <w:rPr>
          <w:rFonts w:ascii="Times New Roman" w:hAnsi="Times New Roman"/>
        </w:rPr>
        <w:t>eigenschap. Nochtans is de werkzaamheid van de meeste zoetstoffen veel hoger dan die van suiker, zodat een lagere dosis nodig is om een effect teweeg te brengen.</w:t>
      </w:r>
    </w:p>
  </w:footnote>
  <w:footnote w:id="24">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Verordening (EG) nr. 1272/2008 van het Europees Parlement en de Raad van 16 december 2008 b</w:t>
      </w:r>
      <w:r>
        <w:rPr>
          <w:rFonts w:ascii="Times New Roman" w:hAnsi="Times New Roman"/>
        </w:rPr>
        <w:t>etreffende de indeling, etikettering en verpakking van stoffen en mengsels (PB L 353 van 31.12.2008, blz. 1).</w:t>
      </w:r>
    </w:p>
  </w:footnote>
  <w:footnote w:id="25">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Bijvoorbeeld schadelijk/toxisch/dodelijk bij contact met de huid.</w:t>
      </w:r>
    </w:p>
  </w:footnote>
  <w:footnote w:id="26">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 xml:space="preserve">In het kader van het </w:t>
      </w:r>
      <w:proofErr w:type="spellStart"/>
      <w:r>
        <w:rPr>
          <w:rFonts w:ascii="Times New Roman" w:hAnsi="Times New Roman"/>
        </w:rPr>
        <w:t>Refit</w:t>
      </w:r>
      <w:proofErr w:type="spellEnd"/>
      <w:r>
        <w:rPr>
          <w:rFonts w:ascii="Times New Roman" w:hAnsi="Times New Roman"/>
        </w:rPr>
        <w:t xml:space="preserve">-programma voert de Commissie momenteel een </w:t>
      </w:r>
      <w:r>
        <w:rPr>
          <w:rFonts w:ascii="Times New Roman" w:hAnsi="Times New Roman"/>
        </w:rPr>
        <w:t>geschiktheidscontrole uit om deze aspecten grondiger te beoordelen (zie http://ec.europa.eu/smart-regulation/roadmaps/docs/2015_grow_050_refit_chemicals_outside_reach_en.pdf).</w:t>
      </w:r>
    </w:p>
  </w:footnote>
  <w:footnote w:id="27">
    <w:p w:rsidR="00B25BAB" w:rsidRDefault="006E0A78">
      <w:pPr>
        <w:pStyle w:val="Voetnoottekst"/>
        <w:ind w:left="357" w:hanging="357"/>
        <w:jc w:val="both"/>
      </w:pPr>
      <w:r>
        <w:rPr>
          <w:rStyle w:val="Voetnootmarkering"/>
        </w:rPr>
        <w:footnoteRef/>
      </w:r>
      <w:r>
        <w:t xml:space="preserve"> </w:t>
      </w:r>
      <w:r>
        <w:tab/>
      </w:r>
      <w:r>
        <w:rPr>
          <w:rFonts w:ascii="Times New Roman" w:hAnsi="Times New Roman"/>
        </w:rPr>
        <w:t>In het algemeen krijgt in een op risico gebaseerde benadering het evenredighe</w:t>
      </w:r>
      <w:r>
        <w:rPr>
          <w:rFonts w:ascii="Times New Roman" w:hAnsi="Times New Roman"/>
        </w:rPr>
        <w:t>idsbeginsel meer aandacht bij het nemen van regelgevingsbesluiten (d.w.z. risicomanagementbeslissingen).</w:t>
      </w:r>
    </w:p>
  </w:footnote>
  <w:footnote w:id="28">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proofErr w:type="spellStart"/>
      <w:r>
        <w:rPr>
          <w:rFonts w:ascii="Times New Roman" w:hAnsi="Times New Roman"/>
        </w:rPr>
        <w:t>Hormoonontregelaars</w:t>
      </w:r>
      <w:proofErr w:type="spellEnd"/>
      <w:r>
        <w:rPr>
          <w:rFonts w:ascii="Times New Roman" w:hAnsi="Times New Roman"/>
        </w:rPr>
        <w:t xml:space="preserve"> mogen worden goedgekeurd mits </w:t>
      </w:r>
      <w:proofErr w:type="spellStart"/>
      <w:r>
        <w:rPr>
          <w:rFonts w:ascii="Times New Roman" w:hAnsi="Times New Roman"/>
        </w:rPr>
        <w:t>risicobeperkende</w:t>
      </w:r>
      <w:proofErr w:type="spellEnd"/>
      <w:r>
        <w:rPr>
          <w:rFonts w:ascii="Times New Roman" w:hAnsi="Times New Roman"/>
        </w:rPr>
        <w:t xml:space="preserve"> maatregelen worden getroffen en strikte voorwaarden in acht worden genomen.</w:t>
      </w:r>
    </w:p>
  </w:footnote>
  <w:footnote w:id="29">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EF</w:t>
      </w:r>
      <w:r>
        <w:rPr>
          <w:rFonts w:ascii="Times New Roman" w:hAnsi="Times New Roman"/>
        </w:rPr>
        <w:t>SA(2013), blz. 47: "</w:t>
      </w:r>
      <w:r>
        <w:rPr>
          <w:rFonts w:ascii="Times New Roman" w:hAnsi="Times New Roman"/>
          <w:i/>
        </w:rPr>
        <w:t>Met risicobeoordelingen (waarbij rekening wordt gehouden met gegevens/voorspellingen inzake gevaren en blootstelling) worden de beschikbare gegevens optimaal benut</w:t>
      </w:r>
      <w:r>
        <w:rPr>
          <w:rFonts w:ascii="Times New Roman" w:hAnsi="Times New Roman"/>
        </w:rPr>
        <w:t xml:space="preserve"> […]</w:t>
      </w:r>
      <w:r>
        <w:rPr>
          <w:rFonts w:ascii="Times New Roman" w:hAnsi="Times New Roman"/>
          <w:i/>
        </w:rPr>
        <w:t xml:space="preserve"> om ten behoeve van </w:t>
      </w:r>
      <w:proofErr w:type="spellStart"/>
      <w:r>
        <w:rPr>
          <w:rFonts w:ascii="Times New Roman" w:hAnsi="Times New Roman"/>
          <w:i/>
        </w:rPr>
        <w:t>risicomanagementsbeslissingen</w:t>
      </w:r>
      <w:proofErr w:type="spellEnd"/>
      <w:r>
        <w:rPr>
          <w:rFonts w:ascii="Times New Roman" w:hAnsi="Times New Roman"/>
          <w:i/>
        </w:rPr>
        <w:t xml:space="preserve"> informatie te verst</w:t>
      </w:r>
      <w:r>
        <w:rPr>
          <w:rFonts w:ascii="Times New Roman" w:hAnsi="Times New Roman"/>
          <w:i/>
        </w:rPr>
        <w:t xml:space="preserve">rekken over het risico en de </w:t>
      </w:r>
      <w:proofErr w:type="spellStart"/>
      <w:r>
        <w:rPr>
          <w:rFonts w:ascii="Times New Roman" w:hAnsi="Times New Roman"/>
          <w:i/>
        </w:rPr>
        <w:t>zorgwekkendheid</w:t>
      </w:r>
      <w:proofErr w:type="spellEnd"/>
      <w:r>
        <w:rPr>
          <w:rFonts w:ascii="Times New Roman" w:hAnsi="Times New Roman"/>
          <w:i/>
        </w:rPr>
        <w:t xml:space="preserve">. Daarom kunnen </w:t>
      </w:r>
      <w:proofErr w:type="spellStart"/>
      <w:r>
        <w:rPr>
          <w:rFonts w:ascii="Times New Roman" w:hAnsi="Times New Roman"/>
          <w:i/>
        </w:rPr>
        <w:t>hormoonontregelaars</w:t>
      </w:r>
      <w:proofErr w:type="spellEnd"/>
      <w:r>
        <w:rPr>
          <w:rFonts w:ascii="Times New Roman" w:hAnsi="Times New Roman"/>
          <w:i/>
        </w:rPr>
        <w:t xml:space="preserve"> worden behandeld zoals de meeste andere stoffen die strekken tot bezorgdheid voor de gezondheid van de mens of het milieu, d.w.z. zij kunnen worden onderworpen aan een risicobe</w:t>
      </w:r>
      <w:r>
        <w:rPr>
          <w:rFonts w:ascii="Times New Roman" w:hAnsi="Times New Roman"/>
          <w:i/>
        </w:rPr>
        <w:t>oordeling en niet uitsluitend aan een gevarenbeoordeling".</w:t>
      </w:r>
      <w:r>
        <w:rPr>
          <w:rFonts w:ascii="Times New Roman" w:hAnsi="Times New Roman"/>
        </w:rPr>
        <w:t xml:space="preserve"> Deze benadering werd onderschreven door het Wetenschappelijk Comité voor consumentenveiligheid, een onafhankelijk wetenschappelijk comité voor niet-voedingsproducten dat de Commissie adviseert (Mem</w:t>
      </w:r>
      <w:r>
        <w:rPr>
          <w:rFonts w:ascii="Times New Roman" w:hAnsi="Times New Roman"/>
        </w:rPr>
        <w:t xml:space="preserve">orandum over </w:t>
      </w:r>
      <w:proofErr w:type="spellStart"/>
      <w:r>
        <w:rPr>
          <w:rFonts w:ascii="Times New Roman" w:hAnsi="Times New Roman"/>
        </w:rPr>
        <w:t>hormoonontregelaars</w:t>
      </w:r>
      <w:proofErr w:type="spellEnd"/>
      <w:r>
        <w:rPr>
          <w:rFonts w:ascii="Times New Roman" w:hAnsi="Times New Roman"/>
        </w:rPr>
        <w:t>, 16.12.2014 (SCCS/1544/14)).</w:t>
      </w:r>
    </w:p>
  </w:footnote>
  <w:footnote w:id="30">
    <w:p w:rsidR="00B25BAB" w:rsidRDefault="006E0A78">
      <w:pPr>
        <w:pStyle w:val="Voetnoottekst"/>
        <w:ind w:left="357" w:hanging="357"/>
        <w:jc w:val="both"/>
      </w:pPr>
      <w:r>
        <w:rPr>
          <w:rStyle w:val="Voetnootmarkering"/>
          <w:rFonts w:ascii="Times New Roman" w:hAnsi="Times New Roman"/>
        </w:rPr>
        <w:footnoteRef/>
      </w:r>
      <w:r>
        <w:rPr>
          <w:rStyle w:val="Voetnootmarkering"/>
          <w:rFonts w:ascii="Times New Roman" w:hAnsi="Times New Roman"/>
        </w:rPr>
        <w:t xml:space="preserve"> </w:t>
      </w:r>
      <w:r>
        <w:tab/>
      </w:r>
      <w:r>
        <w:rPr>
          <w:rFonts w:ascii="Times New Roman" w:hAnsi="Times New Roman"/>
        </w:rPr>
        <w:t>Artikel 78, lid 1, onder a), van Verordening (EG) nr. 1107/2009.</w:t>
      </w:r>
    </w:p>
  </w:footnote>
  <w:footnote w:id="31">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http://www.echa.europa.eu/nl/web/guest/candi</w:t>
        </w:r>
        <w:r>
          <w:rPr>
            <w:rStyle w:val="Hyperlink"/>
            <w:rFonts w:ascii="Times New Roman" w:hAnsi="Times New Roman"/>
          </w:rPr>
          <w:t>date-list-table</w:t>
        </w:r>
      </w:hyperlink>
    </w:p>
  </w:footnote>
  <w:footnote w:id="32">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In SCCS/1554/14 worden voorbeelden vermeld.</w:t>
      </w:r>
    </w:p>
  </w:footnote>
  <w:footnote w:id="33">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Bijlage I bij Richtlijn 2008/105/EG van het Europees Parlement en de Raad van 16 december 2008 inzake milieukwaliteitsnormen op het gebied van het waterbeleid (PB L 348 van 24.12.2008, blz. </w:t>
      </w:r>
      <w:r>
        <w:rPr>
          <w:rFonts w:ascii="Times New Roman" w:hAnsi="Times New Roman"/>
        </w:rPr>
        <w:t>84).</w:t>
      </w:r>
    </w:p>
  </w:footnote>
  <w:footnote w:id="34">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Bijlage XVII bij Verordening (EG) nr. 1907/2006 van het Europees Parlement en de Raad van 18 december 2016 inzake de registratie en beoordeling van en de autorisatie en beperkingen ten aanzien van chemische stoffen (Reach) (PB L 396 van 30.12.2006,</w:t>
      </w:r>
      <w:r>
        <w:rPr>
          <w:rFonts w:ascii="Times New Roman" w:hAnsi="Times New Roman"/>
        </w:rPr>
        <w:t xml:space="preserve"> blz. 1).</w:t>
      </w:r>
    </w:p>
  </w:footnote>
  <w:footnote w:id="35">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D.w.z. toxiciteit als gevolg van gecombineerde blootstelling aan verschillende stoffen, soms "cocktaileffect" genoemd.</w:t>
      </w:r>
    </w:p>
  </w:footnote>
  <w:footnote w:id="36">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Richtlijn 98/24/EG van de Raad van 7 april 1998 betreffende de bescherming van de gezondheid en de veiligheid van werknem</w:t>
      </w:r>
      <w:r>
        <w:rPr>
          <w:rFonts w:ascii="Times New Roman" w:hAnsi="Times New Roman"/>
        </w:rPr>
        <w:t>ers tegen risico's van chemische agentia op het werk (PB L 131 van 5.5.1998, blz. 11).</w:t>
      </w:r>
    </w:p>
  </w:footnote>
  <w:footnote w:id="37">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 xml:space="preserve">Artikel 15, lid 4, van Verordening (EG) nr. 1223/2009 van het Europees Parlement en de Raad van 30 november 2009 betreffende cosmetische producten (PB L 342 van </w:t>
      </w:r>
      <w:r>
        <w:rPr>
          <w:rFonts w:ascii="Times New Roman" w:hAnsi="Times New Roman"/>
        </w:rPr>
        <w:t>22.12.2009, blz. 59).</w:t>
      </w:r>
    </w:p>
  </w:footnote>
  <w:footnote w:id="38">
    <w:p w:rsidR="00B25BAB" w:rsidRDefault="006E0A78">
      <w:pPr>
        <w:pStyle w:val="Voetnoottekst"/>
        <w:ind w:left="357" w:hanging="357"/>
        <w:jc w:val="both"/>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Artikel 60, lid 4, van Verordening (EG) nr. 1907/2006 (Reach-verordening).</w:t>
      </w:r>
    </w:p>
  </w:footnote>
  <w:footnote w:id="39">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Artikel 138, lid 7, van Verordening (EG) nr. 1907/2006 (Reach-verordening).</w:t>
      </w:r>
    </w:p>
  </w:footnote>
  <w:footnote w:id="40">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 xml:space="preserve">Bijvoorbeeld artikel 2, lid 31, en punt 4 van bijlage VIII bij Richtlijn </w:t>
      </w:r>
      <w:r>
        <w:rPr>
          <w:rFonts w:ascii="Times New Roman" w:hAnsi="Times New Roman"/>
        </w:rPr>
        <w:t>2000/60/EG van het Europees Parlement en de Raad van 23 oktober 2000 tot vaststelling van een kader voor communautaire maatregelen betreffende het waterbeleid (PB L 327 van 22.12.2000, blz. 1).</w:t>
      </w:r>
    </w:p>
  </w:footnote>
  <w:footnote w:id="41">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Style w:val="Voetnootmarkering"/>
          <w:rFonts w:ascii="Times New Roman" w:hAnsi="Times New Roman"/>
        </w:rPr>
        <w:t xml:space="preserve"> </w:t>
      </w:r>
      <w:r>
        <w:tab/>
      </w:r>
      <w:r>
        <w:rPr>
          <w:rFonts w:ascii="Times New Roman" w:hAnsi="Times New Roman"/>
        </w:rPr>
        <w:t>Artikel 16, lid 4, van Richtlijn 2000/60/EG.</w:t>
      </w:r>
    </w:p>
  </w:footnote>
  <w:footnote w:id="42">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Artikel 8 t</w:t>
      </w:r>
      <w:r>
        <w:rPr>
          <w:rFonts w:ascii="Times New Roman" w:hAnsi="Times New Roman"/>
        </w:rPr>
        <w:t>er, lid 2, van Richtlijn 2008/105/EG van het Europees Parlement en de Raad van 16 december 2008 inzake milieukwaliteitsnormen op het gebied van het waterbeleid (PB L 348 van 24.12.2008, blz. 84).</w:t>
      </w:r>
    </w:p>
  </w:footnote>
  <w:footnote w:id="43">
    <w:p w:rsidR="00B25BAB" w:rsidRDefault="006E0A78">
      <w:pPr>
        <w:pStyle w:val="Voetnoottekst"/>
        <w:ind w:left="357" w:hanging="357"/>
        <w:jc w:val="both"/>
        <w:rPr>
          <w:rFonts w:ascii="Times New Roman" w:hAnsi="Times New Roman" w:cs="Times New Roman"/>
        </w:rPr>
      </w:pPr>
      <w:r>
        <w:rPr>
          <w:rStyle w:val="Voetnootmarkering"/>
          <w:rFonts w:ascii="Times New Roman" w:hAnsi="Times New Roman"/>
        </w:rPr>
        <w:footnoteRef/>
      </w:r>
      <w:r>
        <w:rPr>
          <w:rFonts w:ascii="Times New Roman" w:hAnsi="Times New Roman"/>
        </w:rPr>
        <w:t xml:space="preserve"> </w:t>
      </w:r>
      <w:r>
        <w:tab/>
      </w:r>
      <w:r>
        <w:rPr>
          <w:rFonts w:ascii="Times New Roman" w:hAnsi="Times New Roman"/>
        </w:rPr>
        <w:t>Artikel 11, lid 1, van Richtlijn 98/83/EG van de Raad van</w:t>
      </w:r>
      <w:r>
        <w:rPr>
          <w:rFonts w:ascii="Times New Roman" w:hAnsi="Times New Roman"/>
        </w:rPr>
        <w:t xml:space="preserve"> 3 november 1998 betreffende de kwaliteit van voor menselijke consumptie bestemd water (PB L 330 van 5.12.1998, blz.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B" w:rsidRDefault="00B25B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EA66E2"/>
    <w:lvl w:ilvl="0">
      <w:start w:val="1"/>
      <w:numFmt w:val="bullet"/>
      <w:lvlText w:val=""/>
      <w:lvlJc w:val="left"/>
      <w:pPr>
        <w:tabs>
          <w:tab w:val="num" w:pos="360"/>
        </w:tabs>
        <w:ind w:left="360" w:hanging="360"/>
      </w:pPr>
      <w:rPr>
        <w:rFonts w:ascii="Symbol" w:hAnsi="Symbol" w:hint="default"/>
      </w:rPr>
    </w:lvl>
  </w:abstractNum>
  <w:abstractNum w:abstractNumId="1">
    <w:nsid w:val="18B7651C"/>
    <w:multiLevelType w:val="hybridMultilevel"/>
    <w:tmpl w:val="81C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B3C29"/>
    <w:multiLevelType w:val="hybridMultilevel"/>
    <w:tmpl w:val="2F8805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49200B4B"/>
    <w:multiLevelType w:val="hybridMultilevel"/>
    <w:tmpl w:val="8174BD72"/>
    <w:lvl w:ilvl="0" w:tplc="6DBE93AA">
      <w:start w:val="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4">
    <w:nsid w:val="6C8E5287"/>
    <w:multiLevelType w:val="hybridMultilevel"/>
    <w:tmpl w:val="A26462C0"/>
    <w:lvl w:ilvl="0" w:tplc="1B3E5D1E">
      <w:start w:val="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5">
    <w:nsid w:val="716E4BFA"/>
    <w:multiLevelType w:val="hybridMultilevel"/>
    <w:tmpl w:val="22E86748"/>
    <w:lvl w:ilvl="0" w:tplc="7ADA79A4">
      <w:start w:val="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E2E471EAF5CF43BBAB1166ABD09B7D40"/>
    <w:docVar w:name="LW_CROSSREFERENCE" w:val="{SWD(2016) 211 final}_x000b_{SWD(2016) 212 final}"/>
    <w:docVar w:name="LW_DocType" w:val="NORMAL"/>
    <w:docVar w:name="LW_EMISSION" w:val="15.6.2016"/>
    <w:docVar w:name="LW_EMISSION_ISODATE" w:val="2016-06-15"/>
    <w:docVar w:name="LW_EMISSION_LOCATION" w:val="BRX"/>
    <w:docVar w:name="LW_EMISSION_PREFIX" w:val="Brussel, "/>
    <w:docVar w:name="LW_EMISSION_SUFFIX" w:val=" "/>
    <w:docVar w:name="LW_ID_DOCTYPE_NONLW" w:val="CP-012"/>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6) 350"/>
    <w:docVar w:name="LW_REF.INTERNE" w:val="&lt;UNUSED&gt;"/>
    <w:docVar w:name="LW_SOUS.TITRE.OBJ" w:val="DRAFT for FAST TRACK ISC"/>
    <w:docVar w:name="LW_SOUS.TITRE.OBJ.CP" w:val="&lt;UNUSED&gt;"/>
    <w:docVar w:name="LW_SUPERTITRE" w:val="&lt;UNUSED&gt;"/>
    <w:docVar w:name="LW_TITRE.OBJ.CP" w:val="inzake hormoonontregelaars en de ontwerphandelingen van de Commissie tot vaststelling van wetenschappelijke criteria voor de identificatie daarvan in het kader van de EU-wetgeving betreffende gewasbeschermingsmiddelen en biociden"/>
    <w:docVar w:name="LW_TYPE.DOC.CP" w:val="MEDEDELING VAN DE COMMISSIE AAN HET EUROPEES PARLEMENT EN DE RAAD"/>
    <w:docVar w:name="LW_TYPE.DOC.CP.USERTEXT" w:val="&lt;EMPTY&gt;"/>
  </w:docVars>
  <w:rsids>
    <w:rsidRoot w:val="00B25BAB"/>
    <w:rsid w:val="006E0A78"/>
    <w:rsid w:val="00B2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r">
    <w:name w:val="Marker"/>
    <w:basedOn w:val="Standaardalinea-lettertype"/>
    <w:rPr>
      <w:color w:val="0000FF"/>
      <w:shd w:val="clear" w:color="auto" w:fill="auto"/>
    </w:rPr>
  </w:style>
  <w:style w:type="paragraph" w:customStyle="1" w:styleId="Pagedecouverture">
    <w:name w:val="Page de couverture"/>
    <w:basedOn w:val="Standaard"/>
    <w:next w:val="Standaard"/>
    <w:pPr>
      <w:spacing w:after="0" w:line="240" w:lineRule="auto"/>
      <w:jc w:val="both"/>
    </w:pPr>
    <w:rPr>
      <w:rFonts w:ascii="Times New Roman" w:hAnsi="Times New Roman" w:cs="Times New Roman"/>
      <w:sz w:val="24"/>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customStyle="1" w:styleId="FooterCoverPage">
    <w:name w:val="Footer Cover Page"/>
    <w:basedOn w:val="Standaard"/>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ardalinea-lettertype"/>
    <w:link w:val="FooterCoverPage"/>
    <w:rPr>
      <w:rFonts w:ascii="Times New Roman" w:hAnsi="Times New Roman" w:cs="Times New Roman"/>
      <w:sz w:val="24"/>
    </w:rPr>
  </w:style>
  <w:style w:type="paragraph" w:customStyle="1" w:styleId="HeaderCoverPage">
    <w:name w:val="Header Cover Page"/>
    <w:basedOn w:val="Standaard"/>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ardalinea-lettertype"/>
    <w:link w:val="HeaderCoverPage"/>
    <w:rPr>
      <w:rFonts w:ascii="Times New Roman" w:hAnsi="Times New Roman" w:cs="Times New Roman"/>
      <w:sz w:val="24"/>
    </w:rPr>
  </w:style>
  <w:style w:type="paragraph" w:styleId="Voetnoottekst">
    <w:name w:val="footnote text"/>
    <w:basedOn w:val="Standaard"/>
    <w:link w:val="VoetnoottekstChar"/>
    <w:unhideWhenUsed/>
    <w:pPr>
      <w:spacing w:after="0" w:line="240" w:lineRule="auto"/>
    </w:pPr>
    <w:rPr>
      <w:rFonts w:ascii="Calibri" w:hAnsi="Calibri" w:cs="Calibri"/>
      <w:sz w:val="20"/>
      <w:szCs w:val="20"/>
    </w:rPr>
  </w:style>
  <w:style w:type="character" w:customStyle="1" w:styleId="VoetnoottekstChar">
    <w:name w:val="Voetnoottekst Char"/>
    <w:basedOn w:val="Standaardalinea-lettertype"/>
    <w:link w:val="Voetnoottekst"/>
    <w:uiPriority w:val="99"/>
    <w:rPr>
      <w:rFonts w:ascii="Calibri" w:hAnsi="Calibri" w:cs="Calibri"/>
      <w:sz w:val="20"/>
      <w:szCs w:val="20"/>
    </w:rPr>
  </w:style>
  <w:style w:type="character" w:styleId="Voetnootmarkering">
    <w:name w:val="footnote reference"/>
    <w:basedOn w:val="Standaardalinea-lettertype"/>
    <w:uiPriority w:val="99"/>
    <w:semiHidden/>
    <w:unhideWhenUsed/>
    <w:rPr>
      <w:vertAlign w:val="superscript"/>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pPr>
      <w:spacing w:after="0" w:line="240" w:lineRule="auto"/>
      <w:ind w:left="720"/>
    </w:pPr>
    <w:rPr>
      <w:rFonts w:ascii="Calibri" w:hAnsi="Calibri" w:cs="Calibri"/>
    </w:rPr>
  </w:style>
  <w:style w:type="character" w:styleId="Hyperlink">
    <w:name w:val="Hyperlink"/>
    <w:basedOn w:val="Standaardalinea-lettertype"/>
    <w:uiPriority w:val="99"/>
    <w:unhideWhenUsed/>
    <w:rPr>
      <w:color w:val="0000FF" w:themeColor="hyperlink"/>
      <w:u w:val="single"/>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Lijstopsomteken">
    <w:name w:val="List Bullet"/>
    <w:basedOn w:val="Standaard"/>
    <w:pPr>
      <w:spacing w:after="240" w:line="240" w:lineRule="auto"/>
      <w:jc w:val="both"/>
    </w:pPr>
    <w:rPr>
      <w:rFonts w:ascii="Times New Roman" w:eastAsia="Times New Roman" w:hAnsi="Times New Roman" w:cs="Times New Roman"/>
      <w:sz w:val="24"/>
      <w:szCs w:val="20"/>
    </w:rPr>
  </w:style>
  <w:style w:type="paragraph" w:customStyle="1" w:styleId="CM1">
    <w:name w:val="CM1"/>
    <w:basedOn w:val="Standaard"/>
    <w:next w:val="Standaard"/>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Standaard"/>
    <w:next w:val="Standaard"/>
    <w:uiPriority w:val="99"/>
    <w:pPr>
      <w:autoSpaceDE w:val="0"/>
      <w:autoSpaceDN w:val="0"/>
      <w:adjustRightInd w:val="0"/>
      <w:spacing w:after="0" w:line="240" w:lineRule="auto"/>
    </w:pPr>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Revisie">
    <w:name w:val="Revision"/>
    <w:hidden/>
    <w:uiPriority w:val="99"/>
    <w:semiHidden/>
    <w:pPr>
      <w:spacing w:after="0" w:line="240" w:lineRule="auto"/>
    </w:pPr>
  </w:style>
  <w:style w:type="paragraph" w:customStyle="1" w:styleId="Titreobjet">
    <w:name w:val="Titre objet"/>
    <w:basedOn w:val="Standaard"/>
    <w:next w:val="Standaard"/>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r">
    <w:name w:val="Marker"/>
    <w:basedOn w:val="Standaardalinea-lettertype"/>
    <w:rPr>
      <w:color w:val="0000FF"/>
      <w:shd w:val="clear" w:color="auto" w:fill="auto"/>
    </w:rPr>
  </w:style>
  <w:style w:type="paragraph" w:customStyle="1" w:styleId="Pagedecouverture">
    <w:name w:val="Page de couverture"/>
    <w:basedOn w:val="Standaard"/>
    <w:next w:val="Standaard"/>
    <w:pPr>
      <w:spacing w:after="0" w:line="240" w:lineRule="auto"/>
      <w:jc w:val="both"/>
    </w:pPr>
    <w:rPr>
      <w:rFonts w:ascii="Times New Roman" w:hAnsi="Times New Roman" w:cs="Times New Roman"/>
      <w:sz w:val="24"/>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customStyle="1" w:styleId="FooterCoverPage">
    <w:name w:val="Footer Cover Page"/>
    <w:basedOn w:val="Standaard"/>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ardalinea-lettertype"/>
    <w:link w:val="FooterCoverPage"/>
    <w:rPr>
      <w:rFonts w:ascii="Times New Roman" w:hAnsi="Times New Roman" w:cs="Times New Roman"/>
      <w:sz w:val="24"/>
    </w:rPr>
  </w:style>
  <w:style w:type="paragraph" w:customStyle="1" w:styleId="HeaderCoverPage">
    <w:name w:val="Header Cover Page"/>
    <w:basedOn w:val="Standaard"/>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ardalinea-lettertype"/>
    <w:link w:val="HeaderCoverPage"/>
    <w:rPr>
      <w:rFonts w:ascii="Times New Roman" w:hAnsi="Times New Roman" w:cs="Times New Roman"/>
      <w:sz w:val="24"/>
    </w:rPr>
  </w:style>
  <w:style w:type="paragraph" w:styleId="Voetnoottekst">
    <w:name w:val="footnote text"/>
    <w:basedOn w:val="Standaard"/>
    <w:link w:val="VoetnoottekstChar"/>
    <w:unhideWhenUsed/>
    <w:pPr>
      <w:spacing w:after="0" w:line="240" w:lineRule="auto"/>
    </w:pPr>
    <w:rPr>
      <w:rFonts w:ascii="Calibri" w:hAnsi="Calibri" w:cs="Calibri"/>
      <w:sz w:val="20"/>
      <w:szCs w:val="20"/>
    </w:rPr>
  </w:style>
  <w:style w:type="character" w:customStyle="1" w:styleId="VoetnoottekstChar">
    <w:name w:val="Voetnoottekst Char"/>
    <w:basedOn w:val="Standaardalinea-lettertype"/>
    <w:link w:val="Voetnoottekst"/>
    <w:uiPriority w:val="99"/>
    <w:rPr>
      <w:rFonts w:ascii="Calibri" w:hAnsi="Calibri" w:cs="Calibri"/>
      <w:sz w:val="20"/>
      <w:szCs w:val="20"/>
    </w:rPr>
  </w:style>
  <w:style w:type="character" w:styleId="Voetnootmarkering">
    <w:name w:val="footnote reference"/>
    <w:basedOn w:val="Standaardalinea-lettertype"/>
    <w:uiPriority w:val="99"/>
    <w:semiHidden/>
    <w:unhideWhenUsed/>
    <w:rPr>
      <w:vertAlign w:val="superscript"/>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pPr>
      <w:spacing w:after="0" w:line="240" w:lineRule="auto"/>
      <w:ind w:left="720"/>
    </w:pPr>
    <w:rPr>
      <w:rFonts w:ascii="Calibri" w:hAnsi="Calibri" w:cs="Calibri"/>
    </w:rPr>
  </w:style>
  <w:style w:type="character" w:styleId="Hyperlink">
    <w:name w:val="Hyperlink"/>
    <w:basedOn w:val="Standaardalinea-lettertype"/>
    <w:uiPriority w:val="99"/>
    <w:unhideWhenUsed/>
    <w:rPr>
      <w:color w:val="0000FF" w:themeColor="hyperlink"/>
      <w:u w:val="single"/>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Lijstopsomteken">
    <w:name w:val="List Bullet"/>
    <w:basedOn w:val="Standaard"/>
    <w:pPr>
      <w:spacing w:after="240" w:line="240" w:lineRule="auto"/>
      <w:jc w:val="both"/>
    </w:pPr>
    <w:rPr>
      <w:rFonts w:ascii="Times New Roman" w:eastAsia="Times New Roman" w:hAnsi="Times New Roman" w:cs="Times New Roman"/>
      <w:sz w:val="24"/>
      <w:szCs w:val="20"/>
    </w:rPr>
  </w:style>
  <w:style w:type="paragraph" w:customStyle="1" w:styleId="CM1">
    <w:name w:val="CM1"/>
    <w:basedOn w:val="Standaard"/>
    <w:next w:val="Standaard"/>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Standaard"/>
    <w:next w:val="Standaard"/>
    <w:uiPriority w:val="99"/>
    <w:pPr>
      <w:autoSpaceDE w:val="0"/>
      <w:autoSpaceDN w:val="0"/>
      <w:adjustRightInd w:val="0"/>
      <w:spacing w:after="0" w:line="240" w:lineRule="auto"/>
    </w:pPr>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Revisie">
    <w:name w:val="Revision"/>
    <w:hidden/>
    <w:uiPriority w:val="99"/>
    <w:semiHidden/>
    <w:pPr>
      <w:spacing w:after="0" w:line="240" w:lineRule="auto"/>
    </w:pPr>
  </w:style>
  <w:style w:type="paragraph" w:customStyle="1" w:styleId="Titreobjet">
    <w:name w:val="Titre objet"/>
    <w:basedOn w:val="Standaard"/>
    <w:next w:val="Standaard"/>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styles" Target="styles.xml" Id="rId3" /><Relationship Type="http://schemas.openxmlformats.org/officeDocument/2006/relationships/footer" Target="footer6.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footer" Target="footer5.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www.echa.europa.eu/nl/web/guest/candidate-list-table" TargetMode="External"/><Relationship Id="rId2" Type="http://schemas.openxmlformats.org/officeDocument/2006/relationships/hyperlink" Target="http://ec.europa.eu/health/endocrine_disruptors/policy/index_en.htm" TargetMode="External"/><Relationship Id="rId1" Type="http://schemas.openxmlformats.org/officeDocument/2006/relationships/hyperlink" Target="https://ec.europa.eu/jrc/en/publication/eur-scientific-and-technical-research-reports/thresholds-endocrine-disrupters-and-related-uncertai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4045</ap:Words>
  <ap:Characters>25762</ap:Characters>
  <ap:DocSecurity>0</ap:DocSecurity>
  <ap:Lines>214</ap:Lines>
  <ap:Paragraphs>59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29748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2016-06-14T13:34:00.0000000Z</lastPrinted>
  <dcterms:created xsi:type="dcterms:W3CDTF">2016-06-30T08:22:00.0000000Z</dcterms:created>
  <dcterms:modified xsi:type="dcterms:W3CDTF">2016-06-30T08:22:00.0000000Z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y fmtid="{D5CDD505-2E9C-101B-9397-08002B2CF9AE}" pid="6" name="ContentTypeId">
    <vt:lpwstr>0x01010069EE01BBAF42EB4A802D199D9E4B06B1</vt:lpwstr>
  </property>
</Properties>
</file>