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A304B2">
        <w:rPr>
          <w:rFonts w:asciiTheme="minorHAnsi" w:hAnsiTheme="minorHAnsi"/>
          <w:sz w:val="22"/>
          <w:szCs w:val="22"/>
          <w:u w:val="single"/>
        </w:rPr>
        <w:t>21</w:t>
      </w:r>
      <w:r w:rsidR="00854ED8">
        <w:rPr>
          <w:rFonts w:asciiTheme="minorHAnsi" w:hAnsiTheme="minorHAnsi"/>
          <w:sz w:val="22"/>
          <w:szCs w:val="22"/>
          <w:u w:val="single"/>
        </w:rPr>
        <w:t>-</w:t>
      </w:r>
      <w:r w:rsidR="00A304B2">
        <w:rPr>
          <w:rFonts w:asciiTheme="minorHAnsi" w:hAnsiTheme="minorHAnsi"/>
          <w:sz w:val="22"/>
          <w:szCs w:val="22"/>
          <w:u w:val="single"/>
        </w:rPr>
        <w:t xml:space="preserve">22 </w:t>
      </w:r>
      <w:r w:rsidR="00850AA1">
        <w:rPr>
          <w:rFonts w:asciiTheme="minorHAnsi" w:hAnsiTheme="minorHAnsi"/>
          <w:sz w:val="22"/>
          <w:szCs w:val="22"/>
          <w:u w:val="single"/>
        </w:rPr>
        <w:t xml:space="preserve">(23 </w:t>
      </w:r>
      <w:r w:rsidR="00A304B2">
        <w:rPr>
          <w:rFonts w:asciiTheme="minorHAnsi" w:hAnsiTheme="minorHAnsi"/>
          <w:sz w:val="22"/>
          <w:szCs w:val="22"/>
          <w:u w:val="single"/>
        </w:rPr>
        <w:t xml:space="preserve">mei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 </w:t>
      </w:r>
      <w:r w:rsidR="00740F31">
        <w:rPr>
          <w:rFonts w:asciiTheme="minorHAnsi" w:hAnsiTheme="minorHAnsi"/>
          <w:sz w:val="22"/>
          <w:szCs w:val="22"/>
          <w:u w:val="single"/>
        </w:rPr>
        <w:t>2</w:t>
      </w:r>
      <w:r w:rsidR="00A304B2">
        <w:rPr>
          <w:rFonts w:asciiTheme="minorHAnsi" w:hAnsiTheme="minorHAnsi"/>
          <w:sz w:val="22"/>
          <w:szCs w:val="22"/>
          <w:u w:val="single"/>
        </w:rPr>
        <w:t xml:space="preserve"> juni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A304B2">
        <w:rPr>
          <w:rFonts w:asciiTheme="minorHAnsi" w:hAnsiTheme="minorHAnsi"/>
          <w:sz w:val="22"/>
          <w:szCs w:val="22"/>
          <w:u w:val="single"/>
        </w:rPr>
        <w:t xml:space="preserve">9 juni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576674" w:rsidTr="00850AA1">
        <w:trPr>
          <w:trHeight w:val="906"/>
        </w:trPr>
        <w:tc>
          <w:tcPr>
            <w:tcW w:w="980" w:type="dxa"/>
            <w:shd w:val="clear" w:color="auto" w:fill="auto"/>
            <w:noWrap/>
          </w:tcPr>
          <w:p w:rsidR="00A304B2" w:rsidP="00A304B2" w:rsidRDefault="00A304B2">
            <w:pPr>
              <w:jc w:val="center"/>
              <w:rPr>
                <w:rFonts w:ascii="Calibri" w:hAnsi="Calibri"/>
                <w:color w:val="000000"/>
                <w:sz w:val="22"/>
                <w:szCs w:val="22"/>
              </w:rPr>
            </w:pPr>
            <w:r>
              <w:rPr>
                <w:rFonts w:ascii="Calibri" w:hAnsi="Calibri"/>
                <w:color w:val="000000"/>
                <w:sz w:val="22"/>
                <w:szCs w:val="22"/>
              </w:rPr>
              <w:t>27-mei-16</w:t>
            </w:r>
          </w:p>
          <w:p w:rsidRPr="00F67F5B" w:rsidR="00576674" w:rsidP="00A304B2" w:rsidRDefault="00576674">
            <w:pPr>
              <w:jc w:val="center"/>
              <w:rPr>
                <w:rFonts w:asciiTheme="minorHAnsi" w:hAnsiTheme="minorHAnsi"/>
                <w:color w:val="000000"/>
                <w:sz w:val="22"/>
                <w:szCs w:val="22"/>
              </w:rPr>
            </w:pPr>
          </w:p>
        </w:tc>
        <w:tc>
          <w:tcPr>
            <w:tcW w:w="1203" w:type="dxa"/>
            <w:shd w:val="clear" w:color="auto" w:fill="auto"/>
            <w:noWrap/>
          </w:tcPr>
          <w:p w:rsidR="000947B3" w:rsidP="000947B3" w:rsidRDefault="000947B3">
            <w:pPr>
              <w:jc w:val="center"/>
              <w:rPr>
                <w:rFonts w:ascii="Calibri" w:hAnsi="Calibri"/>
                <w:color w:val="000000"/>
                <w:sz w:val="22"/>
                <w:szCs w:val="22"/>
              </w:rPr>
            </w:pPr>
            <w:r>
              <w:rPr>
                <w:rFonts w:ascii="Calibri" w:hAnsi="Calibri"/>
                <w:color w:val="000000"/>
                <w:sz w:val="22"/>
                <w:szCs w:val="22"/>
              </w:rPr>
              <w:t>I&amp;M</w:t>
            </w:r>
          </w:p>
          <w:p w:rsidRPr="00F67F5B" w:rsidR="00576674" w:rsidP="00651515" w:rsidRDefault="00576674">
            <w:pPr>
              <w:jc w:val="center"/>
              <w:rPr>
                <w:rFonts w:asciiTheme="minorHAnsi" w:hAnsiTheme="minorHAnsi"/>
                <w:color w:val="000000"/>
                <w:sz w:val="22"/>
                <w:szCs w:val="22"/>
              </w:rPr>
            </w:pPr>
          </w:p>
        </w:tc>
        <w:tc>
          <w:tcPr>
            <w:tcW w:w="1254" w:type="dxa"/>
            <w:shd w:val="clear" w:color="auto" w:fill="auto"/>
            <w:noWrap/>
          </w:tcPr>
          <w:p w:rsidR="000947B3" w:rsidP="000947B3" w:rsidRDefault="00A304B2">
            <w:pPr>
              <w:rPr>
                <w:rFonts w:ascii="Calibri" w:hAnsi="Calibri"/>
                <w:color w:val="000000"/>
                <w:sz w:val="22"/>
                <w:szCs w:val="22"/>
              </w:rPr>
            </w:pPr>
            <w:r>
              <w:rPr>
                <w:rFonts w:ascii="Calibri" w:hAnsi="Calibri"/>
                <w:color w:val="000000"/>
                <w:sz w:val="22"/>
                <w:szCs w:val="22"/>
              </w:rPr>
              <w:t>raadpleging</w:t>
            </w:r>
          </w:p>
          <w:p w:rsidRPr="00F67F5B" w:rsidR="00576674" w:rsidP="00651515" w:rsidRDefault="00576674">
            <w:pPr>
              <w:rPr>
                <w:rFonts w:asciiTheme="minorHAnsi" w:hAnsiTheme="minorHAnsi"/>
                <w:color w:val="000000"/>
                <w:sz w:val="22"/>
                <w:szCs w:val="22"/>
              </w:rPr>
            </w:pPr>
          </w:p>
        </w:tc>
        <w:tc>
          <w:tcPr>
            <w:tcW w:w="4890" w:type="dxa"/>
            <w:shd w:val="clear" w:color="auto" w:fill="auto"/>
          </w:tcPr>
          <w:p w:rsidRPr="00B30C96" w:rsidR="00576674" w:rsidP="000947B3" w:rsidRDefault="00A304B2">
            <w:pPr>
              <w:rPr>
                <w:rFonts w:asciiTheme="minorHAnsi" w:hAnsiTheme="minorHAnsi"/>
                <w:color w:val="000000"/>
                <w:sz w:val="22"/>
                <w:szCs w:val="22"/>
              </w:rPr>
            </w:pPr>
            <w:r w:rsidRPr="00A304B2">
              <w:rPr>
                <w:rFonts w:asciiTheme="minorHAnsi" w:hAnsiTheme="minorHAnsi"/>
                <w:color w:val="000000"/>
                <w:sz w:val="22"/>
                <w:szCs w:val="22"/>
              </w:rPr>
              <w:t>Openbare raadpleging over de evaluatie van Verordening (EU) 913/2010 inzake het Europese spoorwegnet voor concurrerend goederenvervoer</w:t>
            </w:r>
          </w:p>
        </w:tc>
        <w:tc>
          <w:tcPr>
            <w:tcW w:w="720" w:type="dxa"/>
            <w:shd w:val="clear" w:color="auto" w:fill="auto"/>
            <w:noWrap/>
          </w:tcPr>
          <w:p w:rsidR="00850AA1" w:rsidP="00850AA1" w:rsidRDefault="005A1A2A">
            <w:pPr>
              <w:jc w:val="center"/>
              <w:rPr>
                <w:rFonts w:ascii="Calibri" w:hAnsi="Calibri"/>
                <w:color w:val="0000FF"/>
                <w:sz w:val="22"/>
                <w:szCs w:val="22"/>
                <w:u w:val="single"/>
              </w:rPr>
            </w:pPr>
            <w:hyperlink w:history="1" r:id="rId8">
              <w:r w:rsidR="00850AA1">
                <w:rPr>
                  <w:rStyle w:val="Hyperlink"/>
                  <w:rFonts w:ascii="Calibri" w:hAnsi="Calibri"/>
                  <w:sz w:val="22"/>
                  <w:szCs w:val="22"/>
                </w:rPr>
                <w:t>OR</w:t>
              </w:r>
            </w:hyperlink>
          </w:p>
          <w:p w:rsidRPr="00B5062C" w:rsidR="00576674" w:rsidP="00A304B2" w:rsidRDefault="00576674">
            <w:pPr>
              <w:jc w:val="center"/>
              <w:rPr>
                <w:rFonts w:asciiTheme="minorHAnsi" w:hAnsiTheme="minorHAnsi"/>
                <w:color w:val="0000FF"/>
                <w:sz w:val="22"/>
                <w:szCs w:val="22"/>
                <w:u w:val="single"/>
              </w:rPr>
            </w:pPr>
          </w:p>
        </w:tc>
        <w:tc>
          <w:tcPr>
            <w:tcW w:w="1033" w:type="dxa"/>
            <w:shd w:val="clear" w:color="auto" w:fill="auto"/>
          </w:tcPr>
          <w:p w:rsidR="00576674" w:rsidP="000947B3" w:rsidRDefault="00850AA1">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00523FCA" w:rsidP="00523FCA" w:rsidRDefault="000947B3">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Pr="00983052" w:rsidR="00523FCA">
              <w:rPr>
                <w:rFonts w:ascii="Calibri" w:hAnsi="Calibri"/>
                <w:color w:val="000000"/>
                <w:sz w:val="22"/>
                <w:szCs w:val="22"/>
              </w:rPr>
              <w:t xml:space="preserve"> ter informatie.</w:t>
            </w:r>
          </w:p>
          <w:p w:rsidR="00850AA1" w:rsidP="00A304B2" w:rsidRDefault="00850AA1">
            <w:pPr>
              <w:rPr>
                <w:rFonts w:asciiTheme="minorHAnsi" w:hAnsiTheme="minorHAnsi"/>
                <w:color w:val="000000"/>
                <w:sz w:val="22"/>
                <w:szCs w:val="22"/>
              </w:rPr>
            </w:pPr>
          </w:p>
          <w:p w:rsidR="00850AA1" w:rsidP="00850AA1" w:rsidRDefault="00523FCA">
            <w:pPr>
              <w:rPr>
                <w:rFonts w:ascii="Calibri" w:hAnsi="Calibri"/>
                <w:color w:val="000000"/>
                <w:sz w:val="22"/>
                <w:szCs w:val="22"/>
              </w:rPr>
            </w:pPr>
            <w:r w:rsidRPr="00983052">
              <w:rPr>
                <w:rFonts w:ascii="Calibri" w:hAnsi="Calibri"/>
                <w:color w:val="000000"/>
                <w:sz w:val="22"/>
                <w:szCs w:val="22"/>
              </w:rPr>
              <w:t>De deadline van deze consultatie is</w:t>
            </w:r>
            <w:r>
              <w:rPr>
                <w:rFonts w:ascii="Calibri" w:hAnsi="Calibri"/>
                <w:color w:val="000000"/>
                <w:sz w:val="22"/>
                <w:szCs w:val="22"/>
              </w:rPr>
              <w:t xml:space="preserve"> </w:t>
            </w:r>
            <w:r w:rsidR="00850AA1">
              <w:rPr>
                <w:rFonts w:ascii="Calibri" w:hAnsi="Calibri"/>
                <w:color w:val="000000"/>
                <w:sz w:val="22"/>
                <w:szCs w:val="22"/>
              </w:rPr>
              <w:t>21</w:t>
            </w:r>
            <w:r>
              <w:rPr>
                <w:rFonts w:ascii="Calibri" w:hAnsi="Calibri"/>
                <w:color w:val="000000"/>
                <w:sz w:val="22"/>
                <w:szCs w:val="22"/>
              </w:rPr>
              <w:t xml:space="preserve"> </w:t>
            </w:r>
            <w:r w:rsidR="00850AA1">
              <w:rPr>
                <w:rFonts w:ascii="Calibri" w:hAnsi="Calibri"/>
                <w:color w:val="000000"/>
                <w:sz w:val="22"/>
                <w:szCs w:val="22"/>
              </w:rPr>
              <w:t>aug</w:t>
            </w:r>
            <w:r>
              <w:rPr>
                <w:rFonts w:ascii="Calibri" w:hAnsi="Calibri"/>
                <w:color w:val="000000"/>
                <w:sz w:val="22"/>
                <w:szCs w:val="22"/>
              </w:rPr>
              <w:t>ustus 20</w:t>
            </w:r>
            <w:r w:rsidR="00850AA1">
              <w:rPr>
                <w:rFonts w:ascii="Calibri" w:hAnsi="Calibri"/>
                <w:color w:val="000000"/>
                <w:sz w:val="22"/>
                <w:szCs w:val="22"/>
              </w:rPr>
              <w:t>16</w:t>
            </w:r>
            <w:r>
              <w:rPr>
                <w:rFonts w:ascii="Calibri" w:hAnsi="Calibri"/>
                <w:color w:val="000000"/>
                <w:sz w:val="22"/>
                <w:szCs w:val="22"/>
              </w:rPr>
              <w:t>.</w:t>
            </w:r>
          </w:p>
          <w:p w:rsidRPr="00F67F5B" w:rsidR="00576674" w:rsidP="00A304B2" w:rsidRDefault="000947B3">
            <w:pPr>
              <w:rPr>
                <w:rFonts w:asciiTheme="minorHAnsi" w:hAnsiTheme="minorHAnsi"/>
                <w:color w:val="000000"/>
                <w:sz w:val="22"/>
                <w:szCs w:val="22"/>
              </w:rPr>
            </w:pPr>
            <w:r>
              <w:rPr>
                <w:rFonts w:asciiTheme="minorHAnsi" w:hAnsiTheme="minorHAnsi"/>
                <w:color w:val="000000"/>
                <w:sz w:val="22"/>
                <w:szCs w:val="22"/>
              </w:rPr>
              <w:t xml:space="preserve"> </w:t>
            </w:r>
          </w:p>
        </w:tc>
      </w:tr>
      <w:tr w:rsidRPr="00E7588D" w:rsidR="00850AA1" w:rsidTr="000947B3">
        <w:trPr>
          <w:trHeight w:val="1509"/>
        </w:trPr>
        <w:tc>
          <w:tcPr>
            <w:tcW w:w="980" w:type="dxa"/>
            <w:shd w:val="clear" w:color="auto" w:fill="auto"/>
            <w:noWrap/>
          </w:tcPr>
          <w:p w:rsidR="00740F31" w:rsidP="00740F31" w:rsidRDefault="00740F31">
            <w:pPr>
              <w:jc w:val="center"/>
              <w:rPr>
                <w:rFonts w:ascii="Calibri" w:hAnsi="Calibri"/>
                <w:color w:val="000000"/>
                <w:sz w:val="22"/>
                <w:szCs w:val="22"/>
              </w:rPr>
            </w:pPr>
            <w:r>
              <w:rPr>
                <w:rFonts w:ascii="Calibri" w:hAnsi="Calibri"/>
                <w:color w:val="000000"/>
                <w:sz w:val="22"/>
                <w:szCs w:val="22"/>
              </w:rPr>
              <w:t>27-mei-16</w:t>
            </w:r>
          </w:p>
          <w:p w:rsidR="00850AA1" w:rsidP="00A304B2" w:rsidRDefault="00850AA1">
            <w:pPr>
              <w:jc w:val="center"/>
              <w:rPr>
                <w:rFonts w:ascii="Calibri" w:hAnsi="Calibri"/>
                <w:color w:val="000000"/>
                <w:sz w:val="22"/>
                <w:szCs w:val="22"/>
              </w:rPr>
            </w:pPr>
          </w:p>
        </w:tc>
        <w:tc>
          <w:tcPr>
            <w:tcW w:w="1203" w:type="dxa"/>
            <w:shd w:val="clear" w:color="auto" w:fill="auto"/>
            <w:noWrap/>
          </w:tcPr>
          <w:p w:rsidR="00740F31" w:rsidP="00740F31" w:rsidRDefault="00740F31">
            <w:pPr>
              <w:jc w:val="center"/>
              <w:rPr>
                <w:rFonts w:ascii="Calibri" w:hAnsi="Calibri"/>
                <w:color w:val="000000"/>
                <w:sz w:val="22"/>
                <w:szCs w:val="22"/>
              </w:rPr>
            </w:pPr>
            <w:r>
              <w:rPr>
                <w:rFonts w:ascii="Calibri" w:hAnsi="Calibri"/>
                <w:color w:val="000000"/>
                <w:sz w:val="22"/>
                <w:szCs w:val="22"/>
              </w:rPr>
              <w:t>I&amp;M</w:t>
            </w:r>
          </w:p>
          <w:p w:rsidR="00850AA1" w:rsidP="000947B3" w:rsidRDefault="00850AA1">
            <w:pPr>
              <w:jc w:val="center"/>
              <w:rPr>
                <w:rFonts w:ascii="Calibri" w:hAnsi="Calibri"/>
                <w:color w:val="000000"/>
                <w:sz w:val="22"/>
                <w:szCs w:val="22"/>
              </w:rPr>
            </w:pPr>
          </w:p>
        </w:tc>
        <w:tc>
          <w:tcPr>
            <w:tcW w:w="1254" w:type="dxa"/>
            <w:shd w:val="clear" w:color="auto" w:fill="auto"/>
            <w:noWrap/>
          </w:tcPr>
          <w:p w:rsidR="00850AA1" w:rsidP="000947B3" w:rsidRDefault="00740F31">
            <w:pPr>
              <w:rPr>
                <w:rFonts w:ascii="Calibri" w:hAnsi="Calibri"/>
                <w:color w:val="000000"/>
                <w:sz w:val="22"/>
                <w:szCs w:val="22"/>
              </w:rPr>
            </w:pPr>
            <w:r>
              <w:rPr>
                <w:rFonts w:ascii="Calibri" w:hAnsi="Calibri"/>
                <w:color w:val="000000"/>
                <w:sz w:val="22"/>
                <w:szCs w:val="22"/>
              </w:rPr>
              <w:t>mededeling</w:t>
            </w:r>
          </w:p>
        </w:tc>
        <w:tc>
          <w:tcPr>
            <w:tcW w:w="4890" w:type="dxa"/>
            <w:shd w:val="clear" w:color="auto" w:fill="auto"/>
          </w:tcPr>
          <w:p w:rsidRPr="00740F31" w:rsidR="00740F31" w:rsidP="00740F31" w:rsidRDefault="00740F31">
            <w:pPr>
              <w:rPr>
                <w:rFonts w:ascii="Calibri" w:hAnsi="Calibri"/>
                <w:color w:val="000000"/>
                <w:sz w:val="22"/>
                <w:szCs w:val="22"/>
                <w:lang w:val="en-GB"/>
              </w:rPr>
            </w:pPr>
            <w:r w:rsidRPr="00740F31">
              <w:rPr>
                <w:rFonts w:ascii="Calibri" w:hAnsi="Calibri"/>
                <w:color w:val="000000"/>
                <w:sz w:val="22"/>
                <w:szCs w:val="22"/>
                <w:lang w:val="en-GB"/>
              </w:rPr>
              <w:t xml:space="preserve">COMMUNICATION FROM THE COMMISSION TO THE EUROPEAN PARLIAMENT, THE COUNCIL, THE EUROPEAN ECONOMIC AND SOCIAL COMMITTEE AND THE COMMITTEE OF THE REGIONS Delivering the benefits of EU environmental policies through a regular Environmental Implementation Review </w:t>
            </w:r>
          </w:p>
          <w:p w:rsidRPr="00740F31" w:rsidR="00850AA1" w:rsidP="000947B3" w:rsidRDefault="00850AA1">
            <w:pPr>
              <w:rPr>
                <w:rFonts w:asciiTheme="minorHAnsi" w:hAnsiTheme="minorHAnsi"/>
                <w:color w:val="000000"/>
                <w:sz w:val="22"/>
                <w:szCs w:val="22"/>
                <w:lang w:val="en-GB"/>
              </w:rPr>
            </w:pPr>
          </w:p>
        </w:tc>
        <w:tc>
          <w:tcPr>
            <w:tcW w:w="720" w:type="dxa"/>
            <w:shd w:val="clear" w:color="auto" w:fill="auto"/>
            <w:noWrap/>
          </w:tcPr>
          <w:p w:rsidR="00740F31" w:rsidP="00740F31" w:rsidRDefault="005A1A2A">
            <w:pPr>
              <w:jc w:val="center"/>
              <w:rPr>
                <w:rFonts w:ascii="Calibri" w:hAnsi="Calibri"/>
                <w:color w:val="0000FF"/>
                <w:sz w:val="22"/>
                <w:szCs w:val="22"/>
                <w:u w:val="single"/>
              </w:rPr>
            </w:pPr>
            <w:hyperlink w:history="1" r:id="rId9">
              <w:r w:rsidR="00740F31">
                <w:rPr>
                  <w:rStyle w:val="Hyperlink"/>
                  <w:rFonts w:ascii="Calibri" w:hAnsi="Calibri"/>
                  <w:sz w:val="22"/>
                  <w:szCs w:val="22"/>
                </w:rPr>
                <w:t>316</w:t>
              </w:r>
            </w:hyperlink>
          </w:p>
          <w:p w:rsidRPr="00740F31" w:rsidR="00850AA1" w:rsidP="00850AA1" w:rsidRDefault="00850AA1">
            <w:pPr>
              <w:jc w:val="center"/>
              <w:rPr>
                <w:rFonts w:ascii="Calibri" w:hAnsi="Calibri"/>
                <w:color w:val="0000FF"/>
                <w:sz w:val="22"/>
                <w:szCs w:val="22"/>
                <w:u w:val="single"/>
                <w:lang w:val="en-GB"/>
              </w:rPr>
            </w:pPr>
          </w:p>
        </w:tc>
        <w:tc>
          <w:tcPr>
            <w:tcW w:w="1033" w:type="dxa"/>
            <w:shd w:val="clear" w:color="auto" w:fill="auto"/>
          </w:tcPr>
          <w:p w:rsidRPr="00740F31" w:rsidR="00850AA1" w:rsidP="000947B3" w:rsidRDefault="00523FCA">
            <w:pPr>
              <w:rPr>
                <w:rFonts w:asciiTheme="minorHAnsi" w:hAnsiTheme="minorHAnsi"/>
                <w:color w:val="000000"/>
                <w:sz w:val="22"/>
                <w:szCs w:val="22"/>
                <w:lang w:val="en-GB"/>
              </w:rPr>
            </w:pPr>
            <w:r>
              <w:rPr>
                <w:rFonts w:asciiTheme="minorHAnsi" w:hAnsiTheme="minorHAnsi"/>
                <w:color w:val="000000"/>
                <w:sz w:val="22"/>
                <w:szCs w:val="22"/>
                <w:lang w:val="en-GB"/>
              </w:rPr>
              <w:t>n.v.t.</w:t>
            </w:r>
          </w:p>
        </w:tc>
        <w:tc>
          <w:tcPr>
            <w:tcW w:w="4575" w:type="dxa"/>
            <w:shd w:val="clear" w:color="auto" w:fill="auto"/>
          </w:tcPr>
          <w:p w:rsidR="00523FCA" w:rsidP="00523FCA" w:rsidRDefault="00523FCA">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Pr="00E7588D" w:rsidR="00E7588D">
              <w:rPr>
                <w:rFonts w:asciiTheme="minorHAnsi" w:hAnsiTheme="minorHAnsi"/>
                <w:color w:val="000000"/>
                <w:sz w:val="22"/>
                <w:szCs w:val="22"/>
              </w:rPr>
              <w:t xml:space="preserve">kabinet </w:t>
            </w:r>
            <w:r w:rsidR="00D973AD">
              <w:rPr>
                <w:rFonts w:asciiTheme="minorHAnsi" w:hAnsiTheme="minorHAnsi"/>
                <w:color w:val="000000"/>
                <w:sz w:val="22"/>
                <w:szCs w:val="22"/>
              </w:rPr>
              <w:t>verzoeken om een</w:t>
            </w:r>
            <w:r w:rsidR="00415AE0">
              <w:rPr>
                <w:rFonts w:asciiTheme="minorHAnsi" w:hAnsiTheme="minorHAnsi"/>
                <w:color w:val="000000"/>
                <w:sz w:val="22"/>
                <w:szCs w:val="22"/>
              </w:rPr>
              <w:t xml:space="preserve"> BNC-fiche over</w:t>
            </w:r>
            <w:r w:rsidR="00D973AD">
              <w:rPr>
                <w:rFonts w:asciiTheme="minorHAnsi" w:hAnsiTheme="minorHAnsi"/>
                <w:color w:val="000000"/>
                <w:sz w:val="22"/>
                <w:szCs w:val="22"/>
              </w:rPr>
              <w:t xml:space="preserve"> deze mededeling</w:t>
            </w:r>
            <w:r>
              <w:rPr>
                <w:rFonts w:asciiTheme="minorHAnsi" w:hAnsiTheme="minorHAnsi"/>
                <w:color w:val="000000"/>
                <w:sz w:val="22"/>
                <w:szCs w:val="22"/>
              </w:rPr>
              <w:t>.</w:t>
            </w:r>
          </w:p>
          <w:p w:rsidRPr="00E7588D" w:rsidR="00850AA1" w:rsidP="00A304B2" w:rsidRDefault="00850AA1">
            <w:pPr>
              <w:rPr>
                <w:rFonts w:asciiTheme="minorHAnsi" w:hAnsiTheme="minorHAnsi"/>
                <w:color w:val="000000"/>
                <w:sz w:val="22"/>
                <w:szCs w:val="22"/>
                <w:u w:val="single"/>
              </w:rPr>
            </w:pPr>
          </w:p>
        </w:tc>
      </w:tr>
    </w:tbl>
    <w:p w:rsidRPr="00740F31" w:rsidR="00576674" w:rsidP="00576674" w:rsidRDefault="00576674">
      <w:pPr>
        <w:rPr>
          <w:rFonts w:asciiTheme="minorHAnsi" w:hAnsiTheme="minorHAnsi"/>
          <w:sz w:val="22"/>
          <w:szCs w:val="22"/>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r>
        <w:rPr>
          <w:rFonts w:ascii="Verdana" w:hAnsi="Verdana"/>
          <w:b/>
        </w:rPr>
        <w:t xml:space="preserve">, </w:t>
      </w:r>
      <w:r w:rsidRPr="00A32873">
        <w:rPr>
          <w:rFonts w:ascii="Verdana" w:hAnsi="Verdana"/>
          <w:b/>
        </w:rPr>
        <w:t xml:space="preserve">Versie </w:t>
      </w:r>
      <w:r>
        <w:rPr>
          <w:rFonts w:ascii="Verdana" w:hAnsi="Verdana"/>
          <w:b/>
        </w:rPr>
        <w:t>23</w:t>
      </w:r>
      <w:r w:rsidRPr="00A32873">
        <w:rPr>
          <w:rFonts w:ascii="Verdana" w:hAnsi="Verdana"/>
          <w:b/>
        </w:rPr>
        <w:t xml:space="preserve"> mei 2016</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 xml:space="preserve">Advies, aanbeveling, </w:t>
            </w:r>
            <w:r w:rsidRPr="00A32873">
              <w:rPr>
                <w:rFonts w:ascii="Verdana" w:hAnsi="Verdana"/>
                <w:sz w:val="18"/>
                <w:szCs w:val="18"/>
              </w:rPr>
              <w:lastRenderedPageBreak/>
              <w:t>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lastRenderedPageBreak/>
              <w:t xml:space="preserve">De EU kent een grote hoeveelheid uiteenlopende typen beleid (‘soft law’) </w:t>
            </w:r>
            <w:r w:rsidRPr="00A32873">
              <w:rPr>
                <w:rFonts w:ascii="Verdana" w:hAnsi="Verdana"/>
                <w:sz w:val="18"/>
                <w:szCs w:val="18"/>
              </w:rPr>
              <w:lastRenderedPageBreak/>
              <w:t>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lastRenderedPageBreak/>
              <w:t>k</w:t>
            </w:r>
            <w:r w:rsidRPr="002E058C">
              <w:rPr>
                <w:rFonts w:ascii="Verdana" w:hAnsi="Verdana"/>
                <w:sz w:val="18"/>
                <w:szCs w:val="18"/>
              </w:rPr>
              <w:t xml:space="preserve">abinet om appreciatie in de vorm van BNC-fiche </w:t>
            </w:r>
            <w:r w:rsidRPr="002E058C">
              <w:rPr>
                <w:rFonts w:ascii="Verdana" w:hAnsi="Verdana"/>
                <w:sz w:val="18"/>
                <w:szCs w:val="18"/>
              </w:rPr>
              <w:lastRenderedPageBreak/>
              <w:t>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krachtens de standaard-informatieafspraken de definitieve </w:t>
            </w:r>
            <w:r w:rsidRPr="00782306">
              <w:rPr>
                <w:rFonts w:ascii="Verdana" w:hAnsi="Verdana"/>
                <w:sz w:val="18"/>
                <w:szCs w:val="18"/>
              </w:rPr>
              <w:lastRenderedPageBreak/>
              <w:t>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D4" w:rsidRDefault="00165BD4">
      <w:r>
        <w:separator/>
      </w:r>
    </w:p>
  </w:endnote>
  <w:endnote w:type="continuationSeparator" w:id="0">
    <w:p w:rsidR="00165BD4" w:rsidRDefault="0016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A1A2A">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5A1A2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D4" w:rsidRDefault="00165BD4">
      <w:r>
        <w:separator/>
      </w:r>
    </w:p>
  </w:footnote>
  <w:footnote w:type="continuationSeparator" w:id="0">
    <w:p w:rsidR="00165BD4" w:rsidRDefault="00165BD4">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947B3"/>
    <w:rsid w:val="00165BD4"/>
    <w:rsid w:val="00207E0A"/>
    <w:rsid w:val="00235B19"/>
    <w:rsid w:val="00270661"/>
    <w:rsid w:val="002E1447"/>
    <w:rsid w:val="003C35BA"/>
    <w:rsid w:val="00415AE0"/>
    <w:rsid w:val="00454C0B"/>
    <w:rsid w:val="004C7A6A"/>
    <w:rsid w:val="004D7A2C"/>
    <w:rsid w:val="00516474"/>
    <w:rsid w:val="00523FCA"/>
    <w:rsid w:val="00552DF7"/>
    <w:rsid w:val="00575D2D"/>
    <w:rsid w:val="00576674"/>
    <w:rsid w:val="005A1A2A"/>
    <w:rsid w:val="00740F31"/>
    <w:rsid w:val="007529D4"/>
    <w:rsid w:val="00827F25"/>
    <w:rsid w:val="00846C31"/>
    <w:rsid w:val="00850AA1"/>
    <w:rsid w:val="00854ED8"/>
    <w:rsid w:val="008C6FAA"/>
    <w:rsid w:val="00A304B2"/>
    <w:rsid w:val="00A762AC"/>
    <w:rsid w:val="00A7766A"/>
    <w:rsid w:val="00A91CAE"/>
    <w:rsid w:val="00B30C96"/>
    <w:rsid w:val="00B823EF"/>
    <w:rsid w:val="00D66EED"/>
    <w:rsid w:val="00D973AD"/>
    <w:rsid w:val="00DF3FBF"/>
    <w:rsid w:val="00E512BF"/>
    <w:rsid w:val="00E7588D"/>
    <w:rsid w:val="00EA2272"/>
    <w:rsid w:val="00F27282"/>
    <w:rsid w:val="00F50A0B"/>
    <w:rsid w:val="00F56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transport/modes/rail/consultations/2016-european-rail-network-for-competitive-freight_en.htm"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60316.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1923</ap:Words>
  <ap:Characters>12953</ap:Characters>
  <ap:DocSecurity>4</ap:DocSecurity>
  <ap:Lines>107</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2016-06-09T12:51:00.0000000Z</lastPrinted>
  <dcterms:created xsi:type="dcterms:W3CDTF">2016-06-09T13:09:00.0000000Z</dcterms:created>
  <dcterms:modified xsi:type="dcterms:W3CDTF">2016-06-09T13:09:00.0000000Z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0x010100A2D659E1414CC04380E5E78DC9C78479</vt:lpwstr>
  </property>
</Properties>
</file>