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E5C" w:rsidP="00C42E5C" w:rsidRDefault="004D6141">
      <w:pPr>
        <w:spacing w:line="280" w:lineRule="atLeast"/>
        <w:jc w:val="both"/>
        <w:rPr>
          <w:rFonts w:ascii="Calibri" w:hAnsi="Calibri" w:cs="Arial"/>
          <w:sz w:val="18"/>
          <w:szCs w:val="18"/>
        </w:rPr>
      </w:pP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-457200</wp:posOffset>
            </wp:positionV>
            <wp:extent cx="2647950" cy="771525"/>
            <wp:effectExtent l="0" t="0" r="0" b="0"/>
            <wp:wrapNone/>
            <wp:docPr id="5" name="Afbeelding 5" descr="NvV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vVR logo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2E5C" w:rsidP="00C42E5C" w:rsidRDefault="00C42E5C">
      <w:pPr>
        <w:spacing w:line="280" w:lineRule="atLeast"/>
        <w:jc w:val="both"/>
        <w:rPr>
          <w:rFonts w:ascii="Calibri" w:hAnsi="Calibri" w:cs="Arial"/>
          <w:sz w:val="18"/>
          <w:szCs w:val="18"/>
        </w:rPr>
      </w:pPr>
    </w:p>
    <w:p w:rsidR="00AF7731" w:rsidP="00AF7731" w:rsidRDefault="00AF7731">
      <w:pPr>
        <w:rPr>
          <w:rFonts w:ascii="Gill Sans MT" w:hAnsi="Gill Sans MT" w:cs="Arial"/>
          <w:b/>
          <w:spacing w:val="20"/>
          <w:sz w:val="28"/>
          <w:szCs w:val="28"/>
        </w:rPr>
      </w:pPr>
    </w:p>
    <w:p w:rsidRPr="00CA2B5C" w:rsidR="00AF7731" w:rsidP="004801D5" w:rsidRDefault="00A36609">
      <w:pPr>
        <w:rPr>
          <w:rFonts w:cs="Arial" w:asciiTheme="minorHAnsi" w:hAnsiTheme="minorHAnsi"/>
          <w:b/>
          <w:spacing w:val="20"/>
          <w:sz w:val="44"/>
          <w:szCs w:val="44"/>
        </w:rPr>
      </w:pPr>
      <w:r>
        <w:rPr>
          <w:rFonts w:cs="Arial" w:asciiTheme="minorHAnsi" w:hAnsiTheme="minorHAnsi"/>
          <w:b/>
          <w:spacing w:val="20"/>
          <w:sz w:val="44"/>
          <w:szCs w:val="44"/>
        </w:rPr>
        <w:t>POSITION PAPER</w:t>
      </w:r>
    </w:p>
    <w:p w:rsidRPr="00CA2B5C" w:rsidR="004801D5" w:rsidP="004801D5" w:rsidRDefault="004801D5">
      <w:pPr>
        <w:rPr>
          <w:rFonts w:cs="Arial" w:asciiTheme="minorHAnsi" w:hAnsiTheme="minorHAnsi"/>
          <w:b/>
          <w:sz w:val="28"/>
        </w:rPr>
      </w:pPr>
    </w:p>
    <w:p w:rsidRPr="00CA2B5C" w:rsidR="008E29DF" w:rsidP="008E29DF" w:rsidRDefault="00A36609">
      <w:pPr>
        <w:rPr>
          <w:rFonts w:cs="Arial" w:asciiTheme="minorHAnsi" w:hAnsiTheme="minorHAnsi"/>
          <w:sz w:val="22"/>
        </w:rPr>
      </w:pPr>
      <w:r>
        <w:rPr>
          <w:rFonts w:cs="Arial" w:asciiTheme="minorHAnsi" w:hAnsiTheme="minorHAnsi"/>
          <w:sz w:val="22"/>
        </w:rPr>
        <w:t>Datum</w:t>
      </w:r>
      <w:r w:rsidRPr="00CA2B5C" w:rsidR="008E29DF">
        <w:rPr>
          <w:rFonts w:cs="Arial" w:asciiTheme="minorHAnsi" w:hAnsiTheme="minorHAnsi"/>
          <w:sz w:val="22"/>
        </w:rPr>
        <w:tab/>
      </w:r>
      <w:r w:rsidRPr="00CA2B5C" w:rsidR="008E29DF">
        <w:rPr>
          <w:rFonts w:cs="Arial" w:asciiTheme="minorHAnsi" w:hAnsiTheme="minorHAnsi"/>
          <w:sz w:val="22"/>
        </w:rPr>
        <w:tab/>
      </w:r>
      <w:r w:rsidRPr="00CA2B5C" w:rsidR="00262CA0">
        <w:rPr>
          <w:rFonts w:cs="Arial" w:asciiTheme="minorHAnsi" w:hAnsiTheme="minorHAnsi"/>
          <w:sz w:val="22"/>
        </w:rPr>
        <w:tab/>
      </w:r>
      <w:r w:rsidRPr="00CA2B5C" w:rsidR="008E29DF">
        <w:rPr>
          <w:rFonts w:cs="Arial" w:asciiTheme="minorHAnsi" w:hAnsiTheme="minorHAnsi"/>
          <w:sz w:val="22"/>
        </w:rPr>
        <w:t xml:space="preserve">: </w:t>
      </w:r>
      <w:r>
        <w:rPr>
          <w:rFonts w:cs="Arial" w:asciiTheme="minorHAnsi" w:hAnsiTheme="minorHAnsi"/>
          <w:sz w:val="22"/>
        </w:rPr>
        <w:t xml:space="preserve">9 juni 2016 </w:t>
      </w:r>
    </w:p>
    <w:p w:rsidR="0083295E" w:rsidP="00AF7731" w:rsidRDefault="008E2DAA">
      <w:pPr>
        <w:rPr>
          <w:rFonts w:cs="Arial" w:asciiTheme="minorHAnsi" w:hAnsiTheme="minorHAnsi"/>
          <w:sz w:val="22"/>
        </w:rPr>
      </w:pPr>
      <w:r w:rsidRPr="00CA2B5C">
        <w:rPr>
          <w:rFonts w:asciiTheme="minorHAnsi" w:hAnsiTheme="minorHAnsi"/>
          <w:sz w:val="22"/>
        </w:rPr>
        <w:t>B</w:t>
      </w:r>
      <w:r w:rsidRPr="00CA2B5C" w:rsidR="0020035A">
        <w:rPr>
          <w:rFonts w:asciiTheme="minorHAnsi" w:hAnsiTheme="minorHAnsi"/>
          <w:sz w:val="22"/>
        </w:rPr>
        <w:t>estemd voor</w:t>
      </w:r>
      <w:r w:rsidRPr="00CA2B5C" w:rsidR="0083295E">
        <w:rPr>
          <w:rFonts w:asciiTheme="minorHAnsi" w:hAnsiTheme="minorHAnsi"/>
          <w:sz w:val="22"/>
        </w:rPr>
        <w:tab/>
      </w:r>
      <w:r w:rsidRPr="00CA2B5C" w:rsidR="00262CA0">
        <w:rPr>
          <w:rFonts w:asciiTheme="minorHAnsi" w:hAnsiTheme="minorHAnsi"/>
          <w:sz w:val="22"/>
        </w:rPr>
        <w:tab/>
      </w:r>
      <w:r w:rsidRPr="00CA2B5C" w:rsidR="0083295E">
        <w:rPr>
          <w:rFonts w:asciiTheme="minorHAnsi" w:hAnsiTheme="minorHAnsi"/>
          <w:sz w:val="22"/>
        </w:rPr>
        <w:t>:</w:t>
      </w:r>
      <w:r w:rsidRPr="00CA2B5C" w:rsidR="0083295E">
        <w:rPr>
          <w:rFonts w:cs="Arial" w:asciiTheme="minorHAnsi" w:hAnsiTheme="minorHAnsi"/>
          <w:sz w:val="22"/>
        </w:rPr>
        <w:t xml:space="preserve"> </w:t>
      </w:r>
      <w:r w:rsidR="00A36609">
        <w:rPr>
          <w:rFonts w:cs="Arial" w:asciiTheme="minorHAnsi" w:hAnsiTheme="minorHAnsi"/>
          <w:sz w:val="22"/>
        </w:rPr>
        <w:t>Tweede Kamer der Staten-Generaal, vaste commissie</w:t>
      </w:r>
      <w:r w:rsidR="00506F36">
        <w:rPr>
          <w:rFonts w:cs="Arial" w:asciiTheme="minorHAnsi" w:hAnsiTheme="minorHAnsi"/>
          <w:sz w:val="22"/>
        </w:rPr>
        <w:t>s Bi</w:t>
      </w:r>
      <w:bookmarkStart w:name="_GoBack" w:id="0"/>
      <w:bookmarkEnd w:id="0"/>
      <w:r w:rsidR="00506F36">
        <w:rPr>
          <w:rFonts w:cs="Arial" w:asciiTheme="minorHAnsi" w:hAnsiTheme="minorHAnsi"/>
          <w:sz w:val="22"/>
        </w:rPr>
        <w:t>Za en</w:t>
      </w:r>
      <w:r w:rsidR="00A36609">
        <w:rPr>
          <w:rFonts w:cs="Arial" w:asciiTheme="minorHAnsi" w:hAnsiTheme="minorHAnsi"/>
          <w:sz w:val="22"/>
        </w:rPr>
        <w:t xml:space="preserve"> V&amp;J</w:t>
      </w:r>
    </w:p>
    <w:p w:rsidRPr="00CA2B5C" w:rsidR="00A36609" w:rsidP="00AF7731" w:rsidRDefault="00A36609">
      <w:pPr>
        <w:rPr>
          <w:rFonts w:asciiTheme="minorHAnsi" w:hAnsiTheme="minorHAnsi"/>
          <w:sz w:val="22"/>
        </w:rPr>
      </w:pPr>
      <w:r>
        <w:rPr>
          <w:rFonts w:cs="Arial" w:asciiTheme="minorHAnsi" w:hAnsiTheme="minorHAnsi"/>
          <w:sz w:val="22"/>
        </w:rPr>
        <w:t>Onderwerp</w:t>
      </w:r>
      <w:r>
        <w:rPr>
          <w:rFonts w:cs="Arial" w:asciiTheme="minorHAnsi" w:hAnsiTheme="minorHAnsi"/>
          <w:sz w:val="22"/>
        </w:rPr>
        <w:tab/>
      </w:r>
      <w:r>
        <w:rPr>
          <w:rFonts w:cs="Arial" w:asciiTheme="minorHAnsi" w:hAnsiTheme="minorHAnsi"/>
          <w:sz w:val="22"/>
        </w:rPr>
        <w:tab/>
        <w:t xml:space="preserve">: </w:t>
      </w:r>
      <w:r w:rsidRPr="00FD3F8A">
        <w:rPr>
          <w:rFonts w:cs="Arial" w:asciiTheme="minorHAnsi" w:hAnsiTheme="minorHAnsi"/>
          <w:b/>
          <w:sz w:val="22"/>
        </w:rPr>
        <w:t>Rondetafelgesprek Wet organisatie hoogste bestuursrechtspraak</w:t>
      </w:r>
      <w:r w:rsidRPr="00FD3F8A" w:rsidR="00592635">
        <w:rPr>
          <w:rFonts w:cs="Arial" w:asciiTheme="minorHAnsi" w:hAnsiTheme="minorHAnsi"/>
          <w:b/>
          <w:sz w:val="22"/>
        </w:rPr>
        <w:t xml:space="preserve"> </w:t>
      </w:r>
      <w:r w:rsidRPr="00FD3F8A" w:rsidR="00592635">
        <w:rPr>
          <w:rFonts w:cs="Arial" w:asciiTheme="minorHAnsi" w:hAnsiTheme="minorHAnsi"/>
          <w:sz w:val="22"/>
        </w:rPr>
        <w:t>(</w:t>
      </w:r>
      <w:r w:rsidR="00592635">
        <w:rPr>
          <w:rFonts w:cs="Arial" w:asciiTheme="minorHAnsi" w:hAnsiTheme="minorHAnsi"/>
          <w:sz w:val="22"/>
        </w:rPr>
        <w:t>TK 34389)</w:t>
      </w:r>
    </w:p>
    <w:p w:rsidRPr="00CA2B5C" w:rsidR="0083295E" w:rsidP="00AF7731" w:rsidRDefault="00A36609">
      <w:pPr>
        <w:rPr>
          <w:rFonts w:asciiTheme="minorHAnsi" w:hAnsiTheme="minorHAnsi"/>
          <w:sz w:val="22"/>
        </w:rPr>
      </w:pPr>
      <w:r>
        <w:rPr>
          <w:rFonts w:asciiTheme="minorHAnsi" w:hAnsiTheme="minorHAnsi"/>
          <w:sz w:val="22"/>
        </w:rPr>
        <w:t>Deelnemer NVvR</w:t>
      </w:r>
      <w:r w:rsidRPr="00CA2B5C" w:rsidR="00535F55">
        <w:rPr>
          <w:rFonts w:asciiTheme="minorHAnsi" w:hAnsiTheme="minorHAnsi"/>
          <w:sz w:val="22"/>
        </w:rPr>
        <w:tab/>
      </w:r>
      <w:r w:rsidRPr="00CA2B5C" w:rsidR="0083295E">
        <w:rPr>
          <w:rFonts w:asciiTheme="minorHAnsi" w:hAnsiTheme="minorHAnsi"/>
          <w:sz w:val="22"/>
        </w:rPr>
        <w:t>:</w:t>
      </w:r>
      <w:r w:rsidRPr="00CA2B5C" w:rsidR="0083295E">
        <w:rPr>
          <w:rFonts w:cs="Arial" w:asciiTheme="minorHAnsi" w:hAnsiTheme="minorHAnsi"/>
          <w:sz w:val="22"/>
        </w:rPr>
        <w:t xml:space="preserve"> </w:t>
      </w:r>
      <w:r>
        <w:rPr>
          <w:rFonts w:cs="Arial" w:asciiTheme="minorHAnsi" w:hAnsiTheme="minorHAnsi"/>
          <w:sz w:val="22"/>
        </w:rPr>
        <w:t>mr. H. (Henk) van den Heuvel, bestuurslid NVvR en raadsheer Den Haag</w:t>
      </w:r>
    </w:p>
    <w:p w:rsidRPr="00CA2B5C" w:rsidR="00AF7731" w:rsidP="00AF7731" w:rsidRDefault="00AF7731">
      <w:pPr>
        <w:pBdr>
          <w:bottom w:val="single" w:color="auto" w:sz="6" w:space="1"/>
        </w:pBdr>
        <w:rPr>
          <w:rFonts w:cs="Arial" w:asciiTheme="minorHAnsi" w:hAnsiTheme="minorHAnsi"/>
          <w:b/>
          <w:szCs w:val="18"/>
        </w:rPr>
      </w:pPr>
    </w:p>
    <w:p w:rsidR="00A36609" w:rsidP="00530D8B" w:rsidRDefault="00A36609">
      <w:pPr>
        <w:rPr>
          <w:rFonts w:cs="Calibri" w:asciiTheme="minorHAnsi" w:hAnsiTheme="minorHAnsi"/>
          <w:sz w:val="12"/>
          <w:szCs w:val="12"/>
        </w:rPr>
      </w:pPr>
    </w:p>
    <w:p w:rsidRPr="00FD3F8A" w:rsidR="00A36609" w:rsidP="00A36609" w:rsidRDefault="00FD3F8A">
      <w:pPr>
        <w:spacing w:line="280" w:lineRule="atLeast"/>
        <w:rPr>
          <w:rFonts w:cs="Calibri" w:asciiTheme="minorHAnsi" w:hAnsiTheme="minorHAnsi"/>
          <w:b/>
          <w:sz w:val="24"/>
          <w:szCs w:val="24"/>
        </w:rPr>
      </w:pPr>
      <w:r w:rsidRPr="00FD3F8A">
        <w:rPr>
          <w:rFonts w:cs="Calibri" w:asciiTheme="minorHAnsi" w:hAnsiTheme="minorHAnsi"/>
          <w:b/>
          <w:sz w:val="24"/>
          <w:szCs w:val="24"/>
        </w:rPr>
        <w:t>Inleiding</w:t>
      </w:r>
      <w:r w:rsidRPr="00FD3F8A" w:rsidR="00A36609">
        <w:rPr>
          <w:rFonts w:cs="Calibri" w:asciiTheme="minorHAnsi" w:hAnsiTheme="minorHAnsi"/>
          <w:b/>
          <w:sz w:val="24"/>
          <w:szCs w:val="24"/>
        </w:rPr>
        <w:t xml:space="preserve"> </w:t>
      </w:r>
    </w:p>
    <w:p w:rsidRPr="00E26DF9" w:rsidR="007F3B0D" w:rsidP="007F3B0D" w:rsidRDefault="007F3B0D">
      <w:pPr>
        <w:spacing w:line="280" w:lineRule="atLeast"/>
        <w:rPr>
          <w:rFonts w:cs="Calibri" w:asciiTheme="minorHAnsi" w:hAnsiTheme="minorHAnsi"/>
          <w:i/>
          <w:sz w:val="24"/>
          <w:szCs w:val="24"/>
        </w:rPr>
      </w:pPr>
      <w:r w:rsidRPr="00E26DF9">
        <w:rPr>
          <w:rFonts w:cs="Calibri" w:asciiTheme="minorHAnsi" w:hAnsiTheme="minorHAnsi"/>
          <w:i/>
          <w:sz w:val="24"/>
          <w:szCs w:val="24"/>
        </w:rPr>
        <w:t xml:space="preserve">De Nederlandse Vereniging voor Rechtspraak (NVvR), de vakbond en beroepsvereniging van rechters en officieren van justitie, </w:t>
      </w:r>
      <w:r w:rsidRPr="00E26DF9" w:rsidR="00CF4674">
        <w:rPr>
          <w:rFonts w:cs="Calibri" w:asciiTheme="minorHAnsi" w:hAnsiTheme="minorHAnsi"/>
          <w:i/>
          <w:sz w:val="24"/>
          <w:szCs w:val="24"/>
        </w:rPr>
        <w:t xml:space="preserve">bekijkt het voorliggende wetsvoorstel </w:t>
      </w:r>
      <w:r w:rsidRPr="00E26DF9">
        <w:rPr>
          <w:rFonts w:cs="Calibri" w:asciiTheme="minorHAnsi" w:hAnsiTheme="minorHAnsi"/>
          <w:i/>
          <w:sz w:val="24"/>
          <w:szCs w:val="24"/>
        </w:rPr>
        <w:t xml:space="preserve">vanuit de </w:t>
      </w:r>
      <w:r w:rsidRPr="00E26DF9" w:rsidR="00CF4674">
        <w:rPr>
          <w:rFonts w:cs="Calibri" w:asciiTheme="minorHAnsi" w:hAnsiTheme="minorHAnsi"/>
          <w:i/>
          <w:sz w:val="24"/>
          <w:szCs w:val="24"/>
        </w:rPr>
        <w:t>grond</w:t>
      </w:r>
      <w:r w:rsidRPr="00E26DF9">
        <w:rPr>
          <w:rFonts w:cs="Calibri" w:asciiTheme="minorHAnsi" w:hAnsiTheme="minorHAnsi"/>
          <w:i/>
          <w:sz w:val="24"/>
          <w:szCs w:val="24"/>
        </w:rPr>
        <w:t>gedachte dat de overheid de grootst mogelijke zorgvuldigheid moet betrachten bij de (her)inrichting van de rechtspraak. Dit geldt nog sterker wanneer het de bestuursrechtspraak betreft, aangezien de overheid daar zelf partij is. De NVvR vertrouwt op een gedegen en inhoudelijke dialoog over de beoogde nieuwe inrichting van de hoogste bestuursrechtspraak in zowel de Tweede als de Eerste Kamer. De NVvR dankt de leden van de vaste commissie</w:t>
      </w:r>
      <w:r w:rsidR="009B614A">
        <w:rPr>
          <w:rFonts w:cs="Calibri" w:asciiTheme="minorHAnsi" w:hAnsiTheme="minorHAnsi"/>
          <w:i/>
          <w:sz w:val="24"/>
          <w:szCs w:val="24"/>
        </w:rPr>
        <w:t>s</w:t>
      </w:r>
      <w:r w:rsidRPr="00E26DF9">
        <w:rPr>
          <w:rFonts w:cs="Calibri" w:asciiTheme="minorHAnsi" w:hAnsiTheme="minorHAnsi"/>
          <w:i/>
          <w:sz w:val="24"/>
          <w:szCs w:val="24"/>
        </w:rPr>
        <w:t xml:space="preserve"> v</w:t>
      </w:r>
      <w:r w:rsidR="009B614A">
        <w:rPr>
          <w:rFonts w:cs="Calibri" w:asciiTheme="minorHAnsi" w:hAnsiTheme="minorHAnsi"/>
          <w:i/>
          <w:sz w:val="24"/>
          <w:szCs w:val="24"/>
        </w:rPr>
        <w:t>oor Binnenlandse Zaken en voor</w:t>
      </w:r>
      <w:r w:rsidRPr="00E26DF9">
        <w:rPr>
          <w:rFonts w:cs="Calibri" w:asciiTheme="minorHAnsi" w:hAnsiTheme="minorHAnsi"/>
          <w:i/>
          <w:sz w:val="24"/>
          <w:szCs w:val="24"/>
        </w:rPr>
        <w:t xml:space="preserve"> Veiligheid &amp; Justitie van de Tweede Kamer daarom voor de gelegenheid om tijdens dit rondetafelgesprek te kunnen verwoorden hoe de leden van de rechterlijke macht aankijken tegen de voorgenomen veranderingen in het stelsel van de hoogste bestuursrechtspraak.</w:t>
      </w:r>
    </w:p>
    <w:p w:rsidR="007F3B0D" w:rsidP="00A36609" w:rsidRDefault="007F3B0D">
      <w:pPr>
        <w:spacing w:line="280" w:lineRule="atLeast"/>
        <w:rPr>
          <w:rFonts w:cs="Calibri" w:asciiTheme="minorHAnsi" w:hAnsiTheme="minorHAnsi"/>
          <w:sz w:val="24"/>
          <w:szCs w:val="24"/>
        </w:rPr>
      </w:pPr>
    </w:p>
    <w:p w:rsidRPr="00A36609" w:rsidR="00A36609" w:rsidP="00A36609" w:rsidRDefault="00A36609">
      <w:pPr>
        <w:spacing w:line="280" w:lineRule="atLeast"/>
        <w:rPr>
          <w:rFonts w:cs="Calibri" w:asciiTheme="minorHAnsi" w:hAnsiTheme="minorHAnsi"/>
          <w:sz w:val="24"/>
          <w:szCs w:val="24"/>
        </w:rPr>
      </w:pPr>
      <w:r w:rsidRPr="00A36609">
        <w:rPr>
          <w:rFonts w:cs="Calibri" w:asciiTheme="minorHAnsi" w:hAnsiTheme="minorHAnsi"/>
          <w:sz w:val="24"/>
          <w:szCs w:val="24"/>
        </w:rPr>
        <w:t xml:space="preserve">Zoals u </w:t>
      </w:r>
      <w:r w:rsidR="00CF4674">
        <w:rPr>
          <w:rFonts w:cs="Calibri" w:asciiTheme="minorHAnsi" w:hAnsiTheme="minorHAnsi"/>
          <w:sz w:val="24"/>
          <w:szCs w:val="24"/>
        </w:rPr>
        <w:t xml:space="preserve">reeds uit </w:t>
      </w:r>
      <w:r w:rsidRPr="00A36609">
        <w:rPr>
          <w:rFonts w:cs="Calibri" w:asciiTheme="minorHAnsi" w:hAnsiTheme="minorHAnsi"/>
          <w:sz w:val="24"/>
          <w:szCs w:val="24"/>
        </w:rPr>
        <w:t xml:space="preserve">de media, van diverse grote organisaties en bedrijven én van de leden van de Centrale Raad van Beroep (CRvB) en het College voor Beroep voor het bedrijfsleven (CBb) heeft kunnen vernemen, zijn de zorgen over de </w:t>
      </w:r>
      <w:r w:rsidR="00CF4674">
        <w:rPr>
          <w:rFonts w:cs="Calibri" w:asciiTheme="minorHAnsi" w:hAnsiTheme="minorHAnsi"/>
          <w:sz w:val="24"/>
          <w:szCs w:val="24"/>
        </w:rPr>
        <w:t xml:space="preserve">plannen </w:t>
      </w:r>
      <w:r w:rsidRPr="00A36609">
        <w:rPr>
          <w:rFonts w:cs="Calibri" w:asciiTheme="minorHAnsi" w:hAnsiTheme="minorHAnsi"/>
          <w:sz w:val="24"/>
          <w:szCs w:val="24"/>
        </w:rPr>
        <w:t xml:space="preserve">van het kabinet voor wat betreft de </w:t>
      </w:r>
      <w:r w:rsidR="00CF4674">
        <w:rPr>
          <w:rFonts w:cs="Calibri" w:asciiTheme="minorHAnsi" w:hAnsiTheme="minorHAnsi"/>
          <w:sz w:val="24"/>
          <w:szCs w:val="24"/>
        </w:rPr>
        <w:t xml:space="preserve">organisatie van de hoogste </w:t>
      </w:r>
      <w:r w:rsidRPr="00A36609">
        <w:rPr>
          <w:rFonts w:cs="Calibri" w:asciiTheme="minorHAnsi" w:hAnsiTheme="minorHAnsi"/>
          <w:sz w:val="24"/>
          <w:szCs w:val="24"/>
        </w:rPr>
        <w:t xml:space="preserve">bestuursrechtspraak nog steeds groot. </w:t>
      </w:r>
      <w:r w:rsidR="00FD3F8A">
        <w:rPr>
          <w:rFonts w:cs="Calibri" w:asciiTheme="minorHAnsi" w:hAnsiTheme="minorHAnsi"/>
          <w:sz w:val="24"/>
          <w:szCs w:val="24"/>
        </w:rPr>
        <w:t xml:space="preserve">Ook </w:t>
      </w:r>
      <w:r w:rsidR="00CF4674">
        <w:rPr>
          <w:rFonts w:cs="Calibri" w:asciiTheme="minorHAnsi" w:hAnsiTheme="minorHAnsi"/>
          <w:sz w:val="24"/>
          <w:szCs w:val="24"/>
        </w:rPr>
        <w:t xml:space="preserve">zijn </w:t>
      </w:r>
      <w:r w:rsidR="00FD3F8A">
        <w:rPr>
          <w:rFonts w:cs="Calibri" w:asciiTheme="minorHAnsi" w:hAnsiTheme="minorHAnsi"/>
          <w:sz w:val="24"/>
          <w:szCs w:val="24"/>
        </w:rPr>
        <w:t xml:space="preserve">de noties in het </w:t>
      </w:r>
      <w:r w:rsidRPr="00A36609">
        <w:rPr>
          <w:rFonts w:cs="Calibri" w:asciiTheme="minorHAnsi" w:hAnsiTheme="minorHAnsi"/>
          <w:sz w:val="24"/>
          <w:szCs w:val="24"/>
        </w:rPr>
        <w:t>advies van de Wetenschappelijke Commissie van de NVvR, d.d. 13 april 2015, nog steeds actueel</w:t>
      </w:r>
      <w:r w:rsidR="00592635">
        <w:rPr>
          <w:rFonts w:cs="Calibri" w:asciiTheme="minorHAnsi" w:hAnsiTheme="minorHAnsi"/>
          <w:sz w:val="24"/>
          <w:szCs w:val="24"/>
        </w:rPr>
        <w:t>, ook ná de nota naar aanleiding van het verslag</w:t>
      </w:r>
      <w:r w:rsidRPr="00A36609">
        <w:rPr>
          <w:rFonts w:cs="Calibri" w:asciiTheme="minorHAnsi" w:hAnsiTheme="minorHAnsi"/>
          <w:sz w:val="24"/>
          <w:szCs w:val="24"/>
        </w:rPr>
        <w:t xml:space="preserve">. </w:t>
      </w:r>
      <w:r w:rsidR="00FD3F8A">
        <w:rPr>
          <w:rFonts w:cs="Calibri" w:asciiTheme="minorHAnsi" w:hAnsiTheme="minorHAnsi"/>
          <w:sz w:val="24"/>
          <w:szCs w:val="24"/>
        </w:rPr>
        <w:t xml:space="preserve">Om die reden wordt dit advies met deze position paper meegezonden. </w:t>
      </w:r>
    </w:p>
    <w:p w:rsidRPr="00A36609" w:rsidR="00A36609" w:rsidP="00A36609" w:rsidRDefault="00A36609">
      <w:pPr>
        <w:spacing w:line="280" w:lineRule="atLeast"/>
        <w:rPr>
          <w:rFonts w:cs="Calibri" w:asciiTheme="minorHAnsi" w:hAnsiTheme="minorHAnsi"/>
          <w:sz w:val="24"/>
          <w:szCs w:val="24"/>
        </w:rPr>
      </w:pPr>
      <w:r w:rsidRPr="00A36609">
        <w:rPr>
          <w:rFonts w:cs="Calibri" w:asciiTheme="minorHAnsi" w:hAnsiTheme="minorHAnsi"/>
          <w:sz w:val="24"/>
          <w:szCs w:val="24"/>
        </w:rPr>
        <w:t xml:space="preserve"> </w:t>
      </w:r>
    </w:p>
    <w:p w:rsidRPr="00A36609" w:rsidR="00A36609" w:rsidP="00A36609" w:rsidRDefault="00A36609">
      <w:pPr>
        <w:spacing w:line="280" w:lineRule="atLeast"/>
        <w:rPr>
          <w:rFonts w:cs="Calibri" w:asciiTheme="minorHAnsi" w:hAnsiTheme="minorHAnsi"/>
          <w:sz w:val="24"/>
          <w:szCs w:val="24"/>
        </w:rPr>
      </w:pPr>
      <w:r w:rsidRPr="00A36609">
        <w:rPr>
          <w:rFonts w:cs="Calibri" w:asciiTheme="minorHAnsi" w:hAnsiTheme="minorHAnsi"/>
          <w:sz w:val="24"/>
          <w:szCs w:val="24"/>
        </w:rPr>
        <w:t xml:space="preserve">De NVvR wil de volgende onderwerpen onder </w:t>
      </w:r>
      <w:r w:rsidR="00592635">
        <w:rPr>
          <w:rFonts w:cs="Calibri" w:asciiTheme="minorHAnsi" w:hAnsiTheme="minorHAnsi"/>
          <w:sz w:val="24"/>
          <w:szCs w:val="24"/>
        </w:rPr>
        <w:t xml:space="preserve">de </w:t>
      </w:r>
      <w:r w:rsidRPr="00A36609">
        <w:rPr>
          <w:rFonts w:cs="Calibri" w:asciiTheme="minorHAnsi" w:hAnsiTheme="minorHAnsi"/>
          <w:sz w:val="24"/>
          <w:szCs w:val="24"/>
        </w:rPr>
        <w:t xml:space="preserve">aandacht </w:t>
      </w:r>
      <w:r w:rsidR="00592635">
        <w:rPr>
          <w:rFonts w:cs="Calibri" w:asciiTheme="minorHAnsi" w:hAnsiTheme="minorHAnsi"/>
          <w:sz w:val="24"/>
          <w:szCs w:val="24"/>
        </w:rPr>
        <w:t xml:space="preserve">van de commissie </w:t>
      </w:r>
      <w:r w:rsidRPr="00A36609">
        <w:rPr>
          <w:rFonts w:cs="Calibri" w:asciiTheme="minorHAnsi" w:hAnsiTheme="minorHAnsi"/>
          <w:sz w:val="24"/>
          <w:szCs w:val="24"/>
        </w:rPr>
        <w:t xml:space="preserve">brengen: </w:t>
      </w:r>
    </w:p>
    <w:p w:rsidRPr="00A36609" w:rsidR="00A36609" w:rsidP="00A36609" w:rsidRDefault="00A36609">
      <w:pPr>
        <w:spacing w:line="280" w:lineRule="atLeast"/>
        <w:rPr>
          <w:rFonts w:cs="Calibri" w:asciiTheme="minorHAnsi" w:hAnsiTheme="minorHAnsi"/>
          <w:sz w:val="24"/>
          <w:szCs w:val="24"/>
        </w:rPr>
      </w:pPr>
      <w:r w:rsidRPr="00A36609">
        <w:rPr>
          <w:rFonts w:cs="Calibri" w:asciiTheme="minorHAnsi" w:hAnsiTheme="minorHAnsi"/>
          <w:sz w:val="24"/>
          <w:szCs w:val="24"/>
        </w:rPr>
        <w:t xml:space="preserve"> </w:t>
      </w:r>
    </w:p>
    <w:p w:rsidRPr="00592635" w:rsidR="00A36609" w:rsidP="00A36609" w:rsidRDefault="00A36609">
      <w:pPr>
        <w:spacing w:line="280" w:lineRule="atLeast"/>
        <w:rPr>
          <w:rFonts w:cs="Calibri" w:asciiTheme="minorHAnsi" w:hAnsiTheme="minorHAnsi"/>
          <w:b/>
          <w:sz w:val="24"/>
          <w:szCs w:val="24"/>
        </w:rPr>
      </w:pPr>
      <w:r w:rsidRPr="00592635">
        <w:rPr>
          <w:rFonts w:cs="Calibri" w:asciiTheme="minorHAnsi" w:hAnsiTheme="minorHAnsi"/>
          <w:b/>
          <w:sz w:val="24"/>
          <w:szCs w:val="24"/>
        </w:rPr>
        <w:t>1.      Hoogste bestuursrechtspraak hoort thuis bij de gewone rechterlijke macht</w:t>
      </w:r>
    </w:p>
    <w:p w:rsidRPr="00A36609" w:rsidR="00A36609" w:rsidP="00A36609" w:rsidRDefault="00A36609">
      <w:pPr>
        <w:spacing w:line="280" w:lineRule="atLeast"/>
        <w:rPr>
          <w:rFonts w:cs="Calibri" w:asciiTheme="minorHAnsi" w:hAnsiTheme="minorHAnsi"/>
          <w:sz w:val="24"/>
          <w:szCs w:val="24"/>
        </w:rPr>
      </w:pPr>
      <w:r w:rsidRPr="00A36609">
        <w:rPr>
          <w:rFonts w:cs="Calibri" w:asciiTheme="minorHAnsi" w:hAnsiTheme="minorHAnsi"/>
          <w:sz w:val="24"/>
          <w:szCs w:val="24"/>
        </w:rPr>
        <w:t xml:space="preserve">De NVvR is </w:t>
      </w:r>
      <w:r w:rsidR="00592635">
        <w:rPr>
          <w:rFonts w:cs="Calibri" w:asciiTheme="minorHAnsi" w:hAnsiTheme="minorHAnsi"/>
          <w:sz w:val="24"/>
          <w:szCs w:val="24"/>
        </w:rPr>
        <w:t xml:space="preserve">principieel </w:t>
      </w:r>
      <w:r w:rsidRPr="00A36609">
        <w:rPr>
          <w:rFonts w:cs="Calibri" w:asciiTheme="minorHAnsi" w:hAnsiTheme="minorHAnsi"/>
          <w:sz w:val="24"/>
          <w:szCs w:val="24"/>
        </w:rPr>
        <w:t xml:space="preserve">van mening dat álle bestuursrechtelijke zaken ondergebracht behoren te worden in de kolom van de reguliere rechtspraak. Dit is overigens niet alleen onze opinie, maar ook de overtuiging van de gehele kolom van de reguliere rechtspraak. Dit wordt daarbij ondersteund door betogen van wetenschappers en brieven van organisaties/bedrijven als het UWV, de SVB, Vodafone en KPN. De gekozen koers van het kabinet bij de inrichting van de hoogste bestuursrechtspraak is dus, volgens de rechtspraak én de rechtzoekenden, niet de juiste. </w:t>
      </w:r>
    </w:p>
    <w:p w:rsidRPr="00A36609" w:rsidR="00A36609" w:rsidP="00A36609" w:rsidRDefault="00A36609">
      <w:pPr>
        <w:spacing w:line="280" w:lineRule="atLeast"/>
        <w:rPr>
          <w:rFonts w:cs="Calibri" w:asciiTheme="minorHAnsi" w:hAnsiTheme="minorHAnsi"/>
          <w:sz w:val="24"/>
          <w:szCs w:val="24"/>
        </w:rPr>
      </w:pPr>
      <w:r w:rsidRPr="00A36609">
        <w:rPr>
          <w:rFonts w:cs="Calibri" w:asciiTheme="minorHAnsi" w:hAnsiTheme="minorHAnsi"/>
          <w:sz w:val="24"/>
          <w:szCs w:val="24"/>
        </w:rPr>
        <w:t xml:space="preserve"> </w:t>
      </w:r>
    </w:p>
    <w:p w:rsidRPr="00592635" w:rsidR="00A36609" w:rsidP="00A36609" w:rsidRDefault="00A36609">
      <w:pPr>
        <w:spacing w:line="280" w:lineRule="atLeast"/>
        <w:rPr>
          <w:rFonts w:cs="Calibri" w:asciiTheme="minorHAnsi" w:hAnsiTheme="minorHAnsi"/>
          <w:b/>
          <w:sz w:val="24"/>
          <w:szCs w:val="24"/>
        </w:rPr>
      </w:pPr>
      <w:r w:rsidRPr="00592635">
        <w:rPr>
          <w:rFonts w:cs="Calibri" w:asciiTheme="minorHAnsi" w:hAnsiTheme="minorHAnsi"/>
          <w:b/>
          <w:sz w:val="24"/>
          <w:szCs w:val="24"/>
        </w:rPr>
        <w:t>2.      Concentratie en behoud kennis groot maatschappelijk belang</w:t>
      </w:r>
    </w:p>
    <w:p w:rsidR="00592635" w:rsidP="00A36609" w:rsidRDefault="00A36609">
      <w:pPr>
        <w:spacing w:line="280" w:lineRule="atLeast"/>
        <w:rPr>
          <w:rFonts w:cs="Calibri" w:asciiTheme="minorHAnsi" w:hAnsiTheme="minorHAnsi"/>
          <w:sz w:val="24"/>
          <w:szCs w:val="24"/>
        </w:rPr>
      </w:pPr>
      <w:r w:rsidRPr="00A36609">
        <w:rPr>
          <w:rFonts w:cs="Calibri" w:asciiTheme="minorHAnsi" w:hAnsiTheme="minorHAnsi"/>
          <w:sz w:val="24"/>
          <w:szCs w:val="24"/>
        </w:rPr>
        <w:t xml:space="preserve">Het waarborgen van de geconcentreerde specialistische kennis, kunde en ervaring van de CRvB en het CBb is voor de NVvR van evident belang. Dat is een groot maatschappelijk goed waar zuinig mee moet worden omgesprongen en waar niet alleen rechtzoekenden als burgers, bedrijven en organisaties op rekenen. Ook voor overheidsinstanties die, op basis van de duiding die beide colleges geven aan bijvoorbeeld internationale wet- en regelgeving, hun beleidsregels hierop laten aansluiten én voor de bestuursrechtspraak bij  de rechtbanken is de concentratie van kennis onmisbaar. </w:t>
      </w:r>
    </w:p>
    <w:p w:rsidR="00592635" w:rsidP="00A36609" w:rsidRDefault="00592635">
      <w:pPr>
        <w:spacing w:line="280" w:lineRule="atLeast"/>
        <w:rPr>
          <w:rFonts w:cs="Calibri" w:asciiTheme="minorHAnsi" w:hAnsiTheme="minorHAnsi"/>
          <w:sz w:val="24"/>
          <w:szCs w:val="24"/>
        </w:rPr>
      </w:pPr>
    </w:p>
    <w:p w:rsidR="00E26DF9" w:rsidP="00A36609" w:rsidRDefault="00E26DF9">
      <w:pPr>
        <w:spacing w:line="280" w:lineRule="atLeast"/>
        <w:rPr>
          <w:rFonts w:cs="Calibri" w:asciiTheme="minorHAnsi" w:hAnsiTheme="minorHAnsi"/>
          <w:sz w:val="24"/>
          <w:szCs w:val="24"/>
        </w:rPr>
      </w:pPr>
    </w:p>
    <w:p w:rsidRPr="00A36609" w:rsidR="00A36609" w:rsidP="00A36609" w:rsidRDefault="00A36609">
      <w:pPr>
        <w:spacing w:line="280" w:lineRule="atLeast"/>
        <w:rPr>
          <w:rFonts w:cs="Calibri" w:asciiTheme="minorHAnsi" w:hAnsiTheme="minorHAnsi"/>
          <w:sz w:val="24"/>
          <w:szCs w:val="24"/>
        </w:rPr>
      </w:pPr>
      <w:r w:rsidRPr="00A36609">
        <w:rPr>
          <w:rFonts w:cs="Calibri" w:asciiTheme="minorHAnsi" w:hAnsiTheme="minorHAnsi"/>
          <w:sz w:val="24"/>
          <w:szCs w:val="24"/>
        </w:rPr>
        <w:lastRenderedPageBreak/>
        <w:t xml:space="preserve">Helaas beschermt het wetsvoorstel deze concentratie niet. </w:t>
      </w:r>
      <w:r w:rsidR="00592635">
        <w:rPr>
          <w:rFonts w:cs="Calibri" w:asciiTheme="minorHAnsi" w:hAnsiTheme="minorHAnsi"/>
          <w:sz w:val="24"/>
          <w:szCs w:val="24"/>
        </w:rPr>
        <w:t xml:space="preserve">Slechts een gedeelte van de </w:t>
      </w:r>
      <w:r w:rsidRPr="00A36609">
        <w:rPr>
          <w:rFonts w:cs="Calibri" w:asciiTheme="minorHAnsi" w:hAnsiTheme="minorHAnsi"/>
          <w:sz w:val="24"/>
          <w:szCs w:val="24"/>
        </w:rPr>
        <w:t xml:space="preserve">raadsheren van </w:t>
      </w:r>
      <w:r w:rsidR="00A43488">
        <w:rPr>
          <w:rFonts w:cs="Calibri" w:asciiTheme="minorHAnsi" w:hAnsiTheme="minorHAnsi"/>
          <w:sz w:val="24"/>
          <w:szCs w:val="24"/>
        </w:rPr>
        <w:t>h</w:t>
      </w:r>
      <w:r w:rsidRPr="00A36609">
        <w:rPr>
          <w:rFonts w:cs="Calibri" w:asciiTheme="minorHAnsi" w:hAnsiTheme="minorHAnsi"/>
          <w:sz w:val="24"/>
          <w:szCs w:val="24"/>
        </w:rPr>
        <w:t>e</w:t>
      </w:r>
      <w:r w:rsidR="00A43488">
        <w:rPr>
          <w:rFonts w:cs="Calibri" w:asciiTheme="minorHAnsi" w:hAnsiTheme="minorHAnsi"/>
          <w:sz w:val="24"/>
          <w:szCs w:val="24"/>
        </w:rPr>
        <w:t>t</w:t>
      </w:r>
      <w:r w:rsidRPr="00A36609">
        <w:rPr>
          <w:rFonts w:cs="Calibri" w:asciiTheme="minorHAnsi" w:hAnsiTheme="minorHAnsi"/>
          <w:sz w:val="24"/>
          <w:szCs w:val="24"/>
        </w:rPr>
        <w:t xml:space="preserve"> CBb </w:t>
      </w:r>
      <w:r w:rsidR="00592635">
        <w:rPr>
          <w:rFonts w:cs="Calibri" w:asciiTheme="minorHAnsi" w:hAnsiTheme="minorHAnsi"/>
          <w:sz w:val="24"/>
          <w:szCs w:val="24"/>
        </w:rPr>
        <w:t xml:space="preserve">lijkt over te gaan </w:t>
      </w:r>
      <w:r w:rsidRPr="00A36609">
        <w:rPr>
          <w:rFonts w:cs="Calibri" w:asciiTheme="minorHAnsi" w:hAnsiTheme="minorHAnsi"/>
          <w:sz w:val="24"/>
          <w:szCs w:val="24"/>
        </w:rPr>
        <w:t>met hun zaken, de toezichthoudende specialisatie van het CBb wordt ondergebracht bij een instantie die daar geen ervaring mee heeft en die geen deel uit ma</w:t>
      </w:r>
      <w:r w:rsidR="00592635">
        <w:rPr>
          <w:rFonts w:cs="Calibri" w:asciiTheme="minorHAnsi" w:hAnsiTheme="minorHAnsi"/>
          <w:sz w:val="24"/>
          <w:szCs w:val="24"/>
        </w:rPr>
        <w:t>ak</w:t>
      </w:r>
      <w:r w:rsidRPr="00A36609">
        <w:rPr>
          <w:rFonts w:cs="Calibri" w:asciiTheme="minorHAnsi" w:hAnsiTheme="minorHAnsi"/>
          <w:sz w:val="24"/>
          <w:szCs w:val="24"/>
        </w:rPr>
        <w:t xml:space="preserve">t van de reguliere kolom van de rechtspraak. De zaken van de CRvB worden gevierendeeld en verspreid over het land. Deze ontwikkelingen zijn zeer onwenselijk, aangezien zij de benodigde concentratie en specialisatie ondergraven. Voor de NVvR staat bij aanvaarding van het huidige wetsvoorstel dan ook vast dat de kwaliteit van de socialezekerheidsrechtspraak, de ambtenarenrechtspraak en de economische bestuursrechtspraak achteruit zullen gaan. Dat is niet alleen slecht voor de kwaliteit van het hoger beroep van de bestuursrechtspraak, maar </w:t>
      </w:r>
      <w:r w:rsidR="00CE623E">
        <w:rPr>
          <w:rFonts w:cs="Calibri" w:asciiTheme="minorHAnsi" w:hAnsiTheme="minorHAnsi"/>
          <w:sz w:val="24"/>
          <w:szCs w:val="24"/>
        </w:rPr>
        <w:t xml:space="preserve">vooral </w:t>
      </w:r>
      <w:r w:rsidRPr="00A36609">
        <w:rPr>
          <w:rFonts w:cs="Calibri" w:asciiTheme="minorHAnsi" w:hAnsiTheme="minorHAnsi"/>
          <w:sz w:val="24"/>
          <w:szCs w:val="24"/>
        </w:rPr>
        <w:t xml:space="preserve">zorgelijk voor de rechtzoekenden. </w:t>
      </w:r>
    </w:p>
    <w:p w:rsidRPr="00A36609" w:rsidR="00A36609" w:rsidP="00A36609" w:rsidRDefault="00A36609">
      <w:pPr>
        <w:spacing w:line="280" w:lineRule="atLeast"/>
        <w:rPr>
          <w:rFonts w:cs="Calibri" w:asciiTheme="minorHAnsi" w:hAnsiTheme="minorHAnsi"/>
          <w:sz w:val="24"/>
          <w:szCs w:val="24"/>
        </w:rPr>
      </w:pPr>
      <w:r w:rsidRPr="00A36609">
        <w:rPr>
          <w:rFonts w:cs="Calibri" w:asciiTheme="minorHAnsi" w:hAnsiTheme="minorHAnsi"/>
          <w:sz w:val="24"/>
          <w:szCs w:val="24"/>
        </w:rPr>
        <w:t xml:space="preserve"> </w:t>
      </w:r>
    </w:p>
    <w:p w:rsidRPr="00592635" w:rsidR="00A36609" w:rsidP="00A36609" w:rsidRDefault="00A36609">
      <w:pPr>
        <w:spacing w:line="280" w:lineRule="atLeast"/>
        <w:rPr>
          <w:rFonts w:cs="Calibri" w:asciiTheme="minorHAnsi" w:hAnsiTheme="minorHAnsi"/>
          <w:b/>
          <w:sz w:val="24"/>
          <w:szCs w:val="24"/>
        </w:rPr>
      </w:pPr>
      <w:r w:rsidRPr="00592635">
        <w:rPr>
          <w:rFonts w:cs="Calibri" w:asciiTheme="minorHAnsi" w:hAnsiTheme="minorHAnsi"/>
          <w:b/>
          <w:sz w:val="24"/>
          <w:szCs w:val="24"/>
        </w:rPr>
        <w:t>3.      Ontbreken rechtspositionele paragraaf onaanvaardbaar</w:t>
      </w:r>
    </w:p>
    <w:p w:rsidR="00E26DF9" w:rsidP="00A36609" w:rsidRDefault="00A36609">
      <w:pPr>
        <w:spacing w:line="280" w:lineRule="atLeast"/>
        <w:rPr>
          <w:rFonts w:cs="Calibri" w:asciiTheme="minorHAnsi" w:hAnsiTheme="minorHAnsi"/>
          <w:sz w:val="24"/>
          <w:szCs w:val="24"/>
        </w:rPr>
      </w:pPr>
      <w:r w:rsidRPr="00A36609">
        <w:rPr>
          <w:rFonts w:cs="Calibri" w:asciiTheme="minorHAnsi" w:hAnsiTheme="minorHAnsi"/>
          <w:sz w:val="24"/>
          <w:szCs w:val="24"/>
        </w:rPr>
        <w:t xml:space="preserve">Het blijft voor de NVvR onaanvaardbaar dat er in dit wetsvoorstel niets is geregeld over de rechtspositie van de medewerkers van de CRvB en het CBb. Ook de Raad van State, bij monde van het advies (Kamerstukken II 2015/2016, 34 389, nr. 4), meent dat dit een onwenselijke situatie is en adviseert om ten minste de hoofdlijnen van de rechtspositionele gevolgen op te nemen in dit wetsvoorstel. </w:t>
      </w:r>
      <w:r w:rsidR="00391CAF">
        <w:rPr>
          <w:rFonts w:cs="Calibri" w:asciiTheme="minorHAnsi" w:hAnsiTheme="minorHAnsi"/>
          <w:sz w:val="24"/>
          <w:szCs w:val="24"/>
        </w:rPr>
        <w:t xml:space="preserve">Daarbij blijkt het opheffen van twee rechterlijke colleges een dermate unieke operatie te zijn, dat hiervoor in de rechtspositionele regelingen </w:t>
      </w:r>
      <w:r w:rsidR="00CE623E">
        <w:rPr>
          <w:rFonts w:cs="Calibri" w:asciiTheme="minorHAnsi" w:hAnsiTheme="minorHAnsi"/>
          <w:sz w:val="24"/>
          <w:szCs w:val="24"/>
        </w:rPr>
        <w:t xml:space="preserve">zelfs </w:t>
      </w:r>
      <w:r w:rsidR="00391CAF">
        <w:rPr>
          <w:rFonts w:cs="Calibri" w:asciiTheme="minorHAnsi" w:hAnsiTheme="minorHAnsi"/>
          <w:sz w:val="24"/>
          <w:szCs w:val="24"/>
        </w:rPr>
        <w:t xml:space="preserve">niets </w:t>
      </w:r>
      <w:r w:rsidR="00A43488">
        <w:rPr>
          <w:rFonts w:cs="Calibri" w:asciiTheme="minorHAnsi" w:hAnsiTheme="minorHAnsi"/>
          <w:sz w:val="24"/>
          <w:szCs w:val="24"/>
        </w:rPr>
        <w:t>specifiek is geregeld voor de voor het leven benoemde rechterlijke ambtenaren</w:t>
      </w:r>
      <w:r w:rsidR="00441A01">
        <w:rPr>
          <w:rFonts w:cs="Calibri" w:asciiTheme="minorHAnsi" w:hAnsiTheme="minorHAnsi"/>
          <w:sz w:val="24"/>
          <w:szCs w:val="24"/>
        </w:rPr>
        <w:t>, in casu de raadsheren die het aangaat.</w:t>
      </w:r>
      <w:r w:rsidR="00391CAF">
        <w:rPr>
          <w:rFonts w:cs="Calibri" w:asciiTheme="minorHAnsi" w:hAnsiTheme="minorHAnsi"/>
          <w:sz w:val="24"/>
          <w:szCs w:val="24"/>
        </w:rPr>
        <w:t xml:space="preserve"> Het ligt daarom voor de NVvR voor de hand dat de wetgever er alles aan doet om</w:t>
      </w:r>
      <w:r w:rsidR="00CE623E">
        <w:rPr>
          <w:rFonts w:cs="Calibri" w:asciiTheme="minorHAnsi" w:hAnsiTheme="minorHAnsi"/>
          <w:sz w:val="24"/>
          <w:szCs w:val="24"/>
        </w:rPr>
        <w:t xml:space="preserve"> de</w:t>
      </w:r>
      <w:r w:rsidR="00391CAF">
        <w:rPr>
          <w:rFonts w:cs="Calibri" w:asciiTheme="minorHAnsi" w:hAnsiTheme="minorHAnsi"/>
          <w:sz w:val="24"/>
          <w:szCs w:val="24"/>
        </w:rPr>
        <w:t xml:space="preserve"> zorgen over het verplaatsen van rechtsmacht en rechters weg te nemen. </w:t>
      </w:r>
      <w:r w:rsidR="00A43488">
        <w:rPr>
          <w:rFonts w:cs="Calibri" w:asciiTheme="minorHAnsi" w:hAnsiTheme="minorHAnsi"/>
          <w:sz w:val="24"/>
          <w:szCs w:val="24"/>
        </w:rPr>
        <w:t>Als er al sprake moet zijn van verplaatsing van raadsheren, dan moet ook iedereen mee naar de nieuwe organisatie</w:t>
      </w:r>
      <w:r w:rsidR="00AF171D">
        <w:rPr>
          <w:rFonts w:cs="Calibri" w:asciiTheme="minorHAnsi" w:hAnsiTheme="minorHAnsi"/>
          <w:sz w:val="24"/>
          <w:szCs w:val="24"/>
        </w:rPr>
        <w:t>, indachtig het adagium ‘mens volgt werk’.</w:t>
      </w:r>
      <w:r w:rsidR="00A43488">
        <w:rPr>
          <w:rFonts w:cs="Calibri" w:asciiTheme="minorHAnsi" w:hAnsiTheme="minorHAnsi"/>
          <w:sz w:val="24"/>
          <w:szCs w:val="24"/>
        </w:rPr>
        <w:t xml:space="preserve"> </w:t>
      </w:r>
      <w:r w:rsidR="00391CAF">
        <w:rPr>
          <w:rFonts w:cs="Calibri" w:asciiTheme="minorHAnsi" w:hAnsiTheme="minorHAnsi"/>
          <w:sz w:val="24"/>
          <w:szCs w:val="24"/>
        </w:rPr>
        <w:t xml:space="preserve">De nota naar aanleiding van het verslag adresseert deze zorgen </w:t>
      </w:r>
      <w:r w:rsidR="00CE623E">
        <w:rPr>
          <w:rFonts w:cs="Calibri" w:asciiTheme="minorHAnsi" w:hAnsiTheme="minorHAnsi"/>
          <w:sz w:val="24"/>
          <w:szCs w:val="24"/>
        </w:rPr>
        <w:t>on</w:t>
      </w:r>
      <w:r w:rsidR="00391CAF">
        <w:rPr>
          <w:rFonts w:cs="Calibri" w:asciiTheme="minorHAnsi" w:hAnsiTheme="minorHAnsi"/>
          <w:sz w:val="24"/>
          <w:szCs w:val="24"/>
        </w:rPr>
        <w:t>voldoende</w:t>
      </w:r>
      <w:r w:rsidR="00CE623E">
        <w:rPr>
          <w:rFonts w:cs="Calibri" w:asciiTheme="minorHAnsi" w:hAnsiTheme="minorHAnsi"/>
          <w:sz w:val="24"/>
          <w:szCs w:val="24"/>
        </w:rPr>
        <w:t xml:space="preserve"> en </w:t>
      </w:r>
      <w:r w:rsidR="00391CAF">
        <w:rPr>
          <w:rFonts w:cs="Calibri" w:asciiTheme="minorHAnsi" w:hAnsiTheme="minorHAnsi"/>
          <w:sz w:val="24"/>
          <w:szCs w:val="24"/>
        </w:rPr>
        <w:t>schuift de</w:t>
      </w:r>
      <w:r w:rsidR="007F3B0D">
        <w:rPr>
          <w:rFonts w:cs="Calibri" w:asciiTheme="minorHAnsi" w:hAnsiTheme="minorHAnsi"/>
          <w:sz w:val="24"/>
          <w:szCs w:val="24"/>
        </w:rPr>
        <w:t>ze</w:t>
      </w:r>
      <w:r w:rsidR="00391CAF">
        <w:rPr>
          <w:rFonts w:cs="Calibri" w:asciiTheme="minorHAnsi" w:hAnsiTheme="minorHAnsi"/>
          <w:sz w:val="24"/>
          <w:szCs w:val="24"/>
        </w:rPr>
        <w:t xml:space="preserve"> door naar </w:t>
      </w:r>
      <w:r w:rsidR="00CE623E">
        <w:rPr>
          <w:rFonts w:cs="Calibri" w:asciiTheme="minorHAnsi" w:hAnsiTheme="minorHAnsi"/>
          <w:sz w:val="24"/>
          <w:szCs w:val="24"/>
        </w:rPr>
        <w:t xml:space="preserve">de nog te ontwikkelen </w:t>
      </w:r>
      <w:r w:rsidR="00391CAF">
        <w:rPr>
          <w:rFonts w:cs="Calibri" w:asciiTheme="minorHAnsi" w:hAnsiTheme="minorHAnsi"/>
          <w:sz w:val="24"/>
          <w:szCs w:val="24"/>
        </w:rPr>
        <w:t xml:space="preserve">rechtspositionele invoeringswet. </w:t>
      </w:r>
      <w:r w:rsidR="00A43488">
        <w:rPr>
          <w:rFonts w:cs="Calibri" w:asciiTheme="minorHAnsi" w:hAnsiTheme="minorHAnsi"/>
          <w:sz w:val="24"/>
          <w:szCs w:val="24"/>
        </w:rPr>
        <w:t xml:space="preserve">Deze houding leidt er overigens mede toe dat expertise begint weg te vloeien, vooral waar het betreft de gerechtsauditeurs, die massaal een goed heenkomen elders in de rechtspraak zoeken. </w:t>
      </w:r>
    </w:p>
    <w:p w:rsidR="00A43488" w:rsidP="00A36609" w:rsidRDefault="00A43488">
      <w:pPr>
        <w:spacing w:line="280" w:lineRule="atLeast"/>
        <w:rPr>
          <w:rFonts w:cs="Calibri" w:asciiTheme="minorHAnsi" w:hAnsiTheme="minorHAnsi"/>
          <w:sz w:val="24"/>
          <w:szCs w:val="24"/>
        </w:rPr>
      </w:pPr>
    </w:p>
    <w:p w:rsidR="00A43488" w:rsidP="00A36609" w:rsidRDefault="00A43488">
      <w:pPr>
        <w:spacing w:line="280" w:lineRule="atLeast"/>
        <w:rPr>
          <w:rFonts w:cs="Calibri" w:asciiTheme="minorHAnsi" w:hAnsiTheme="minorHAnsi"/>
          <w:sz w:val="24"/>
          <w:szCs w:val="24"/>
        </w:rPr>
      </w:pPr>
      <w:r>
        <w:rPr>
          <w:rFonts w:cs="Calibri" w:asciiTheme="minorHAnsi" w:hAnsiTheme="minorHAnsi"/>
          <w:sz w:val="24"/>
          <w:szCs w:val="24"/>
        </w:rPr>
        <w:t>Aangezien het voorstel bij aanvaarding noodzaakt tot het uitvoeren van diverse reorganisaties – niet alleen bij de rechtstreeks betrok</w:t>
      </w:r>
      <w:r w:rsidR="00441A01">
        <w:rPr>
          <w:rFonts w:cs="Calibri" w:asciiTheme="minorHAnsi" w:hAnsiTheme="minorHAnsi"/>
          <w:sz w:val="24"/>
          <w:szCs w:val="24"/>
        </w:rPr>
        <w:t>k</w:t>
      </w:r>
      <w:r>
        <w:rPr>
          <w:rFonts w:cs="Calibri" w:asciiTheme="minorHAnsi" w:hAnsiTheme="minorHAnsi"/>
          <w:sz w:val="24"/>
          <w:szCs w:val="24"/>
        </w:rPr>
        <w:t>en colleges, maar evenzeer bij de Hoge Raad en de gerechtshoven – is een samenhangende regeling van de rechtsposities van ál deze betrokken gewenst</w:t>
      </w:r>
      <w:r w:rsidR="00B322C6">
        <w:rPr>
          <w:rFonts w:cs="Calibri" w:asciiTheme="minorHAnsi" w:hAnsiTheme="minorHAnsi"/>
          <w:sz w:val="24"/>
          <w:szCs w:val="24"/>
        </w:rPr>
        <w:t xml:space="preserve">. Uiteraard is de NVvR als vakbond dan de eerst aangewezene om daarover met de ministers die het aangaat van gedachten te wisselen.  Dat dit tot op heden niet gebeurd is, ondanks herhaaldelijk aandringen van de NVvR, is een omissie die aan een vruchtbare verder behandeling van dit voorstel in de weg staat. </w:t>
      </w:r>
    </w:p>
    <w:p w:rsidR="00E26DF9" w:rsidP="00A36609" w:rsidRDefault="00E26DF9">
      <w:pPr>
        <w:spacing w:line="280" w:lineRule="atLeast"/>
        <w:rPr>
          <w:rFonts w:cs="Calibri" w:asciiTheme="minorHAnsi" w:hAnsiTheme="minorHAnsi"/>
          <w:sz w:val="24"/>
          <w:szCs w:val="24"/>
        </w:rPr>
      </w:pPr>
    </w:p>
    <w:p w:rsidR="00E26DF9" w:rsidP="00A36609" w:rsidRDefault="00391CAF">
      <w:pPr>
        <w:spacing w:line="280" w:lineRule="atLeast"/>
        <w:rPr>
          <w:rFonts w:cs="Calibri" w:asciiTheme="minorHAnsi" w:hAnsiTheme="minorHAnsi"/>
          <w:sz w:val="24"/>
          <w:szCs w:val="24"/>
        </w:rPr>
      </w:pPr>
      <w:r>
        <w:rPr>
          <w:rFonts w:cs="Calibri" w:asciiTheme="minorHAnsi" w:hAnsiTheme="minorHAnsi"/>
          <w:sz w:val="24"/>
          <w:szCs w:val="24"/>
        </w:rPr>
        <w:t>De NVvR vindt dat dit</w:t>
      </w:r>
      <w:r w:rsidR="00E26DF9">
        <w:rPr>
          <w:rFonts w:cs="Calibri" w:asciiTheme="minorHAnsi" w:hAnsiTheme="minorHAnsi"/>
          <w:sz w:val="24"/>
          <w:szCs w:val="24"/>
        </w:rPr>
        <w:t>, vanuit de eerder genoemde grondgedachte van de grootst mogelijke zorgvuldigheid,</w:t>
      </w:r>
      <w:r>
        <w:rPr>
          <w:rFonts w:cs="Calibri" w:asciiTheme="minorHAnsi" w:hAnsiTheme="minorHAnsi"/>
          <w:sz w:val="24"/>
          <w:szCs w:val="24"/>
        </w:rPr>
        <w:t xml:space="preserve"> </w:t>
      </w:r>
      <w:r w:rsidR="00E26DF9">
        <w:rPr>
          <w:rFonts w:cs="Calibri" w:asciiTheme="minorHAnsi" w:hAnsiTheme="minorHAnsi"/>
          <w:sz w:val="24"/>
          <w:szCs w:val="24"/>
        </w:rPr>
        <w:t xml:space="preserve">volstrekt </w:t>
      </w:r>
      <w:r>
        <w:rPr>
          <w:rFonts w:cs="Calibri" w:asciiTheme="minorHAnsi" w:hAnsiTheme="minorHAnsi"/>
          <w:sz w:val="24"/>
          <w:szCs w:val="24"/>
        </w:rPr>
        <w:t>onvoldoende zekerheid biedt voor de betreffende raadsheren</w:t>
      </w:r>
      <w:r w:rsidR="007F3B0D">
        <w:rPr>
          <w:rFonts w:cs="Calibri" w:asciiTheme="minorHAnsi" w:hAnsiTheme="minorHAnsi"/>
          <w:sz w:val="24"/>
          <w:szCs w:val="24"/>
        </w:rPr>
        <w:t>, de</w:t>
      </w:r>
      <w:r>
        <w:rPr>
          <w:rFonts w:cs="Calibri" w:asciiTheme="minorHAnsi" w:hAnsiTheme="minorHAnsi"/>
          <w:sz w:val="24"/>
          <w:szCs w:val="24"/>
        </w:rPr>
        <w:t xml:space="preserve"> ondersteuning </w:t>
      </w:r>
      <w:r w:rsidR="007F3B0D">
        <w:rPr>
          <w:rFonts w:cs="Calibri" w:asciiTheme="minorHAnsi" w:hAnsiTheme="minorHAnsi"/>
          <w:sz w:val="24"/>
          <w:szCs w:val="24"/>
        </w:rPr>
        <w:t xml:space="preserve">én </w:t>
      </w:r>
      <w:r w:rsidR="00E26DF9">
        <w:rPr>
          <w:rFonts w:cs="Calibri" w:asciiTheme="minorHAnsi" w:hAnsiTheme="minorHAnsi"/>
          <w:sz w:val="24"/>
          <w:szCs w:val="24"/>
        </w:rPr>
        <w:t xml:space="preserve">niet in de laatste plaats </w:t>
      </w:r>
      <w:r w:rsidR="007F3B0D">
        <w:rPr>
          <w:rFonts w:cs="Calibri" w:asciiTheme="minorHAnsi" w:hAnsiTheme="minorHAnsi"/>
          <w:sz w:val="24"/>
          <w:szCs w:val="24"/>
        </w:rPr>
        <w:t xml:space="preserve">voor de </w:t>
      </w:r>
      <w:r w:rsidR="00E26DF9">
        <w:rPr>
          <w:rFonts w:cs="Calibri" w:asciiTheme="minorHAnsi" w:hAnsiTheme="minorHAnsi"/>
          <w:sz w:val="24"/>
          <w:szCs w:val="24"/>
        </w:rPr>
        <w:t>rechtzoekenden die afhankelijk zijn van de deskundige oordelen van de raadsheren bij de beide bijzondere colleges</w:t>
      </w:r>
      <w:r w:rsidR="007F3B0D">
        <w:rPr>
          <w:rFonts w:cs="Calibri" w:asciiTheme="minorHAnsi" w:hAnsiTheme="minorHAnsi"/>
          <w:sz w:val="24"/>
          <w:szCs w:val="24"/>
        </w:rPr>
        <w:t xml:space="preserve">. </w:t>
      </w:r>
      <w:r w:rsidRPr="00E26DF9" w:rsidR="00A36609">
        <w:rPr>
          <w:rFonts w:cs="Calibri" w:asciiTheme="minorHAnsi" w:hAnsiTheme="minorHAnsi"/>
          <w:sz w:val="24"/>
          <w:szCs w:val="24"/>
          <w:u w:val="single"/>
        </w:rPr>
        <w:t xml:space="preserve">De NVvR </w:t>
      </w:r>
      <w:r w:rsidRPr="00E26DF9" w:rsidR="00592635">
        <w:rPr>
          <w:rFonts w:cs="Calibri" w:asciiTheme="minorHAnsi" w:hAnsiTheme="minorHAnsi"/>
          <w:sz w:val="24"/>
          <w:szCs w:val="24"/>
          <w:u w:val="single"/>
        </w:rPr>
        <w:t xml:space="preserve">verzoekt het parlement </w:t>
      </w:r>
      <w:r w:rsidRPr="00E26DF9" w:rsidR="00FD3F8A">
        <w:rPr>
          <w:rFonts w:cs="Calibri" w:asciiTheme="minorHAnsi" w:hAnsiTheme="minorHAnsi"/>
          <w:sz w:val="24"/>
          <w:szCs w:val="24"/>
          <w:u w:val="single"/>
        </w:rPr>
        <w:t xml:space="preserve">daarom </w:t>
      </w:r>
      <w:r w:rsidRPr="00E26DF9" w:rsidR="00592635">
        <w:rPr>
          <w:rFonts w:cs="Calibri" w:asciiTheme="minorHAnsi" w:hAnsiTheme="minorHAnsi"/>
          <w:sz w:val="24"/>
          <w:szCs w:val="24"/>
          <w:u w:val="single"/>
        </w:rPr>
        <w:t xml:space="preserve">met klem om in het </w:t>
      </w:r>
      <w:r w:rsidRPr="00E26DF9" w:rsidR="007F3B0D">
        <w:rPr>
          <w:rFonts w:cs="Calibri" w:asciiTheme="minorHAnsi" w:hAnsiTheme="minorHAnsi"/>
          <w:sz w:val="24"/>
          <w:szCs w:val="24"/>
          <w:u w:val="single"/>
        </w:rPr>
        <w:t xml:space="preserve">thans </w:t>
      </w:r>
      <w:r w:rsidRPr="00E26DF9" w:rsidR="00592635">
        <w:rPr>
          <w:rFonts w:cs="Calibri" w:asciiTheme="minorHAnsi" w:hAnsiTheme="minorHAnsi"/>
          <w:sz w:val="24"/>
          <w:szCs w:val="24"/>
          <w:u w:val="single"/>
        </w:rPr>
        <w:t xml:space="preserve">voorliggende wetsvoorstel </w:t>
      </w:r>
      <w:r w:rsidR="00B322C6">
        <w:rPr>
          <w:rFonts w:cs="Calibri" w:asciiTheme="minorHAnsi" w:hAnsiTheme="minorHAnsi"/>
          <w:sz w:val="24"/>
          <w:szCs w:val="24"/>
          <w:u w:val="single"/>
        </w:rPr>
        <w:t xml:space="preserve">ten minste </w:t>
      </w:r>
      <w:r w:rsidRPr="00E26DF9" w:rsidR="00592635">
        <w:rPr>
          <w:rFonts w:cs="Calibri" w:asciiTheme="minorHAnsi" w:hAnsiTheme="minorHAnsi"/>
          <w:sz w:val="24"/>
          <w:szCs w:val="24"/>
          <w:u w:val="single"/>
        </w:rPr>
        <w:t>op te nemen dat de</w:t>
      </w:r>
      <w:r w:rsidRPr="00E26DF9" w:rsidR="00FD3F8A">
        <w:rPr>
          <w:rFonts w:cs="Calibri" w:asciiTheme="minorHAnsi" w:hAnsiTheme="minorHAnsi"/>
          <w:sz w:val="24"/>
          <w:szCs w:val="24"/>
          <w:u w:val="single"/>
        </w:rPr>
        <w:t>ze</w:t>
      </w:r>
      <w:r w:rsidRPr="00E26DF9" w:rsidR="00592635">
        <w:rPr>
          <w:rFonts w:cs="Calibri" w:asciiTheme="minorHAnsi" w:hAnsiTheme="minorHAnsi"/>
          <w:sz w:val="24"/>
          <w:szCs w:val="24"/>
          <w:u w:val="single"/>
        </w:rPr>
        <w:t xml:space="preserve"> wet tegelijkertijd met de invoeringswet in werking zal treden.</w:t>
      </w:r>
      <w:r w:rsidR="00592635">
        <w:rPr>
          <w:rFonts w:cs="Calibri" w:asciiTheme="minorHAnsi" w:hAnsiTheme="minorHAnsi"/>
          <w:sz w:val="24"/>
          <w:szCs w:val="24"/>
        </w:rPr>
        <w:t xml:space="preserve"> Alleen zó kan gegarandeerd worden dat </w:t>
      </w:r>
      <w:r w:rsidR="00FD3F8A">
        <w:rPr>
          <w:rFonts w:cs="Calibri" w:asciiTheme="minorHAnsi" w:hAnsiTheme="minorHAnsi"/>
          <w:sz w:val="24"/>
          <w:szCs w:val="24"/>
        </w:rPr>
        <w:t xml:space="preserve">leden van de rechterlijke macht </w:t>
      </w:r>
      <w:r w:rsidR="00AF171D">
        <w:rPr>
          <w:rFonts w:cs="Calibri" w:asciiTheme="minorHAnsi" w:hAnsiTheme="minorHAnsi"/>
          <w:sz w:val="24"/>
          <w:szCs w:val="24"/>
        </w:rPr>
        <w:t xml:space="preserve">niet </w:t>
      </w:r>
      <w:r w:rsidR="00FD3F8A">
        <w:rPr>
          <w:rFonts w:cs="Calibri" w:asciiTheme="minorHAnsi" w:hAnsiTheme="minorHAnsi"/>
          <w:sz w:val="24"/>
          <w:szCs w:val="24"/>
        </w:rPr>
        <w:t xml:space="preserve">in een niemandsland terecht komen wanneer deze wet wordt aangenomen, terwijl over de invoeringswet nog geen overeenstemming is bereikt. </w:t>
      </w:r>
    </w:p>
    <w:p w:rsidRPr="00567917" w:rsidR="00B322C6" w:rsidP="00A36609" w:rsidRDefault="00B322C6">
      <w:pPr>
        <w:spacing w:line="280" w:lineRule="atLeast"/>
        <w:rPr>
          <w:rFonts w:cs="Calibri" w:asciiTheme="minorHAnsi" w:hAnsiTheme="minorHAnsi"/>
          <w:i/>
          <w:sz w:val="24"/>
          <w:szCs w:val="24"/>
        </w:rPr>
      </w:pPr>
    </w:p>
    <w:sectPr w:rsidRPr="00567917" w:rsidR="00B322C6" w:rsidSect="000A062B">
      <w:footerReference w:type="even" r:id="rId9"/>
      <w:footerReference w:type="default" r:id="rId10"/>
      <w:footerReference w:type="first" r:id="rId11"/>
      <w:type w:val="continuous"/>
      <w:pgSz w:w="11906" w:h="16838" w:code="9"/>
      <w:pgMar w:top="1440" w:right="851" w:bottom="964" w:left="964" w:header="357" w:footer="709" w:gutter="0"/>
      <w:cols w:space="7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434" w:rsidRDefault="00E24434">
      <w:r>
        <w:separator/>
      </w:r>
    </w:p>
  </w:endnote>
  <w:endnote w:type="continuationSeparator" w:id="0">
    <w:p w:rsidR="00E24434" w:rsidRDefault="00E2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62B" w:rsidRDefault="000A062B" w:rsidP="0030099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06F36">
      <w:rPr>
        <w:rStyle w:val="Paginanummer"/>
        <w:noProof/>
      </w:rPr>
      <w:t>1</w:t>
    </w:r>
    <w:r>
      <w:rPr>
        <w:rStyle w:val="Paginanummer"/>
      </w:rPr>
      <w:fldChar w:fldCharType="end"/>
    </w:r>
  </w:p>
  <w:p w:rsidR="000A062B" w:rsidRDefault="000A062B" w:rsidP="007E0719">
    <w:pPr>
      <w:pStyle w:val="Voettek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62B" w:rsidRPr="00800E94" w:rsidRDefault="000A062B" w:rsidP="006B101D">
    <w:pPr>
      <w:pStyle w:val="Voettekst"/>
      <w:framePr w:wrap="around" w:vAnchor="text" w:hAnchor="margin" w:xAlign="right" w:y="1"/>
      <w:rPr>
        <w:rStyle w:val="Paginanummer"/>
        <w:rFonts w:ascii="Calibri" w:hAnsi="Calibri"/>
      </w:rPr>
    </w:pPr>
    <w:r w:rsidRPr="00800E94">
      <w:rPr>
        <w:rStyle w:val="Paginanummer"/>
        <w:rFonts w:ascii="Calibri" w:hAnsi="Calibri"/>
      </w:rPr>
      <w:fldChar w:fldCharType="begin"/>
    </w:r>
    <w:r w:rsidRPr="00800E94">
      <w:rPr>
        <w:rStyle w:val="Paginanummer"/>
        <w:rFonts w:ascii="Calibri" w:hAnsi="Calibri"/>
      </w:rPr>
      <w:instrText xml:space="preserve">PAGE  </w:instrText>
    </w:r>
    <w:r w:rsidRPr="00800E94">
      <w:rPr>
        <w:rStyle w:val="Paginanummer"/>
        <w:rFonts w:ascii="Calibri" w:hAnsi="Calibri"/>
      </w:rPr>
      <w:fldChar w:fldCharType="separate"/>
    </w:r>
    <w:r w:rsidR="00506F36">
      <w:rPr>
        <w:rStyle w:val="Paginanummer"/>
        <w:rFonts w:ascii="Calibri" w:hAnsi="Calibri"/>
        <w:noProof/>
      </w:rPr>
      <w:t>1</w:t>
    </w:r>
    <w:r w:rsidRPr="00800E94">
      <w:rPr>
        <w:rStyle w:val="Paginanummer"/>
        <w:rFonts w:ascii="Calibri" w:hAnsi="Calibri"/>
      </w:rPr>
      <w:fldChar w:fldCharType="end"/>
    </w:r>
  </w:p>
  <w:p w:rsidR="000A062B" w:rsidRPr="00535F55" w:rsidRDefault="004D6141" w:rsidP="00535F55">
    <w:pPr>
      <w:pStyle w:val="Voettekst"/>
      <w:tabs>
        <w:tab w:val="left" w:pos="900"/>
      </w:tabs>
      <w:ind w:right="360"/>
      <w:rPr>
        <w:rFonts w:ascii="Calibri" w:hAnsi="Calibri" w:cs="Arial"/>
        <w:sz w:val="16"/>
        <w:szCs w:val="16"/>
      </w:rPr>
    </w:pPr>
    <w:r w:rsidRPr="00535F55">
      <w:rPr>
        <w:rFonts w:ascii="Calibri" w:hAnsi="Calibri"/>
        <w:noProof/>
      </w:rPr>
      <w:drawing>
        <wp:anchor distT="0" distB="0" distL="114300" distR="114300" simplePos="0" relativeHeight="251657728" behindDoc="1" locked="0" layoutInCell="1" allowOverlap="1">
          <wp:simplePos x="0" y="0"/>
          <wp:positionH relativeFrom="column">
            <wp:posOffset>2737485</wp:posOffset>
          </wp:positionH>
          <wp:positionV relativeFrom="paragraph">
            <wp:posOffset>-21590</wp:posOffset>
          </wp:positionV>
          <wp:extent cx="400050" cy="400050"/>
          <wp:effectExtent l="0" t="0" r="0" b="0"/>
          <wp:wrapNone/>
          <wp:docPr id="3" name="Afbeelding 3" descr="NVvR-logo-schil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VvR-logo-schild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62B" w:rsidRPr="0083295E" w:rsidRDefault="000A062B">
    <w:pPr>
      <w:pStyle w:val="Voettekst"/>
      <w:rPr>
        <w:rFonts w:ascii="Calibri" w:hAnsi="Calibri"/>
        <w:color w:val="999999"/>
        <w:sz w:val="16"/>
        <w:szCs w:val="16"/>
      </w:rPr>
    </w:pPr>
    <w:r w:rsidRPr="0083295E">
      <w:rPr>
        <w:rFonts w:ascii="Calibri" w:hAnsi="Calibri"/>
        <w:color w:val="999999"/>
        <w:sz w:val="16"/>
        <w:szCs w:val="16"/>
      </w:rPr>
      <w:fldChar w:fldCharType="begin"/>
    </w:r>
    <w:r w:rsidRPr="0083295E">
      <w:rPr>
        <w:rFonts w:ascii="Calibri" w:hAnsi="Calibri"/>
        <w:color w:val="999999"/>
        <w:sz w:val="16"/>
        <w:szCs w:val="16"/>
      </w:rPr>
      <w:instrText xml:space="preserve"> FILENAME </w:instrText>
    </w:r>
    <w:r w:rsidRPr="0083295E">
      <w:rPr>
        <w:rFonts w:ascii="Calibri" w:hAnsi="Calibri"/>
        <w:color w:val="999999"/>
        <w:sz w:val="16"/>
        <w:szCs w:val="16"/>
      </w:rPr>
      <w:fldChar w:fldCharType="separate"/>
    </w:r>
    <w:r w:rsidR="00506F36">
      <w:rPr>
        <w:rFonts w:ascii="Calibri" w:hAnsi="Calibri"/>
        <w:noProof/>
        <w:color w:val="999999"/>
        <w:sz w:val="16"/>
        <w:szCs w:val="16"/>
      </w:rPr>
      <w:t>position paper bestuursrechtspraak_def</w:t>
    </w:r>
    <w:r w:rsidRPr="0083295E">
      <w:rPr>
        <w:rFonts w:ascii="Calibri" w:hAnsi="Calibri"/>
        <w:color w:val="999999"/>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434" w:rsidRDefault="00E24434">
      <w:r>
        <w:separator/>
      </w:r>
    </w:p>
  </w:footnote>
  <w:footnote w:type="continuationSeparator" w:id="0">
    <w:p w:rsidR="00E24434" w:rsidRDefault="00E24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042A"/>
    <w:multiLevelType w:val="hybridMultilevel"/>
    <w:tmpl w:val="E87C96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1657C"/>
    <w:multiLevelType w:val="multilevel"/>
    <w:tmpl w:val="536A83E6"/>
    <w:lvl w:ilvl="0">
      <w:start w:val="1"/>
      <w:numFmt w:val="decimal"/>
      <w:lvlText w:val="%1."/>
      <w:lvlJc w:val="left"/>
      <w:pPr>
        <w:tabs>
          <w:tab w:val="num" w:pos="1134"/>
        </w:tabs>
        <w:ind w:left="1134" w:hanging="1134"/>
      </w:pPr>
      <w:rPr>
        <w:rFonts w:ascii="Arial" w:hAnsi="Arial" w:hint="default"/>
        <w:b/>
        <w:i w:val="0"/>
        <w:w w:val="100"/>
        <w:sz w:val="22"/>
        <w:szCs w:val="22"/>
      </w:rPr>
    </w:lvl>
    <w:lvl w:ilvl="1">
      <w:start w:val="1"/>
      <w:numFmt w:val="decimal"/>
      <w:lvlText w:val="%1.%2"/>
      <w:lvlJc w:val="left"/>
      <w:pPr>
        <w:tabs>
          <w:tab w:val="num" w:pos="1134"/>
        </w:tabs>
        <w:ind w:left="1134" w:hanging="1134"/>
      </w:pPr>
      <w:rPr>
        <w:rFonts w:ascii="Arial" w:hAnsi="Arial" w:hint="default"/>
        <w:b/>
        <w:i w:val="0"/>
        <w:sz w:val="22"/>
        <w:szCs w:val="22"/>
      </w:rPr>
    </w:lvl>
    <w:lvl w:ilvl="2">
      <w:start w:val="1"/>
      <w:numFmt w:val="decimal"/>
      <w:lvlText w:val="%1.%2.%3."/>
      <w:lvlJc w:val="left"/>
      <w:pPr>
        <w:tabs>
          <w:tab w:val="num" w:pos="1134"/>
        </w:tabs>
        <w:ind w:left="2835" w:hanging="1701"/>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4652D34"/>
    <w:multiLevelType w:val="hybridMultilevel"/>
    <w:tmpl w:val="DFFC4DA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D40F0"/>
    <w:multiLevelType w:val="hybridMultilevel"/>
    <w:tmpl w:val="D714C9B8"/>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9515BF2"/>
    <w:multiLevelType w:val="multilevel"/>
    <w:tmpl w:val="C186E522"/>
    <w:lvl w:ilvl="0">
      <w:start w:val="1"/>
      <w:numFmt w:val="decimal"/>
      <w:lvlText w:val="%1."/>
      <w:lvlJc w:val="left"/>
      <w:pPr>
        <w:tabs>
          <w:tab w:val="num" w:pos="360"/>
        </w:tabs>
        <w:ind w:left="360" w:hanging="360"/>
      </w:pPr>
      <w:rPr>
        <w:rFonts w:hint="default"/>
        <w:b w:val="0"/>
        <w:i w:val="0"/>
        <w:w w:val="100"/>
        <w:sz w:val="20"/>
        <w:szCs w:val="20"/>
      </w:rPr>
    </w:lvl>
    <w:lvl w:ilvl="1">
      <w:start w:val="1"/>
      <w:numFmt w:val="decimal"/>
      <w:lvlText w:val="%1.%2"/>
      <w:lvlJc w:val="left"/>
      <w:pPr>
        <w:tabs>
          <w:tab w:val="num" w:pos="1134"/>
        </w:tabs>
        <w:ind w:left="1134" w:hanging="1134"/>
      </w:pPr>
      <w:rPr>
        <w:rFonts w:ascii="Arial" w:hAnsi="Arial" w:hint="default"/>
        <w:b/>
        <w:i w:val="0"/>
        <w:sz w:val="22"/>
        <w:szCs w:val="22"/>
      </w:rPr>
    </w:lvl>
    <w:lvl w:ilvl="2">
      <w:start w:val="1"/>
      <w:numFmt w:val="decimal"/>
      <w:lvlText w:val="%1.%2.%3."/>
      <w:lvlJc w:val="left"/>
      <w:pPr>
        <w:tabs>
          <w:tab w:val="num" w:pos="1440"/>
        </w:tabs>
        <w:ind w:left="3062" w:hanging="1644"/>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F11EA8"/>
    <w:multiLevelType w:val="hybridMultilevel"/>
    <w:tmpl w:val="A86CC8A6"/>
    <w:lvl w:ilvl="0" w:tplc="3514BC0A">
      <w:start w:val="1"/>
      <w:numFmt w:val="bullet"/>
      <w:lvlText w:val=""/>
      <w:lvlJc w:val="left"/>
      <w:pPr>
        <w:tabs>
          <w:tab w:val="num" w:pos="720"/>
        </w:tabs>
        <w:ind w:left="720" w:hanging="36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206C3"/>
    <w:multiLevelType w:val="multilevel"/>
    <w:tmpl w:val="A65EF592"/>
    <w:lvl w:ilvl="0">
      <w:start w:val="1"/>
      <w:numFmt w:val="decimal"/>
      <w:lvlText w:val="%1"/>
      <w:lvlJc w:val="left"/>
      <w:pPr>
        <w:tabs>
          <w:tab w:val="num" w:pos="1134"/>
        </w:tabs>
        <w:ind w:left="1134" w:hanging="1134"/>
      </w:pPr>
      <w:rPr>
        <w:rFonts w:ascii="Arial" w:hAnsi="Arial" w:hint="default"/>
        <w:b/>
        <w:i w:val="0"/>
        <w:w w:val="100"/>
        <w:sz w:val="20"/>
        <w:szCs w:val="20"/>
      </w:rPr>
    </w:lvl>
    <w:lvl w:ilvl="1">
      <w:start w:val="1"/>
      <w:numFmt w:val="decimal"/>
      <w:lvlText w:val="%1.%2"/>
      <w:lvlJc w:val="left"/>
      <w:pPr>
        <w:tabs>
          <w:tab w:val="num" w:pos="1134"/>
        </w:tabs>
        <w:ind w:left="1134" w:hanging="1134"/>
      </w:pPr>
      <w:rPr>
        <w:rFonts w:ascii="Arial" w:hAnsi="Arial" w:hint="default"/>
        <w:b/>
        <w:i w:val="0"/>
        <w:sz w:val="22"/>
        <w:szCs w:val="22"/>
      </w:rPr>
    </w:lvl>
    <w:lvl w:ilvl="2">
      <w:start w:val="1"/>
      <w:numFmt w:val="decimal"/>
      <w:lvlText w:val="%1.%2.%3."/>
      <w:lvlJc w:val="left"/>
      <w:pPr>
        <w:tabs>
          <w:tab w:val="num" w:pos="1440"/>
        </w:tabs>
        <w:ind w:left="3062" w:hanging="1644"/>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CF6E0E"/>
    <w:multiLevelType w:val="multilevel"/>
    <w:tmpl w:val="A58093D2"/>
    <w:lvl w:ilvl="0">
      <w:start w:val="1"/>
      <w:numFmt w:val="decimal"/>
      <w:lvlText w:val="%1."/>
      <w:lvlJc w:val="left"/>
      <w:pPr>
        <w:tabs>
          <w:tab w:val="num" w:pos="567"/>
        </w:tabs>
        <w:ind w:left="567" w:hanging="567"/>
      </w:pPr>
      <w:rPr>
        <w:rFonts w:ascii="Arial" w:hAnsi="Arial" w:hint="default"/>
        <w:b/>
        <w:i w:val="0"/>
        <w:w w:val="100"/>
        <w:sz w:val="22"/>
        <w:szCs w:val="22"/>
      </w:rPr>
    </w:lvl>
    <w:lvl w:ilvl="1">
      <w:start w:val="1"/>
      <w:numFmt w:val="decimal"/>
      <w:lvlText w:val="%1.%2"/>
      <w:lvlJc w:val="left"/>
      <w:pPr>
        <w:tabs>
          <w:tab w:val="num" w:pos="1134"/>
        </w:tabs>
        <w:ind w:left="1134" w:hanging="1134"/>
      </w:pPr>
      <w:rPr>
        <w:rFonts w:ascii="Arial" w:hAnsi="Arial" w:hint="default"/>
        <w:b/>
        <w:i w:val="0"/>
        <w:sz w:val="18"/>
        <w:szCs w:val="18"/>
      </w:rPr>
    </w:lvl>
    <w:lvl w:ilvl="2">
      <w:start w:val="1"/>
      <w:numFmt w:val="decimal"/>
      <w:lvlText w:val="%1.%2.%3."/>
      <w:lvlJc w:val="left"/>
      <w:pPr>
        <w:tabs>
          <w:tab w:val="num" w:pos="1134"/>
        </w:tabs>
        <w:ind w:left="2835" w:hanging="1701"/>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1560A59"/>
    <w:multiLevelType w:val="multilevel"/>
    <w:tmpl w:val="3DE0478A"/>
    <w:lvl w:ilvl="0">
      <w:start w:val="1"/>
      <w:numFmt w:val="decimal"/>
      <w:lvlText w:val="%1."/>
      <w:lvlJc w:val="left"/>
      <w:pPr>
        <w:tabs>
          <w:tab w:val="num" w:pos="1134"/>
        </w:tabs>
        <w:ind w:left="1134" w:hanging="1134"/>
      </w:pPr>
      <w:rPr>
        <w:rFonts w:ascii="Arial" w:hAnsi="Arial" w:hint="default"/>
        <w:b/>
        <w:i w:val="0"/>
        <w:w w:val="100"/>
        <w:sz w:val="22"/>
        <w:szCs w:val="22"/>
      </w:rPr>
    </w:lvl>
    <w:lvl w:ilvl="1">
      <w:start w:val="1"/>
      <w:numFmt w:val="decimal"/>
      <w:lvlText w:val="%1.%2"/>
      <w:lvlJc w:val="left"/>
      <w:pPr>
        <w:tabs>
          <w:tab w:val="num" w:pos="1134"/>
        </w:tabs>
        <w:ind w:left="1134" w:hanging="1134"/>
      </w:pPr>
      <w:rPr>
        <w:rFonts w:ascii="Arial" w:hAnsi="Arial" w:hint="default"/>
        <w:b/>
        <w:i w:val="0"/>
        <w:sz w:val="18"/>
        <w:szCs w:val="18"/>
      </w:rPr>
    </w:lvl>
    <w:lvl w:ilvl="2">
      <w:start w:val="1"/>
      <w:numFmt w:val="decimal"/>
      <w:lvlText w:val="%1.%2.%3."/>
      <w:lvlJc w:val="left"/>
      <w:pPr>
        <w:tabs>
          <w:tab w:val="num" w:pos="1134"/>
        </w:tabs>
        <w:ind w:left="2835" w:hanging="1701"/>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2A141FA"/>
    <w:multiLevelType w:val="multilevel"/>
    <w:tmpl w:val="45AE72CC"/>
    <w:lvl w:ilvl="0">
      <w:start w:val="1"/>
      <w:numFmt w:val="decimal"/>
      <w:lvlText w:val="%1."/>
      <w:lvlJc w:val="left"/>
      <w:pPr>
        <w:tabs>
          <w:tab w:val="num" w:pos="360"/>
        </w:tabs>
        <w:ind w:left="360" w:hanging="360"/>
      </w:pPr>
      <w:rPr>
        <w:rFonts w:ascii="Calibri" w:hAnsi="Calibri" w:hint="default"/>
      </w:rPr>
    </w:lvl>
    <w:lvl w:ilvl="1">
      <w:start w:val="1"/>
      <w:numFmt w:val="decimal"/>
      <w:lvlText w:val="%1.%2."/>
      <w:lvlJc w:val="left"/>
      <w:pPr>
        <w:tabs>
          <w:tab w:val="num" w:pos="792"/>
        </w:tabs>
        <w:ind w:left="792" w:hanging="432"/>
      </w:pPr>
      <w:rPr>
        <w:rFonts w:ascii="Calibri" w:hAnsi="Calibri" w:hint="default"/>
      </w:rPr>
    </w:lvl>
    <w:lvl w:ilvl="2">
      <w:start w:val="1"/>
      <w:numFmt w:val="decimal"/>
      <w:lvlText w:val="%1.%2.%3."/>
      <w:lvlJc w:val="left"/>
      <w:pPr>
        <w:tabs>
          <w:tab w:val="num" w:pos="1440"/>
        </w:tabs>
        <w:ind w:left="1224" w:hanging="504"/>
      </w:pPr>
      <w:rPr>
        <w:rFonts w:ascii="Calibri" w:hAnsi="Calibri"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01E35C1"/>
    <w:multiLevelType w:val="hybridMultilevel"/>
    <w:tmpl w:val="D7F0D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603A3E"/>
    <w:multiLevelType w:val="hybridMultilevel"/>
    <w:tmpl w:val="18F0F88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B00D9"/>
    <w:multiLevelType w:val="multilevel"/>
    <w:tmpl w:val="D4BE1AEC"/>
    <w:lvl w:ilvl="0">
      <w:start w:val="1"/>
      <w:numFmt w:val="decimal"/>
      <w:lvlText w:val="%1."/>
      <w:lvlJc w:val="left"/>
      <w:pPr>
        <w:tabs>
          <w:tab w:val="num" w:pos="567"/>
        </w:tabs>
        <w:ind w:left="567" w:hanging="567"/>
      </w:pPr>
      <w:rPr>
        <w:rFonts w:ascii="Gill Sans MT" w:hAnsi="Gill Sans MT" w:hint="default"/>
        <w:b/>
        <w:i w:val="0"/>
        <w:w w:val="100"/>
        <w:sz w:val="22"/>
        <w:szCs w:val="22"/>
      </w:rPr>
    </w:lvl>
    <w:lvl w:ilvl="1">
      <w:start w:val="1"/>
      <w:numFmt w:val="decimal"/>
      <w:lvlText w:val="%1.%2"/>
      <w:lvlJc w:val="left"/>
      <w:pPr>
        <w:tabs>
          <w:tab w:val="num" w:pos="1134"/>
        </w:tabs>
        <w:ind w:left="1134" w:hanging="1134"/>
      </w:pPr>
      <w:rPr>
        <w:rFonts w:ascii="Arial" w:hAnsi="Arial" w:hint="default"/>
        <w:b/>
        <w:i w:val="0"/>
        <w:sz w:val="18"/>
        <w:szCs w:val="18"/>
      </w:rPr>
    </w:lvl>
    <w:lvl w:ilvl="2">
      <w:start w:val="1"/>
      <w:numFmt w:val="decimal"/>
      <w:lvlText w:val="%1.%2.%3."/>
      <w:lvlJc w:val="left"/>
      <w:pPr>
        <w:tabs>
          <w:tab w:val="num" w:pos="1134"/>
        </w:tabs>
        <w:ind w:left="2835" w:hanging="1701"/>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BA5441"/>
    <w:multiLevelType w:val="multilevel"/>
    <w:tmpl w:val="41E0B7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574966"/>
    <w:multiLevelType w:val="multilevel"/>
    <w:tmpl w:val="A65EF592"/>
    <w:lvl w:ilvl="0">
      <w:start w:val="1"/>
      <w:numFmt w:val="decimal"/>
      <w:lvlText w:val="%1"/>
      <w:lvlJc w:val="left"/>
      <w:pPr>
        <w:tabs>
          <w:tab w:val="num" w:pos="1134"/>
        </w:tabs>
        <w:ind w:left="1134" w:hanging="1134"/>
      </w:pPr>
      <w:rPr>
        <w:rFonts w:ascii="Arial" w:hAnsi="Arial" w:hint="default"/>
        <w:b/>
        <w:i w:val="0"/>
        <w:w w:val="100"/>
        <w:sz w:val="20"/>
        <w:szCs w:val="20"/>
      </w:rPr>
    </w:lvl>
    <w:lvl w:ilvl="1">
      <w:start w:val="1"/>
      <w:numFmt w:val="decimal"/>
      <w:lvlText w:val="%1.%2"/>
      <w:lvlJc w:val="left"/>
      <w:pPr>
        <w:tabs>
          <w:tab w:val="num" w:pos="1134"/>
        </w:tabs>
        <w:ind w:left="1134" w:hanging="1134"/>
      </w:pPr>
      <w:rPr>
        <w:rFonts w:ascii="Arial" w:hAnsi="Arial" w:hint="default"/>
        <w:b/>
        <w:i w:val="0"/>
        <w:sz w:val="22"/>
        <w:szCs w:val="22"/>
      </w:rPr>
    </w:lvl>
    <w:lvl w:ilvl="2">
      <w:start w:val="1"/>
      <w:numFmt w:val="decimal"/>
      <w:lvlText w:val="%1.%2.%3."/>
      <w:lvlJc w:val="left"/>
      <w:pPr>
        <w:tabs>
          <w:tab w:val="num" w:pos="1440"/>
        </w:tabs>
        <w:ind w:left="3062" w:hanging="1644"/>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28E787E"/>
    <w:multiLevelType w:val="hybridMultilevel"/>
    <w:tmpl w:val="C2D85378"/>
    <w:lvl w:ilvl="0" w:tplc="EE98CF6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D963EA"/>
    <w:multiLevelType w:val="multilevel"/>
    <w:tmpl w:val="45AE72CC"/>
    <w:lvl w:ilvl="0">
      <w:start w:val="1"/>
      <w:numFmt w:val="decimal"/>
      <w:lvlText w:val="%1."/>
      <w:lvlJc w:val="left"/>
      <w:pPr>
        <w:tabs>
          <w:tab w:val="num" w:pos="360"/>
        </w:tabs>
        <w:ind w:left="360" w:hanging="360"/>
      </w:pPr>
      <w:rPr>
        <w:rFonts w:ascii="Calibri" w:hAnsi="Calibri" w:hint="default"/>
      </w:rPr>
    </w:lvl>
    <w:lvl w:ilvl="1">
      <w:start w:val="1"/>
      <w:numFmt w:val="decimal"/>
      <w:lvlText w:val="%1.%2."/>
      <w:lvlJc w:val="left"/>
      <w:pPr>
        <w:tabs>
          <w:tab w:val="num" w:pos="792"/>
        </w:tabs>
        <w:ind w:left="792" w:hanging="432"/>
      </w:pPr>
      <w:rPr>
        <w:rFonts w:ascii="Calibri" w:hAnsi="Calibri" w:hint="default"/>
      </w:rPr>
    </w:lvl>
    <w:lvl w:ilvl="2">
      <w:start w:val="1"/>
      <w:numFmt w:val="decimal"/>
      <w:lvlText w:val="%1.%2.%3."/>
      <w:lvlJc w:val="left"/>
      <w:pPr>
        <w:tabs>
          <w:tab w:val="num" w:pos="1440"/>
        </w:tabs>
        <w:ind w:left="1224" w:hanging="504"/>
      </w:pPr>
      <w:rPr>
        <w:rFonts w:ascii="Calibri" w:hAnsi="Calibri"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7316062"/>
    <w:multiLevelType w:val="multilevel"/>
    <w:tmpl w:val="7C66D396"/>
    <w:lvl w:ilvl="0">
      <w:start w:val="1"/>
      <w:numFmt w:val="decimal"/>
      <w:lvlText w:val="%1."/>
      <w:lvlJc w:val="left"/>
      <w:pPr>
        <w:tabs>
          <w:tab w:val="num" w:pos="567"/>
        </w:tabs>
        <w:ind w:left="567" w:hanging="567"/>
      </w:pPr>
      <w:rPr>
        <w:rFonts w:ascii="Gill Sans MT" w:hAnsi="Gill Sans MT" w:hint="default"/>
        <w:b/>
        <w:i w:val="0"/>
        <w:w w:val="100"/>
        <w:sz w:val="22"/>
        <w:szCs w:val="22"/>
      </w:rPr>
    </w:lvl>
    <w:lvl w:ilvl="1">
      <w:start w:val="1"/>
      <w:numFmt w:val="decimal"/>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1134"/>
        </w:tabs>
        <w:ind w:left="2835" w:hanging="1701"/>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CBC0ADA"/>
    <w:multiLevelType w:val="multilevel"/>
    <w:tmpl w:val="77346554"/>
    <w:lvl w:ilvl="0">
      <w:start w:val="1"/>
      <w:numFmt w:val="decimal"/>
      <w:lvlText w:val="%1."/>
      <w:lvlJc w:val="left"/>
      <w:pPr>
        <w:tabs>
          <w:tab w:val="num" w:pos="1134"/>
        </w:tabs>
        <w:ind w:left="1134" w:hanging="1134"/>
      </w:pPr>
      <w:rPr>
        <w:rFonts w:ascii="Arial" w:hAnsi="Arial" w:hint="default"/>
        <w:b/>
        <w:i w:val="0"/>
        <w:w w:val="100"/>
        <w:sz w:val="22"/>
        <w:szCs w:val="22"/>
      </w:rPr>
    </w:lvl>
    <w:lvl w:ilvl="1">
      <w:start w:val="1"/>
      <w:numFmt w:val="decimal"/>
      <w:lvlText w:val="%1.%2"/>
      <w:lvlJc w:val="left"/>
      <w:pPr>
        <w:tabs>
          <w:tab w:val="num" w:pos="1134"/>
        </w:tabs>
        <w:ind w:left="1134" w:hanging="1134"/>
      </w:pPr>
      <w:rPr>
        <w:rFonts w:ascii="Arial" w:hAnsi="Arial" w:hint="default"/>
        <w:b/>
        <w:i w:val="0"/>
        <w:sz w:val="22"/>
        <w:szCs w:val="22"/>
      </w:rPr>
    </w:lvl>
    <w:lvl w:ilvl="2">
      <w:start w:val="1"/>
      <w:numFmt w:val="decimal"/>
      <w:lvlText w:val="%1.%2.%3."/>
      <w:lvlJc w:val="left"/>
      <w:pPr>
        <w:tabs>
          <w:tab w:val="num" w:pos="1134"/>
        </w:tabs>
        <w:ind w:left="2835" w:hanging="1701"/>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EC06CAA"/>
    <w:multiLevelType w:val="multilevel"/>
    <w:tmpl w:val="FDECCC78"/>
    <w:lvl w:ilvl="0">
      <w:start w:val="1"/>
      <w:numFmt w:val="decimal"/>
      <w:lvlText w:val="%1"/>
      <w:lvlJc w:val="left"/>
      <w:pPr>
        <w:tabs>
          <w:tab w:val="num" w:pos="567"/>
        </w:tabs>
        <w:ind w:left="567" w:hanging="567"/>
      </w:pPr>
      <w:rPr>
        <w:rFonts w:ascii="Arial" w:hAnsi="Arial" w:hint="default"/>
        <w:b/>
        <w:i w:val="0"/>
        <w:w w:val="100"/>
        <w:sz w:val="22"/>
        <w:szCs w:val="22"/>
      </w:rPr>
    </w:lvl>
    <w:lvl w:ilvl="1">
      <w:start w:val="1"/>
      <w:numFmt w:val="decimal"/>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1134"/>
        </w:tabs>
        <w:ind w:left="2835" w:hanging="1701"/>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86E4ACD"/>
    <w:multiLevelType w:val="multilevel"/>
    <w:tmpl w:val="45AE72CC"/>
    <w:lvl w:ilvl="0">
      <w:start w:val="1"/>
      <w:numFmt w:val="decimal"/>
      <w:lvlText w:val="%1."/>
      <w:lvlJc w:val="left"/>
      <w:pPr>
        <w:tabs>
          <w:tab w:val="num" w:pos="360"/>
        </w:tabs>
        <w:ind w:left="360" w:hanging="360"/>
      </w:pPr>
      <w:rPr>
        <w:rFonts w:ascii="Calibri" w:hAnsi="Calibri" w:hint="default"/>
      </w:rPr>
    </w:lvl>
    <w:lvl w:ilvl="1">
      <w:start w:val="1"/>
      <w:numFmt w:val="decimal"/>
      <w:lvlText w:val="%1.%2."/>
      <w:lvlJc w:val="left"/>
      <w:pPr>
        <w:tabs>
          <w:tab w:val="num" w:pos="792"/>
        </w:tabs>
        <w:ind w:left="792" w:hanging="432"/>
      </w:pPr>
      <w:rPr>
        <w:rFonts w:ascii="Calibri" w:hAnsi="Calibri" w:hint="default"/>
      </w:rPr>
    </w:lvl>
    <w:lvl w:ilvl="2">
      <w:start w:val="1"/>
      <w:numFmt w:val="decimal"/>
      <w:lvlText w:val="%1.%2.%3."/>
      <w:lvlJc w:val="left"/>
      <w:pPr>
        <w:tabs>
          <w:tab w:val="num" w:pos="1440"/>
        </w:tabs>
        <w:ind w:left="1224" w:hanging="504"/>
      </w:pPr>
      <w:rPr>
        <w:rFonts w:ascii="Calibri" w:hAnsi="Calibri"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C556FD6"/>
    <w:multiLevelType w:val="multilevel"/>
    <w:tmpl w:val="45AE72CC"/>
    <w:lvl w:ilvl="0">
      <w:start w:val="1"/>
      <w:numFmt w:val="decimal"/>
      <w:lvlText w:val="%1."/>
      <w:lvlJc w:val="left"/>
      <w:pPr>
        <w:tabs>
          <w:tab w:val="num" w:pos="360"/>
        </w:tabs>
        <w:ind w:left="360" w:hanging="360"/>
      </w:pPr>
      <w:rPr>
        <w:rFonts w:ascii="Calibri" w:hAnsi="Calibri" w:hint="default"/>
      </w:rPr>
    </w:lvl>
    <w:lvl w:ilvl="1">
      <w:start w:val="1"/>
      <w:numFmt w:val="decimal"/>
      <w:lvlText w:val="%1.%2."/>
      <w:lvlJc w:val="left"/>
      <w:pPr>
        <w:tabs>
          <w:tab w:val="num" w:pos="792"/>
        </w:tabs>
        <w:ind w:left="792" w:hanging="432"/>
      </w:pPr>
      <w:rPr>
        <w:rFonts w:ascii="Calibri" w:hAnsi="Calibri" w:hint="default"/>
      </w:rPr>
    </w:lvl>
    <w:lvl w:ilvl="2">
      <w:start w:val="1"/>
      <w:numFmt w:val="decimal"/>
      <w:lvlText w:val="%1.%2.%3."/>
      <w:lvlJc w:val="left"/>
      <w:pPr>
        <w:tabs>
          <w:tab w:val="num" w:pos="1440"/>
        </w:tabs>
        <w:ind w:left="1224" w:hanging="504"/>
      </w:pPr>
      <w:rPr>
        <w:rFonts w:ascii="Calibri" w:hAnsi="Calibri"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CCB2331"/>
    <w:multiLevelType w:val="hybridMultilevel"/>
    <w:tmpl w:val="AA5AEC48"/>
    <w:lvl w:ilvl="0" w:tplc="3514BC0A">
      <w:start w:val="1"/>
      <w:numFmt w:val="bullet"/>
      <w:lvlText w:val=""/>
      <w:lvlJc w:val="left"/>
      <w:pPr>
        <w:tabs>
          <w:tab w:val="num" w:pos="720"/>
        </w:tabs>
        <w:ind w:left="720" w:hanging="36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04C6A"/>
    <w:multiLevelType w:val="multilevel"/>
    <w:tmpl w:val="06AEAE4C"/>
    <w:lvl w:ilvl="0">
      <w:start w:val="1"/>
      <w:numFmt w:val="decimal"/>
      <w:lvlText w:val="%1."/>
      <w:lvlJc w:val="left"/>
      <w:pPr>
        <w:tabs>
          <w:tab w:val="num" w:pos="360"/>
        </w:tabs>
        <w:ind w:left="360" w:hanging="360"/>
      </w:pPr>
      <w:rPr>
        <w:rFonts w:hint="default"/>
        <w:b/>
        <w:i w:val="0"/>
        <w:w w:val="100"/>
        <w:sz w:val="20"/>
        <w:szCs w:val="20"/>
      </w:rPr>
    </w:lvl>
    <w:lvl w:ilvl="1">
      <w:start w:val="1"/>
      <w:numFmt w:val="decimal"/>
      <w:lvlText w:val="%1.%2"/>
      <w:lvlJc w:val="left"/>
      <w:pPr>
        <w:tabs>
          <w:tab w:val="num" w:pos="1134"/>
        </w:tabs>
        <w:ind w:left="1134" w:hanging="1134"/>
      </w:pPr>
      <w:rPr>
        <w:rFonts w:ascii="Arial" w:hAnsi="Arial" w:hint="default"/>
        <w:b/>
        <w:i w:val="0"/>
        <w:sz w:val="22"/>
        <w:szCs w:val="22"/>
      </w:rPr>
    </w:lvl>
    <w:lvl w:ilvl="2">
      <w:start w:val="1"/>
      <w:numFmt w:val="decimal"/>
      <w:lvlText w:val="%1.%2.%3."/>
      <w:lvlJc w:val="left"/>
      <w:pPr>
        <w:tabs>
          <w:tab w:val="num" w:pos="1440"/>
        </w:tabs>
        <w:ind w:left="3062" w:hanging="1644"/>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6A359E3"/>
    <w:multiLevelType w:val="multilevel"/>
    <w:tmpl w:val="D4BE1AEC"/>
    <w:lvl w:ilvl="0">
      <w:start w:val="1"/>
      <w:numFmt w:val="decimal"/>
      <w:lvlText w:val="%1."/>
      <w:lvlJc w:val="left"/>
      <w:pPr>
        <w:tabs>
          <w:tab w:val="num" w:pos="567"/>
        </w:tabs>
        <w:ind w:left="567" w:hanging="567"/>
      </w:pPr>
      <w:rPr>
        <w:rFonts w:ascii="Gill Sans MT" w:hAnsi="Gill Sans MT" w:hint="default"/>
        <w:b/>
        <w:i w:val="0"/>
        <w:w w:val="100"/>
        <w:sz w:val="22"/>
        <w:szCs w:val="22"/>
      </w:rPr>
    </w:lvl>
    <w:lvl w:ilvl="1">
      <w:start w:val="1"/>
      <w:numFmt w:val="decimal"/>
      <w:lvlText w:val="%1.%2"/>
      <w:lvlJc w:val="left"/>
      <w:pPr>
        <w:tabs>
          <w:tab w:val="num" w:pos="1134"/>
        </w:tabs>
        <w:ind w:left="1134" w:hanging="1134"/>
      </w:pPr>
      <w:rPr>
        <w:rFonts w:ascii="Arial" w:hAnsi="Arial" w:hint="default"/>
        <w:b/>
        <w:i w:val="0"/>
        <w:sz w:val="18"/>
        <w:szCs w:val="18"/>
      </w:rPr>
    </w:lvl>
    <w:lvl w:ilvl="2">
      <w:start w:val="1"/>
      <w:numFmt w:val="decimal"/>
      <w:lvlText w:val="%1.%2.%3."/>
      <w:lvlJc w:val="left"/>
      <w:pPr>
        <w:tabs>
          <w:tab w:val="num" w:pos="1134"/>
        </w:tabs>
        <w:ind w:left="2835" w:hanging="1701"/>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B711E6F"/>
    <w:multiLevelType w:val="multilevel"/>
    <w:tmpl w:val="FDECCC78"/>
    <w:lvl w:ilvl="0">
      <w:start w:val="1"/>
      <w:numFmt w:val="decimal"/>
      <w:lvlText w:val="%1"/>
      <w:lvlJc w:val="left"/>
      <w:pPr>
        <w:tabs>
          <w:tab w:val="num" w:pos="567"/>
        </w:tabs>
        <w:ind w:left="567" w:hanging="567"/>
      </w:pPr>
      <w:rPr>
        <w:rFonts w:ascii="Arial" w:hAnsi="Arial" w:hint="default"/>
        <w:b/>
        <w:i w:val="0"/>
        <w:w w:val="100"/>
        <w:sz w:val="22"/>
        <w:szCs w:val="22"/>
      </w:rPr>
    </w:lvl>
    <w:lvl w:ilvl="1">
      <w:start w:val="1"/>
      <w:numFmt w:val="decimal"/>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1134"/>
        </w:tabs>
        <w:ind w:left="2835" w:hanging="1701"/>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4860BA3"/>
    <w:multiLevelType w:val="hybridMultilevel"/>
    <w:tmpl w:val="71508E6C"/>
    <w:lvl w:ilvl="0" w:tplc="05840CA8">
      <w:start w:val="123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9E34DBD"/>
    <w:multiLevelType w:val="hybridMultilevel"/>
    <w:tmpl w:val="1046C6E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2F2254"/>
    <w:multiLevelType w:val="hybridMultilevel"/>
    <w:tmpl w:val="C2DAA89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6"/>
  </w:num>
  <w:num w:numId="3">
    <w:abstractNumId w:val="13"/>
  </w:num>
  <w:num w:numId="4">
    <w:abstractNumId w:val="27"/>
  </w:num>
  <w:num w:numId="5">
    <w:abstractNumId w:val="0"/>
  </w:num>
  <w:num w:numId="6">
    <w:abstractNumId w:val="11"/>
  </w:num>
  <w:num w:numId="7">
    <w:abstractNumId w:val="2"/>
  </w:num>
  <w:num w:numId="8">
    <w:abstractNumId w:val="28"/>
  </w:num>
  <w:num w:numId="9">
    <w:abstractNumId w:val="4"/>
  </w:num>
  <w:num w:numId="10">
    <w:abstractNumId w:val="14"/>
  </w:num>
  <w:num w:numId="11">
    <w:abstractNumId w:val="23"/>
  </w:num>
  <w:num w:numId="12">
    <w:abstractNumId w:val="19"/>
  </w:num>
  <w:num w:numId="13">
    <w:abstractNumId w:val="18"/>
  </w:num>
  <w:num w:numId="14">
    <w:abstractNumId w:val="1"/>
  </w:num>
  <w:num w:numId="15">
    <w:abstractNumId w:val="8"/>
  </w:num>
  <w:num w:numId="16">
    <w:abstractNumId w:val="7"/>
  </w:num>
  <w:num w:numId="17">
    <w:abstractNumId w:val="12"/>
  </w:num>
  <w:num w:numId="18">
    <w:abstractNumId w:val="24"/>
  </w:num>
  <w:num w:numId="19">
    <w:abstractNumId w:val="17"/>
  </w:num>
  <w:num w:numId="20">
    <w:abstractNumId w:val="25"/>
  </w:num>
  <w:num w:numId="21">
    <w:abstractNumId w:val="16"/>
  </w:num>
  <w:num w:numId="22">
    <w:abstractNumId w:val="20"/>
  </w:num>
  <w:num w:numId="23">
    <w:abstractNumId w:val="22"/>
  </w:num>
  <w:num w:numId="24">
    <w:abstractNumId w:val="9"/>
  </w:num>
  <w:num w:numId="25">
    <w:abstractNumId w:val="21"/>
  </w:num>
  <w:num w:numId="26">
    <w:abstractNumId w:val="5"/>
  </w:num>
  <w:num w:numId="27">
    <w:abstractNumId w:val="10"/>
  </w:num>
  <w:num w:numId="28">
    <w:abstractNumId w:val="1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50"/>
    <w:rsid w:val="0000012C"/>
    <w:rsid w:val="00036CB2"/>
    <w:rsid w:val="000448AE"/>
    <w:rsid w:val="00076998"/>
    <w:rsid w:val="000A062B"/>
    <w:rsid w:val="000B7DA8"/>
    <w:rsid w:val="000D13A0"/>
    <w:rsid w:val="000D1793"/>
    <w:rsid w:val="00113DA7"/>
    <w:rsid w:val="00180C3D"/>
    <w:rsid w:val="0018398B"/>
    <w:rsid w:val="001B0D84"/>
    <w:rsid w:val="001C4B1F"/>
    <w:rsid w:val="001E4D87"/>
    <w:rsid w:val="0020035A"/>
    <w:rsid w:val="00210C50"/>
    <w:rsid w:val="002148B3"/>
    <w:rsid w:val="00230A14"/>
    <w:rsid w:val="00234A2D"/>
    <w:rsid w:val="00252DF5"/>
    <w:rsid w:val="00253701"/>
    <w:rsid w:val="00255A90"/>
    <w:rsid w:val="00262CA0"/>
    <w:rsid w:val="0026312B"/>
    <w:rsid w:val="00270090"/>
    <w:rsid w:val="00295484"/>
    <w:rsid w:val="002C09C2"/>
    <w:rsid w:val="002C2480"/>
    <w:rsid w:val="002D1939"/>
    <w:rsid w:val="00300999"/>
    <w:rsid w:val="0031120C"/>
    <w:rsid w:val="003240FD"/>
    <w:rsid w:val="00350649"/>
    <w:rsid w:val="00375F65"/>
    <w:rsid w:val="00391CAF"/>
    <w:rsid w:val="00414839"/>
    <w:rsid w:val="00441A01"/>
    <w:rsid w:val="004535C8"/>
    <w:rsid w:val="004801D5"/>
    <w:rsid w:val="00481DAC"/>
    <w:rsid w:val="00482324"/>
    <w:rsid w:val="004C3C9E"/>
    <w:rsid w:val="004D30A5"/>
    <w:rsid w:val="004D6141"/>
    <w:rsid w:val="00501882"/>
    <w:rsid w:val="00506F36"/>
    <w:rsid w:val="00530D8B"/>
    <w:rsid w:val="0053107D"/>
    <w:rsid w:val="00535F55"/>
    <w:rsid w:val="00567917"/>
    <w:rsid w:val="00592635"/>
    <w:rsid w:val="005A622C"/>
    <w:rsid w:val="005D1BC2"/>
    <w:rsid w:val="00620985"/>
    <w:rsid w:val="00622EAC"/>
    <w:rsid w:val="00656F92"/>
    <w:rsid w:val="006904B6"/>
    <w:rsid w:val="006B101D"/>
    <w:rsid w:val="006B2A7B"/>
    <w:rsid w:val="006B361D"/>
    <w:rsid w:val="006C7E92"/>
    <w:rsid w:val="0071745D"/>
    <w:rsid w:val="00724ECA"/>
    <w:rsid w:val="0075096E"/>
    <w:rsid w:val="00765D09"/>
    <w:rsid w:val="00772C32"/>
    <w:rsid w:val="0077479D"/>
    <w:rsid w:val="007E0719"/>
    <w:rsid w:val="007E47C2"/>
    <w:rsid w:val="007E5F6A"/>
    <w:rsid w:val="007F3B0D"/>
    <w:rsid w:val="00800E94"/>
    <w:rsid w:val="0081450B"/>
    <w:rsid w:val="0083295E"/>
    <w:rsid w:val="00836616"/>
    <w:rsid w:val="008523F5"/>
    <w:rsid w:val="00885E7F"/>
    <w:rsid w:val="008D2AC8"/>
    <w:rsid w:val="008E29DF"/>
    <w:rsid w:val="008E2B2F"/>
    <w:rsid w:val="008E2BBD"/>
    <w:rsid w:val="008E2DAA"/>
    <w:rsid w:val="009018A4"/>
    <w:rsid w:val="00983B4E"/>
    <w:rsid w:val="009841AE"/>
    <w:rsid w:val="009A4403"/>
    <w:rsid w:val="009A6914"/>
    <w:rsid w:val="009B614A"/>
    <w:rsid w:val="009C0134"/>
    <w:rsid w:val="009D5995"/>
    <w:rsid w:val="009E2429"/>
    <w:rsid w:val="00A2683C"/>
    <w:rsid w:val="00A307BE"/>
    <w:rsid w:val="00A361BA"/>
    <w:rsid w:val="00A36609"/>
    <w:rsid w:val="00A43488"/>
    <w:rsid w:val="00AA2C26"/>
    <w:rsid w:val="00AE119F"/>
    <w:rsid w:val="00AF171D"/>
    <w:rsid w:val="00AF1F28"/>
    <w:rsid w:val="00AF7731"/>
    <w:rsid w:val="00B322C6"/>
    <w:rsid w:val="00B56749"/>
    <w:rsid w:val="00C07BFF"/>
    <w:rsid w:val="00C4123E"/>
    <w:rsid w:val="00C42E5C"/>
    <w:rsid w:val="00C45A49"/>
    <w:rsid w:val="00C46896"/>
    <w:rsid w:val="00C60F2C"/>
    <w:rsid w:val="00CA2B5C"/>
    <w:rsid w:val="00CD45FF"/>
    <w:rsid w:val="00CE623E"/>
    <w:rsid w:val="00CF0520"/>
    <w:rsid w:val="00CF4674"/>
    <w:rsid w:val="00D00EEB"/>
    <w:rsid w:val="00D334AE"/>
    <w:rsid w:val="00D52E05"/>
    <w:rsid w:val="00D75A51"/>
    <w:rsid w:val="00DA560E"/>
    <w:rsid w:val="00DB000D"/>
    <w:rsid w:val="00DB68A1"/>
    <w:rsid w:val="00E2166A"/>
    <w:rsid w:val="00E24434"/>
    <w:rsid w:val="00E26DF9"/>
    <w:rsid w:val="00E536E4"/>
    <w:rsid w:val="00E5386B"/>
    <w:rsid w:val="00E76B5F"/>
    <w:rsid w:val="00E87A89"/>
    <w:rsid w:val="00E93B1B"/>
    <w:rsid w:val="00EA2B54"/>
    <w:rsid w:val="00EC038C"/>
    <w:rsid w:val="00EE2C54"/>
    <w:rsid w:val="00EE681B"/>
    <w:rsid w:val="00EF1F70"/>
    <w:rsid w:val="00F271AD"/>
    <w:rsid w:val="00F5649C"/>
    <w:rsid w:val="00F7158F"/>
    <w:rsid w:val="00F91ADE"/>
    <w:rsid w:val="00FD3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lack"/>
    </o:shapedefaults>
    <o:shapelayout v:ext="edit">
      <o:idmap v:ext="edit" data="1"/>
    </o:shapelayout>
  </w:shapeDefaults>
  <w:decimalSymbol w:val=","/>
  <w:listSeparator w:val=";"/>
  <w15:chartTrackingRefBased/>
  <w15:docId w15:val="{8A306EA7-67E9-45B7-9F5D-339EC845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E93B1B"/>
    <w:rPr>
      <w:rFonts w:ascii="Tahoma" w:hAnsi="Tahoma" w:cs="Tahoma"/>
      <w:sz w:val="16"/>
      <w:szCs w:val="16"/>
    </w:rPr>
  </w:style>
  <w:style w:type="table" w:styleId="Tabelraster">
    <w:name w:val="Table Grid"/>
    <w:basedOn w:val="Standaardtabel"/>
    <w:rsid w:val="00183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4A2D"/>
    <w:rPr>
      <w:color w:val="0000FF"/>
      <w:u w:val="single"/>
    </w:rPr>
  </w:style>
  <w:style w:type="paragraph" w:styleId="Koptekst">
    <w:name w:val="header"/>
    <w:basedOn w:val="Standaard"/>
    <w:rsid w:val="00EC038C"/>
    <w:pPr>
      <w:tabs>
        <w:tab w:val="center" w:pos="4153"/>
        <w:tab w:val="right" w:pos="8306"/>
      </w:tabs>
    </w:pPr>
  </w:style>
  <w:style w:type="paragraph" w:styleId="Voettekst">
    <w:name w:val="footer"/>
    <w:basedOn w:val="Standaard"/>
    <w:rsid w:val="00EC038C"/>
    <w:pPr>
      <w:tabs>
        <w:tab w:val="center" w:pos="4153"/>
        <w:tab w:val="right" w:pos="8306"/>
      </w:tabs>
    </w:pPr>
  </w:style>
  <w:style w:type="character" w:styleId="Paginanummer">
    <w:name w:val="page number"/>
    <w:basedOn w:val="Standaardalinea-lettertype"/>
    <w:rsid w:val="001B0D84"/>
  </w:style>
  <w:style w:type="paragraph" w:styleId="Lijstalinea">
    <w:name w:val="List Paragraph"/>
    <w:basedOn w:val="Standaard"/>
    <w:uiPriority w:val="34"/>
    <w:qFormat/>
    <w:rsid w:val="0077479D"/>
    <w:pPr>
      <w:ind w:left="720"/>
      <w:contextualSpacing/>
    </w:pPr>
  </w:style>
  <w:style w:type="paragraph" w:styleId="Voetnoottekst">
    <w:name w:val="footnote text"/>
    <w:basedOn w:val="Standaard"/>
    <w:link w:val="VoetnoottekstChar"/>
    <w:rsid w:val="0077479D"/>
  </w:style>
  <w:style w:type="character" w:customStyle="1" w:styleId="VoetnoottekstChar">
    <w:name w:val="Voetnoottekst Char"/>
    <w:basedOn w:val="Standaardalinea-lettertype"/>
    <w:link w:val="Voetnoottekst"/>
    <w:rsid w:val="0077479D"/>
    <w:rPr>
      <w:rFonts w:ascii="Arial" w:hAnsi="Arial"/>
    </w:rPr>
  </w:style>
  <w:style w:type="character" w:styleId="Voetnootmarkering">
    <w:name w:val="footnote reference"/>
    <w:basedOn w:val="Standaardalinea-lettertype"/>
    <w:rsid w:val="00774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1017</ap:Words>
  <ap:Characters>5725</ap:Characters>
  <ap:DocSecurity>2</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2016-06-07T13:02:00.0000000Z</lastPrinted>
  <dcterms:created xsi:type="dcterms:W3CDTF">2016-06-07T13:04:00.0000000Z</dcterms:created>
  <dcterms:modified xsi:type="dcterms:W3CDTF">2016-06-07T13:04:00.0000000Z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