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D7B" w:rsidP="00180D7B" w:rsidRDefault="00180D7B">
      <w:pPr>
        <w:outlineLvl w:val="0"/>
        <w:rPr>
          <w:rFonts w:ascii="Tahoma" w:hAnsi="Tahoma" w:cs="Tahoma"/>
          <w:sz w:val="20"/>
          <w:szCs w:val="20"/>
          <w:lang w:eastAsia="nl-NL"/>
        </w:rPr>
      </w:pPr>
      <w:bookmarkStart w:name="_GoBack" w:id="0"/>
      <w:bookmarkEnd w:id="0"/>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 juni 2016 11:48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spoed-emailprocedure WGO 34218</w:t>
      </w:r>
    </w:p>
    <w:p w:rsidR="00180D7B" w:rsidP="00180D7B" w:rsidRDefault="00180D7B"/>
    <w:p w:rsidR="00180D7B" w:rsidP="00180D7B" w:rsidRDefault="00180D7B">
      <w:pPr>
        <w:rPr>
          <w:color w:val="1F497D"/>
        </w:rPr>
      </w:pPr>
      <w:r>
        <w:rPr>
          <w:color w:val="1F497D"/>
        </w:rPr>
        <w:t>Dag Dennis,</w:t>
      </w:r>
    </w:p>
    <w:p w:rsidR="00180D7B" w:rsidP="00180D7B" w:rsidRDefault="00180D7B">
      <w:pPr>
        <w:rPr>
          <w:color w:val="1F497D"/>
        </w:rPr>
      </w:pPr>
      <w:r>
        <w:rPr>
          <w:color w:val="1F497D"/>
        </w:rPr>
        <w:t>Deze twee links (verwijzing rechtbank februari en in behandeling zijnde bij Europees Hof) zou je desgewenst kunnen toevoegen aan het verzoek</w:t>
      </w:r>
    </w:p>
    <w:p w:rsidR="00180D7B" w:rsidP="00180D7B" w:rsidRDefault="00180D7B">
      <w:pPr>
        <w:rPr>
          <w:color w:val="1F497D"/>
        </w:rPr>
      </w:pPr>
      <w:r>
        <w:rPr>
          <w:color w:val="1F497D"/>
        </w:rPr>
        <w:t>Groeten Jan-Pieter</w:t>
      </w:r>
    </w:p>
    <w:p w:rsidR="00180D7B" w:rsidP="00180D7B" w:rsidRDefault="00180D7B">
      <w:pPr>
        <w:rPr>
          <w:color w:val="1F497D"/>
        </w:rPr>
      </w:pPr>
    </w:p>
    <w:p w:rsidR="00180D7B" w:rsidP="00180D7B" w:rsidRDefault="00180D7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 juni 2016 11:28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spoed-emailprocedure WGO 34218</w:t>
      </w:r>
    </w:p>
    <w:p w:rsidR="00180D7B" w:rsidP="00180D7B" w:rsidRDefault="00180D7B"/>
    <w:p w:rsidR="00180D7B" w:rsidP="00180D7B" w:rsidRDefault="00180D7B">
      <w:pPr>
        <w:rPr>
          <w:rFonts w:ascii="Times New Roman" w:hAnsi="Times New Roman"/>
          <w:sz w:val="24"/>
          <w:szCs w:val="24"/>
        </w:rPr>
      </w:pPr>
      <w:r>
        <w:rPr>
          <w:rFonts w:ascii="Times New Roman" w:hAnsi="Times New Roman"/>
          <w:sz w:val="24"/>
          <w:szCs w:val="24"/>
        </w:rPr>
        <w:t>Beste griffier,</w:t>
      </w:r>
    </w:p>
    <w:p w:rsidR="00180D7B" w:rsidP="00180D7B" w:rsidRDefault="00180D7B">
      <w:pPr>
        <w:rPr>
          <w:rFonts w:ascii="Times New Roman" w:hAnsi="Times New Roman"/>
          <w:sz w:val="24"/>
          <w:szCs w:val="24"/>
        </w:rPr>
      </w:pPr>
    </w:p>
    <w:p w:rsidR="00180D7B" w:rsidP="00180D7B" w:rsidRDefault="00180D7B">
      <w:pPr>
        <w:rPr>
          <w:rFonts w:ascii="Times New Roman" w:hAnsi="Times New Roman"/>
          <w:sz w:val="24"/>
          <w:szCs w:val="24"/>
        </w:rPr>
      </w:pPr>
      <w:r>
        <w:rPr>
          <w:rFonts w:ascii="Times New Roman" w:hAnsi="Times New Roman"/>
          <w:sz w:val="24"/>
          <w:szCs w:val="24"/>
        </w:rPr>
        <w:t xml:space="preserve">Hieronder een verzoek van Madeleine van Toorenburg tot een spoed-emailprocedure </w:t>
      </w:r>
      <w:proofErr w:type="spellStart"/>
      <w:r>
        <w:rPr>
          <w:rFonts w:ascii="Times New Roman" w:hAnsi="Times New Roman"/>
          <w:sz w:val="24"/>
          <w:szCs w:val="24"/>
        </w:rPr>
        <w:t>mbt</w:t>
      </w:r>
      <w:proofErr w:type="spellEnd"/>
      <w:r>
        <w:rPr>
          <w:rFonts w:ascii="Times New Roman" w:hAnsi="Times New Roman"/>
          <w:sz w:val="24"/>
          <w:szCs w:val="24"/>
        </w:rPr>
        <w:t xml:space="preserve"> de behandeling van de Wet Continuïteit I (34218) tijdens het WGO op 13 juni aanstaande. </w:t>
      </w:r>
    </w:p>
    <w:p w:rsidR="00180D7B" w:rsidP="00180D7B" w:rsidRDefault="00180D7B">
      <w:pPr>
        <w:rPr>
          <w:rFonts w:ascii="Times New Roman" w:hAnsi="Times New Roman"/>
          <w:sz w:val="24"/>
          <w:szCs w:val="24"/>
        </w:rPr>
      </w:pPr>
      <w:r>
        <w:rPr>
          <w:rFonts w:ascii="Times New Roman" w:hAnsi="Times New Roman"/>
          <w:sz w:val="24"/>
          <w:szCs w:val="24"/>
        </w:rPr>
        <w:t>In de PV is besloten om deze wet te agenderen voor het WGO maar onderstaand inhoudelijke punt kwam daarna (logischerwijs) pas op bij de voorbereiding op dit wetgevingsoverleg.</w:t>
      </w:r>
    </w:p>
    <w:p w:rsidR="00180D7B" w:rsidP="00180D7B" w:rsidRDefault="00180D7B">
      <w:pPr>
        <w:rPr>
          <w:rFonts w:ascii="Times New Roman" w:hAnsi="Times New Roman"/>
          <w:sz w:val="24"/>
          <w:szCs w:val="24"/>
        </w:rPr>
      </w:pPr>
    </w:p>
    <w:p w:rsidR="00180D7B" w:rsidP="00180D7B" w:rsidRDefault="00180D7B">
      <w:pPr>
        <w:spacing w:after="240"/>
        <w:rPr>
          <w:rFonts w:ascii="Times New Roman" w:hAnsi="Times New Roman"/>
          <w:sz w:val="24"/>
          <w:szCs w:val="24"/>
        </w:rPr>
      </w:pPr>
      <w:r>
        <w:rPr>
          <w:rFonts w:ascii="Times New Roman" w:hAnsi="Times New Roman"/>
          <w:sz w:val="24"/>
          <w:szCs w:val="24"/>
        </w:rPr>
        <w:t>Madeleine zou deze wet graag van het WGO afhalen, gelet op de prejudiciële vragen die zijn gesteld aan het Hof van Justitie en waarvan de uitkomst van grote impact kan zijn op het voorliggende wetsvoorstel.</w:t>
      </w:r>
      <w:r>
        <w:rPr>
          <w:rFonts w:ascii="Times New Roman" w:hAnsi="Times New Roman"/>
          <w:sz w:val="24"/>
          <w:szCs w:val="24"/>
        </w:rPr>
        <w:br/>
        <w:t>Op het WGO zou dan enkel nog behandeld worden de Implementatiewet richtlijn collectief beheer (34243).</w:t>
      </w:r>
    </w:p>
    <w:p w:rsidR="00180D7B" w:rsidP="00180D7B" w:rsidRDefault="00180D7B">
      <w:pPr>
        <w:rPr>
          <w:rFonts w:ascii="Times New Roman" w:hAnsi="Times New Roman"/>
          <w:sz w:val="24"/>
          <w:szCs w:val="24"/>
        </w:rPr>
      </w:pPr>
      <w:r>
        <w:rPr>
          <w:rFonts w:ascii="Times New Roman" w:hAnsi="Times New Roman"/>
          <w:sz w:val="24"/>
          <w:szCs w:val="24"/>
        </w:rPr>
        <w:t>Zie hieronder een korte inhoudelijke toelichting.</w:t>
      </w:r>
    </w:p>
    <w:p w:rsidR="00180D7B" w:rsidP="00180D7B" w:rsidRDefault="00180D7B">
      <w:pPr>
        <w:rPr>
          <w:color w:val="1F497D"/>
        </w:rPr>
      </w:pPr>
    </w:p>
    <w:p w:rsidR="00180D7B" w:rsidP="00180D7B" w:rsidRDefault="00180D7B">
      <w:pPr>
        <w:rPr>
          <w:color w:val="1F497D"/>
        </w:rPr>
      </w:pPr>
      <w:hyperlink w:history="1" r:id="rId5">
        <w:r>
          <w:rPr>
            <w:rStyle w:val="Hyperlink"/>
          </w:rPr>
          <w:t>http://uitspraken.rechtspraak.nl/inziendocument?id=ECLI:NL:RBMNE:2016:954</w:t>
        </w:r>
      </w:hyperlink>
      <w:r>
        <w:rPr>
          <w:color w:val="1F497D"/>
        </w:rPr>
        <w:t xml:space="preserve"> </w:t>
      </w:r>
    </w:p>
    <w:p w:rsidR="00180D7B" w:rsidP="00180D7B" w:rsidRDefault="00180D7B">
      <w:pPr>
        <w:spacing w:after="240"/>
        <w:rPr>
          <w:color w:val="1F497D"/>
        </w:rPr>
      </w:pPr>
      <w:hyperlink w:history="1" r:id="rId6">
        <w:r>
          <w:rPr>
            <w:rStyle w:val="Hyperlink"/>
          </w:rPr>
          <w:t>http://curia.europa.eu/juris/liste.jsf?pro=&amp;lgrec=nl&amp;nat=or&amp;oqp=&amp;lg=&amp;dates=&amp;language=nl&amp;jur=C%2CT%2CF&amp;cit=none%252CC%252CCJ%252CR%252C2008E%252C%252C%252C%252C%252C%252C%252C%252C%252C%252Ctrue%252Cfalse%252Cfalse&amp;num=C-126%252F16&amp;td=%3BALL&amp;pcs=Oor&amp;avg=&amp;page=1&amp;mat=or&amp;etat=pend&amp;jge=&amp;for=&amp;cid=498280</w:t>
        </w:r>
      </w:hyperlink>
      <w:r>
        <w:rPr>
          <w:color w:val="1F497D"/>
        </w:rPr>
        <w:t xml:space="preserve"> </w:t>
      </w:r>
      <w:r>
        <w:rPr>
          <w:color w:val="1F497D"/>
        </w:rPr>
        <w:br/>
      </w:r>
    </w:p>
    <w:p w:rsidR="00180D7B" w:rsidP="00180D7B" w:rsidRDefault="00180D7B">
      <w:pPr>
        <w:rPr>
          <w:rFonts w:ascii="Times New Roman" w:hAnsi="Times New Roman"/>
          <w:sz w:val="24"/>
          <w:szCs w:val="24"/>
        </w:rPr>
      </w:pPr>
    </w:p>
    <w:p w:rsidR="00180D7B" w:rsidP="00180D7B" w:rsidRDefault="00180D7B">
      <w:pPr>
        <w:rPr>
          <w:rFonts w:ascii="Times New Roman" w:hAnsi="Times New Roman"/>
          <w:sz w:val="24"/>
          <w:szCs w:val="24"/>
        </w:rPr>
      </w:pPr>
      <w:r>
        <w:rPr>
          <w:rFonts w:ascii="Times New Roman" w:hAnsi="Times New Roman"/>
          <w:sz w:val="24"/>
          <w:szCs w:val="24"/>
        </w:rPr>
        <w:t>Met vriendelijke groet,</w:t>
      </w:r>
    </w:p>
    <w:p w:rsidR="00180D7B" w:rsidP="00180D7B" w:rsidRDefault="00180D7B">
      <w:pPr>
        <w:spacing w:after="240"/>
        <w:rPr>
          <w:rFonts w:ascii="Times New Roman" w:hAnsi="Times New Roman"/>
          <w:sz w:val="24"/>
          <w:szCs w:val="24"/>
        </w:rPr>
      </w:pPr>
    </w:p>
    <w:p w:rsidR="00180D7B" w:rsidP="00180D7B" w:rsidRDefault="00180D7B">
      <w:pPr>
        <w:rPr>
          <w:rFonts w:ascii="Times New Roman" w:hAnsi="Times New Roman"/>
          <w:sz w:val="24"/>
          <w:szCs w:val="24"/>
        </w:rPr>
      </w:pPr>
      <w:r>
        <w:rPr>
          <w:rFonts w:ascii="Times New Roman" w:hAnsi="Times New Roman"/>
          <w:sz w:val="24"/>
          <w:szCs w:val="24"/>
        </w:rPr>
        <w:t>Jan-Pieter Dees</w:t>
      </w:r>
    </w:p>
    <w:p w:rsidR="00180D7B" w:rsidP="00180D7B" w:rsidRDefault="00180D7B">
      <w:pPr>
        <w:rPr>
          <w:rFonts w:ascii="Times New Roman" w:hAnsi="Times New Roman"/>
          <w:sz w:val="24"/>
          <w:szCs w:val="24"/>
        </w:rPr>
      </w:pPr>
      <w:r>
        <w:rPr>
          <w:rFonts w:ascii="Times New Roman" w:hAnsi="Times New Roman"/>
          <w:sz w:val="24"/>
          <w:szCs w:val="24"/>
        </w:rPr>
        <w:t>Beleidsmedewerker Justitie</w:t>
      </w:r>
    </w:p>
    <w:p w:rsidR="00180D7B" w:rsidP="00180D7B" w:rsidRDefault="00180D7B">
      <w:pPr>
        <w:rPr>
          <w:rFonts w:ascii="Times New Roman" w:hAnsi="Times New Roman"/>
          <w:sz w:val="24"/>
          <w:szCs w:val="24"/>
        </w:rPr>
      </w:pPr>
      <w:r>
        <w:rPr>
          <w:rFonts w:ascii="Times New Roman" w:hAnsi="Times New Roman"/>
          <w:sz w:val="24"/>
          <w:szCs w:val="24"/>
        </w:rPr>
        <w:t>Tweede Kamerfractie CDA</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7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80D7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0D7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0D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0D7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0D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5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curia.europa.eu/juris/liste.jsf?pro=&amp;lgrec=nl&amp;nat=or&amp;oqp=&amp;lg=&amp;dates=&amp;language=nl&amp;jur=C%2CT%2CF&amp;cit=none%252CC%252CCJ%252CR%252C2008E%252C%252C%252C%252C%252C%252C%252C%252C%252C%252Ctrue%252Cfalse%252Cfalse&amp;num=C-126%252F16&amp;td=%3BALL&amp;pcs=Oor&amp;avg=&amp;page=1&amp;mat=or&amp;etat=pend&amp;jge=&amp;for=&amp;cid=498280" TargetMode="External" Id="rId6" /><Relationship Type="http://schemas.openxmlformats.org/officeDocument/2006/relationships/hyperlink" Target="http://uitspraken.rechtspraak.nl/inziendocument?id=ECLI:NL:RBMNE:2016:954"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1831</ap:Characters>
  <ap:DocSecurity>0</ap:DocSecurity>
  <ap:Lines>15</ap:Lines>
  <ap:Paragraphs>4</ap:Paragraphs>
  <ap:ScaleCrop>false</ap:ScaleCrop>
  <ap:LinksUpToDate>false</ap:LinksUpToDate>
  <ap:CharactersWithSpaces>2012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2016-06-01T12:42:00.0000000Z</dcterms:created>
  <dcterms:modified xsi:type="dcterms:W3CDTF">2016-06-01T12:42:00.0000000Z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0x010100C8F39F09BC6D5542B30FA8368F243B35</vt:lpwstr>
  </property>
</Properties>
</file>