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AC" w:rsidP="00B667AC" w:rsidRDefault="00B667AC">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B667AC" w:rsidP="00B667AC" w:rsidRDefault="00B667AC">
      <w:pPr>
        <w:rPr>
          <w:rFonts w:asciiTheme="minorHAnsi" w:hAnsiTheme="minorHAnsi"/>
          <w:sz w:val="22"/>
          <w:szCs w:val="22"/>
        </w:rPr>
      </w:pPr>
    </w:p>
    <w:p w:rsidRPr="001A05B7" w:rsidR="00B667AC" w:rsidP="00B667AC" w:rsidRDefault="00B667AC">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16  </w:t>
      </w:r>
      <w:r w:rsidRPr="00BF35EE">
        <w:rPr>
          <w:rFonts w:asciiTheme="minorHAnsi" w:hAnsiTheme="minorHAnsi"/>
          <w:sz w:val="22"/>
          <w:szCs w:val="22"/>
          <w:u w:val="single"/>
        </w:rPr>
        <w:t>(</w:t>
      </w:r>
      <w:r>
        <w:rPr>
          <w:rFonts w:asciiTheme="minorHAnsi" w:hAnsiTheme="minorHAnsi"/>
          <w:sz w:val="22"/>
          <w:szCs w:val="22"/>
          <w:u w:val="single"/>
        </w:rPr>
        <w:t>11 april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22 april 2016</w:t>
      </w:r>
      <w:r w:rsidRPr="00BF35EE">
        <w:rPr>
          <w:rFonts w:asciiTheme="minorHAnsi" w:hAnsiTheme="minorHAnsi"/>
          <w:sz w:val="22"/>
          <w:szCs w:val="22"/>
          <w:u w:val="single"/>
        </w:rPr>
        <w:t xml:space="preserve">) d.d. </w:t>
      </w:r>
      <w:r w:rsidR="00142311">
        <w:rPr>
          <w:rFonts w:asciiTheme="minorHAnsi" w:hAnsiTheme="minorHAnsi"/>
          <w:sz w:val="22"/>
          <w:szCs w:val="22"/>
          <w:u w:val="single"/>
        </w:rPr>
        <w:t>26</w:t>
      </w:r>
      <w:r>
        <w:rPr>
          <w:rFonts w:asciiTheme="minorHAnsi" w:hAnsiTheme="minorHAnsi"/>
          <w:sz w:val="22"/>
          <w:szCs w:val="22"/>
          <w:u w:val="single"/>
        </w:rPr>
        <w:t xml:space="preserve"> april 2016.</w:t>
      </w:r>
    </w:p>
    <w:bookmarkEnd w:id="0"/>
    <w:p w:rsidRPr="00F67F5B" w:rsidR="00B667AC" w:rsidP="00B667AC" w:rsidRDefault="00B667AC">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B667AC" w:rsidTr="009E04E4">
        <w:trPr>
          <w:trHeight w:val="1550"/>
        </w:trPr>
        <w:tc>
          <w:tcPr>
            <w:tcW w:w="1433" w:type="dxa"/>
            <w:shd w:val="clear" w:color="auto" w:fill="auto"/>
            <w:textDirection w:val="btLr"/>
            <w:vAlign w:val="bottom"/>
            <w:hideMark/>
          </w:tcPr>
          <w:p w:rsidRPr="00F50A0B" w:rsidR="00B667AC" w:rsidP="009E04E4" w:rsidRDefault="00B667AC">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B667AC" w:rsidP="009E04E4" w:rsidRDefault="00B667AC">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B667AC" w:rsidP="009E04E4" w:rsidRDefault="00B667AC">
            <w:pPr>
              <w:rPr>
                <w:rFonts w:asciiTheme="minorHAnsi" w:hAnsiTheme="minorHAnsi"/>
                <w:b/>
                <w:bCs/>
                <w:color w:val="000000"/>
                <w:sz w:val="22"/>
                <w:szCs w:val="22"/>
              </w:rPr>
            </w:pPr>
          </w:p>
          <w:p w:rsidRPr="00F50A0B" w:rsidR="00B667AC" w:rsidP="009E04E4" w:rsidRDefault="00B667AC">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B667AC" w:rsidP="009E04E4" w:rsidRDefault="00B667AC">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B667AC" w:rsidTr="009E04E4">
        <w:trPr>
          <w:trHeight w:val="300"/>
        </w:trPr>
        <w:tc>
          <w:tcPr>
            <w:tcW w:w="1433" w:type="dxa"/>
            <w:tcBorders>
              <w:bottom w:val="single" w:color="auto" w:sz="4" w:space="0"/>
            </w:tcBorders>
            <w:shd w:val="clear" w:color="000000" w:fill="538DD5"/>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B667AC" w:rsidP="009E04E4" w:rsidRDefault="00B667AC">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B667AC" w:rsidP="009E04E4" w:rsidRDefault="00B667AC">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B667AC" w:rsidP="009E04E4" w:rsidRDefault="00B667AC">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B667AC"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B667AC">
            <w:pPr>
              <w:rPr>
                <w:rFonts w:ascii="Calibri" w:hAnsi="Calibri"/>
                <w:color w:val="000000"/>
                <w:sz w:val="22"/>
                <w:szCs w:val="22"/>
              </w:rPr>
            </w:pPr>
            <w:r>
              <w:rPr>
                <w:rFonts w:ascii="Calibri" w:hAnsi="Calibri"/>
                <w:color w:val="000000"/>
                <w:sz w:val="22"/>
                <w:szCs w:val="22"/>
              </w:rPr>
              <w:t>11-apr-16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B667AC" w:rsidP="009E04E4" w:rsidRDefault="00B667A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B667AC" w:rsidP="009E04E4" w:rsidRDefault="00B667AC">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FFFFFF" w:themeFill="background1"/>
            <w:noWrap/>
          </w:tcPr>
          <w:p w:rsidR="00B667AC" w:rsidP="009E04E4" w:rsidRDefault="00B667AC">
            <w:pPr>
              <w:rPr>
                <w:rFonts w:ascii="Calibri" w:hAnsi="Calibri"/>
                <w:color w:val="000000"/>
                <w:sz w:val="22"/>
                <w:szCs w:val="22"/>
              </w:rPr>
            </w:pPr>
            <w:r w:rsidRPr="00B667AC">
              <w:rPr>
                <w:rFonts w:ascii="Calibri" w:hAnsi="Calibri"/>
                <w:color w:val="000000"/>
                <w:sz w:val="22"/>
                <w:szCs w:val="22"/>
              </w:rPr>
              <w:t>Voorstel voor een VERORDENING VAN DE RAAD tot wijziging van Verordening (EU) nr. 1370/2013 houdende maatregelen tot vaststelling van steun en restituties in het kader van de gemeenschappelijke ordening van de markten voor landbouwproducten, wat de toepasselijke kwantitatieve beperkingen voor de aankoop van boter en magere</w:t>
            </w:r>
            <w:r>
              <w:rPr>
                <w:rFonts w:ascii="Calibri" w:hAnsi="Calibri"/>
                <w:color w:val="000000"/>
                <w:sz w:val="22"/>
                <w:szCs w:val="22"/>
              </w:rPr>
              <w:t xml:space="preserve"> </w:t>
            </w:r>
            <w:r w:rsidRPr="00B667AC">
              <w:rPr>
                <w:rFonts w:ascii="Calibri" w:hAnsi="Calibri"/>
                <w:color w:val="000000"/>
                <w:sz w:val="22"/>
                <w:szCs w:val="22"/>
              </w:rPr>
              <w:t>melkpoeder betreft</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B667AC" w:rsidRDefault="00852725">
            <w:pPr>
              <w:rPr>
                <w:rFonts w:ascii="Calibri" w:hAnsi="Calibri"/>
                <w:color w:val="0000FF"/>
                <w:sz w:val="22"/>
                <w:szCs w:val="22"/>
                <w:u w:val="single"/>
              </w:rPr>
            </w:pPr>
            <w:hyperlink w:history="1" r:id="rId7">
              <w:r w:rsidR="00B667AC">
                <w:rPr>
                  <w:rStyle w:val="Hyperlink"/>
                  <w:rFonts w:ascii="Calibri" w:hAnsi="Calibri"/>
                  <w:sz w:val="22"/>
                  <w:szCs w:val="22"/>
                </w:rPr>
                <w:t>208</w:t>
              </w:r>
            </w:hyperlink>
          </w:p>
          <w:p w:rsidR="00B667AC" w:rsidP="009E04E4" w:rsidRDefault="00B667A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B667AC" w:rsidP="009E04E4" w:rsidRDefault="00B667A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667AC" w:rsidP="009E04E4" w:rsidRDefault="00B667AC">
            <w:pPr>
              <w:rPr>
                <w:rFonts w:ascii="Calibri" w:hAnsi="Calibri"/>
                <w:color w:val="000000"/>
                <w:sz w:val="22"/>
                <w:szCs w:val="22"/>
              </w:rPr>
            </w:pPr>
            <w:r>
              <w:rPr>
                <w:rFonts w:ascii="Calibri" w:hAnsi="Calibri"/>
                <w:color w:val="000000"/>
                <w:sz w:val="22"/>
                <w:szCs w:val="22"/>
              </w:rPr>
              <w:t>De Kamer ontvangt geen BNC-fiche.</w:t>
            </w:r>
            <w:r w:rsidR="00142311">
              <w:rPr>
                <w:rFonts w:ascii="Calibri" w:hAnsi="Calibri"/>
                <w:color w:val="000000"/>
                <w:sz w:val="22"/>
                <w:szCs w:val="22"/>
              </w:rPr>
              <w:t xml:space="preserve"> De Kamer is middels het verslag van de Landbouw</w:t>
            </w:r>
            <w:r w:rsidR="0086523A">
              <w:rPr>
                <w:rFonts w:ascii="Calibri" w:hAnsi="Calibri"/>
                <w:color w:val="000000"/>
                <w:sz w:val="22"/>
                <w:szCs w:val="22"/>
              </w:rPr>
              <w:t>-</w:t>
            </w:r>
            <w:r w:rsidR="00142311">
              <w:rPr>
                <w:rFonts w:ascii="Calibri" w:hAnsi="Calibri"/>
                <w:color w:val="000000"/>
                <w:sz w:val="22"/>
                <w:szCs w:val="22"/>
              </w:rPr>
              <w:t xml:space="preserve"> en Visserijraad van 11 april</w:t>
            </w:r>
            <w:r w:rsidR="0086523A">
              <w:rPr>
                <w:rFonts w:ascii="Calibri" w:hAnsi="Calibri"/>
                <w:color w:val="000000"/>
                <w:sz w:val="22"/>
                <w:szCs w:val="22"/>
              </w:rPr>
              <w:t xml:space="preserve"> 2016</w:t>
            </w:r>
            <w:r w:rsidR="00142311">
              <w:rPr>
                <w:rFonts w:ascii="Calibri" w:hAnsi="Calibri"/>
                <w:color w:val="000000"/>
                <w:sz w:val="22"/>
                <w:szCs w:val="22"/>
              </w:rPr>
              <w:t xml:space="preserve"> over deze verordening geïnformeerd. </w:t>
            </w:r>
            <w:r>
              <w:rPr>
                <w:rFonts w:ascii="Calibri" w:hAnsi="Calibri"/>
                <w:color w:val="000000"/>
                <w:sz w:val="22"/>
                <w:szCs w:val="22"/>
              </w:rPr>
              <w:t xml:space="preserve"> Voorstel: Ter informatie</w:t>
            </w:r>
            <w:r w:rsidR="00142311">
              <w:rPr>
                <w:rFonts w:ascii="Calibri" w:hAnsi="Calibri"/>
                <w:color w:val="000000"/>
                <w:sz w:val="22"/>
                <w:szCs w:val="22"/>
              </w:rPr>
              <w:t>.</w:t>
            </w:r>
          </w:p>
        </w:tc>
      </w:tr>
      <w:tr w:rsidR="009560B4"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560B4" w:rsidP="009E04E4" w:rsidRDefault="009560B4">
            <w:pPr>
              <w:rPr>
                <w:rFonts w:ascii="Calibri" w:hAnsi="Calibri"/>
                <w:color w:val="000000"/>
                <w:sz w:val="22"/>
                <w:szCs w:val="22"/>
              </w:rPr>
            </w:pPr>
            <w:r>
              <w:rPr>
                <w:rFonts w:ascii="Calibri" w:hAnsi="Calibri"/>
                <w:color w:val="000000"/>
                <w:sz w:val="22"/>
                <w:szCs w:val="22"/>
              </w:rPr>
              <w:t>11-apr-16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9560B4" w:rsidP="009E04E4" w:rsidRDefault="009560B4">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9560B4" w:rsidP="009E04E4" w:rsidRDefault="009560B4">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Pr="00B667AC" w:rsidR="009560B4" w:rsidP="009E04E4" w:rsidRDefault="009560B4">
            <w:pPr>
              <w:rPr>
                <w:rFonts w:ascii="Calibri" w:hAnsi="Calibri"/>
                <w:color w:val="000000"/>
                <w:sz w:val="22"/>
                <w:szCs w:val="22"/>
              </w:rPr>
            </w:pPr>
            <w:r>
              <w:rPr>
                <w:rFonts w:ascii="Calibri" w:hAnsi="Calibri"/>
                <w:color w:val="000000"/>
                <w:sz w:val="22"/>
                <w:szCs w:val="22"/>
              </w:rPr>
              <w:t>Horizon 2020 "Wetenschap met en voor de samenleving": werkprogramma 2018-2020.</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9560B4" w:rsidP="009560B4" w:rsidRDefault="009560B4">
            <w:pPr>
              <w:rPr>
                <w:rFonts w:ascii="Calibri" w:hAnsi="Calibri"/>
                <w:color w:val="0000FF"/>
                <w:sz w:val="22"/>
                <w:szCs w:val="22"/>
                <w:u w:val="single"/>
              </w:rPr>
            </w:pPr>
            <w:r>
              <w:rPr>
                <w:rFonts w:ascii="Calibri" w:hAnsi="Calibri"/>
                <w:color w:val="0000FF"/>
                <w:sz w:val="22"/>
                <w:szCs w:val="22"/>
                <w:u w:val="single"/>
              </w:rPr>
              <w:t>OR</w:t>
            </w:r>
          </w:p>
          <w:p w:rsidR="009560B4" w:rsidP="00B667AC" w:rsidRDefault="009560B4">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9560B4" w:rsidP="009E04E4" w:rsidRDefault="009560B4">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9560B4" w:rsidP="009E04E4" w:rsidRDefault="009560B4">
            <w:pPr>
              <w:rPr>
                <w:rFonts w:ascii="Calibri" w:hAnsi="Calibri"/>
                <w:color w:val="000000"/>
                <w:sz w:val="22"/>
                <w:szCs w:val="22"/>
              </w:rPr>
            </w:pPr>
            <w:r>
              <w:rPr>
                <w:rFonts w:ascii="Calibri" w:hAnsi="Calibri"/>
                <w:color w:val="000000"/>
                <w:sz w:val="22"/>
                <w:szCs w:val="22"/>
              </w:rPr>
              <w:t>Het ministerie van Economische Zaken heeft aangegeven</w:t>
            </w:r>
            <w:r w:rsidR="00142311">
              <w:rPr>
                <w:rFonts w:ascii="Calibri" w:hAnsi="Calibri"/>
                <w:color w:val="000000"/>
                <w:sz w:val="22"/>
                <w:szCs w:val="22"/>
              </w:rPr>
              <w:t xml:space="preserve"> dat het Kabinet niet op deze consultatie zal reageren. Voorstel: Voor kennisgeving aannemen.</w:t>
            </w:r>
          </w:p>
        </w:tc>
      </w:tr>
      <w:tr w:rsidR="00B667AC"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B667AC">
            <w:pPr>
              <w:rPr>
                <w:rFonts w:ascii="Calibri" w:hAnsi="Calibri"/>
                <w:color w:val="000000"/>
                <w:sz w:val="22"/>
                <w:szCs w:val="22"/>
              </w:rPr>
            </w:pPr>
          </w:p>
          <w:p w:rsidR="00B667AC" w:rsidP="009E04E4" w:rsidRDefault="00B667AC">
            <w:pPr>
              <w:rPr>
                <w:rFonts w:ascii="Calibri" w:hAnsi="Calibri"/>
                <w:color w:val="000000"/>
                <w:sz w:val="22"/>
                <w:szCs w:val="22"/>
              </w:rPr>
            </w:pPr>
            <w:r>
              <w:rPr>
                <w:rFonts w:ascii="Calibri" w:hAnsi="Calibri"/>
                <w:color w:val="000000"/>
                <w:sz w:val="22"/>
                <w:szCs w:val="22"/>
              </w:rPr>
              <w:t>19-apr-16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B667AC" w:rsidP="009E04E4" w:rsidRDefault="00B667AC">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B667AC" w:rsidP="009E04E4" w:rsidRDefault="00B667AC">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D77C5B" w:rsidR="00B667AC" w:rsidP="009E04E4" w:rsidRDefault="00B667AC">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De digitalisering van het Europese bedrijfsleven De voordelen van een digitale eengemaakte markt ten volle benutten .</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B667AC">
            <w:pPr>
              <w:rPr>
                <w:rFonts w:ascii="Calibri" w:hAnsi="Calibri"/>
                <w:color w:val="0000FF"/>
                <w:sz w:val="22"/>
                <w:szCs w:val="22"/>
                <w:u w:val="single"/>
              </w:rPr>
            </w:pPr>
          </w:p>
          <w:p w:rsidR="00B667AC" w:rsidP="009E04E4" w:rsidRDefault="00B667AC">
            <w:pPr>
              <w:rPr>
                <w:rFonts w:ascii="Calibri" w:hAnsi="Calibri"/>
                <w:color w:val="0000FF"/>
                <w:sz w:val="22"/>
                <w:szCs w:val="22"/>
                <w:u w:val="single"/>
              </w:rPr>
            </w:pPr>
          </w:p>
          <w:p w:rsidR="00B667AC" w:rsidP="00B667AC" w:rsidRDefault="00852725">
            <w:pPr>
              <w:rPr>
                <w:rFonts w:ascii="Calibri" w:hAnsi="Calibri"/>
                <w:color w:val="0000FF"/>
                <w:sz w:val="22"/>
                <w:szCs w:val="22"/>
                <w:u w:val="single"/>
              </w:rPr>
            </w:pPr>
            <w:hyperlink w:history="1" r:id="rId8">
              <w:r w:rsidR="00B667AC">
                <w:rPr>
                  <w:rStyle w:val="Hyperlink"/>
                  <w:rFonts w:ascii="Calibri" w:hAnsi="Calibri"/>
                  <w:sz w:val="22"/>
                  <w:szCs w:val="22"/>
                </w:rPr>
                <w:t>180</w:t>
              </w:r>
            </w:hyperlink>
          </w:p>
          <w:p w:rsidRPr="0094656B" w:rsidR="00B667AC" w:rsidP="009E04E4" w:rsidRDefault="00B667A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B667AC" w:rsidP="009E04E4" w:rsidRDefault="00B667A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667AC" w:rsidP="009E04E4" w:rsidRDefault="00A2513E">
            <w:pPr>
              <w:rPr>
                <w:rFonts w:ascii="Calibri" w:hAnsi="Calibri"/>
                <w:color w:val="000000"/>
                <w:sz w:val="22"/>
                <w:szCs w:val="22"/>
              </w:rPr>
            </w:pPr>
            <w:r>
              <w:rPr>
                <w:rFonts w:ascii="Calibri" w:hAnsi="Calibri"/>
                <w:color w:val="000000"/>
                <w:sz w:val="22"/>
                <w:szCs w:val="22"/>
              </w:rPr>
              <w:t>Voorstel: BNC-fiche afwachten.</w:t>
            </w:r>
          </w:p>
        </w:tc>
      </w:tr>
      <w:tr w:rsidR="00B667AC"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sidRPr="00142311">
              <w:rPr>
                <w:rFonts w:ascii="Calibri" w:hAnsi="Calibri"/>
                <w:color w:val="000000"/>
                <w:sz w:val="22"/>
                <w:szCs w:val="22"/>
              </w:rPr>
              <w:t>19-apr-16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B667AC" w:rsidP="009E04E4" w:rsidRDefault="0014231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00B667AC" w:rsidP="009E04E4" w:rsidRDefault="00142311">
            <w:pPr>
              <w:rPr>
                <w:rFonts w:ascii="Calibri" w:hAnsi="Calibri"/>
                <w:color w:val="000000"/>
                <w:sz w:val="22"/>
                <w:szCs w:val="22"/>
              </w:rPr>
            </w:pPr>
            <w:r>
              <w:rPr>
                <w:rFonts w:ascii="Calibri" w:hAnsi="Calibri"/>
                <w:color w:val="000000"/>
                <w:sz w:val="22"/>
                <w:szCs w:val="22"/>
              </w:rPr>
              <w:t xml:space="preserve">MEDEDELING VAN DE COMMISSIE AAN HET EUROPEES PARLEMENT, DE RAAD, HET EUROPEES ECONOMISCH EN SOCIAAL COMITÉ EN HET COMITÉ VAN DE REGIO'S Europees cloudinitiatief - Bouwen aan een concurrentiële data- en kenniseconomie in Europa </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42311" w:rsidP="00142311" w:rsidRDefault="00852725">
            <w:pPr>
              <w:rPr>
                <w:rFonts w:ascii="Calibri" w:hAnsi="Calibri"/>
                <w:color w:val="0000FF"/>
                <w:sz w:val="22"/>
                <w:szCs w:val="22"/>
                <w:u w:val="single"/>
              </w:rPr>
            </w:pPr>
            <w:hyperlink w:history="1" r:id="rId9">
              <w:r w:rsidR="00142311">
                <w:rPr>
                  <w:rStyle w:val="Hyperlink"/>
                  <w:rFonts w:ascii="Calibri" w:hAnsi="Calibri"/>
                  <w:sz w:val="22"/>
                  <w:szCs w:val="22"/>
                </w:rPr>
                <w:t>178</w:t>
              </w:r>
            </w:hyperlink>
          </w:p>
          <w:p w:rsidR="00B667AC" w:rsidP="009E04E4" w:rsidRDefault="00B667A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B667AC" w:rsidP="009E04E4" w:rsidRDefault="00B667A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667AC" w:rsidP="009E04E4" w:rsidRDefault="00A70071">
            <w:pPr>
              <w:rPr>
                <w:rFonts w:ascii="Calibri" w:hAnsi="Calibri"/>
                <w:color w:val="000000"/>
                <w:sz w:val="22"/>
                <w:szCs w:val="22"/>
              </w:rPr>
            </w:pPr>
            <w:r>
              <w:rPr>
                <w:rFonts w:ascii="Calibri" w:hAnsi="Calibri"/>
                <w:color w:val="000000"/>
                <w:sz w:val="22"/>
                <w:szCs w:val="22"/>
              </w:rPr>
              <w:t xml:space="preserve">Voorstel: </w:t>
            </w:r>
            <w:r w:rsidR="00A2513E">
              <w:rPr>
                <w:rFonts w:ascii="Calibri" w:hAnsi="Calibri"/>
                <w:color w:val="000000"/>
                <w:sz w:val="22"/>
                <w:szCs w:val="22"/>
              </w:rPr>
              <w:t>BNC-fiche afwachten.</w:t>
            </w:r>
          </w:p>
        </w:tc>
      </w:tr>
      <w:tr w:rsidR="00B667AC"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sidRPr="00142311">
              <w:rPr>
                <w:rFonts w:ascii="Calibri" w:hAnsi="Calibri"/>
                <w:color w:val="000000"/>
                <w:sz w:val="22"/>
                <w:szCs w:val="22"/>
              </w:rPr>
              <w:lastRenderedPageBreak/>
              <w:t>19-apr-16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B667AC" w:rsidP="009E04E4" w:rsidRDefault="0014231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00B667AC" w:rsidP="009E04E4" w:rsidRDefault="00142311">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Normalisatieprioriteiten op ICT-gebied voor de digitale eengemaakte markt.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42311" w:rsidP="00142311" w:rsidRDefault="00852725">
            <w:pPr>
              <w:rPr>
                <w:rFonts w:ascii="Calibri" w:hAnsi="Calibri"/>
                <w:color w:val="0000FF"/>
                <w:sz w:val="22"/>
                <w:szCs w:val="22"/>
                <w:u w:val="single"/>
              </w:rPr>
            </w:pPr>
            <w:hyperlink w:history="1" r:id="rId10">
              <w:r w:rsidR="00142311">
                <w:rPr>
                  <w:rStyle w:val="Hyperlink"/>
                  <w:rFonts w:ascii="Calibri" w:hAnsi="Calibri"/>
                  <w:sz w:val="22"/>
                  <w:szCs w:val="22"/>
                </w:rPr>
                <w:t>176</w:t>
              </w:r>
            </w:hyperlink>
          </w:p>
          <w:p w:rsidR="00B667AC" w:rsidP="009E04E4" w:rsidRDefault="00B667A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B667AC" w:rsidP="009E04E4" w:rsidRDefault="00B667A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667AC" w:rsidP="009E04E4" w:rsidRDefault="00A2513E">
            <w:pPr>
              <w:rPr>
                <w:rFonts w:ascii="Calibri" w:hAnsi="Calibri"/>
                <w:color w:val="000000"/>
                <w:sz w:val="22"/>
                <w:szCs w:val="22"/>
              </w:rPr>
            </w:pPr>
            <w:r>
              <w:rPr>
                <w:rFonts w:ascii="Calibri" w:hAnsi="Calibri"/>
                <w:color w:val="000000"/>
                <w:sz w:val="22"/>
                <w:szCs w:val="22"/>
              </w:rPr>
              <w:t>Voorstel: BNC-fiche afwachten</w:t>
            </w:r>
            <w:r w:rsidR="00A70071">
              <w:rPr>
                <w:rFonts w:ascii="Calibri" w:hAnsi="Calibri"/>
                <w:color w:val="000000"/>
                <w:sz w:val="22"/>
                <w:szCs w:val="22"/>
              </w:rPr>
              <w:t>.</w:t>
            </w:r>
          </w:p>
        </w:tc>
      </w:tr>
      <w:tr w:rsidR="00B667AC"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sidRPr="00142311">
              <w:rPr>
                <w:rFonts w:ascii="Calibri" w:hAnsi="Calibri"/>
                <w:color w:val="000000"/>
                <w:sz w:val="22"/>
                <w:szCs w:val="22"/>
              </w:rPr>
              <w:t>19-apr-16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B667AC" w:rsidP="009E04E4" w:rsidRDefault="0014231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B667AC" w:rsidP="009E04E4" w:rsidRDefault="00142311">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00B667AC" w:rsidP="009E04E4" w:rsidRDefault="00142311">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EU-actieplan inzake e-overheid 2016-2020 Voor een snellere digitalisering van overheidsdiensten.</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42311" w:rsidP="00142311" w:rsidRDefault="00852725">
            <w:pPr>
              <w:rPr>
                <w:rFonts w:ascii="Calibri" w:hAnsi="Calibri"/>
                <w:color w:val="0000FF"/>
                <w:sz w:val="22"/>
                <w:szCs w:val="22"/>
                <w:u w:val="single"/>
              </w:rPr>
            </w:pPr>
            <w:hyperlink w:history="1" r:id="rId11">
              <w:r w:rsidR="00142311">
                <w:rPr>
                  <w:rStyle w:val="Hyperlink"/>
                  <w:rFonts w:ascii="Calibri" w:hAnsi="Calibri"/>
                  <w:sz w:val="22"/>
                  <w:szCs w:val="22"/>
                </w:rPr>
                <w:t>179</w:t>
              </w:r>
            </w:hyperlink>
          </w:p>
          <w:p w:rsidR="00B667AC" w:rsidP="009E04E4" w:rsidRDefault="00B667AC">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B667AC" w:rsidP="009E04E4" w:rsidRDefault="00B667AC">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B667AC" w:rsidP="009E04E4" w:rsidRDefault="00A2513E">
            <w:pPr>
              <w:rPr>
                <w:rFonts w:ascii="Calibri" w:hAnsi="Calibri"/>
                <w:color w:val="000000"/>
                <w:sz w:val="22"/>
                <w:szCs w:val="22"/>
              </w:rPr>
            </w:pPr>
            <w:r>
              <w:rPr>
                <w:rFonts w:ascii="Calibri" w:hAnsi="Calibri"/>
                <w:color w:val="000000"/>
                <w:sz w:val="22"/>
                <w:szCs w:val="22"/>
              </w:rPr>
              <w:t>Voorstel: BNC-fiche afwachten.</w:t>
            </w:r>
            <w:r w:rsidR="00A70071">
              <w:rPr>
                <w:rFonts w:ascii="Calibri" w:hAnsi="Calibri"/>
                <w:color w:val="000000"/>
                <w:sz w:val="22"/>
                <w:szCs w:val="22"/>
              </w:rPr>
              <w:t>.</w:t>
            </w:r>
          </w:p>
        </w:tc>
      </w:tr>
      <w:tr w:rsidR="00142311" w:rsidTr="009E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7"/>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Pr="00142311" w:rsidR="00142311" w:rsidP="009E04E4" w:rsidRDefault="00142311">
            <w:pPr>
              <w:rPr>
                <w:rFonts w:ascii="Calibri" w:hAnsi="Calibri"/>
                <w:color w:val="000000"/>
                <w:sz w:val="22"/>
                <w:szCs w:val="22"/>
              </w:rPr>
            </w:pPr>
            <w:r>
              <w:rPr>
                <w:rFonts w:ascii="Calibri" w:hAnsi="Calibri"/>
                <w:color w:val="000000"/>
                <w:sz w:val="22"/>
                <w:szCs w:val="22"/>
              </w:rPr>
              <w:t>19-apr-16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142311" w:rsidP="009E04E4" w:rsidRDefault="00142311">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142311" w:rsidP="009E04E4" w:rsidRDefault="00142311">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00142311" w:rsidP="009E04E4" w:rsidRDefault="00142311">
            <w:pPr>
              <w:rPr>
                <w:rFonts w:ascii="Calibri" w:hAnsi="Calibri"/>
                <w:color w:val="000000"/>
                <w:sz w:val="22"/>
                <w:szCs w:val="22"/>
              </w:rPr>
            </w:pPr>
            <w:r>
              <w:rPr>
                <w:rFonts w:ascii="Calibri" w:hAnsi="Calibri"/>
                <w:color w:val="000000"/>
                <w:sz w:val="22"/>
                <w:szCs w:val="22"/>
              </w:rPr>
              <w:t>Openbare raadpleging over een ruimtevaartstrategie voor Europa.</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142311" w:rsidP="00142311" w:rsidRDefault="00852725">
            <w:pPr>
              <w:rPr>
                <w:rFonts w:ascii="Calibri" w:hAnsi="Calibri"/>
                <w:color w:val="0000FF"/>
                <w:sz w:val="22"/>
                <w:szCs w:val="22"/>
                <w:u w:val="single"/>
              </w:rPr>
            </w:pPr>
            <w:hyperlink w:history="1" r:id="rId12">
              <w:r w:rsidR="00142311">
                <w:rPr>
                  <w:rStyle w:val="Hyperlink"/>
                  <w:rFonts w:ascii="Calibri" w:hAnsi="Calibri"/>
                  <w:sz w:val="22"/>
                  <w:szCs w:val="22"/>
                </w:rPr>
                <w:t>OR</w:t>
              </w:r>
            </w:hyperlink>
          </w:p>
          <w:p w:rsidR="00142311" w:rsidP="00142311" w:rsidRDefault="00142311">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142311" w:rsidP="009E04E4" w:rsidRDefault="00142311">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142311" w:rsidP="009E04E4" w:rsidRDefault="00A70071">
            <w:pPr>
              <w:rPr>
                <w:rFonts w:ascii="Calibri" w:hAnsi="Calibri"/>
                <w:color w:val="000000"/>
                <w:sz w:val="22"/>
                <w:szCs w:val="22"/>
              </w:rPr>
            </w:pPr>
            <w:r>
              <w:rPr>
                <w:rFonts w:ascii="Calibri" w:hAnsi="Calibri"/>
                <w:sz w:val="22"/>
                <w:szCs w:val="22"/>
              </w:rPr>
              <w:t>Deze raadpleging loopt 12-jul-16. Voorstel: het kabinet</w:t>
            </w:r>
            <w:r w:rsidRPr="0094656B">
              <w:rPr>
                <w:rFonts w:ascii="Calibri" w:hAnsi="Calibri"/>
                <w:sz w:val="22"/>
                <w:szCs w:val="22"/>
              </w:rPr>
              <w:t xml:space="preserve"> verzoeken om aan te geven of zij een reactie zullen insturen en zo ja, of de Kamer hier tijdig een concept van kan ontvangen zodat zij zich hierover nog kan uitspreken voordat de reactie aan de Europese Commissie wordt verzonden.</w:t>
            </w:r>
          </w:p>
        </w:tc>
      </w:tr>
    </w:tbl>
    <w:p w:rsidR="00B667AC" w:rsidP="00B667AC" w:rsidRDefault="00B667AC">
      <w:pPr>
        <w:pStyle w:val="Voetnoottekst"/>
        <w:tabs>
          <w:tab w:val="left" w:pos="9240"/>
        </w:tabs>
        <w:rPr>
          <w:rFonts w:asciiTheme="minorHAnsi" w:hAnsiTheme="minorHAnsi"/>
          <w:b/>
        </w:rPr>
      </w:pPr>
      <w:r>
        <w:rPr>
          <w:rFonts w:asciiTheme="minorHAnsi" w:hAnsiTheme="minorHAnsi"/>
          <w:b/>
        </w:rPr>
        <w:tab/>
      </w:r>
    </w:p>
    <w:p w:rsidR="00B667AC" w:rsidP="00B667AC" w:rsidRDefault="00B667AC">
      <w:pPr>
        <w:pStyle w:val="Voetnoottekst"/>
        <w:rPr>
          <w:rFonts w:asciiTheme="minorHAnsi" w:hAnsiTheme="minorHAnsi"/>
          <w:b/>
        </w:rPr>
      </w:pPr>
    </w:p>
    <w:p w:rsidR="00B667AC" w:rsidP="00B667AC" w:rsidRDefault="00B667AC">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B667AC" w:rsidP="00B667AC" w:rsidRDefault="00B667AC">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B667AC" w:rsidP="00B667AC" w:rsidRDefault="00B667AC">
      <w:pPr>
        <w:pStyle w:val="Voetnoottekst"/>
        <w:rPr>
          <w:rFonts w:asciiTheme="minorHAnsi" w:hAnsiTheme="minorHAnsi"/>
        </w:rPr>
      </w:pPr>
    </w:p>
    <w:p w:rsidRPr="00962F35" w:rsidR="00B667AC" w:rsidP="00B667AC" w:rsidRDefault="00B667AC">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B667AC" w:rsidTr="009E04E4">
        <w:tc>
          <w:tcPr>
            <w:tcW w:w="1384" w:type="dxa"/>
          </w:tcPr>
          <w:p w:rsidRPr="005C6EF4" w:rsidR="00B667AC" w:rsidP="009E04E4" w:rsidRDefault="00B667AC">
            <w:pPr>
              <w:pStyle w:val="Voetnoottekst"/>
              <w:rPr>
                <w:rFonts w:asciiTheme="minorHAnsi" w:hAnsiTheme="minorHAnsi"/>
                <w:b/>
              </w:rPr>
            </w:pPr>
            <w:r w:rsidRPr="005C6EF4">
              <w:rPr>
                <w:rFonts w:asciiTheme="minorHAnsi" w:hAnsiTheme="minorHAnsi"/>
                <w:b/>
              </w:rPr>
              <w:t>Onderwerp</w:t>
            </w:r>
          </w:p>
        </w:tc>
        <w:tc>
          <w:tcPr>
            <w:tcW w:w="4820" w:type="dxa"/>
          </w:tcPr>
          <w:p w:rsidRPr="005C6EF4" w:rsidR="00B667AC" w:rsidP="009E04E4" w:rsidRDefault="00B667AC">
            <w:pPr>
              <w:pStyle w:val="Voetnoottekst"/>
              <w:rPr>
                <w:rFonts w:asciiTheme="minorHAnsi" w:hAnsiTheme="minorHAnsi"/>
                <w:b/>
              </w:rPr>
            </w:pPr>
            <w:r w:rsidRPr="005C6EF4">
              <w:rPr>
                <w:rFonts w:asciiTheme="minorHAnsi" w:hAnsiTheme="minorHAnsi"/>
                <w:b/>
              </w:rPr>
              <w:t>Toelichting</w:t>
            </w:r>
          </w:p>
        </w:tc>
        <w:tc>
          <w:tcPr>
            <w:tcW w:w="3685" w:type="dxa"/>
          </w:tcPr>
          <w:p w:rsidRPr="005C6EF4" w:rsidR="00B667AC" w:rsidP="009E04E4" w:rsidRDefault="00B667AC">
            <w:pPr>
              <w:pStyle w:val="Voetnoottekst"/>
              <w:rPr>
                <w:rFonts w:asciiTheme="minorHAnsi" w:hAnsiTheme="minorHAnsi"/>
                <w:b/>
              </w:rPr>
            </w:pPr>
            <w:r w:rsidRPr="005C6EF4">
              <w:rPr>
                <w:rFonts w:asciiTheme="minorHAnsi" w:hAnsiTheme="minorHAnsi"/>
                <w:b/>
              </w:rPr>
              <w:t>Mogelijke beïnvloedingsmomenten nationale parlement</w:t>
            </w: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t>Groen- en witboek</w:t>
            </w:r>
          </w:p>
        </w:tc>
        <w:tc>
          <w:tcPr>
            <w:tcW w:w="4820" w:type="dxa"/>
          </w:tcPr>
          <w:p w:rsidRPr="005C6EF4" w:rsidR="00B667AC" w:rsidP="009E04E4" w:rsidRDefault="00B667AC">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B667AC" w:rsidP="009E04E4" w:rsidRDefault="00B667AC">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lastRenderedPageBreak/>
              <w:t xml:space="preserve">een </w:t>
            </w:r>
            <w:r w:rsidRPr="005C6EF4">
              <w:rPr>
                <w:rFonts w:asciiTheme="minorHAnsi" w:hAnsiTheme="minorHAnsi"/>
              </w:rPr>
              <w:t xml:space="preserve">onderwerp. Ook doet ze aanbevelingen voor te ontwikkelen beleid. </w:t>
            </w:r>
          </w:p>
          <w:p w:rsidRPr="005C6EF4" w:rsidR="00B667AC" w:rsidP="009E04E4" w:rsidRDefault="00B667AC">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B667AC" w:rsidP="009E04E4" w:rsidRDefault="00B667AC">
            <w:pPr>
              <w:pStyle w:val="Voetnoottekst"/>
              <w:rPr>
                <w:rFonts w:asciiTheme="minorHAnsi" w:hAnsiTheme="minorHAnsi"/>
              </w:rPr>
            </w:pPr>
          </w:p>
          <w:p w:rsidRPr="005C6EF4" w:rsidR="00B667AC" w:rsidP="009E04E4" w:rsidRDefault="00B667AC">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B667AC" w:rsidP="009E04E4" w:rsidRDefault="00B667AC">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B667AC" w:rsidP="009E04E4" w:rsidRDefault="00B667AC">
            <w:pPr>
              <w:pStyle w:val="Voetnoottekst"/>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B667AC" w:rsidP="009E04E4" w:rsidRDefault="00B667AC">
            <w:pPr>
              <w:pStyle w:val="Voetnoottekst"/>
              <w:rPr>
                <w:rFonts w:asciiTheme="minorHAnsi" w:hAnsiTheme="minorHAnsi"/>
              </w:rPr>
            </w:pPr>
            <w:r w:rsidRPr="005C6EF4">
              <w:rPr>
                <w:rFonts w:asciiTheme="minorHAnsi" w:hAnsiTheme="minorHAnsi"/>
              </w:rPr>
              <w:t xml:space="preserve">Commissie kan kabinet om appreciatie vragen en/of om afschrift van reactie </w:t>
            </w:r>
            <w:r w:rsidRPr="005C6EF4">
              <w:rPr>
                <w:rFonts w:asciiTheme="minorHAnsi" w:hAnsiTheme="minorHAnsi"/>
              </w:rPr>
              <w:lastRenderedPageBreak/>
              <w:t>kabinet op het groen- of wit boek</w:t>
            </w:r>
          </w:p>
          <w:p w:rsidRPr="005C6EF4" w:rsidR="00B667AC" w:rsidP="009E04E4" w:rsidRDefault="00B667AC">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B667AC" w:rsidP="009E04E4" w:rsidRDefault="00B667AC">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B667AC" w:rsidP="009E04E4" w:rsidRDefault="00B667AC">
            <w:pPr>
              <w:pStyle w:val="Voetnoottekst"/>
              <w:rPr>
                <w:rFonts w:asciiTheme="minorHAnsi" w:hAnsiTheme="minorHAnsi"/>
              </w:rPr>
            </w:pPr>
            <w:r w:rsidRPr="005C6EF4">
              <w:rPr>
                <w:rFonts w:asciiTheme="minorHAnsi" w:hAnsiTheme="minorHAnsi"/>
              </w:rPr>
              <w:t>BNC-fiche bespreken</w:t>
            </w: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B667AC" w:rsidP="009E04E4" w:rsidRDefault="00B667AC">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B667AC" w:rsidP="009E04E4" w:rsidRDefault="00B667AC">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B667AC" w:rsidP="009E04E4" w:rsidRDefault="00B667AC">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B667AC" w:rsidP="009E04E4" w:rsidRDefault="00B667AC">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B667AC" w:rsidP="009E04E4" w:rsidRDefault="00B667AC">
            <w:pPr>
              <w:pStyle w:val="Voetnoottekst"/>
              <w:rPr>
                <w:rFonts w:asciiTheme="minorHAnsi" w:hAnsiTheme="minorHAnsi"/>
              </w:rPr>
            </w:pPr>
            <w:r w:rsidRPr="005C6EF4">
              <w:rPr>
                <w:rFonts w:asciiTheme="minorHAnsi" w:hAnsiTheme="minorHAnsi"/>
              </w:rPr>
              <w:t>Subsidiariteitstoets overwegen</w:t>
            </w:r>
          </w:p>
          <w:p w:rsidRPr="005C6EF4" w:rsidR="00B667AC" w:rsidP="009E04E4" w:rsidRDefault="00B667AC">
            <w:pPr>
              <w:pStyle w:val="Voetnoottekst"/>
              <w:rPr>
                <w:rFonts w:asciiTheme="minorHAnsi" w:hAnsiTheme="minorHAnsi"/>
              </w:rPr>
            </w:pPr>
            <w:r w:rsidRPr="005C6EF4">
              <w:rPr>
                <w:rFonts w:asciiTheme="minorHAnsi" w:hAnsiTheme="minorHAnsi"/>
              </w:rPr>
              <w:t>Behandelvoorbehoud overwegen</w:t>
            </w:r>
          </w:p>
          <w:p w:rsidRPr="005C6EF4" w:rsidR="00B667AC" w:rsidP="009E04E4" w:rsidRDefault="00B667AC">
            <w:pPr>
              <w:pStyle w:val="Voetnoottekst"/>
              <w:rPr>
                <w:rFonts w:asciiTheme="minorHAnsi" w:hAnsiTheme="minorHAnsi"/>
              </w:rPr>
            </w:pPr>
            <w:r w:rsidRPr="005C6EF4">
              <w:rPr>
                <w:rFonts w:asciiTheme="minorHAnsi" w:hAnsiTheme="minorHAnsi"/>
              </w:rPr>
              <w:t>BNC-fiche bespreken</w:t>
            </w:r>
          </w:p>
          <w:p w:rsidRPr="005C6EF4" w:rsidR="00B667AC" w:rsidP="009E04E4" w:rsidRDefault="00B667AC">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B667AC" w:rsidP="009E04E4" w:rsidRDefault="00B667AC">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B667AC" w:rsidP="009E04E4" w:rsidRDefault="00B667AC">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B667AC" w:rsidP="009E04E4" w:rsidRDefault="00B667AC">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B667AC" w:rsidP="009E04E4" w:rsidRDefault="00B667AC">
            <w:pPr>
              <w:pStyle w:val="Voetnoottekst"/>
              <w:rPr>
                <w:rFonts w:asciiTheme="minorHAnsi" w:hAnsiTheme="minorHAnsi"/>
              </w:rPr>
            </w:pPr>
            <w:r w:rsidRPr="005C6EF4">
              <w:rPr>
                <w:rFonts w:asciiTheme="minorHAnsi" w:hAnsiTheme="minorHAnsi"/>
              </w:rPr>
              <w:t>Tijdens algemeen overleg de desbetreffende richtlijn aan de orde stellen</w:t>
            </w: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B667AC" w:rsidP="009E04E4" w:rsidRDefault="00B667AC">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B667AC" w:rsidP="009E04E4" w:rsidRDefault="00B667AC">
            <w:pPr>
              <w:pStyle w:val="Lijstalinea"/>
              <w:rPr>
                <w:rFonts w:asciiTheme="minorHAnsi" w:hAnsiTheme="minorHAnsi"/>
                <w:sz w:val="20"/>
                <w:szCs w:val="20"/>
              </w:rPr>
            </w:pPr>
            <w:r w:rsidRPr="00921964">
              <w:rPr>
                <w:rFonts w:asciiTheme="minorHAnsi" w:hAnsiTheme="minorHAnsi"/>
                <w:sz w:val="20"/>
                <w:szCs w:val="20"/>
              </w:rPr>
              <w:t xml:space="preserve">De gele kaart heeft uitsluitend betrekking op </w:t>
            </w:r>
            <w:r w:rsidRPr="00921964">
              <w:rPr>
                <w:rFonts w:asciiTheme="minorHAnsi" w:hAnsiTheme="minorHAnsi"/>
                <w:sz w:val="20"/>
                <w:szCs w:val="20"/>
              </w:rPr>
              <w:lastRenderedPageBreak/>
              <w:t>het subsidiariteitsbeginsel.</w:t>
            </w:r>
          </w:p>
          <w:p w:rsidRPr="00921964" w:rsidR="00B667AC" w:rsidP="009E04E4" w:rsidRDefault="00B667AC">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B667AC" w:rsidP="009E04E4" w:rsidRDefault="00B667AC">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B667AC" w:rsidP="009E04E4" w:rsidRDefault="00B667AC">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subsidiariteitstoets. </w:t>
            </w:r>
          </w:p>
          <w:p w:rsidR="00B667AC" w:rsidP="009E04E4" w:rsidRDefault="00B667AC">
            <w:pPr>
              <w:pStyle w:val="Voetnoottekst"/>
              <w:rPr>
                <w:rFonts w:asciiTheme="minorHAnsi" w:hAnsiTheme="minorHAnsi"/>
              </w:rPr>
            </w:pPr>
            <w:r>
              <w:rPr>
                <w:rFonts w:asciiTheme="minorHAnsi" w:hAnsiTheme="minorHAnsi"/>
              </w:rPr>
              <w:t>Dit moet binnen 8 weken na het uitkomen van het voorstel</w:t>
            </w:r>
          </w:p>
          <w:p w:rsidR="00B667AC" w:rsidP="009E04E4" w:rsidRDefault="00B667AC">
            <w:pPr>
              <w:pStyle w:val="Voetnoottekst"/>
              <w:rPr>
                <w:rFonts w:asciiTheme="minorHAnsi" w:hAnsiTheme="minorHAnsi"/>
              </w:rPr>
            </w:pPr>
          </w:p>
          <w:p w:rsidRPr="005C6EF4" w:rsidR="00B667AC" w:rsidP="009E04E4" w:rsidRDefault="00B667AC">
            <w:pPr>
              <w:pStyle w:val="Voetnoottekst"/>
              <w:rPr>
                <w:rFonts w:asciiTheme="minorHAnsi" w:hAnsiTheme="minorHAnsi"/>
              </w:rPr>
            </w:pP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lastRenderedPageBreak/>
              <w:t>Behandel</w:t>
            </w:r>
            <w:r>
              <w:rPr>
                <w:rFonts w:asciiTheme="minorHAnsi" w:hAnsiTheme="minorHAnsi"/>
              </w:rPr>
              <w:t>-</w:t>
            </w:r>
            <w:r w:rsidRPr="005C6EF4">
              <w:rPr>
                <w:rFonts w:asciiTheme="minorHAnsi" w:hAnsiTheme="minorHAnsi"/>
              </w:rPr>
              <w:t>voorbehoud</w:t>
            </w:r>
          </w:p>
        </w:tc>
        <w:tc>
          <w:tcPr>
            <w:tcW w:w="4820" w:type="dxa"/>
          </w:tcPr>
          <w:p w:rsidRPr="006D2BFD" w:rsidR="00B667AC" w:rsidP="009E04E4" w:rsidRDefault="00B667AC">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B667AC" w:rsidP="009E04E4" w:rsidRDefault="00B667AC">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B667AC" w:rsidP="009E04E4" w:rsidRDefault="00B667AC">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B667AC" w:rsidP="009E04E4" w:rsidRDefault="00B667AC">
            <w:pPr>
              <w:pStyle w:val="Voetnoottekst"/>
              <w:rPr>
                <w:rFonts w:asciiTheme="minorHAnsi" w:hAnsiTheme="minorHAnsi"/>
              </w:rPr>
            </w:pPr>
            <w:r>
              <w:rPr>
                <w:rFonts w:asciiTheme="minorHAnsi" w:hAnsiTheme="minorHAnsi"/>
              </w:rPr>
              <w:t xml:space="preserve">Bij wetgevende voorstellen kan een commissie besluiten tot het uitvoeren van een behandelvoorbehoud. </w:t>
            </w:r>
          </w:p>
          <w:p w:rsidR="00B667AC" w:rsidP="009E04E4" w:rsidRDefault="00B667AC">
            <w:pPr>
              <w:pStyle w:val="Voetnoottekst"/>
              <w:rPr>
                <w:rFonts w:asciiTheme="minorHAnsi" w:hAnsiTheme="minorHAnsi"/>
              </w:rPr>
            </w:pPr>
            <w:r>
              <w:rPr>
                <w:rFonts w:asciiTheme="minorHAnsi" w:hAnsiTheme="minorHAnsi"/>
              </w:rPr>
              <w:t>Dit moet binnen 8 weken na het uitkomen van het voorstel</w:t>
            </w:r>
          </w:p>
          <w:p w:rsidR="00B667AC" w:rsidP="009E04E4" w:rsidRDefault="00B667AC">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B667AC" w:rsidP="009E04E4" w:rsidRDefault="00B667AC">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B667AC" w:rsidP="009E04E4" w:rsidRDefault="00B667AC">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B667AC" w:rsidP="009E04E4" w:rsidRDefault="00B667AC">
            <w:pPr>
              <w:pStyle w:val="Voetnoottekst"/>
              <w:rPr>
                <w:rFonts w:asciiTheme="minorHAnsi" w:hAnsiTheme="minorHAnsi"/>
              </w:rPr>
            </w:pPr>
            <w:r>
              <w:rPr>
                <w:rFonts w:asciiTheme="minorHAnsi" w:hAnsiTheme="minorHAnsi"/>
              </w:rPr>
              <w:t>In commissieverband meedoen aan de openbare raadpleging</w:t>
            </w:r>
          </w:p>
          <w:p w:rsidR="00B667AC" w:rsidP="009E04E4" w:rsidRDefault="00B667AC">
            <w:pPr>
              <w:pStyle w:val="Voetnoottekst"/>
              <w:rPr>
                <w:rFonts w:asciiTheme="minorHAnsi" w:hAnsiTheme="minorHAnsi"/>
              </w:rPr>
            </w:pPr>
            <w:r>
              <w:rPr>
                <w:rFonts w:asciiTheme="minorHAnsi" w:hAnsiTheme="minorHAnsi"/>
              </w:rPr>
              <w:t>Aan fracties overlaten om mee te doen aan de openbare raadpleging</w:t>
            </w:r>
          </w:p>
          <w:p w:rsidRPr="005C6EF4" w:rsidR="00B667AC" w:rsidP="009E04E4" w:rsidRDefault="00B667AC">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B667AC" w:rsidTr="009E04E4">
        <w:tc>
          <w:tcPr>
            <w:tcW w:w="1384" w:type="dxa"/>
          </w:tcPr>
          <w:p w:rsidRPr="005C6EF4" w:rsidR="00B667AC" w:rsidP="009E04E4" w:rsidRDefault="00B667AC">
            <w:pPr>
              <w:pStyle w:val="Voetnoottekst"/>
              <w:rPr>
                <w:rFonts w:asciiTheme="minorHAnsi" w:hAnsiTheme="minorHAnsi"/>
              </w:rPr>
            </w:pPr>
            <w:r w:rsidRPr="005C6EF4">
              <w:rPr>
                <w:rFonts w:asciiTheme="minorHAnsi" w:hAnsiTheme="minorHAnsi"/>
              </w:rPr>
              <w:t>Roadmap</w:t>
            </w:r>
          </w:p>
        </w:tc>
        <w:tc>
          <w:tcPr>
            <w:tcW w:w="4820" w:type="dxa"/>
          </w:tcPr>
          <w:p w:rsidRPr="002140D2" w:rsidR="00B667AC" w:rsidP="009E04E4" w:rsidRDefault="00B667AC">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B667AC" w:rsidP="009E04E4" w:rsidRDefault="00B667AC">
            <w:pPr>
              <w:pStyle w:val="Voetnoottekst"/>
              <w:rPr>
                <w:rFonts w:asciiTheme="minorHAnsi" w:hAnsiTheme="minorHAnsi"/>
              </w:rPr>
            </w:pPr>
            <w:r>
              <w:rPr>
                <w:rFonts w:asciiTheme="minorHAnsi" w:hAnsiTheme="minorHAnsi"/>
              </w:rPr>
              <w:t>Tijdens algemeen overleg minister vragen om appreciatie van het traject van de roadmap</w:t>
            </w:r>
          </w:p>
          <w:p w:rsidR="00B667AC" w:rsidP="009E04E4" w:rsidRDefault="00B667AC">
            <w:pPr>
              <w:pStyle w:val="Voetnoottekst"/>
              <w:rPr>
                <w:rFonts w:asciiTheme="minorHAnsi" w:hAnsiTheme="minorHAnsi"/>
              </w:rPr>
            </w:pPr>
            <w:r>
              <w:rPr>
                <w:rFonts w:asciiTheme="minorHAnsi" w:hAnsiTheme="minorHAnsi"/>
              </w:rPr>
              <w:t>Aangekondigde Openbare raadpleging afwachten</w:t>
            </w:r>
          </w:p>
          <w:p w:rsidRPr="005C6EF4" w:rsidR="00B667AC" w:rsidP="009E04E4" w:rsidRDefault="00B667AC">
            <w:pPr>
              <w:pStyle w:val="Voetnoottekst"/>
              <w:rPr>
                <w:rFonts w:asciiTheme="minorHAnsi" w:hAnsiTheme="minorHAnsi"/>
              </w:rPr>
            </w:pPr>
            <w:r>
              <w:rPr>
                <w:rFonts w:asciiTheme="minorHAnsi" w:hAnsiTheme="minorHAnsi"/>
              </w:rPr>
              <w:t>BNC-fiche afwachten</w:t>
            </w:r>
          </w:p>
        </w:tc>
      </w:tr>
    </w:tbl>
    <w:p w:rsidRPr="00CE1B84" w:rsidR="00B667AC" w:rsidP="00B667AC" w:rsidRDefault="00B667AC">
      <w:pPr>
        <w:pStyle w:val="Voetnoottekst"/>
        <w:rPr>
          <w:rFonts w:asciiTheme="minorHAnsi" w:hAnsiTheme="minorHAnsi"/>
        </w:rPr>
      </w:pPr>
    </w:p>
    <w:p w:rsidR="00B667AC" w:rsidP="00B667AC" w:rsidRDefault="00B667AC"/>
    <w:p w:rsidR="0046131B" w:rsidRDefault="0046131B"/>
    <w:sectPr w:rsidR="0046131B" w:rsidSect="00BF35EE">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52725">
      <w:r>
        <w:separator/>
      </w:r>
    </w:p>
  </w:endnote>
  <w:endnote w:type="continuationSeparator" w:id="0">
    <w:p w:rsidR="00000000" w:rsidRDefault="0085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A2513E">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852725">
          <w:rPr>
            <w:rFonts w:asciiTheme="minorHAnsi" w:hAnsiTheme="minorHAnsi"/>
            <w:noProof/>
            <w:sz w:val="22"/>
            <w:szCs w:val="22"/>
          </w:rPr>
          <w:t>2</w:t>
        </w:r>
        <w:r w:rsidRPr="00BF35EE">
          <w:rPr>
            <w:rFonts w:asciiTheme="minorHAnsi" w:hAnsiTheme="minorHAnsi"/>
            <w:sz w:val="22"/>
            <w:szCs w:val="22"/>
          </w:rPr>
          <w:fldChar w:fldCharType="end"/>
        </w:r>
      </w:p>
    </w:sdtContent>
  </w:sdt>
  <w:p w:rsidR="00BF35EE" w:rsidRDefault="008527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52725">
      <w:r>
        <w:separator/>
      </w:r>
    </w:p>
  </w:footnote>
  <w:footnote w:type="continuationSeparator" w:id="0">
    <w:p w:rsidR="00000000" w:rsidRDefault="008527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AC"/>
    <w:rsid w:val="000D4F16"/>
    <w:rsid w:val="00142311"/>
    <w:rsid w:val="0023111E"/>
    <w:rsid w:val="002E0A1F"/>
    <w:rsid w:val="00433D6E"/>
    <w:rsid w:val="0046131B"/>
    <w:rsid w:val="00585897"/>
    <w:rsid w:val="00852725"/>
    <w:rsid w:val="0086523A"/>
    <w:rsid w:val="009560B4"/>
    <w:rsid w:val="00A2513E"/>
    <w:rsid w:val="00A70071"/>
    <w:rsid w:val="00B667AC"/>
    <w:rsid w:val="00FB0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7A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B667AC"/>
    <w:pPr>
      <w:tabs>
        <w:tab w:val="center" w:pos="4536"/>
        <w:tab w:val="right" w:pos="9072"/>
      </w:tabs>
    </w:pPr>
  </w:style>
  <w:style w:type="character" w:customStyle="1" w:styleId="VoettekstChar">
    <w:name w:val="Voettekst Char"/>
    <w:basedOn w:val="Standaardalinea-lettertype"/>
    <w:link w:val="Voettekst"/>
    <w:uiPriority w:val="99"/>
    <w:rsid w:val="00B667AC"/>
    <w:rPr>
      <w:sz w:val="24"/>
      <w:szCs w:val="24"/>
    </w:rPr>
  </w:style>
  <w:style w:type="character" w:styleId="Hyperlink">
    <w:name w:val="Hyperlink"/>
    <w:basedOn w:val="Standaardalinea-lettertype"/>
    <w:uiPriority w:val="99"/>
    <w:unhideWhenUsed/>
    <w:rsid w:val="00B667AC"/>
    <w:rPr>
      <w:color w:val="0000FF"/>
      <w:u w:val="single"/>
    </w:rPr>
  </w:style>
  <w:style w:type="character" w:styleId="Zwaar">
    <w:name w:val="Strong"/>
    <w:basedOn w:val="Standaardalinea-lettertype"/>
    <w:uiPriority w:val="22"/>
    <w:qFormat/>
    <w:rsid w:val="00B667AC"/>
    <w:rPr>
      <w:b/>
      <w:bCs/>
    </w:rPr>
  </w:style>
  <w:style w:type="paragraph" w:styleId="Voetnoottekst">
    <w:name w:val="footnote text"/>
    <w:basedOn w:val="Standaard"/>
    <w:link w:val="VoetnoottekstChar"/>
    <w:rsid w:val="00B667AC"/>
    <w:rPr>
      <w:sz w:val="20"/>
      <w:szCs w:val="20"/>
    </w:rPr>
  </w:style>
  <w:style w:type="character" w:customStyle="1" w:styleId="VoetnoottekstChar">
    <w:name w:val="Voetnoottekst Char"/>
    <w:basedOn w:val="Standaardalinea-lettertype"/>
    <w:link w:val="Voetnoottekst"/>
    <w:rsid w:val="00B667AC"/>
  </w:style>
  <w:style w:type="paragraph" w:styleId="Normaalweb">
    <w:name w:val="Normal (Web)"/>
    <w:basedOn w:val="Standaard"/>
    <w:uiPriority w:val="99"/>
    <w:unhideWhenUsed/>
    <w:rsid w:val="00B667AC"/>
    <w:pPr>
      <w:spacing w:before="100" w:beforeAutospacing="1" w:after="100" w:afterAutospacing="1"/>
    </w:pPr>
  </w:style>
  <w:style w:type="table" w:styleId="Tabelraster">
    <w:name w:val="Table Grid"/>
    <w:basedOn w:val="Standaardtabel"/>
    <w:rsid w:val="00B6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667AC"/>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7A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B667AC"/>
    <w:pPr>
      <w:tabs>
        <w:tab w:val="center" w:pos="4536"/>
        <w:tab w:val="right" w:pos="9072"/>
      </w:tabs>
    </w:pPr>
  </w:style>
  <w:style w:type="character" w:customStyle="1" w:styleId="VoettekstChar">
    <w:name w:val="Voettekst Char"/>
    <w:basedOn w:val="Standaardalinea-lettertype"/>
    <w:link w:val="Voettekst"/>
    <w:uiPriority w:val="99"/>
    <w:rsid w:val="00B667AC"/>
    <w:rPr>
      <w:sz w:val="24"/>
      <w:szCs w:val="24"/>
    </w:rPr>
  </w:style>
  <w:style w:type="character" w:styleId="Hyperlink">
    <w:name w:val="Hyperlink"/>
    <w:basedOn w:val="Standaardalinea-lettertype"/>
    <w:uiPriority w:val="99"/>
    <w:unhideWhenUsed/>
    <w:rsid w:val="00B667AC"/>
    <w:rPr>
      <w:color w:val="0000FF"/>
      <w:u w:val="single"/>
    </w:rPr>
  </w:style>
  <w:style w:type="character" w:styleId="Zwaar">
    <w:name w:val="Strong"/>
    <w:basedOn w:val="Standaardalinea-lettertype"/>
    <w:uiPriority w:val="22"/>
    <w:qFormat/>
    <w:rsid w:val="00B667AC"/>
    <w:rPr>
      <w:b/>
      <w:bCs/>
    </w:rPr>
  </w:style>
  <w:style w:type="paragraph" w:styleId="Voetnoottekst">
    <w:name w:val="footnote text"/>
    <w:basedOn w:val="Standaard"/>
    <w:link w:val="VoetnoottekstChar"/>
    <w:rsid w:val="00B667AC"/>
    <w:rPr>
      <w:sz w:val="20"/>
      <w:szCs w:val="20"/>
    </w:rPr>
  </w:style>
  <w:style w:type="character" w:customStyle="1" w:styleId="VoetnoottekstChar">
    <w:name w:val="Voetnoottekst Char"/>
    <w:basedOn w:val="Standaardalinea-lettertype"/>
    <w:link w:val="Voetnoottekst"/>
    <w:rsid w:val="00B667AC"/>
  </w:style>
  <w:style w:type="paragraph" w:styleId="Normaalweb">
    <w:name w:val="Normal (Web)"/>
    <w:basedOn w:val="Standaard"/>
    <w:uiPriority w:val="99"/>
    <w:unhideWhenUsed/>
    <w:rsid w:val="00B667AC"/>
    <w:pPr>
      <w:spacing w:before="100" w:beforeAutospacing="1" w:after="100" w:afterAutospacing="1"/>
    </w:pPr>
  </w:style>
  <w:style w:type="table" w:styleId="Tabelraster">
    <w:name w:val="Table Grid"/>
    <w:basedOn w:val="Standaardtabel"/>
    <w:rsid w:val="00B6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667AC"/>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6468">
      <w:bodyDiv w:val="1"/>
      <w:marLeft w:val="0"/>
      <w:marRight w:val="0"/>
      <w:marTop w:val="0"/>
      <w:marBottom w:val="0"/>
      <w:divBdr>
        <w:top w:val="none" w:sz="0" w:space="0" w:color="auto"/>
        <w:left w:val="none" w:sz="0" w:space="0" w:color="auto"/>
        <w:bottom w:val="none" w:sz="0" w:space="0" w:color="auto"/>
        <w:right w:val="none" w:sz="0" w:space="0" w:color="auto"/>
      </w:divBdr>
    </w:div>
    <w:div w:id="146482318">
      <w:bodyDiv w:val="1"/>
      <w:marLeft w:val="0"/>
      <w:marRight w:val="0"/>
      <w:marTop w:val="0"/>
      <w:marBottom w:val="0"/>
      <w:divBdr>
        <w:top w:val="none" w:sz="0" w:space="0" w:color="auto"/>
        <w:left w:val="none" w:sz="0" w:space="0" w:color="auto"/>
        <w:bottom w:val="none" w:sz="0" w:space="0" w:color="auto"/>
        <w:right w:val="none" w:sz="0" w:space="0" w:color="auto"/>
      </w:divBdr>
    </w:div>
    <w:div w:id="565143018">
      <w:bodyDiv w:val="1"/>
      <w:marLeft w:val="0"/>
      <w:marRight w:val="0"/>
      <w:marTop w:val="0"/>
      <w:marBottom w:val="0"/>
      <w:divBdr>
        <w:top w:val="none" w:sz="0" w:space="0" w:color="auto"/>
        <w:left w:val="none" w:sz="0" w:space="0" w:color="auto"/>
        <w:bottom w:val="none" w:sz="0" w:space="0" w:color="auto"/>
        <w:right w:val="none" w:sz="0" w:space="0" w:color="auto"/>
      </w:divBdr>
    </w:div>
    <w:div w:id="567418834">
      <w:bodyDiv w:val="1"/>
      <w:marLeft w:val="0"/>
      <w:marRight w:val="0"/>
      <w:marTop w:val="0"/>
      <w:marBottom w:val="0"/>
      <w:divBdr>
        <w:top w:val="none" w:sz="0" w:space="0" w:color="auto"/>
        <w:left w:val="none" w:sz="0" w:space="0" w:color="auto"/>
        <w:bottom w:val="none" w:sz="0" w:space="0" w:color="auto"/>
        <w:right w:val="none" w:sz="0" w:space="0" w:color="auto"/>
      </w:divBdr>
    </w:div>
    <w:div w:id="648097460">
      <w:bodyDiv w:val="1"/>
      <w:marLeft w:val="0"/>
      <w:marRight w:val="0"/>
      <w:marTop w:val="0"/>
      <w:marBottom w:val="0"/>
      <w:divBdr>
        <w:top w:val="none" w:sz="0" w:space="0" w:color="auto"/>
        <w:left w:val="none" w:sz="0" w:space="0" w:color="auto"/>
        <w:bottom w:val="none" w:sz="0" w:space="0" w:color="auto"/>
        <w:right w:val="none" w:sz="0" w:space="0" w:color="auto"/>
      </w:divBdr>
    </w:div>
    <w:div w:id="721632439">
      <w:bodyDiv w:val="1"/>
      <w:marLeft w:val="0"/>
      <w:marRight w:val="0"/>
      <w:marTop w:val="0"/>
      <w:marBottom w:val="0"/>
      <w:divBdr>
        <w:top w:val="none" w:sz="0" w:space="0" w:color="auto"/>
        <w:left w:val="none" w:sz="0" w:space="0" w:color="auto"/>
        <w:bottom w:val="none" w:sz="0" w:space="0" w:color="auto"/>
        <w:right w:val="none" w:sz="0" w:space="0" w:color="auto"/>
      </w:divBdr>
    </w:div>
    <w:div w:id="757101390">
      <w:bodyDiv w:val="1"/>
      <w:marLeft w:val="0"/>
      <w:marRight w:val="0"/>
      <w:marTop w:val="0"/>
      <w:marBottom w:val="0"/>
      <w:divBdr>
        <w:top w:val="none" w:sz="0" w:space="0" w:color="auto"/>
        <w:left w:val="none" w:sz="0" w:space="0" w:color="auto"/>
        <w:bottom w:val="none" w:sz="0" w:space="0" w:color="auto"/>
        <w:right w:val="none" w:sz="0" w:space="0" w:color="auto"/>
      </w:divBdr>
    </w:div>
    <w:div w:id="806048340">
      <w:bodyDiv w:val="1"/>
      <w:marLeft w:val="0"/>
      <w:marRight w:val="0"/>
      <w:marTop w:val="0"/>
      <w:marBottom w:val="0"/>
      <w:divBdr>
        <w:top w:val="none" w:sz="0" w:space="0" w:color="auto"/>
        <w:left w:val="none" w:sz="0" w:space="0" w:color="auto"/>
        <w:bottom w:val="none" w:sz="0" w:space="0" w:color="auto"/>
        <w:right w:val="none" w:sz="0" w:space="0" w:color="auto"/>
      </w:divBdr>
    </w:div>
    <w:div w:id="882062863">
      <w:bodyDiv w:val="1"/>
      <w:marLeft w:val="0"/>
      <w:marRight w:val="0"/>
      <w:marTop w:val="0"/>
      <w:marBottom w:val="0"/>
      <w:divBdr>
        <w:top w:val="none" w:sz="0" w:space="0" w:color="auto"/>
        <w:left w:val="none" w:sz="0" w:space="0" w:color="auto"/>
        <w:bottom w:val="none" w:sz="0" w:space="0" w:color="auto"/>
        <w:right w:val="none" w:sz="0" w:space="0" w:color="auto"/>
      </w:divBdr>
    </w:div>
    <w:div w:id="1194534215">
      <w:bodyDiv w:val="1"/>
      <w:marLeft w:val="0"/>
      <w:marRight w:val="0"/>
      <w:marTop w:val="0"/>
      <w:marBottom w:val="0"/>
      <w:divBdr>
        <w:top w:val="none" w:sz="0" w:space="0" w:color="auto"/>
        <w:left w:val="none" w:sz="0" w:space="0" w:color="auto"/>
        <w:bottom w:val="none" w:sz="0" w:space="0" w:color="auto"/>
        <w:right w:val="none" w:sz="0" w:space="0" w:color="auto"/>
      </w:divBdr>
    </w:div>
    <w:div w:id="1283030873">
      <w:bodyDiv w:val="1"/>
      <w:marLeft w:val="0"/>
      <w:marRight w:val="0"/>
      <w:marTop w:val="0"/>
      <w:marBottom w:val="0"/>
      <w:divBdr>
        <w:top w:val="none" w:sz="0" w:space="0" w:color="auto"/>
        <w:left w:val="none" w:sz="0" w:space="0" w:color="auto"/>
        <w:bottom w:val="none" w:sz="0" w:space="0" w:color="auto"/>
        <w:right w:val="none" w:sz="0" w:space="0" w:color="auto"/>
      </w:divBdr>
    </w:div>
    <w:div w:id="1360887567">
      <w:bodyDiv w:val="1"/>
      <w:marLeft w:val="0"/>
      <w:marRight w:val="0"/>
      <w:marTop w:val="0"/>
      <w:marBottom w:val="0"/>
      <w:divBdr>
        <w:top w:val="none" w:sz="0" w:space="0" w:color="auto"/>
        <w:left w:val="none" w:sz="0" w:space="0" w:color="auto"/>
        <w:bottom w:val="none" w:sz="0" w:space="0" w:color="auto"/>
        <w:right w:val="none" w:sz="0" w:space="0" w:color="auto"/>
      </w:divBdr>
    </w:div>
    <w:div w:id="1430854926">
      <w:bodyDiv w:val="1"/>
      <w:marLeft w:val="0"/>
      <w:marRight w:val="0"/>
      <w:marTop w:val="0"/>
      <w:marBottom w:val="0"/>
      <w:divBdr>
        <w:top w:val="none" w:sz="0" w:space="0" w:color="auto"/>
        <w:left w:val="none" w:sz="0" w:space="0" w:color="auto"/>
        <w:bottom w:val="none" w:sz="0" w:space="0" w:color="auto"/>
        <w:right w:val="none" w:sz="0" w:space="0" w:color="auto"/>
      </w:divBdr>
    </w:div>
    <w:div w:id="1908105260">
      <w:bodyDiv w:val="1"/>
      <w:marLeft w:val="0"/>
      <w:marRight w:val="0"/>
      <w:marTop w:val="0"/>
      <w:marBottom w:val="0"/>
      <w:divBdr>
        <w:top w:val="none" w:sz="0" w:space="0" w:color="auto"/>
        <w:left w:val="none" w:sz="0" w:space="0" w:color="auto"/>
        <w:bottom w:val="none" w:sz="0" w:space="0" w:color="auto"/>
        <w:right w:val="none" w:sz="0" w:space="0" w:color="auto"/>
      </w:divBdr>
    </w:div>
    <w:div w:id="2038965603">
      <w:bodyDiv w:val="1"/>
      <w:marLeft w:val="0"/>
      <w:marRight w:val="0"/>
      <w:marTop w:val="0"/>
      <w:marBottom w:val="0"/>
      <w:divBdr>
        <w:top w:val="none" w:sz="0" w:space="0" w:color="auto"/>
        <w:left w:val="none" w:sz="0" w:space="0" w:color="auto"/>
        <w:bottom w:val="none" w:sz="0" w:space="0" w:color="auto"/>
        <w:right w:val="none" w:sz="0" w:space="0" w:color="auto"/>
      </w:divBdr>
    </w:div>
    <w:div w:id="20509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60180.do" TargetMode="Externa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3" /><Relationship Type="http://schemas.openxmlformats.org/officeDocument/2006/relationships/hyperlink" Target="http://www.ipex.eu/IPEXL-WEB/dossier/document/COM20160208.do" TargetMode="External" Id="rId7" /><Relationship Type="http://schemas.openxmlformats.org/officeDocument/2006/relationships/hyperlink" Target="http://ec.europa.eu/growth/tools-databases/newsroom/cf/itemdetail.cfm?item_id=8761" TargetMode="External" Id="rId12" /><Relationship Type="http://schemas.microsoft.com/office/2007/relationships/stylesWithEffects" Target="stylesWithEffect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http://www.ipex.eu/IPEXL-WEB/dossier/document/COM20160179.do"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ipex.eu/IPEXL-WEB/dossier/document/COM20160176.do" TargetMode="External" Id="rId10" /><Relationship Type="http://schemas.openxmlformats.org/officeDocument/2006/relationships/webSettings" Target="webSettings.xml" Id="rId4" /><Relationship Type="http://schemas.openxmlformats.org/officeDocument/2006/relationships/hyperlink" Target="http://www.ipex.eu/IPEXL-WEB/dossier/document/COM20160178.do" TargetMode="Externa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1400</ap:Words>
  <ap:Characters>9226</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2016-04-26T14:24:00.0000000Z</dcterms:created>
  <dcterms:modified xsi:type="dcterms:W3CDTF">2016-04-26T14:24:00.0000000Z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0x0101005EE2ED13DB764245A0F99F25EA21E225</vt:lpwstr>
  </property>
</Properties>
</file>