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4A" w:rsidP="00CA0C83" w:rsidRDefault="00A33C4A">
      <w:pPr>
        <w:rPr>
          <w:b/>
        </w:rPr>
      </w:pPr>
      <w:bookmarkStart w:name="_GoBack" w:id="0"/>
      <w:bookmarkEnd w:id="0"/>
      <w:r>
        <w:rPr>
          <w:b/>
        </w:rPr>
        <w:t>BIJLAGE BIJ KAMERBRIEF IENM/BSK-201677286</w:t>
      </w:r>
    </w:p>
    <w:p w:rsidRPr="003602D4" w:rsidR="002B6B16" w:rsidP="002B6B16" w:rsidRDefault="002B6B16">
      <w:r w:rsidRPr="003602D4">
        <w:t xml:space="preserve">De Rechtbank Den Haag </w:t>
      </w:r>
      <w:r>
        <w:t xml:space="preserve">(de rechtbank) </w:t>
      </w:r>
      <w:r w:rsidRPr="003602D4">
        <w:t>heeft op 24 juni 2015 uitspraak gedaan</w:t>
      </w:r>
      <w:r>
        <w:t xml:space="preserve"> </w:t>
      </w:r>
      <w:r w:rsidRPr="003602D4">
        <w:t xml:space="preserve">in het geding dat door </w:t>
      </w:r>
      <w:r>
        <w:t>Stichting</w:t>
      </w:r>
      <w:r w:rsidRPr="003602D4">
        <w:t xml:space="preserve"> Urgenda tegen de Staat was aangespannen</w:t>
      </w:r>
      <w:r>
        <w:t xml:space="preserve"> (het Vonnis)</w:t>
      </w:r>
      <w:r w:rsidRPr="003602D4">
        <w:t>. In dit</w:t>
      </w:r>
      <w:r>
        <w:t xml:space="preserve"> </w:t>
      </w:r>
      <w:r w:rsidRPr="003602D4">
        <w:t xml:space="preserve">Vonnis heeft de rechtbank geoordeeld dat de Staat onrechtmatig handelt jegens </w:t>
      </w:r>
      <w:r>
        <w:t xml:space="preserve">Stichting </w:t>
      </w:r>
      <w:r w:rsidRPr="003602D4">
        <w:t xml:space="preserve">Urgenda, vanwege het klimaatbeleid dat Nederland voert. De rechtbank heeft een rechtsplicht van de Staat aangenomen jegens </w:t>
      </w:r>
      <w:r>
        <w:t xml:space="preserve">Stichting </w:t>
      </w:r>
      <w:r w:rsidRPr="003602D4">
        <w:t>Urgenda om</w:t>
      </w:r>
      <w:r>
        <w:t xml:space="preserve"> eind 2020</w:t>
      </w:r>
      <w:r w:rsidRPr="003602D4">
        <w:t xml:space="preserve"> de Nederlandse uitstoot </w:t>
      </w:r>
      <w:r>
        <w:t xml:space="preserve">van broeikasgassen </w:t>
      </w:r>
      <w:r w:rsidRPr="003602D4">
        <w:t>met 25% te reduceren ten opzichte van 1990. De Staat is tegen dit</w:t>
      </w:r>
      <w:r>
        <w:t xml:space="preserve"> </w:t>
      </w:r>
      <w:r w:rsidRPr="003602D4">
        <w:t>Vonnis in hoger beroep gegaan. Deze memorie van grieven bevat de uitgebreide motivering van de bezwaren die de Staat heeft tegen het</w:t>
      </w:r>
      <w:r>
        <w:t xml:space="preserve"> </w:t>
      </w:r>
      <w:r w:rsidRPr="003602D4">
        <w:t>Vonnis van de rechtbank.</w:t>
      </w:r>
      <w:r>
        <w:t xml:space="preserve"> </w:t>
      </w:r>
    </w:p>
    <w:p w:rsidRPr="003602D4" w:rsidR="002B6B16" w:rsidP="002B6B16" w:rsidRDefault="002B6B16">
      <w:r w:rsidRPr="003602D4">
        <w:t xml:space="preserve">Met </w:t>
      </w:r>
      <w:r>
        <w:t xml:space="preserve">Stichting </w:t>
      </w:r>
      <w:r w:rsidRPr="003602D4">
        <w:t xml:space="preserve">Urgenda is de Staat van mening dat klimaatverandering moet worden aangepakt en dat de uitstoot van broeikasgassen moet worden teruggebracht. De Staat streeft samen met </w:t>
      </w:r>
      <w:r>
        <w:t>andere landen en organisaties</w:t>
      </w:r>
      <w:r w:rsidRPr="003602D4">
        <w:t xml:space="preserve"> ambitieuze doelen na</w:t>
      </w:r>
      <w:r>
        <w:t>. Het klimaatbeleid voldoet daarmee</w:t>
      </w:r>
      <w:r w:rsidRPr="003602D4">
        <w:t xml:space="preserve"> aan alle verplichtingen die voor de Staat voortvloeien uit </w:t>
      </w:r>
      <w:r>
        <w:t xml:space="preserve">internationale </w:t>
      </w:r>
      <w:r w:rsidRPr="003602D4">
        <w:t>verdragen en het Europes</w:t>
      </w:r>
      <w:r>
        <w:t>e</w:t>
      </w:r>
      <w:r w:rsidRPr="003602D4">
        <w:t xml:space="preserve"> recht op het gebied van</w:t>
      </w:r>
      <w:r>
        <w:t xml:space="preserve"> </w:t>
      </w:r>
      <w:r w:rsidRPr="003602D4">
        <w:t>klimaatverandering</w:t>
      </w:r>
      <w:r>
        <w:t>. A</w:t>
      </w:r>
      <w:r w:rsidRPr="003602D4">
        <w:t>ls onderdeel van de E</w:t>
      </w:r>
      <w:r>
        <w:t xml:space="preserve">uropese </w:t>
      </w:r>
      <w:r w:rsidRPr="003602D4">
        <w:t>U</w:t>
      </w:r>
      <w:r>
        <w:t>nie</w:t>
      </w:r>
      <w:r w:rsidRPr="003602D4">
        <w:t xml:space="preserve"> is de Staat op weg naar een broeikasgasreductie </w:t>
      </w:r>
      <w:r>
        <w:t xml:space="preserve">in de EU </w:t>
      </w:r>
      <w:r w:rsidRPr="003602D4">
        <w:t xml:space="preserve">van 80-95% in 2050. Met de ambitieuze tussendoelstelling van het reduceren van de emissie van broeikasgassen van ten minste 40% in 2030 (t.o.v. 1990) levert de EU op wereldniveau een grote bijdrage aan </w:t>
      </w:r>
      <w:r>
        <w:t>de</w:t>
      </w:r>
      <w:r w:rsidRPr="003602D4">
        <w:t xml:space="preserve"> uiteindelijk</w:t>
      </w:r>
      <w:r>
        <w:t>e</w:t>
      </w:r>
      <w:r w:rsidRPr="003602D4">
        <w:t xml:space="preserve"> beperk</w:t>
      </w:r>
      <w:r>
        <w:t>ing</w:t>
      </w:r>
      <w:r w:rsidRPr="003602D4">
        <w:t xml:space="preserve"> van de temperatuurstijging tot ruim onder de 2 graden</w:t>
      </w:r>
      <w:r>
        <w:t xml:space="preserve"> Celsius</w:t>
      </w:r>
      <w:r w:rsidRPr="003602D4">
        <w:t xml:space="preserve">. </w:t>
      </w:r>
    </w:p>
    <w:p w:rsidRPr="003602D4" w:rsidR="002B6B16" w:rsidP="002B6B16" w:rsidRDefault="002B6B16">
      <w:r w:rsidRPr="003602D4">
        <w:t>Het geschil tussen</w:t>
      </w:r>
      <w:r>
        <w:t xml:space="preserve"> Stichting</w:t>
      </w:r>
      <w:r w:rsidRPr="003602D4">
        <w:t xml:space="preserve"> Urgenda en de Staat gaat over de vraag of de Staat juridisch verplicht kan worden om voor de eerstkomende jaren tot </w:t>
      </w:r>
      <w:r>
        <w:t xml:space="preserve">eind </w:t>
      </w:r>
      <w:r w:rsidRPr="003602D4">
        <w:t xml:space="preserve">2020 verder te gaan in de reductie van broeikasgassen dan internationaal is afgesproken en is vastgelegd in Europees recht. De Staat is van oordeel dat hij hiertoe niet verplicht kan worden en </w:t>
      </w:r>
      <w:r>
        <w:t xml:space="preserve">bovendien </w:t>
      </w:r>
      <w:r w:rsidRPr="003602D4">
        <w:t xml:space="preserve">niet onrechtmatig handelt jegens </w:t>
      </w:r>
      <w:r>
        <w:t xml:space="preserve">Stichting </w:t>
      </w:r>
      <w:r w:rsidRPr="003602D4">
        <w:t xml:space="preserve">Urgenda. </w:t>
      </w:r>
    </w:p>
    <w:p w:rsidRPr="003602D4" w:rsidR="002B6B16" w:rsidP="002B6B16" w:rsidRDefault="002B6B16">
      <w:r w:rsidRPr="003602D4">
        <w:t xml:space="preserve">Uit de internationale klimaatwetenschap </w:t>
      </w:r>
      <w:r>
        <w:t>volgt</w:t>
      </w:r>
      <w:r w:rsidRPr="003602D4">
        <w:t xml:space="preserve"> dat er </w:t>
      </w:r>
      <w:r>
        <w:t>meerdere reductiepaden</w:t>
      </w:r>
      <w:r w:rsidRPr="003602D4">
        <w:t xml:space="preserve"> zijn om </w:t>
      </w:r>
      <w:r>
        <w:t>de temperatuurstijging tot ruim onder de twee graden Celsius te beperken</w:t>
      </w:r>
      <w:r w:rsidRPr="003602D4">
        <w:t xml:space="preserve">, juist door op nationaal, Europees en mondiaal niveau aanvullende maatregelen te nemen in de periode 2020-2050. Dit vereist vanzelfsprekend een grote wereldwijde inspanning in deze periode. Om die reden </w:t>
      </w:r>
      <w:r>
        <w:t>zijn in het a</w:t>
      </w:r>
      <w:r w:rsidRPr="003602D4">
        <w:t>kkoord van Parijs afspraken gemaakt over de bijdragen van vrijwel alle landen in de wereld, die periodiek kunnen worden aangepast en aangescherpt zodat de afgesproken doelstelling wordt gerealiseerd.</w:t>
      </w:r>
      <w:r>
        <w:t xml:space="preserve"> </w:t>
      </w:r>
    </w:p>
    <w:p w:rsidRPr="003602D4" w:rsidR="002B6B16" w:rsidP="002B6B16" w:rsidRDefault="002B6B16">
      <w:r w:rsidRPr="003602D4">
        <w:t>Een belangrijk argument van de rechtbank is het gevaar dat door klimaatverandering ontstaat. De beleidsmatige koerswijziging die door de rechtbank wordt bevolen –</w:t>
      </w:r>
      <w:r>
        <w:t xml:space="preserve"> </w:t>
      </w:r>
      <w:r w:rsidRPr="003602D4">
        <w:t>meer reductiemaatregelen op korte termijn –</w:t>
      </w:r>
      <w:r>
        <w:t xml:space="preserve"> </w:t>
      </w:r>
      <w:r w:rsidRPr="003602D4">
        <w:t xml:space="preserve">heeft echter alleen betrekking op emissiereductie van broeikasgassen in Nederland. </w:t>
      </w:r>
      <w:r w:rsidRPr="00763FBC">
        <w:t>Het ‘emissie aandeel’ van Nederland in de wereld is met 0,3</w:t>
      </w:r>
      <w:r>
        <w:t>5</w:t>
      </w:r>
      <w:r w:rsidRPr="00763FBC">
        <w:t>% zeer klein</w:t>
      </w:r>
      <w:r>
        <w:t>.</w:t>
      </w:r>
      <w:r w:rsidRPr="00763FBC">
        <w:t xml:space="preserve"> </w:t>
      </w:r>
      <w:r>
        <w:t>D</w:t>
      </w:r>
      <w:r w:rsidRPr="00763FBC">
        <w:t>e reductiekoers in de wereld wordt door nationale maatregelen slechts minimaal beïnvloed. Een modelmatige berekening toont aan dat de extra reductie zoals bevolen door de rechtbank 0.000045 °C minder gemiddelde wereldwijde opwarming tot 2100 tot gevolg zou hebben. Dit effect, dat wegvalt tegen alle onzekerheden die met een dergelijke berekening samenhangen, heeft geen meetbaar effect op het gevaar van klimaatverandering.</w:t>
      </w:r>
      <w:r w:rsidRPr="003602D4">
        <w:t xml:space="preserve"> Daarmee is niet gezegd dat Nederland niet moet bijdragen aan de wereldwijde reductie van broeikasgasemissie, maar wel dat Nederland de koers die in de wereld wordt gevolgd om tot emissiereductie te komen en de prioriteiten die daarbij worden gesteld, </w:t>
      </w:r>
      <w:r>
        <w:t xml:space="preserve">niet alleen </w:t>
      </w:r>
      <w:r w:rsidRPr="003602D4">
        <w:t xml:space="preserve">kan </w:t>
      </w:r>
      <w:r>
        <w:t>bepalen</w:t>
      </w:r>
      <w:r w:rsidRPr="003602D4">
        <w:t xml:space="preserve">. </w:t>
      </w:r>
    </w:p>
    <w:p w:rsidRPr="003602D4" w:rsidR="002B6B16" w:rsidP="002B6B16" w:rsidRDefault="002B6B16">
      <w:r>
        <w:lastRenderedPageBreak/>
        <w:t>Het Vonnis</w:t>
      </w:r>
      <w:r w:rsidRPr="007D748C">
        <w:rPr>
          <w:szCs w:val="18"/>
        </w:rPr>
        <w:t xml:space="preserve"> </w:t>
      </w:r>
      <w:r w:rsidRPr="00602355">
        <w:rPr>
          <w:szCs w:val="18"/>
        </w:rPr>
        <w:t xml:space="preserve">verhoudt </w:t>
      </w:r>
      <w:r>
        <w:rPr>
          <w:szCs w:val="18"/>
        </w:rPr>
        <w:t xml:space="preserve">zich slecht </w:t>
      </w:r>
      <w:r w:rsidRPr="00602355">
        <w:rPr>
          <w:szCs w:val="18"/>
        </w:rPr>
        <w:t xml:space="preserve">tot het Europese kader van doelen voor ETS- en niet-ETS-sectoren. </w:t>
      </w:r>
      <w:r>
        <w:rPr>
          <w:szCs w:val="18"/>
        </w:rPr>
        <w:t>I</w:t>
      </w:r>
      <w:r>
        <w:t>n</w:t>
      </w:r>
      <w:r w:rsidRPr="003602D4">
        <w:t xml:space="preserve"> Nederland </w:t>
      </w:r>
      <w:r>
        <w:t xml:space="preserve">geldt </w:t>
      </w:r>
      <w:r w:rsidRPr="003602D4">
        <w:t xml:space="preserve">het Europese handelssysteem voor </w:t>
      </w:r>
      <w:r>
        <w:t>CO₂</w:t>
      </w:r>
      <w:r w:rsidRPr="003602D4">
        <w:t>-rechten (ETS). De ruimte om binnen dit sy</w:t>
      </w:r>
      <w:r>
        <w:t>s</w:t>
      </w:r>
      <w:r w:rsidRPr="003602D4">
        <w:t xml:space="preserve">teem eenzijdig op te treden is beperkt. Als de Nederlandse uitstoot in sectoren die onder het ETS vallen daalt, kan in andere Europese landen meer </w:t>
      </w:r>
      <w:r>
        <w:t>CO₂</w:t>
      </w:r>
      <w:r w:rsidRPr="003602D4">
        <w:t xml:space="preserve"> worden uitgestoten (het </w:t>
      </w:r>
      <w:r>
        <w:t xml:space="preserve">zgn. </w:t>
      </w:r>
      <w:r w:rsidRPr="003602D4">
        <w:rPr>
          <w:i/>
        </w:rPr>
        <w:t>waterbedeffect</w:t>
      </w:r>
      <w:r w:rsidRPr="003602D4">
        <w:t>). De extra reductie die</w:t>
      </w:r>
      <w:r>
        <w:t xml:space="preserve"> in Nederland</w:t>
      </w:r>
      <w:r w:rsidRPr="003602D4">
        <w:t xml:space="preserve"> wordt bereikt door uitvoering van het Vonnis zou daardoor </w:t>
      </w:r>
      <w:r w:rsidRPr="00E1367E">
        <w:t>deels t</w:t>
      </w:r>
      <w:r w:rsidRPr="003602D4">
        <w:t xml:space="preserve">erug kunnen komen in de vorm van </w:t>
      </w:r>
      <w:r>
        <w:t>CO₂</w:t>
      </w:r>
      <w:r w:rsidRPr="003602D4">
        <w:t>-uitstoot in andere landen binnen de EU. Uitvoering geven aan het Vonnis doorbreekt dit afgewogen systeem om gezamenlijk en efficiënt, broeikas</w:t>
      </w:r>
      <w:r>
        <w:t>gas</w:t>
      </w:r>
      <w:r w:rsidRPr="003602D4">
        <w:t>reductie in de EU te bereiken.</w:t>
      </w:r>
      <w:r>
        <w:t xml:space="preserve"> </w:t>
      </w:r>
    </w:p>
    <w:p w:rsidRPr="003602D4" w:rsidR="002B6B16" w:rsidP="002B6B16" w:rsidRDefault="002B6B16">
      <w:r w:rsidRPr="003602D4">
        <w:t xml:space="preserve">Het is nog niet exact bekend wat de </w:t>
      </w:r>
      <w:r>
        <w:t>broeikasgas</w:t>
      </w:r>
      <w:r w:rsidRPr="003602D4">
        <w:t xml:space="preserve">reductie die de rechtbank aan de Staat oplegt precies gaat kosten. Dat het om hoge (publieke) kosten gaat staat echter vast. Extra maatregelen in de sfeer van energiebesparing en hernieuwbare energie zijn lastig omdat er al vol wordt ingezet op </w:t>
      </w:r>
      <w:r>
        <w:t xml:space="preserve">het </w:t>
      </w:r>
      <w:r w:rsidRPr="003602D4">
        <w:t>volledig uitvoeren van het Energieakkoord. Maatregelen kunnen vaak niet vóór eind 2020 worden geïmplementeerd of leveren in 2020 nog geen maximaal reductie-effect</w:t>
      </w:r>
      <w:r>
        <w:t xml:space="preserve"> op</w:t>
      </w:r>
      <w:r w:rsidRPr="003602D4">
        <w:t>. Andere maatregelen kunnen alleen in Europese context worden gerealiseerd</w:t>
      </w:r>
      <w:r>
        <w:t xml:space="preserve">, </w:t>
      </w:r>
      <w:r w:rsidRPr="003602D4">
        <w:t>omdat reeds Europese regelgeving geldt. Voor de korte termijn</w:t>
      </w:r>
      <w:r>
        <w:t xml:space="preserve"> moeten daarom relatief dure maatregelen worden getroffen</w:t>
      </w:r>
      <w:r w:rsidRPr="003602D4">
        <w:t>.</w:t>
      </w:r>
      <w:r>
        <w:t xml:space="preserve"> </w:t>
      </w:r>
      <w:r w:rsidRPr="003602D4">
        <w:t xml:space="preserve">Het geld dat wordt uitgegeven om op korte termijn resultaat te behalen kan niet worden gebruikt in de periode 2020-2050. </w:t>
      </w:r>
      <w:r>
        <w:t xml:space="preserve">Het is van belang om de kosten van extra maatregelen af te wegen tegen het effect op de lange termijn en het maatschappelijk draagvlak voor de te treffen maatregelen. </w:t>
      </w:r>
      <w:r w:rsidRPr="003602D4">
        <w:t>Bovendien</w:t>
      </w:r>
      <w:r>
        <w:t xml:space="preserve"> moet worden voorkomen dat</w:t>
      </w:r>
      <w:r w:rsidRPr="003602D4">
        <w:t xml:space="preserve"> maatregelen die op korte termijn resultaat opleveren, investeringen vergen die op de lange termijn geen of een negatief effect hebben (het zogenaamde </w:t>
      </w:r>
      <w:r w:rsidRPr="003602D4">
        <w:rPr>
          <w:i/>
        </w:rPr>
        <w:t>lock-in effect</w:t>
      </w:r>
      <w:r w:rsidRPr="003602D4">
        <w:t xml:space="preserve">). </w:t>
      </w:r>
      <w:r w:rsidRPr="00D5738B">
        <w:t xml:space="preserve">Een voorbeeld van het </w:t>
      </w:r>
      <w:r w:rsidRPr="00D5738B">
        <w:rPr>
          <w:i/>
        </w:rPr>
        <w:t>lock-in effect</w:t>
      </w:r>
      <w:r w:rsidRPr="00D5738B">
        <w:t xml:space="preserve"> treedt op bij het stimuleren van zuinigere benzinemotoren terwijl op de lange termijn een overgang naar elektromotoren wenselijk is.</w:t>
      </w:r>
    </w:p>
    <w:p w:rsidRPr="003602D4" w:rsidR="002B6B16" w:rsidP="002B6B16" w:rsidRDefault="002B6B16">
      <w:r w:rsidRPr="003602D4">
        <w:t xml:space="preserve">Er bestaat geen rechtsplicht van de Staat jegens </w:t>
      </w:r>
      <w:r>
        <w:t xml:space="preserve">Stichting </w:t>
      </w:r>
      <w:r w:rsidRPr="003602D4">
        <w:t xml:space="preserve">Urgenda om de reductie terug te brengen tot het door de rechtbank bevolen niveau. </w:t>
      </w:r>
      <w:r>
        <w:t xml:space="preserve">Er is ook geen wetenschappelijke basis voor de conclusie van de rechtbank dat de opgelegde reductie in 2020 noodzakelijk is om de temperatuurstijging tot ruim onder de twee graden Celsius te beperken. De Staat zal, in internationale samenwerking, </w:t>
      </w:r>
      <w:r w:rsidRPr="003602D4">
        <w:t>daadkrachtig optreden in de periode 2020-2030 en verder</w:t>
      </w:r>
      <w:r>
        <w:t xml:space="preserve"> om klimaatverandering te beperken. De afweging over de keuze voor en fasering van maatregelen moet echter door de Staat worden gedaan. </w:t>
      </w:r>
      <w:r w:rsidRPr="003602D4">
        <w:t xml:space="preserve">Dit is de aanpak die in het </w:t>
      </w:r>
      <w:r>
        <w:t>a</w:t>
      </w:r>
      <w:r w:rsidRPr="003602D4">
        <w:t>kkoord van Parijs is gekozen. De Staat gaat daarom in hoger beroep.</w:t>
      </w:r>
    </w:p>
    <w:p w:rsidRPr="00380C06" w:rsidR="002B6B16" w:rsidP="002B6B16" w:rsidRDefault="002B6B16">
      <w:pPr>
        <w:rPr>
          <w:u w:val="single"/>
        </w:rPr>
      </w:pPr>
      <w:r w:rsidRPr="00380C06">
        <w:rPr>
          <w:u w:val="single"/>
        </w:rPr>
        <w:t>Redenering van de rechtbank</w:t>
      </w:r>
    </w:p>
    <w:p w:rsidRPr="003602D4" w:rsidR="002B6B16" w:rsidP="002B6B16" w:rsidRDefault="002B6B16">
      <w:r w:rsidRPr="003602D4">
        <w:t xml:space="preserve">De rechtbank neemt in haar </w:t>
      </w:r>
      <w:r>
        <w:t>Vonnis</w:t>
      </w:r>
      <w:r w:rsidRPr="003602D4">
        <w:t xml:space="preserve"> aan dat uit de internationale klimaatwetenschap, gebundeld in de rapporten van het IPCC, een norm kan worden afgeleid van </w:t>
      </w:r>
      <w:r>
        <w:t xml:space="preserve">een </w:t>
      </w:r>
      <w:r w:rsidRPr="003602D4">
        <w:t>minimaal noodzakelijke broeikasgasreductie in 2020, om een redelijke kans te behouden op een temperatuurstijging onder de twee graden. Deze norm ligt volgens de rechtbank op minimaal 25% broeikasreductie in 2020 ten opzichte van 1990.</w:t>
      </w:r>
    </w:p>
    <w:p w:rsidRPr="003602D4" w:rsidR="002B6B16" w:rsidP="002B6B16" w:rsidRDefault="002B6B16">
      <w:r w:rsidRPr="003602D4">
        <w:t xml:space="preserve">Op basis van deze interpretatie van de rapporten van de IPCC toetst de rechtbank vervolgens of de Staat onrechtmatig handelt </w:t>
      </w:r>
      <w:r>
        <w:t>jegens</w:t>
      </w:r>
      <w:r w:rsidRPr="003602D4">
        <w:t xml:space="preserve"> </w:t>
      </w:r>
      <w:r>
        <w:t xml:space="preserve">Stichting </w:t>
      </w:r>
      <w:r w:rsidRPr="003602D4">
        <w:t>Urgenda. Uitgangspunt</w:t>
      </w:r>
      <w:r>
        <w:t xml:space="preserve"> voor de rechtbank</w:t>
      </w:r>
      <w:r w:rsidRPr="003602D4">
        <w:t xml:space="preserve"> daarbij is dat er geen rechtstreeks werkende verdragsbepaling is, die de Staat verplicht tot een bepaalde reductie. De rechtbank overweegt wel dat bepalingen uit verdragen, Europese richtlijnen en de Grondwet, van belang zijn bij de invulling van de zorgplicht die de Staat zou hebben jegens </w:t>
      </w:r>
      <w:r>
        <w:t xml:space="preserve">Stichting </w:t>
      </w:r>
      <w:r w:rsidRPr="003602D4">
        <w:t>Urgenda.</w:t>
      </w:r>
    </w:p>
    <w:p w:rsidR="002B6B16" w:rsidP="002B6B16" w:rsidRDefault="002B6B16">
      <w:r>
        <w:lastRenderedPageBreak/>
        <w:t>Aan de hand van</w:t>
      </w:r>
      <w:r w:rsidRPr="003602D4">
        <w:t xml:space="preserve"> de interpretatie van de beschikbare wetenschappelijke informatie en de niet direct werkende bepalingen uit internationaal en Europees</w:t>
      </w:r>
      <w:r>
        <w:t xml:space="preserve"> recht</w:t>
      </w:r>
      <w:r w:rsidRPr="003602D4">
        <w:t>, komt de rechtbank tot de conclusie dat de Staat niet aan zijn zorgplicht voldoet als de Nederlandse uitstoot van broeikasgassen in 2020 niet met tenminste 25% ten opzichte van 1990 wordt gereduceerd. Vanwege het grote potentiële gevaar van klimaatverandering en de bepalingen uit verdragen, Europese richtlijnen en de Grondwet ziet de rechtbank geen ruimte voor een beleidskeuze van de Staat.</w:t>
      </w:r>
    </w:p>
    <w:p w:rsidR="002B6B16" w:rsidP="002B6B16" w:rsidRDefault="002B6B16">
      <w:r>
        <w:t xml:space="preserve">De rechtbank heeft alleen de vordering van Stichting Urgenda om ten minste 25% reductie te bereiken toegewezen. Alle overige vorderingen van Stichting Urgenda en de vorderingen van de 886 natuurlijke personen, </w:t>
      </w:r>
      <w:r w:rsidRPr="0000268C">
        <w:t>waarvoor Stichting Urgenda tevens optrad</w:t>
      </w:r>
      <w:r>
        <w:t>, zijn door de rechtbank afgewezen.</w:t>
      </w:r>
    </w:p>
    <w:p w:rsidRPr="00380C06" w:rsidR="002B6B16" w:rsidP="002B6B16" w:rsidRDefault="002B6B16">
      <w:pPr>
        <w:rPr>
          <w:u w:val="single"/>
        </w:rPr>
      </w:pPr>
      <w:r w:rsidRPr="00380C06">
        <w:rPr>
          <w:u w:val="single"/>
        </w:rPr>
        <w:t>Kern van het betoog van de Staat</w:t>
      </w:r>
    </w:p>
    <w:p w:rsidRPr="003602D4" w:rsidR="002B6B16" w:rsidP="002B6B16" w:rsidRDefault="002B6B16">
      <w:r w:rsidRPr="003602D4">
        <w:t xml:space="preserve">Het beleid van de Staat is sinds geruime tijd gericht op zowel het voorkomen als beperken van de gevolgen van klimaatverandering. Hierbij staat voorop dat klimaatverandering niet door individuele landen kan worden opgelost. Klimaatverandering is een mondiaal probleem en vraagt om een mondiale aanpak. Daarom heeft de Staat, zowel zelfstandig als in Europees verband, altijd sterk ingezet op ambitieuze internationale samenwerking om klimaatverandering het hoofd te bieden. Dit vergt goede coördinatie en afstemming. De Staat is zijn internationale en Europese afspraken op dit vlak </w:t>
      </w:r>
      <w:r>
        <w:t xml:space="preserve">steeds </w:t>
      </w:r>
      <w:r w:rsidRPr="003602D4">
        <w:t>nagekomen en komt deze ook nu na. Op deze manier draagt Nederland bij aan de oplossing van een wereldwijd probleem. Mede door de inzet van Nederland voert de Europese Unie wereldwijd de strijd tegen klimaatverandering aan.</w:t>
      </w:r>
    </w:p>
    <w:p w:rsidRPr="003602D4" w:rsidR="002B6B16" w:rsidP="002B6B16" w:rsidRDefault="002B6B16">
      <w:r w:rsidRPr="003602D4">
        <w:t xml:space="preserve">Het belang om in internationaal verband klimaatverandering aan te pakken wordt steeds breder gedeeld. In december 2015 is in Parijs een nieuw klimaatakkoord gesloten. Dit akkoord is wereldwijd positief ontvangen en </w:t>
      </w:r>
      <w:r>
        <w:t>vorm</w:t>
      </w:r>
      <w:r w:rsidRPr="003602D4">
        <w:t xml:space="preserve">t een robuust raamwerk om de </w:t>
      </w:r>
      <w:r>
        <w:t xml:space="preserve">wereldwijde gemiddelde </w:t>
      </w:r>
      <w:r w:rsidRPr="003602D4">
        <w:t xml:space="preserve">temperatuurstijging ruim onder de twee graden Celsius te houden. Op grond hiervan moet vanaf 2020 elk land elke 5 jaar aangeven welke bijdrage (NDC, National Determined Contribution) </w:t>
      </w:r>
      <w:r>
        <w:t>h</w:t>
      </w:r>
      <w:r w:rsidRPr="003602D4">
        <w:t>ij zal leveren</w:t>
      </w:r>
      <w:r>
        <w:t>;</w:t>
      </w:r>
      <w:r w:rsidRPr="003602D4">
        <w:t xml:space="preserve"> </w:t>
      </w:r>
      <w:r>
        <w:t>d</w:t>
      </w:r>
      <w:r w:rsidRPr="003602D4">
        <w:t xml:space="preserve">aaruit blijkt </w:t>
      </w:r>
      <w:r>
        <w:t xml:space="preserve">dan </w:t>
      </w:r>
      <w:r w:rsidRPr="003602D4">
        <w:t xml:space="preserve">hoeveel extra emissiereductie dat land in de daarop volgende periode gaat realiseren. De reducties moeten progressief zijn in de tijd en uiteindelijk optellen tot de afgesproken doelstelling. Met de NDC’s die voorafgaand aan het akkoord zijn </w:t>
      </w:r>
      <w:r w:rsidRPr="00763FBC">
        <w:t>ingediend</w:t>
      </w:r>
      <w:r w:rsidRPr="003602D4">
        <w:t xml:space="preserve"> is het werk nog niet gedaan. De NDC’s zullen voor de periode 2025-2030, en voor de periodes daarna, nog worden aangescherpt om de doelstellingen uit het akkoord van Parijs te realiseren. Het beleid om deze doelen te behalen zal nog verder worden ontwikkeld in de komende jaren. Het klimaatakkoord van Parijs staat voor een ambitieuze aanpak van klimaatverandering en een hernieuwd vertrouwen in internationale coördinatie en samenwerking. De Europese Unie heeft in het kader van het akkoord aangegeven voor 2030 een reductie te willen bereiken van ten minste 40% ten opzichte van 1990. Met dit reductiepercentage loopt de EU ook in de periode 2020-2030 mondiaal voorop als het aankomt op het beperken van broeikasgasemissies.</w:t>
      </w:r>
    </w:p>
    <w:p w:rsidRPr="003602D4" w:rsidR="002B6B16" w:rsidP="002B6B16" w:rsidRDefault="002B6B16">
      <w:r w:rsidRPr="003602D4">
        <w:t>De Staat heeft de doelen die internationaal zijn afgesproken steeds gehaald. In de periode tot 2012 is 6,4% gereduceerd en doo</w:t>
      </w:r>
      <w:r>
        <w:t>r volledige uitvoering van het Energie</w:t>
      </w:r>
      <w:r w:rsidRPr="003602D4">
        <w:t xml:space="preserve">akkoord komt </w:t>
      </w:r>
      <w:r w:rsidRPr="00D5738B">
        <w:t>Nederland in 2020 uit op 21% reductie ten opzichte van 1990. D</w:t>
      </w:r>
      <w:r w:rsidRPr="003602D4">
        <w:t xml:space="preserve">aarnaast treft de Nederlandse regering adaptatiemaatregelen om Nederland te behoeden voor mogelijke </w:t>
      </w:r>
      <w:r>
        <w:t>gevaren</w:t>
      </w:r>
      <w:r w:rsidRPr="003602D4">
        <w:t xml:space="preserve"> van klimaatverandering.</w:t>
      </w:r>
    </w:p>
    <w:p w:rsidR="002B6B16" w:rsidP="002B6B16" w:rsidRDefault="002B6B16">
      <w:r w:rsidRPr="003602D4">
        <w:t xml:space="preserve">Het door de rechtbank opgelegde nationale reductiebevel gaat verder dan wat internationaal is afgesproken en daarmee miskent de rechtbank de internationale dimensie van het klimaatprobleem en </w:t>
      </w:r>
      <w:r>
        <w:t>de</w:t>
      </w:r>
      <w:r w:rsidRPr="003602D4">
        <w:t xml:space="preserve"> </w:t>
      </w:r>
      <w:r>
        <w:t xml:space="preserve">noodzaak voor een internationaal </w:t>
      </w:r>
      <w:r w:rsidRPr="003602D4">
        <w:t xml:space="preserve">gecoördineerde aanpak van dit probleem. Anders dan de rechtbank stelt, wordt naar de mening van de Staat klimaatverandering effectief aangepakt door internationale samenwerking. De effectiviteit van de internationaal vastgelegde afspraken wordt onderbouwd door analyses </w:t>
      </w:r>
      <w:r>
        <w:t xml:space="preserve">van de beschikbare </w:t>
      </w:r>
      <w:r w:rsidRPr="003602D4">
        <w:t>wetenschap</w:t>
      </w:r>
      <w:r>
        <w:t>pelijke inzichten</w:t>
      </w:r>
      <w:r w:rsidRPr="003602D4">
        <w:t xml:space="preserve">, </w:t>
      </w:r>
      <w:r>
        <w:t>uitgevoerd</w:t>
      </w:r>
      <w:r w:rsidRPr="003602D4">
        <w:t xml:space="preserve"> door het IPCC. Het zwaartepunt van de te treffen maatregelen ligt bij deze afspraken in de periode 2020-2050. </w:t>
      </w:r>
      <w:r>
        <w:t xml:space="preserve">De rechtbank leest de internationale afspraken en de wetenschappelijke IPCC rapporten, naar het oordeel van de Staat, op verschillende manieren verkeerd als daaruit wordt afgeleid dat </w:t>
      </w:r>
      <w:r w:rsidRPr="003602D4">
        <w:t>25% reductie in 2020 in Nederland noodzakelijk is</w:t>
      </w:r>
      <w:r>
        <w:t>.</w:t>
      </w:r>
    </w:p>
    <w:p w:rsidRPr="003602D4" w:rsidR="002B6B16" w:rsidP="002B6B16" w:rsidRDefault="002B6B16">
      <w:r w:rsidRPr="003602D4">
        <w:t xml:space="preserve">Er zijn natuurlijk alternatieven voor het reductiepad dat internationaal is ingezet. Zo is er bijvoorbeeld lang door Nederland en de Europese Unie aangedrongen op een sterkere reductie voor 2020. </w:t>
      </w:r>
      <w:r>
        <w:t xml:space="preserve">Stichting </w:t>
      </w:r>
      <w:r w:rsidRPr="003602D4">
        <w:t xml:space="preserve">Urgenda bepleit deze aanpak ook </w:t>
      </w:r>
      <w:r>
        <w:t xml:space="preserve">nu nog </w:t>
      </w:r>
      <w:r w:rsidRPr="003602D4">
        <w:t xml:space="preserve">in deze procedure. Internationaal is echter niet voor dit spoor gekozen. Er zijn afspraken gemaakt die uitgaan van 20% reductie in 2020 in Europees verband, waar Nederland aan bijdraagt. Deze aanpak </w:t>
      </w:r>
      <w:r w:rsidRPr="002A2320">
        <w:t xml:space="preserve">maakt het mogelijk om het tweegradendoel te halen </w:t>
      </w:r>
      <w:r w:rsidRPr="003602D4">
        <w:t xml:space="preserve">en de Staat heeft zich hier bij aangesloten. Het feit dat eerder, ook door de Staat, is aangedrongen op een sterkere reductie betekent niet dat er daarom sprake zou zijn van een schending van een rechtsplicht jegens </w:t>
      </w:r>
      <w:r>
        <w:t xml:space="preserve">Stichting </w:t>
      </w:r>
      <w:r w:rsidRPr="003602D4">
        <w:t>Urgenda om tot een bepaald reductieniveau te komen. Door te kiezen voor het inte</w:t>
      </w:r>
      <w:r>
        <w:t xml:space="preserve">rnationaal ingezette pad wordt </w:t>
      </w:r>
      <w:r w:rsidRPr="002A2320">
        <w:t>effectief bescherm</w:t>
      </w:r>
      <w:r>
        <w:t>ing geboden tegen gevaarlijke klimaatverandering.</w:t>
      </w:r>
    </w:p>
    <w:p w:rsidRPr="003602D4" w:rsidR="002B6B16" w:rsidP="002B6B16" w:rsidRDefault="002B6B16">
      <w:r w:rsidRPr="003602D4">
        <w:t xml:space="preserve">Internationale samenwerking is niet alleen de meest effectieve aanpak van klimaatverandering, het is ook de enig mogelijke aanpak van klimaatverandering. </w:t>
      </w:r>
      <w:r>
        <w:t xml:space="preserve">Zoals hierboven gesteld heeft de Nederlandse uitstoot slechts beperkt invloed op de wereldwijde koers van broeikasgasreductie. De uitspraak van de rechtbank heeft daardoor geen meetbaar effect op het gevaar dat ontstaat door klimaatverandering. Bovendien wordt </w:t>
      </w:r>
      <w:r w:rsidRPr="003602D4">
        <w:t xml:space="preserve">de </w:t>
      </w:r>
      <w:r>
        <w:t xml:space="preserve">nationale </w:t>
      </w:r>
      <w:r w:rsidRPr="003602D4">
        <w:t xml:space="preserve">beperking van broeikasgassen in de ETS–sectoren </w:t>
      </w:r>
      <w:r>
        <w:t>verminderd</w:t>
      </w:r>
      <w:r w:rsidRPr="003602D4">
        <w:t xml:space="preserve"> door het </w:t>
      </w:r>
      <w:r w:rsidRPr="003602D4">
        <w:rPr>
          <w:i/>
        </w:rPr>
        <w:t>waterbedeffect</w:t>
      </w:r>
      <w:r w:rsidRPr="003602D4">
        <w:t xml:space="preserve">. Daar staat tegenover dat de kosten van nationale aanvullende reductie aanzienlijk zijn. Dit is met name het geval omdat de rechtbank de Staat slechts een zeer korte periode gunt om aan </w:t>
      </w:r>
      <w:r>
        <w:t>het</w:t>
      </w:r>
      <w:r w:rsidRPr="003602D4">
        <w:t xml:space="preserve"> reductie</w:t>
      </w:r>
      <w:r>
        <w:t>bevel</w:t>
      </w:r>
      <w:r w:rsidRPr="003602D4">
        <w:t xml:space="preserve"> te voldoen (</w:t>
      </w:r>
      <w:r>
        <w:t xml:space="preserve">tot eind </w:t>
      </w:r>
      <w:r w:rsidRPr="003602D4">
        <w:t xml:space="preserve">2020). Dit noodzaakt de Staat om maatregelen te treffen die zeer kostbaar zijn, </w:t>
      </w:r>
      <w:r>
        <w:t xml:space="preserve">mogelijk </w:t>
      </w:r>
      <w:r w:rsidRPr="003602D4">
        <w:t xml:space="preserve">op weinig </w:t>
      </w:r>
      <w:r>
        <w:t xml:space="preserve">maatschappelijk </w:t>
      </w:r>
      <w:r w:rsidRPr="003602D4">
        <w:t xml:space="preserve">draagvlak kunnen rekenen en op de lange termijn minder effect hebben. </w:t>
      </w:r>
    </w:p>
    <w:p w:rsidRPr="00011E80" w:rsidR="002B6B16" w:rsidP="002B6B16" w:rsidRDefault="002B6B16">
      <w:pPr>
        <w:rPr>
          <w:b/>
        </w:rPr>
      </w:pPr>
      <w:r w:rsidRPr="003602D4">
        <w:t xml:space="preserve">Zoals hiervoor </w:t>
      </w:r>
      <w:r>
        <w:t xml:space="preserve">is </w:t>
      </w:r>
      <w:r w:rsidRPr="003602D4">
        <w:t>benadrukt</w:t>
      </w:r>
      <w:r>
        <w:t>,</w:t>
      </w:r>
      <w:r w:rsidRPr="003602D4">
        <w:t xml:space="preserve"> bestaat er geen rechtsplicht van de Staat jegens </w:t>
      </w:r>
      <w:r>
        <w:t xml:space="preserve">Stichting </w:t>
      </w:r>
      <w:r w:rsidRPr="003602D4">
        <w:t xml:space="preserve">Urgenda om de uitstoot te beperken tot het niveau als aangenomen door de rechtbank. Van belang is dat het ontbreken van een </w:t>
      </w:r>
      <w:r>
        <w:t xml:space="preserve">dergelijke </w:t>
      </w:r>
      <w:r w:rsidRPr="003602D4">
        <w:t>rechtsplicht en het ingestelde hoger beroep op geen enkele wijze in de weg staa</w:t>
      </w:r>
      <w:r>
        <w:t>n</w:t>
      </w:r>
      <w:r w:rsidRPr="003602D4">
        <w:t xml:space="preserve"> aan de mogelijkheid voor de politiek om</w:t>
      </w:r>
      <w:r>
        <w:t xml:space="preserve"> een</w:t>
      </w:r>
      <w:r w:rsidRPr="003602D4">
        <w:t xml:space="preserve"> hoger ambitieniveau aan te houden dan verplicht is. De transitie naar duurzame en </w:t>
      </w:r>
      <w:r>
        <w:t>CO₂</w:t>
      </w:r>
      <w:r w:rsidRPr="003602D4">
        <w:t xml:space="preserve">-arme technieken biedt immers ook kansen voor Nederland. Het reeds ingezette Nederlandse beleid voor de niet-ETS sectoren </w:t>
      </w:r>
      <w:r>
        <w:t xml:space="preserve">(waaronder het Energieakkoord) </w:t>
      </w:r>
      <w:r w:rsidRPr="003602D4">
        <w:t xml:space="preserve">heeft dan ook tot gevolg dat structureel meer wordt gereduceerd dan internationaal is afgesproken. </w:t>
      </w:r>
    </w:p>
    <w:p w:rsidRPr="003602D4" w:rsidR="002B6B16" w:rsidP="002B6B16" w:rsidRDefault="002B6B16">
      <w:r w:rsidRPr="003602D4">
        <w:t>De keuze om verder te gaan dan internationaal is afgesproken, is een politiek vraagstuk over de economische en maatschappelijke ordening van de Nederlandse samenleving. Dergelijke beslissingen worden in het politieke proces gemaakt door democratisch gelegitimeerde vertegenwoordigers en met inbreng</w:t>
      </w:r>
      <w:r>
        <w:t xml:space="preserve"> en afweging</w:t>
      </w:r>
      <w:r w:rsidRPr="003602D4">
        <w:t xml:space="preserve"> van alle betrokken belangen</w:t>
      </w:r>
      <w:r>
        <w:t>,</w:t>
      </w:r>
      <w:r w:rsidRPr="003602D4">
        <w:t xml:space="preserve"> waaronder </w:t>
      </w:r>
      <w:r>
        <w:t>ook</w:t>
      </w:r>
      <w:r w:rsidRPr="003602D4">
        <w:t xml:space="preserve"> de belangen waarvoor </w:t>
      </w:r>
      <w:r>
        <w:t xml:space="preserve">Stichting </w:t>
      </w:r>
      <w:r w:rsidRPr="003602D4">
        <w:t>Urgenda opkomt</w:t>
      </w:r>
      <w:bookmarkStart w:name="OpenAt" w:id="1"/>
      <w:bookmarkEnd w:id="1"/>
      <w:r w:rsidRPr="003602D4">
        <w:t xml:space="preserve">. </w:t>
      </w:r>
    </w:p>
    <w:p w:rsidRPr="003602D4" w:rsidR="00F00D27" w:rsidP="002B6B16" w:rsidRDefault="00F00D27"/>
    <w:sectPr w:rsidRPr="003602D4" w:rsidR="00F00D27" w:rsidSect="00A17C6E">
      <w:pgSz w:w="11906" w:h="16838"/>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25868" w15:done="0"/>
  <w15:commentEx w15:paraId="79D65350" w15:done="0"/>
  <w15:commentEx w15:paraId="2E47137B" w15:done="0"/>
  <w15:commentEx w15:paraId="77C3336A" w15:done="0"/>
  <w15:commentEx w15:paraId="169872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AAF7FC"/>
    <w:lvl w:ilvl="0">
      <w:start w:val="1"/>
      <w:numFmt w:val="bullet"/>
      <w:pStyle w:val="ListBullet"/>
      <w:lvlText w:val=""/>
      <w:lvlJc w:val="left"/>
      <w:pPr>
        <w:ind w:left="360" w:hanging="360"/>
      </w:pPr>
      <w:rPr>
        <w:rFonts w:ascii="Symbol" w:hAnsi="Symbol" w:hint="default"/>
      </w:rPr>
    </w:lvl>
  </w:abstractNum>
  <w:abstractNum w:abstractNumId="1">
    <w:nsid w:val="0B3360A1"/>
    <w:multiLevelType w:val="multilevel"/>
    <w:tmpl w:val="04CAF6F0"/>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decimal"/>
      <w:pStyle w:val="Heading5"/>
      <w:lvlText w:val="%1.%2.%3.%4.%5"/>
      <w:lvlJc w:val="left"/>
      <w:pPr>
        <w:ind w:left="0" w:hanging="851"/>
      </w:pPr>
      <w:rPr>
        <w:rFonts w:hint="default"/>
      </w:rPr>
    </w:lvl>
    <w:lvl w:ilvl="5">
      <w:start w:val="1"/>
      <w:numFmt w:val="decimal"/>
      <w:pStyle w:val="Heading6"/>
      <w:lvlText w:val="%1.%2.%3.%4.%5.%6"/>
      <w:lvlJc w:val="left"/>
      <w:pPr>
        <w:ind w:left="0" w:hanging="851"/>
      </w:pPr>
      <w:rPr>
        <w:rFonts w:hint="default"/>
      </w:rPr>
    </w:lvl>
    <w:lvl w:ilvl="6">
      <w:start w:val="1"/>
      <w:numFmt w:val="decimal"/>
      <w:pStyle w:val="Heading7"/>
      <w:lvlText w:val="%1.%2.%3.%4.%5.%6.%7"/>
      <w:lvlJc w:val="left"/>
      <w:pPr>
        <w:ind w:left="0" w:hanging="851"/>
      </w:pPr>
      <w:rPr>
        <w:rFonts w:hint="default"/>
      </w:rPr>
    </w:lvl>
    <w:lvl w:ilvl="7">
      <w:start w:val="1"/>
      <w:numFmt w:val="decimal"/>
      <w:pStyle w:val="Heading8"/>
      <w:lvlText w:val="%1.%2.%3.%4.%5.%6.%7.%8"/>
      <w:lvlJc w:val="left"/>
      <w:pPr>
        <w:ind w:left="0" w:hanging="851"/>
      </w:pPr>
      <w:rPr>
        <w:rFonts w:hint="default"/>
      </w:rPr>
    </w:lvl>
    <w:lvl w:ilvl="8">
      <w:start w:val="1"/>
      <w:numFmt w:val="decimal"/>
      <w:pStyle w:val="Heading9"/>
      <w:lvlText w:val="%1.%2.%3.%4.%5.%6.%7.%8.%9"/>
      <w:lvlJc w:val="left"/>
      <w:pPr>
        <w:ind w:left="0" w:hanging="851"/>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mate Contact">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08"/>
  <w:hyphenationZone w:val="425"/>
  <w:characterSpacingControl w:val="doNotCompress"/>
  <w:compat>
    <w:compatSetting w:name="compatibilityMode" w:uri="http://schemas.microsoft.com/office/word" w:val="12"/>
  </w:compat>
  <w:rsids>
    <w:rsidRoot w:val="00FB1481"/>
    <w:rsid w:val="00000A19"/>
    <w:rsid w:val="00014757"/>
    <w:rsid w:val="00022A12"/>
    <w:rsid w:val="00027BE8"/>
    <w:rsid w:val="00040810"/>
    <w:rsid w:val="0009550D"/>
    <w:rsid w:val="000A0D7D"/>
    <w:rsid w:val="000A7C7B"/>
    <w:rsid w:val="000D1791"/>
    <w:rsid w:val="000E0117"/>
    <w:rsid w:val="000E0C9B"/>
    <w:rsid w:val="000E3613"/>
    <w:rsid w:val="000E4881"/>
    <w:rsid w:val="00103F33"/>
    <w:rsid w:val="00122100"/>
    <w:rsid w:val="00124BE3"/>
    <w:rsid w:val="00126136"/>
    <w:rsid w:val="00127BF8"/>
    <w:rsid w:val="00147B1B"/>
    <w:rsid w:val="00160AB0"/>
    <w:rsid w:val="0017736E"/>
    <w:rsid w:val="00192FDA"/>
    <w:rsid w:val="001A34D0"/>
    <w:rsid w:val="001D5CCE"/>
    <w:rsid w:val="001F57FD"/>
    <w:rsid w:val="002057A9"/>
    <w:rsid w:val="00207338"/>
    <w:rsid w:val="002101FE"/>
    <w:rsid w:val="002126FC"/>
    <w:rsid w:val="00224AE1"/>
    <w:rsid w:val="002556AA"/>
    <w:rsid w:val="002701DD"/>
    <w:rsid w:val="00274B14"/>
    <w:rsid w:val="002905C8"/>
    <w:rsid w:val="0029254A"/>
    <w:rsid w:val="002A2320"/>
    <w:rsid w:val="002B20D6"/>
    <w:rsid w:val="002B2F1A"/>
    <w:rsid w:val="002B6B16"/>
    <w:rsid w:val="002D01B2"/>
    <w:rsid w:val="002E12EB"/>
    <w:rsid w:val="002F26B6"/>
    <w:rsid w:val="00324C0F"/>
    <w:rsid w:val="00327AD8"/>
    <w:rsid w:val="00345BF9"/>
    <w:rsid w:val="003602D4"/>
    <w:rsid w:val="003725CC"/>
    <w:rsid w:val="00380C06"/>
    <w:rsid w:val="00382460"/>
    <w:rsid w:val="00382AC8"/>
    <w:rsid w:val="003842BD"/>
    <w:rsid w:val="00385E37"/>
    <w:rsid w:val="003B0FE7"/>
    <w:rsid w:val="003D2F81"/>
    <w:rsid w:val="004230FF"/>
    <w:rsid w:val="00433E0E"/>
    <w:rsid w:val="00443F66"/>
    <w:rsid w:val="0046127F"/>
    <w:rsid w:val="0046581A"/>
    <w:rsid w:val="00473F5C"/>
    <w:rsid w:val="004837DF"/>
    <w:rsid w:val="00485F7B"/>
    <w:rsid w:val="00494559"/>
    <w:rsid w:val="004B1F8B"/>
    <w:rsid w:val="004B6A10"/>
    <w:rsid w:val="004D61C1"/>
    <w:rsid w:val="00500181"/>
    <w:rsid w:val="00526371"/>
    <w:rsid w:val="00535109"/>
    <w:rsid w:val="0055416A"/>
    <w:rsid w:val="0057101A"/>
    <w:rsid w:val="00571BE1"/>
    <w:rsid w:val="005C1E2B"/>
    <w:rsid w:val="005C76B8"/>
    <w:rsid w:val="005F56EF"/>
    <w:rsid w:val="00623F18"/>
    <w:rsid w:val="00630F11"/>
    <w:rsid w:val="006404A5"/>
    <w:rsid w:val="00650696"/>
    <w:rsid w:val="006772D0"/>
    <w:rsid w:val="00686E34"/>
    <w:rsid w:val="006A7F2A"/>
    <w:rsid w:val="006C7743"/>
    <w:rsid w:val="006D186A"/>
    <w:rsid w:val="006F59A9"/>
    <w:rsid w:val="006F7050"/>
    <w:rsid w:val="007262F3"/>
    <w:rsid w:val="007601CA"/>
    <w:rsid w:val="00763FBC"/>
    <w:rsid w:val="00782A5E"/>
    <w:rsid w:val="007949E5"/>
    <w:rsid w:val="007A4E17"/>
    <w:rsid w:val="007B142B"/>
    <w:rsid w:val="007E5DE8"/>
    <w:rsid w:val="007E6DB2"/>
    <w:rsid w:val="00833396"/>
    <w:rsid w:val="008408CB"/>
    <w:rsid w:val="008651A4"/>
    <w:rsid w:val="00896D45"/>
    <w:rsid w:val="008A14A0"/>
    <w:rsid w:val="008B4846"/>
    <w:rsid w:val="008C3007"/>
    <w:rsid w:val="008C58E4"/>
    <w:rsid w:val="008D181D"/>
    <w:rsid w:val="008D3611"/>
    <w:rsid w:val="008E0E81"/>
    <w:rsid w:val="008E6568"/>
    <w:rsid w:val="008F1E6C"/>
    <w:rsid w:val="00905123"/>
    <w:rsid w:val="00920B32"/>
    <w:rsid w:val="00922155"/>
    <w:rsid w:val="00922529"/>
    <w:rsid w:val="00936ABE"/>
    <w:rsid w:val="00954757"/>
    <w:rsid w:val="0095506F"/>
    <w:rsid w:val="00961154"/>
    <w:rsid w:val="009656FD"/>
    <w:rsid w:val="0096601D"/>
    <w:rsid w:val="00972B6E"/>
    <w:rsid w:val="00974903"/>
    <w:rsid w:val="009759FC"/>
    <w:rsid w:val="009A57D3"/>
    <w:rsid w:val="009A6FA0"/>
    <w:rsid w:val="009C1861"/>
    <w:rsid w:val="009C4D9B"/>
    <w:rsid w:val="009E31A9"/>
    <w:rsid w:val="00A150AF"/>
    <w:rsid w:val="00A156D7"/>
    <w:rsid w:val="00A17B44"/>
    <w:rsid w:val="00A17C6E"/>
    <w:rsid w:val="00A33C4A"/>
    <w:rsid w:val="00A33F77"/>
    <w:rsid w:val="00A4105A"/>
    <w:rsid w:val="00A61854"/>
    <w:rsid w:val="00A64AA2"/>
    <w:rsid w:val="00A6638A"/>
    <w:rsid w:val="00A84777"/>
    <w:rsid w:val="00A93D41"/>
    <w:rsid w:val="00A96B69"/>
    <w:rsid w:val="00AA2C6B"/>
    <w:rsid w:val="00AB3A66"/>
    <w:rsid w:val="00AE2401"/>
    <w:rsid w:val="00B03178"/>
    <w:rsid w:val="00B06BE5"/>
    <w:rsid w:val="00B13DDB"/>
    <w:rsid w:val="00B44DF6"/>
    <w:rsid w:val="00B4582D"/>
    <w:rsid w:val="00B81E96"/>
    <w:rsid w:val="00B85A82"/>
    <w:rsid w:val="00B87A88"/>
    <w:rsid w:val="00BA32CF"/>
    <w:rsid w:val="00BC09C6"/>
    <w:rsid w:val="00BF2391"/>
    <w:rsid w:val="00BF412B"/>
    <w:rsid w:val="00C123F1"/>
    <w:rsid w:val="00C35629"/>
    <w:rsid w:val="00C54EC7"/>
    <w:rsid w:val="00C75B9C"/>
    <w:rsid w:val="00CA0C83"/>
    <w:rsid w:val="00CB5D41"/>
    <w:rsid w:val="00CD541D"/>
    <w:rsid w:val="00CE3422"/>
    <w:rsid w:val="00D0531B"/>
    <w:rsid w:val="00D3246B"/>
    <w:rsid w:val="00D5738B"/>
    <w:rsid w:val="00D6305A"/>
    <w:rsid w:val="00D6373E"/>
    <w:rsid w:val="00D76123"/>
    <w:rsid w:val="00D76766"/>
    <w:rsid w:val="00D90AED"/>
    <w:rsid w:val="00D9494F"/>
    <w:rsid w:val="00DB2D1E"/>
    <w:rsid w:val="00DC1DA3"/>
    <w:rsid w:val="00DE2B3B"/>
    <w:rsid w:val="00DF4F31"/>
    <w:rsid w:val="00DF7321"/>
    <w:rsid w:val="00E1367E"/>
    <w:rsid w:val="00E453A0"/>
    <w:rsid w:val="00E8162D"/>
    <w:rsid w:val="00E85000"/>
    <w:rsid w:val="00E901AF"/>
    <w:rsid w:val="00E95BA5"/>
    <w:rsid w:val="00EC4A06"/>
    <w:rsid w:val="00ED7819"/>
    <w:rsid w:val="00F00D27"/>
    <w:rsid w:val="00F22CDC"/>
    <w:rsid w:val="00F30720"/>
    <w:rsid w:val="00F34BE4"/>
    <w:rsid w:val="00F36ADF"/>
    <w:rsid w:val="00F50377"/>
    <w:rsid w:val="00F54B0C"/>
    <w:rsid w:val="00F57C42"/>
    <w:rsid w:val="00F71C08"/>
    <w:rsid w:val="00F80F72"/>
    <w:rsid w:val="00F84E3A"/>
    <w:rsid w:val="00FA40B7"/>
    <w:rsid w:val="00FA444B"/>
    <w:rsid w:val="00FB1481"/>
    <w:rsid w:val="00FE7505"/>
    <w:rsid w:val="00FE7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C6E"/>
    <w:pPr>
      <w:spacing w:after="200" w:line="276" w:lineRule="auto"/>
    </w:pPr>
    <w:rPr>
      <w:sz w:val="22"/>
      <w:szCs w:val="22"/>
      <w:lang w:eastAsia="en-US"/>
    </w:rPr>
  </w:style>
  <w:style w:type="paragraph" w:styleId="Heading1">
    <w:name w:val="heading 1"/>
    <w:basedOn w:val="Normal"/>
    <w:next w:val="Normal"/>
    <w:link w:val="Heading1Char"/>
    <w:qFormat/>
    <w:rsid w:val="00D6373E"/>
    <w:pPr>
      <w:keepNext/>
      <w:numPr>
        <w:numId w:val="1"/>
      </w:numPr>
      <w:tabs>
        <w:tab w:val="left" w:pos="851"/>
      </w:tabs>
      <w:spacing w:after="300" w:line="300" w:lineRule="atLeast"/>
      <w:outlineLvl w:val="0"/>
    </w:pPr>
    <w:rPr>
      <w:rFonts w:ascii="Verdana" w:eastAsia="Times New Roman" w:hAnsi="Verdana" w:cs="Arial"/>
      <w:b/>
      <w:bCs/>
      <w:sz w:val="18"/>
      <w:szCs w:val="32"/>
      <w:lang w:eastAsia="nl-NL"/>
    </w:rPr>
  </w:style>
  <w:style w:type="paragraph" w:styleId="Heading2">
    <w:name w:val="heading 2"/>
    <w:basedOn w:val="Normal"/>
    <w:next w:val="Normal"/>
    <w:link w:val="Heading2Char"/>
    <w:uiPriority w:val="9"/>
    <w:unhideWhenUsed/>
    <w:qFormat/>
    <w:rsid w:val="00D6373E"/>
    <w:pPr>
      <w:keepNext/>
      <w:numPr>
        <w:ilvl w:val="1"/>
        <w:numId w:val="1"/>
      </w:numPr>
      <w:tabs>
        <w:tab w:val="left" w:pos="851"/>
      </w:tabs>
      <w:spacing w:after="300" w:line="300" w:lineRule="atLeast"/>
      <w:outlineLvl w:val="1"/>
    </w:pPr>
    <w:rPr>
      <w:rFonts w:ascii="Verdana" w:eastAsia="Times New Roman" w:hAnsi="Verdana"/>
      <w:bCs/>
      <w:sz w:val="18"/>
      <w:szCs w:val="26"/>
    </w:rPr>
  </w:style>
  <w:style w:type="paragraph" w:styleId="Heading3">
    <w:name w:val="heading 3"/>
    <w:basedOn w:val="Normal"/>
    <w:next w:val="Normal"/>
    <w:link w:val="Heading3Char"/>
    <w:uiPriority w:val="9"/>
    <w:unhideWhenUsed/>
    <w:qFormat/>
    <w:rsid w:val="00D6373E"/>
    <w:pPr>
      <w:keepNext/>
      <w:numPr>
        <w:ilvl w:val="2"/>
        <w:numId w:val="1"/>
      </w:numPr>
      <w:tabs>
        <w:tab w:val="left" w:pos="851"/>
      </w:tabs>
      <w:spacing w:after="300" w:line="300" w:lineRule="atLeast"/>
      <w:outlineLvl w:val="2"/>
    </w:pPr>
    <w:rPr>
      <w:rFonts w:ascii="Verdana" w:eastAsia="Times New Roman" w:hAnsi="Verdana"/>
      <w:bCs/>
      <w:sz w:val="18"/>
    </w:rPr>
  </w:style>
  <w:style w:type="paragraph" w:styleId="Heading4">
    <w:name w:val="heading 4"/>
    <w:basedOn w:val="Normal"/>
    <w:next w:val="Normal"/>
    <w:link w:val="Heading4Char"/>
    <w:uiPriority w:val="9"/>
    <w:unhideWhenUsed/>
    <w:qFormat/>
    <w:rsid w:val="00D6373E"/>
    <w:pPr>
      <w:keepNext/>
      <w:numPr>
        <w:ilvl w:val="3"/>
        <w:numId w:val="1"/>
      </w:numPr>
      <w:spacing w:after="300" w:line="300" w:lineRule="atLeast"/>
      <w:outlineLvl w:val="3"/>
    </w:pPr>
    <w:rPr>
      <w:rFonts w:ascii="Verdana" w:eastAsia="Times New Roman" w:hAnsi="Verdana"/>
      <w:bCs/>
      <w:iCs/>
      <w:sz w:val="18"/>
      <w:szCs w:val="20"/>
      <w:lang w:val="nl" w:eastAsia="nl-NL"/>
    </w:rPr>
  </w:style>
  <w:style w:type="paragraph" w:styleId="Heading5">
    <w:name w:val="heading 5"/>
    <w:basedOn w:val="Normal"/>
    <w:next w:val="Normal"/>
    <w:link w:val="Heading5Char"/>
    <w:uiPriority w:val="9"/>
    <w:unhideWhenUsed/>
    <w:qFormat/>
    <w:rsid w:val="00D6373E"/>
    <w:pPr>
      <w:keepNext/>
      <w:keepLines/>
      <w:numPr>
        <w:ilvl w:val="4"/>
        <w:numId w:val="1"/>
      </w:numPr>
      <w:spacing w:before="200" w:after="0" w:line="300" w:lineRule="atLeast"/>
      <w:outlineLvl w:val="4"/>
    </w:pPr>
    <w:rPr>
      <w:rFonts w:ascii="Cambria" w:eastAsia="Times New Roman" w:hAnsi="Cambria"/>
      <w:color w:val="243F60"/>
      <w:sz w:val="18"/>
      <w:szCs w:val="20"/>
      <w:lang w:val="nl" w:eastAsia="nl-NL"/>
    </w:rPr>
  </w:style>
  <w:style w:type="paragraph" w:styleId="Heading6">
    <w:name w:val="heading 6"/>
    <w:basedOn w:val="Normal"/>
    <w:next w:val="Normal"/>
    <w:link w:val="Heading6Char"/>
    <w:uiPriority w:val="9"/>
    <w:unhideWhenUsed/>
    <w:qFormat/>
    <w:rsid w:val="00D6373E"/>
    <w:pPr>
      <w:keepNext/>
      <w:keepLines/>
      <w:numPr>
        <w:ilvl w:val="5"/>
        <w:numId w:val="1"/>
      </w:numPr>
      <w:spacing w:before="200" w:after="0" w:line="300" w:lineRule="atLeast"/>
      <w:outlineLvl w:val="5"/>
    </w:pPr>
    <w:rPr>
      <w:rFonts w:ascii="Cambria" w:eastAsia="Times New Roman" w:hAnsi="Cambria"/>
      <w:i/>
      <w:iCs/>
      <w:color w:val="243F60"/>
      <w:sz w:val="18"/>
      <w:szCs w:val="20"/>
      <w:lang w:val="nl" w:eastAsia="nl-NL"/>
    </w:rPr>
  </w:style>
  <w:style w:type="paragraph" w:styleId="Heading7">
    <w:name w:val="heading 7"/>
    <w:basedOn w:val="Normal"/>
    <w:next w:val="Normal"/>
    <w:link w:val="Heading7Char"/>
    <w:uiPriority w:val="9"/>
    <w:unhideWhenUsed/>
    <w:qFormat/>
    <w:rsid w:val="00D6373E"/>
    <w:pPr>
      <w:keepNext/>
      <w:keepLines/>
      <w:numPr>
        <w:ilvl w:val="6"/>
        <w:numId w:val="1"/>
      </w:numPr>
      <w:spacing w:before="200" w:after="0" w:line="300" w:lineRule="atLeast"/>
      <w:outlineLvl w:val="6"/>
    </w:pPr>
    <w:rPr>
      <w:rFonts w:ascii="Cambria" w:eastAsia="Times New Roman" w:hAnsi="Cambria"/>
      <w:i/>
      <w:iCs/>
      <w:color w:val="404040"/>
      <w:sz w:val="18"/>
      <w:szCs w:val="20"/>
      <w:lang w:val="nl" w:eastAsia="nl-NL"/>
    </w:rPr>
  </w:style>
  <w:style w:type="paragraph" w:styleId="Heading8">
    <w:name w:val="heading 8"/>
    <w:basedOn w:val="Normal"/>
    <w:next w:val="Normal"/>
    <w:link w:val="Heading8Char"/>
    <w:uiPriority w:val="9"/>
    <w:unhideWhenUsed/>
    <w:qFormat/>
    <w:rsid w:val="00D6373E"/>
    <w:pPr>
      <w:keepNext/>
      <w:keepLines/>
      <w:numPr>
        <w:ilvl w:val="7"/>
        <w:numId w:val="1"/>
      </w:numPr>
      <w:spacing w:before="200" w:after="0" w:line="300" w:lineRule="atLeast"/>
      <w:outlineLvl w:val="7"/>
    </w:pPr>
    <w:rPr>
      <w:rFonts w:ascii="Cambria" w:eastAsia="Times New Roman" w:hAnsi="Cambria"/>
      <w:color w:val="404040"/>
      <w:sz w:val="20"/>
      <w:szCs w:val="20"/>
      <w:lang w:val="nl" w:eastAsia="nl-NL"/>
    </w:rPr>
  </w:style>
  <w:style w:type="paragraph" w:styleId="Heading9">
    <w:name w:val="heading 9"/>
    <w:basedOn w:val="Normal"/>
    <w:next w:val="Normal"/>
    <w:link w:val="Heading9Char"/>
    <w:uiPriority w:val="9"/>
    <w:unhideWhenUsed/>
    <w:qFormat/>
    <w:rsid w:val="00D6373E"/>
    <w:pPr>
      <w:keepNext/>
      <w:keepLines/>
      <w:numPr>
        <w:ilvl w:val="8"/>
        <w:numId w:val="1"/>
      </w:numPr>
      <w:spacing w:before="200" w:after="0" w:line="300" w:lineRule="atLeast"/>
      <w:outlineLvl w:val="8"/>
    </w:pPr>
    <w:rPr>
      <w:rFonts w:ascii="Cambria" w:eastAsia="Times New Roman" w:hAnsi="Cambria"/>
      <w:i/>
      <w:iCs/>
      <w:color w:val="404040"/>
      <w:sz w:val="20"/>
      <w:szCs w:val="20"/>
      <w:lang w:va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373E"/>
    <w:rPr>
      <w:rFonts w:ascii="Verdana" w:eastAsia="Times New Roman" w:hAnsi="Verdana" w:cs="Arial"/>
      <w:b/>
      <w:bCs/>
      <w:sz w:val="18"/>
      <w:szCs w:val="32"/>
      <w:lang w:eastAsia="nl-NL"/>
    </w:rPr>
  </w:style>
  <w:style w:type="character" w:customStyle="1" w:styleId="Heading2Char">
    <w:name w:val="Heading 2 Char"/>
    <w:link w:val="Heading2"/>
    <w:uiPriority w:val="9"/>
    <w:rsid w:val="00D6373E"/>
    <w:rPr>
      <w:rFonts w:ascii="Verdana" w:eastAsia="Times New Roman" w:hAnsi="Verdana" w:cs="Times New Roman"/>
      <w:bCs/>
      <w:sz w:val="18"/>
      <w:szCs w:val="26"/>
    </w:rPr>
  </w:style>
  <w:style w:type="character" w:customStyle="1" w:styleId="Heading3Char">
    <w:name w:val="Heading 3 Char"/>
    <w:link w:val="Heading3"/>
    <w:uiPriority w:val="9"/>
    <w:rsid w:val="00D6373E"/>
    <w:rPr>
      <w:rFonts w:ascii="Verdana" w:eastAsia="Times New Roman" w:hAnsi="Verdana" w:cs="Times New Roman"/>
      <w:bCs/>
      <w:sz w:val="18"/>
    </w:rPr>
  </w:style>
  <w:style w:type="character" w:customStyle="1" w:styleId="Heading4Char">
    <w:name w:val="Heading 4 Char"/>
    <w:link w:val="Heading4"/>
    <w:uiPriority w:val="9"/>
    <w:rsid w:val="00D6373E"/>
    <w:rPr>
      <w:rFonts w:ascii="Verdana" w:eastAsia="Times New Roman" w:hAnsi="Verdana" w:cs="Times New Roman"/>
      <w:bCs/>
      <w:iCs/>
      <w:sz w:val="18"/>
      <w:szCs w:val="20"/>
      <w:lang w:val="nl" w:eastAsia="nl-NL"/>
    </w:rPr>
  </w:style>
  <w:style w:type="character" w:customStyle="1" w:styleId="Heading5Char">
    <w:name w:val="Heading 5 Char"/>
    <w:link w:val="Heading5"/>
    <w:uiPriority w:val="9"/>
    <w:rsid w:val="00D6373E"/>
    <w:rPr>
      <w:rFonts w:ascii="Cambria" w:eastAsia="Times New Roman" w:hAnsi="Cambria" w:cs="Times New Roman"/>
      <w:color w:val="243F60"/>
      <w:sz w:val="18"/>
      <w:szCs w:val="20"/>
      <w:lang w:val="nl" w:eastAsia="nl-NL"/>
    </w:rPr>
  </w:style>
  <w:style w:type="character" w:customStyle="1" w:styleId="Heading6Char">
    <w:name w:val="Heading 6 Char"/>
    <w:link w:val="Heading6"/>
    <w:uiPriority w:val="9"/>
    <w:rsid w:val="00D6373E"/>
    <w:rPr>
      <w:rFonts w:ascii="Cambria" w:eastAsia="Times New Roman" w:hAnsi="Cambria" w:cs="Times New Roman"/>
      <w:i/>
      <w:iCs/>
      <w:color w:val="243F60"/>
      <w:sz w:val="18"/>
      <w:szCs w:val="20"/>
      <w:lang w:val="nl" w:eastAsia="nl-NL"/>
    </w:rPr>
  </w:style>
  <w:style w:type="character" w:customStyle="1" w:styleId="Heading7Char">
    <w:name w:val="Heading 7 Char"/>
    <w:link w:val="Heading7"/>
    <w:uiPriority w:val="9"/>
    <w:rsid w:val="00D6373E"/>
    <w:rPr>
      <w:rFonts w:ascii="Cambria" w:eastAsia="Times New Roman" w:hAnsi="Cambria" w:cs="Times New Roman"/>
      <w:i/>
      <w:iCs/>
      <w:color w:val="404040"/>
      <w:sz w:val="18"/>
      <w:szCs w:val="20"/>
      <w:lang w:val="nl" w:eastAsia="nl-NL"/>
    </w:rPr>
  </w:style>
  <w:style w:type="character" w:customStyle="1" w:styleId="Heading8Char">
    <w:name w:val="Heading 8 Char"/>
    <w:link w:val="Heading8"/>
    <w:uiPriority w:val="9"/>
    <w:rsid w:val="00D6373E"/>
    <w:rPr>
      <w:rFonts w:ascii="Cambria" w:eastAsia="Times New Roman" w:hAnsi="Cambria" w:cs="Times New Roman"/>
      <w:color w:val="404040"/>
      <w:sz w:val="20"/>
      <w:szCs w:val="20"/>
      <w:lang w:val="nl" w:eastAsia="nl-NL"/>
    </w:rPr>
  </w:style>
  <w:style w:type="character" w:customStyle="1" w:styleId="Heading9Char">
    <w:name w:val="Heading 9 Char"/>
    <w:link w:val="Heading9"/>
    <w:uiPriority w:val="9"/>
    <w:rsid w:val="00D6373E"/>
    <w:rPr>
      <w:rFonts w:ascii="Cambria" w:eastAsia="Times New Roman" w:hAnsi="Cambria" w:cs="Times New Roman"/>
      <w:i/>
      <w:iCs/>
      <w:color w:val="404040"/>
      <w:sz w:val="20"/>
      <w:szCs w:val="20"/>
      <w:lang w:val="nl" w:eastAsia="nl-NL"/>
    </w:rPr>
  </w:style>
  <w:style w:type="paragraph" w:styleId="ListBullet">
    <w:name w:val="List Bullet"/>
    <w:basedOn w:val="Normal"/>
    <w:uiPriority w:val="99"/>
    <w:unhideWhenUsed/>
    <w:rsid w:val="00D6373E"/>
    <w:pPr>
      <w:numPr>
        <w:numId w:val="2"/>
      </w:numPr>
      <w:spacing w:after="0" w:line="300" w:lineRule="atLeast"/>
      <w:contextualSpacing/>
    </w:pPr>
    <w:rPr>
      <w:rFonts w:ascii="Verdana" w:hAnsi="Verdana"/>
      <w:sz w:val="24"/>
    </w:rPr>
  </w:style>
  <w:style w:type="character" w:styleId="CommentReference">
    <w:name w:val="annotation reference"/>
    <w:uiPriority w:val="99"/>
    <w:semiHidden/>
    <w:unhideWhenUsed/>
    <w:rsid w:val="00014757"/>
    <w:rPr>
      <w:sz w:val="16"/>
      <w:szCs w:val="16"/>
    </w:rPr>
  </w:style>
  <w:style w:type="paragraph" w:styleId="CommentText">
    <w:name w:val="annotation text"/>
    <w:basedOn w:val="Normal"/>
    <w:link w:val="CommentTextChar"/>
    <w:uiPriority w:val="99"/>
    <w:semiHidden/>
    <w:unhideWhenUsed/>
    <w:rsid w:val="00014757"/>
    <w:pPr>
      <w:spacing w:line="240" w:lineRule="auto"/>
    </w:pPr>
    <w:rPr>
      <w:sz w:val="20"/>
      <w:szCs w:val="20"/>
    </w:rPr>
  </w:style>
  <w:style w:type="character" w:customStyle="1" w:styleId="CommentTextChar">
    <w:name w:val="Comment Text Char"/>
    <w:link w:val="CommentText"/>
    <w:uiPriority w:val="99"/>
    <w:semiHidden/>
    <w:rsid w:val="00014757"/>
    <w:rPr>
      <w:sz w:val="20"/>
      <w:szCs w:val="20"/>
    </w:rPr>
  </w:style>
  <w:style w:type="paragraph" w:styleId="CommentSubject">
    <w:name w:val="annotation subject"/>
    <w:basedOn w:val="CommentText"/>
    <w:next w:val="CommentText"/>
    <w:link w:val="CommentSubjectChar"/>
    <w:uiPriority w:val="99"/>
    <w:semiHidden/>
    <w:unhideWhenUsed/>
    <w:rsid w:val="00014757"/>
    <w:rPr>
      <w:b/>
      <w:bCs/>
    </w:rPr>
  </w:style>
  <w:style w:type="character" w:customStyle="1" w:styleId="CommentSubjectChar">
    <w:name w:val="Comment Subject Char"/>
    <w:link w:val="CommentSubject"/>
    <w:uiPriority w:val="99"/>
    <w:semiHidden/>
    <w:rsid w:val="00014757"/>
    <w:rPr>
      <w:b/>
      <w:bCs/>
      <w:sz w:val="20"/>
      <w:szCs w:val="20"/>
    </w:rPr>
  </w:style>
  <w:style w:type="paragraph" w:styleId="BalloonText">
    <w:name w:val="Balloon Text"/>
    <w:basedOn w:val="Normal"/>
    <w:link w:val="BalloonTextChar"/>
    <w:uiPriority w:val="99"/>
    <w:semiHidden/>
    <w:unhideWhenUsed/>
    <w:rsid w:val="000147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47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3" /><Relationship Type="http://schemas.microsoft.com/office/2011/relationships/commentsExtended" Target="commentsExtended.xml" Id="rId18" /><Relationship Type="http://schemas.microsoft.com/office/2007/relationships/stylesWithEffects" Target="stylesWithEffects.xml" Id="rId12" /><Relationship Type="http://schemas.microsoft.com/office/2011/relationships/people" Target="people.xml" Id="rId17" /><Relationship Type="http://schemas.openxmlformats.org/officeDocument/2006/relationships/theme" Target="theme/theme1.xml" Id="rId16" /><Relationship Type="http://schemas.openxmlformats.org/officeDocument/2006/relationships/styles" Target="styles.xml" Id="rId11" /><Relationship Type="http://schemas.openxmlformats.org/officeDocument/2006/relationships/fontTable" Target="fontTable.xml" Id="rId15" /><Relationship Type="http://schemas.openxmlformats.org/officeDocument/2006/relationships/numbering" Target="numbering.xml" Id="rId10" /><Relationship Type="http://schemas.openxmlformats.org/officeDocument/2006/relationships/webSettings" Target="webSettings.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9.xml><?xml version="1.0" encoding="utf-8"?>
<b:Sources xmlns:b="http://schemas.openxmlformats.org/officeDocument/2006/bibliography" xmlns="http://schemas.openxmlformats.org/officeDocument/2006/bibliography" SelectedStyle="\APA.XSL" StyleName="APA Fifth Edition"/>
</file>

<file path=customXml/itemProps9.xml><?xml version="1.0" encoding="utf-8"?>
<ds:datastoreItem xmlns:ds="http://schemas.openxmlformats.org/officeDocument/2006/customXml" ds:itemID="{AE223FA6-BDB7-4A9E-8B81-B1ACE4D291D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Pages>3</ap:Pages>
  <ap:Words>2233</ap:Words>
  <ap:Characters>12283</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2016-03-14T15:21:00.0000000Z</lastPrinted>
  <dcterms:created xsi:type="dcterms:W3CDTF">2016-04-08T12:35:00.0000000Z</dcterms:created>
  <dcterms:modified xsi:type="dcterms:W3CDTF">2016-04-08T12:35:00.0000000Z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0x010100613EE972EB680A4A841ADBC1583C6BD8</vt:lpwstr>
  </property>
  <property fmtid="{D5CDD505-2E9C-101B-9397-08002B2CF9AE}" pid="3" name="ContentType">
    <vt:lpwstr>Root document</vt:lpwstr>
  </property>
  <property fmtid="{D5CDD505-2E9C-101B-9397-08002B2CF9AE}" pid="4" name="Title">
    <vt:lpwstr/>
  </property>
  <property fmtid="{D5CDD505-2E9C-101B-9397-08002B2CF9AE}" pid="5" name="SectieTaxHTField0">
    <vt:lpwstr>Ruimte en Milieu|af455a9c-9207-4cf7-93fe-015b63c55093</vt:lpwstr>
  </property>
  <property fmtid="{D5CDD505-2E9C-101B-9397-08002B2CF9AE}" pid="6" name="Sectie">
    <vt:lpwstr>92;#Ruimte en Milieu|af455a9c-9207-4cf7-93fe-015b63c55093</vt:lpwstr>
  </property>
  <property fmtid="{D5CDD505-2E9C-101B-9397-08002B2CF9AE}" pid="7" name="Zaaknaam">
    <vt:lpwstr>Staat (IenM) / Stichting Urgenda</vt:lpwstr>
  </property>
  <property fmtid="{D5CDD505-2E9C-101B-9397-08002B2CF9AE}" pid="8" name="PelsClientTaxHTField0">
    <vt:lpwstr>Hoofddirectie Bestuurlijke en Juridische|378ca99e-8481-417a-8103-c47d41265c18</vt:lpwstr>
  </property>
  <property fmtid="{D5CDD505-2E9C-101B-9397-08002B2CF9AE}" pid="9" name="PelsClient">
    <vt:lpwstr>226;#Hoofddirectie Bestuurlijke en Juridische|378ca99e-8481-417a-8103-c47d41265c18</vt:lpwstr>
  </property>
  <property fmtid="{D5CDD505-2E9C-101B-9397-08002B2CF9AE}" pid="10" name="CaseStartDate">
    <vt:lpwstr>2013-10-08T00:00:00Z</vt:lpwstr>
  </property>
  <property fmtid="{D5CDD505-2E9C-101B-9397-08002B2CF9AE}" pid="11" name="RechtsgebiedTaxHTField0">
    <vt:lpwstr>Milieuaansprakelijkheid|4e21ba5b-e3cb-45df-bbf5-fcc2ccf0268d</vt:lpwstr>
  </property>
  <property fmtid="{D5CDD505-2E9C-101B-9397-08002B2CF9AE}" pid="12" name="Rechtsgebied">
    <vt:lpwstr>139;#Milieuaansprakelijkheid|4e21ba5b-e3cb-45df-bbf5-fcc2ccf0268d</vt:lpwstr>
  </property>
  <property fmtid="{D5CDD505-2E9C-101B-9397-08002B2CF9AE}" pid="13" name="CaseManager">
    <vt:lpwstr>66</vt:lpwstr>
  </property>
  <property fmtid="{D5CDD505-2E9C-101B-9397-08002B2CF9AE}" pid="14" name="SectorTaxHTField0">
    <vt:lpwstr>Centrale overheid|e123b653-e17c-4514-b53b-2553c961ec9d</vt:lpwstr>
  </property>
  <property fmtid="{D5CDD505-2E9C-101B-9397-08002B2CF9AE}" pid="15" name="Sector">
    <vt:lpwstr>46;#Centrale overheid|e123b653-e17c-4514-b53b-2553c961ec9d</vt:lpwstr>
  </property>
  <property fmtid="{D5CDD505-2E9C-101B-9397-08002B2CF9AE}" pid="16" name="CaseOwner">
    <vt:lpwstr>66</vt:lpwstr>
  </property>
  <property fmtid="{D5CDD505-2E9C-101B-9397-08002B2CF9AE}" pid="17" name="Zaakomschrijving">
    <vt:lpwstr>Staat (IenM) / Stichting Urgenda</vt:lpwstr>
  </property>
  <property fmtid="{D5CDD505-2E9C-101B-9397-08002B2CF9AE}" pid="18" name="SharedCaseName">
    <vt:lpwstr>10041212 - Staat (IenM) vs. Stichting Urgenda</vt:lpwstr>
  </property>
  <property fmtid="{D5CDD505-2E9C-101B-9397-08002B2CF9AE}" pid="19" name="ParentTaxHTField0">
    <vt:lpwstr>Ministerie van Infrastructuur en Milieu|58b08ed7-d8ab-402a-8353-ee016cd13c42</vt:lpwstr>
  </property>
  <property fmtid="{D5CDD505-2E9C-101B-9397-08002B2CF9AE}" pid="20" name="Parent">
    <vt:lpwstr>227;#Ministerie van Infrastructuur en Milieu|58b08ed7-d8ab-402a-8353-ee016cd13c42</vt:lpwstr>
  </property>
  <property fmtid="{D5CDD505-2E9C-101B-9397-08002B2CF9AE}" pid="21" name="Zaaknummer">
    <vt:lpwstr>10041212</vt:lpwstr>
  </property>
  <property fmtid="{D5CDD505-2E9C-101B-9397-08002B2CF9AE}" pid="22" name="ProcessNameTaxHTField0">
    <vt:lpwstr>06|{a9604165-f490-40b1-b3cc-dc7e66ef0477}</vt:lpwstr>
  </property>
  <property fmtid="{D5CDD505-2E9C-101B-9397-08002B2CF9AE}" pid="23" name="TaxCatchAll">
    <vt:lpwstr>46;#Centrale overheid|e123b653-e17c-4514-b53b-2553c961ec9d;#92;#Ruimte en Milieu|af455a9c-9207-4cf7-93fe-015b63c55093;#227;#Ministerie van Infrastructuur en Milieu|58b08ed7-d8ab-402a-8353-ee016cd13c42;#226;#Hoofddirectie Bestuurlijke en Juridische|378ca99</vt:lpwstr>
  </property>
  <property fmtid="{D5CDD505-2E9C-101B-9397-08002B2CF9AE}" pid="24" name="_dlc_DocId">
    <vt:lpwstr>PRDF-435653</vt:lpwstr>
  </property>
  <property fmtid="{D5CDD505-2E9C-101B-9397-08002B2CF9AE}" pid="25" name="_dlc_DocIdItemGuid">
    <vt:lpwstr>85e83f0f-cc3e-4936-a0e5-68d1613f03e0</vt:lpwstr>
  </property>
  <property fmtid="{D5CDD505-2E9C-101B-9397-08002B2CF9AE}" pid="26" name="_dlc_DocIdUrl">
    <vt:lpwstr>http://dms.pelsrijcken.nl/matter/06/10041212/_layouts/15/DocIdRedir.aspx?ID=PRDF-435653, PRDF-435653</vt:lpwstr>
  </property>
  <property fmtid="{D5CDD505-2E9C-101B-9397-08002B2CF9AE}" pid="27" name="AutoGenerated">
    <vt:lpwstr/>
  </property>
  <property fmtid="{D5CDD505-2E9C-101B-9397-08002B2CF9AE}" pid="28" name="SPECRelatedItems">
    <vt:lpwstr/>
  </property>
  <property fmtid="{D5CDD505-2E9C-101B-9397-08002B2CF9AE}" pid="29" name="ArchiveDeleteDate">
    <vt:lpwstr/>
  </property>
  <property fmtid="{D5CDD505-2E9C-101B-9397-08002B2CF9AE}" pid="30" name="Has_0x020_attachment">
    <vt:lpwstr>1</vt:lpwstr>
  </property>
  <property fmtid="{D5CDD505-2E9C-101B-9397-08002B2CF9AE}" pid="31" name="Sender_0x020_name">
    <vt:lpwstr>Dijk, Hannelore van</vt:lpwstr>
  </property>
  <property fmtid="{D5CDD505-2E9C-101B-9397-08002B2CF9AE}" pid="32" name="Conversation_0x020_topic">
    <vt:lpwstr>Inleiding MvG opm BJH versie 3.doc</vt:lpwstr>
  </property>
  <property fmtid="{D5CDD505-2E9C-101B-9397-08002B2CF9AE}" pid="33" name="Message_0x020_class">
    <vt:lpwstr>IPM.Document.Word.Document.8</vt:lpwstr>
  </property>
  <property fmtid="{D5CDD505-2E9C-101B-9397-08002B2CF9AE}" pid="34" name="Creation_0x020_time">
    <vt:lpwstr>2016-03-15T10:36:39Z</vt:lpwstr>
  </property>
  <property fmtid="{D5CDD505-2E9C-101B-9397-08002B2CF9AE}" pid="35" name="Sent_0x020_representing_0x020_e-mail_0x020_address">
    <vt:lpwstr>/o=Pels Rijcken/ou=First Administrative Group/cn=Recipients/cn=JKrumeich</vt:lpwstr>
  </property>
  <property fmtid="{D5CDD505-2E9C-101B-9397-08002B2CF9AE}" pid="36" name="Sent_0x020_representing_0x020_address_0x020_type">
    <vt:lpwstr>EX</vt:lpwstr>
  </property>
  <property fmtid="{D5CDD505-2E9C-101B-9397-08002B2CF9AE}" pid="37" name="BCC">
    <vt:lpwstr/>
  </property>
  <property fmtid="{D5CDD505-2E9C-101B-9397-08002B2CF9AE}" pid="38" name="SMTPCC">
    <vt:lpwstr/>
  </property>
  <property fmtid="{D5CDD505-2E9C-101B-9397-08002B2CF9AE}" pid="39" name="CC">
    <vt:lpwstr/>
  </property>
  <property fmtid="{D5CDD505-2E9C-101B-9397-08002B2CF9AE}" pid="40" name="Message_0x020_size">
    <vt:lpwstr>90112</vt:lpwstr>
  </property>
  <property fmtid="{D5CDD505-2E9C-101B-9397-08002B2CF9AE}" pid="41" name="SMTPBCC">
    <vt:lpwstr/>
  </property>
  <property fmtid="{D5CDD505-2E9C-101B-9397-08002B2CF9AE}" pid="42" name="Sender_0x020_address_0x020_type">
    <vt:lpwstr>EX</vt:lpwstr>
  </property>
  <property fmtid="{D5CDD505-2E9C-101B-9397-08002B2CF9AE}" pid="43" name="Topic">
    <vt:lpwstr>Inleiding MvG opm BJH versie 3.doc</vt:lpwstr>
  </property>
  <property fmtid="{D5CDD505-2E9C-101B-9397-08002B2CF9AE}" pid="44" name="SMTPTo">
    <vt:lpwstr/>
  </property>
  <property fmtid="{D5CDD505-2E9C-101B-9397-08002B2CF9AE}" pid="45" name="Sent_0x020_representing_0x020_name">
    <vt:lpwstr>Dijk, Hannelore van</vt:lpwstr>
  </property>
  <property fmtid="{D5CDD505-2E9C-101B-9397-08002B2CF9AE}" pid="46" name="To">
    <vt:lpwstr/>
  </property>
  <property fmtid="{D5CDD505-2E9C-101B-9397-08002B2CF9AE}" pid="47" name="Sender_0x020_e-mail_0x020_address">
    <vt:lpwstr>/o=Pels Rijcken/ou=First Administrative Group/cn=Recipients/cn=JKrumeich</vt:lpwstr>
  </property>
  <property fmtid="{D5CDD505-2E9C-101B-9397-08002B2CF9AE}" pid="48" name="Last_0x020_modification_0x020_time">
    <vt:lpwstr>2016-03-15T10:36:39Z</vt:lpwstr>
  </property>
  <property fmtid="{D5CDD505-2E9C-101B-9397-08002B2CF9AE}" pid="49" name="Message_0x020_delivery_0x020_time">
    <vt:lpwstr>2016-03-15T10:36:39Z</vt:lpwstr>
  </property>
  <property fmtid="{D5CDD505-2E9C-101B-9397-08002B2CF9AE}" pid="50" name="SMTPFrom">
    <vt:lpwstr>jh.vandijk@pelsrijcken.nl;</vt:lpwstr>
  </property>
  <property fmtid="{D5CDD505-2E9C-101B-9397-08002B2CF9AE}" pid="51" name="Client_0x020_submit_0x020_time">
    <vt:lpwstr>2016-03-15T10:36:39Z</vt:lpwstr>
  </property>
  <property fmtid="{D5CDD505-2E9C-101B-9397-08002B2CF9AE}" pid="52" name="ProcessName">
    <vt:lpwstr>1;#06|{a9604165-f490-40b1-b3cc-dc7e66ef0477}</vt:lpwstr>
  </property>
</Properties>
</file>