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7A081411" wp14:anchorId="36D3E51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1546E9A" wp14:anchorId="22F6CE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W03.15.0435/II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februari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D2AAF" w:rsidRDefault="0017187C">
              <w:r>
                <w:t>Bij Kabinetsmissive van 15 december 2015, no.2015002215, heeft Uwe Majesteit, op voordracht van de Minister van Veiligheid en Justitie, bij de Afdeling advisering van de Raad van State ter overweging aanhangig gemaakt het voorstel van wet houdende aanvulling van Boek 7 van het Burgerlijk Wetboek met de nieuwe afdelingen 7.2A.2 en 7.2B.1 en 2 en een nieuwe Titel 7.2C (consumentenkredietovereenkomsten, goederenkrediet en geldlening),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499011156"/>
              </w:sdtPr>
              <w:sdtEndPr/>
              <w:sdtContent>
                <w:p w:rsidRPr="00FF311A" w:rsidR="005B45A2" w:rsidP="005B45A2" w:rsidRDefault="0017187C">
                  <w:r w:rsidRPr="00FF311A">
                    <w:t>Het wetsvoorstel strekt ertoe nog niet in het nieuwe Burgerlijk Wetboek opgenomen regels omtrent het consumentenkrediet, de koop op afbetaling, de huurkoop en de huurkoop onroerende zaken, tezamen in een aanvulling van Boek 7 BW te regelen.</w:t>
                  </w:r>
                </w:p>
                <w:p w:rsidRPr="00FF311A" w:rsidR="005B45A2" w:rsidP="005B45A2" w:rsidRDefault="0017187C">
                  <w:r w:rsidRPr="00FF311A">
                    <w:br/>
                    <w:t>De Afdeling advisering van de Raad van State adviseert het voorstel aan de Tweede Kamer te zenden, maar acht wat betreft de voorgestelde handhaving van de limiet voor het goederenkrediet een dragende motivering of aanpassing van het voorstel aangewezen.</w:t>
                  </w:r>
                </w:p>
                <w:p w:rsidRPr="00FF311A" w:rsidR="005B45A2" w:rsidP="005B45A2" w:rsidRDefault="0017187C">
                  <w:r w:rsidRPr="00FF311A">
                    <w:br/>
                    <w:t xml:space="preserve">Artikel 3 van de Wet consumentenkrediet bepaalt dat deze wet niet geldt voor  krediettransacties waarbij de kredietsom meer dan € 40.000,= bedraagt. Het vervallen van deze grens betekent meer bescherming voor consumenten en was  voorgesteld in de consultatieversie van het wetsvoorstel. Volgens de toelichting is na overleg met de praktijk ervoor gekozen de grens niet prijs te geven, omdat het bereik van wetgeving niet zonder een duidelijke reden moet worden uitgebreid. Uit een reactie van de Nederlandse Vereniging van Banken zou blijken dat toepassing van de uit de Wet consumentenkrediet overgenomen regels op kredieten boven de € 40.000 de huidige praktijk op allerlei punten verstoort. </w:t>
                  </w:r>
                  <w:r w:rsidRPr="00FF311A">
                    <w:br/>
                  </w:r>
                </w:p>
                <w:p w:rsidRPr="00FF311A" w:rsidR="005B45A2" w:rsidP="005B45A2" w:rsidRDefault="0017187C">
                  <w:r w:rsidRPr="00FF311A">
                    <w:t xml:space="preserve">De Afdeling merkt op dat het voorstel om de limiet te laten vervallen werd gesteund in alle reacties op de consultatieversie van het wetsvoorstel, met </w:t>
                  </w:r>
                  <w:r>
                    <w:t>u</w:t>
                  </w:r>
                  <w:r w:rsidRPr="00FF311A">
                    <w:t>itzondering van de reactie van de Nederlandse Vereniging van Banken.</w:t>
                  </w:r>
                  <w:r w:rsidRPr="00FF311A">
                    <w:rPr>
                      <w:vertAlign w:val="superscript"/>
                    </w:rPr>
                    <w:footnoteReference w:id="1"/>
                  </w:r>
                  <w:r w:rsidRPr="00FF311A">
                    <w:t xml:space="preserve"> De</w:t>
                  </w:r>
                  <w:r>
                    <w:t xml:space="preserve"> toelichting noemt </w:t>
                  </w:r>
                  <w:r w:rsidRPr="005B45A2">
                    <w:t xml:space="preserve">drie bepalingen </w:t>
                  </w:r>
                  <w:r>
                    <w:t>w</w:t>
                  </w:r>
                  <w:r w:rsidRPr="005B45A2">
                    <w:t xml:space="preserve">aarbij </w:t>
                  </w:r>
                  <w:r>
                    <w:t xml:space="preserve">het loslaten van de grens een probleem voor de praktijk zou kunnen opleveren. </w:t>
                  </w:r>
                  <w:r w:rsidRPr="00FF311A">
                    <w:t xml:space="preserve">Zij motiveert echter niet per afzonderlijke bepaling wat deze verstoring concreet inhoudt en waarom deze zo ernstig zou zijn dat de praktijk niet in staat zou zijn zich daaraan aan te passen. Evenmin worden de eventuele nadelen voor de financiële sector afgewogen tegen de voordelen van een eenduidige regeling zonder de bestaande limiet, die consumenten in ruimere mate bescherming zou bieden. </w:t>
                  </w:r>
                </w:p>
                <w:p w:rsidRPr="00FF311A" w:rsidR="005B45A2" w:rsidP="005B45A2" w:rsidRDefault="00905286"/>
                <w:p w:rsidR="002C44CC" w:rsidP="00FF311A" w:rsidRDefault="0017187C">
                  <w:r w:rsidRPr="00FF311A">
                    <w:t>De memorie van toelichting wijst op het argument dat wijziging van de wet slechts moet worden overwogen indien daaraan een ondubbelzinnig maatschappelijke behoefte ten grondslag ligt.</w:t>
                  </w:r>
                  <w:r w:rsidRPr="00FF311A">
                    <w:rPr>
                      <w:vertAlign w:val="superscript"/>
                    </w:rPr>
                    <w:footnoteReference w:id="2"/>
                  </w:r>
                  <w:r w:rsidRPr="00FF311A">
                    <w:t xml:space="preserve"> De Afdeling merkt daarbij op dat een dergelijke maatschappelijke behoefte kan liggen in het harmoniseren van de wetgeving in het Burgerlijk Wetboek en het belang van de consument bij een ruimere mate van bescherming. De beoordeling hiervan is in de memorie van toelichting niet volledig en overtuigend beargumenteerd. </w:t>
                  </w:r>
                </w:p>
                <w:p w:rsidR="002C44CC" w:rsidP="00FF311A" w:rsidRDefault="00905286"/>
                <w:p w:rsidR="0031089B" w:rsidP="00FF311A" w:rsidRDefault="0017187C">
                  <w:r w:rsidRPr="00FF311A">
                    <w:t>De Afdeling adviseert het voorstel op dit punt alsnog dragend te motiveren en de regeling zo nodig aan te passen</w:t>
                  </w:r>
                  <w:r>
                    <w:t>.</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CD2AAF" w:rsidRDefault="0017187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CD2AA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7C" w:rsidRDefault="0017187C" w:rsidP="005B3E03">
      <w:r>
        <w:separator/>
      </w:r>
    </w:p>
  </w:endnote>
  <w:endnote w:type="continuationSeparator" w:id="0">
    <w:p w:rsidR="0017187C" w:rsidRDefault="0017187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97BD272" wp14:editId="1E455C8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7C" w:rsidRDefault="0017187C" w:rsidP="005B3E03">
      <w:r>
        <w:separator/>
      </w:r>
    </w:p>
  </w:footnote>
  <w:footnote w:type="continuationSeparator" w:id="0">
    <w:p w:rsidR="0017187C" w:rsidRDefault="0017187C" w:rsidP="005B3E03">
      <w:r>
        <w:continuationSeparator/>
      </w:r>
    </w:p>
  </w:footnote>
  <w:footnote w:id="1">
    <w:p w:rsidR="005B45A2" w:rsidRDefault="0017187C" w:rsidP="005B45A2">
      <w:pPr>
        <w:pStyle w:val="FootnoteText"/>
      </w:pPr>
      <w:r>
        <w:rPr>
          <w:rStyle w:val="FootnoteReference"/>
        </w:rPr>
        <w:footnoteRef/>
      </w:r>
      <w:r>
        <w:t xml:space="preserve"> </w:t>
      </w:r>
      <w:r>
        <w:tab/>
        <w:t xml:space="preserve">Zo reageerden de Vereniging van financieringsondernemingen Nederland, de Koninklijke Beroepsorganisatie van Gerechtsdeurwaarders, de Raad voor de Rechtspraak en de Vereniging voor schuldhulpverlening en sociaal bankieren uitdrukkelijk instemmend op dit punt. </w:t>
      </w:r>
    </w:p>
  </w:footnote>
  <w:footnote w:id="2">
    <w:p w:rsidR="005B45A2" w:rsidRDefault="0017187C" w:rsidP="005B45A2">
      <w:pPr>
        <w:pStyle w:val="FootnoteText"/>
      </w:pPr>
      <w:r>
        <w:rPr>
          <w:rStyle w:val="FootnoteReference"/>
        </w:rPr>
        <w:footnoteRef/>
      </w:r>
      <w:r>
        <w:t xml:space="preserve"> </w:t>
      </w:r>
      <w:r>
        <w:tab/>
        <w:t>Memorie van toelichting, Algemeen, paragraaf 1 (Inleiding), sub 4, bij artikel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905286">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26DBE"/>
    <w:rsid w:val="00156F0B"/>
    <w:rsid w:val="0017187C"/>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05286"/>
    <w:rsid w:val="00935E2F"/>
    <w:rsid w:val="009E72D2"/>
    <w:rsid w:val="00A349AF"/>
    <w:rsid w:val="00AA44F3"/>
    <w:rsid w:val="00B03C96"/>
    <w:rsid w:val="00B44919"/>
    <w:rsid w:val="00C02F92"/>
    <w:rsid w:val="00C5066A"/>
    <w:rsid w:val="00C50D4F"/>
    <w:rsid w:val="00C94D31"/>
    <w:rsid w:val="00CD2AAF"/>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nhideWhenUsed/>
    <w:rsid w:val="00C513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nhideWhenUsed/>
    <w:rsid w:val="00C51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22B89"/>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511</ap:Words>
  <ap:Characters>2815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2016-03-21T11:49:00.0000000Z</lastPrinted>
  <dcterms:created xsi:type="dcterms:W3CDTF">2016-04-01T12:50:00.0000000Z</dcterms:created>
  <dcterms:modified xsi:type="dcterms:W3CDTF">2016-04-01T12:50:00.0000000Z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0x01010077E67241489AEA4FA495FAB7DADEACFE</vt:lpwstr>
  </property>
</Properties>
</file>