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1B0" w:rsidP="006B11B0" w:rsidRDefault="006B11B0">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6B11B0" w:rsidP="006B11B0" w:rsidRDefault="006B11B0">
      <w:pPr>
        <w:rPr>
          <w:rFonts w:asciiTheme="minorHAnsi" w:hAnsiTheme="minorHAnsi"/>
          <w:sz w:val="22"/>
          <w:szCs w:val="22"/>
        </w:rPr>
      </w:pPr>
    </w:p>
    <w:p w:rsidRPr="00BF35EE" w:rsidR="006B11B0" w:rsidP="006B11B0" w:rsidRDefault="006B11B0">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t/m week 40 </w:t>
      </w:r>
      <w:r w:rsidRPr="00BF35EE">
        <w:rPr>
          <w:rFonts w:asciiTheme="minorHAnsi" w:hAnsiTheme="minorHAnsi"/>
          <w:sz w:val="22"/>
          <w:szCs w:val="22"/>
          <w:u w:val="single"/>
        </w:rPr>
        <w:t>(</w:t>
      </w:r>
      <w:r>
        <w:rPr>
          <w:rFonts w:asciiTheme="minorHAnsi" w:hAnsiTheme="minorHAnsi"/>
          <w:sz w:val="22"/>
          <w:szCs w:val="22"/>
          <w:u w:val="single"/>
        </w:rPr>
        <w:t xml:space="preserve">25 september </w:t>
      </w:r>
      <w:r w:rsidRPr="003C35BA">
        <w:rPr>
          <w:rFonts w:asciiTheme="minorHAnsi" w:hAnsiTheme="minorHAnsi"/>
          <w:sz w:val="22"/>
          <w:szCs w:val="22"/>
          <w:u w:val="single"/>
        </w:rPr>
        <w:t xml:space="preserve">2015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1 oktober</w:t>
      </w:r>
      <w:r w:rsidRPr="003C35BA">
        <w:rPr>
          <w:rFonts w:asciiTheme="minorHAnsi" w:hAnsiTheme="minorHAnsi"/>
          <w:sz w:val="22"/>
          <w:szCs w:val="22"/>
          <w:u w:val="single"/>
        </w:rPr>
        <w:t xml:space="preserve"> 2015</w:t>
      </w:r>
      <w:r w:rsidRPr="00BF35EE">
        <w:rPr>
          <w:rFonts w:asciiTheme="minorHAnsi" w:hAnsiTheme="minorHAnsi"/>
          <w:sz w:val="22"/>
          <w:szCs w:val="22"/>
          <w:u w:val="single"/>
        </w:rPr>
        <w:t xml:space="preserve">) d.d. </w:t>
      </w:r>
      <w:r>
        <w:rPr>
          <w:rFonts w:asciiTheme="minorHAnsi" w:hAnsiTheme="minorHAnsi"/>
          <w:sz w:val="22"/>
          <w:szCs w:val="22"/>
          <w:u w:val="single"/>
        </w:rPr>
        <w:t>8 oktober 2015.</w:t>
      </w:r>
    </w:p>
    <w:bookmarkEnd w:id="0"/>
    <w:p w:rsidRPr="00F67F5B" w:rsidR="006B11B0" w:rsidP="006B11B0" w:rsidRDefault="006B11B0">
      <w:pPr>
        <w:rPr>
          <w:rFonts w:asciiTheme="minorHAnsi" w:hAnsiTheme="minorHAnsi"/>
          <w:sz w:val="22"/>
          <w:szCs w:val="22"/>
        </w:rPr>
      </w:pPr>
    </w:p>
    <w:p w:rsidRPr="00F67F5B" w:rsidR="006B11B0" w:rsidP="006B11B0" w:rsidRDefault="006B11B0">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6B11B0" w:rsidTr="002D2032">
        <w:trPr>
          <w:trHeight w:val="1550"/>
        </w:trPr>
        <w:tc>
          <w:tcPr>
            <w:tcW w:w="1433" w:type="dxa"/>
            <w:shd w:val="clear" w:color="auto" w:fill="auto"/>
            <w:textDirection w:val="btLr"/>
            <w:vAlign w:val="bottom"/>
            <w:hideMark/>
          </w:tcPr>
          <w:p w:rsidRPr="00F50A0B" w:rsidR="006B11B0" w:rsidP="002D2032" w:rsidRDefault="006B11B0">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6B11B0" w:rsidP="002D2032" w:rsidRDefault="006B11B0">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6B11B0" w:rsidP="002D2032" w:rsidRDefault="006B11B0">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6B11B0" w:rsidP="002D2032" w:rsidRDefault="006B11B0">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6B11B0" w:rsidP="002D2032" w:rsidRDefault="006B11B0">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6B11B0" w:rsidP="002D2032" w:rsidRDefault="006B11B0">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6B11B0" w:rsidP="002D2032" w:rsidRDefault="006B11B0">
            <w:pPr>
              <w:jc w:val="center"/>
              <w:rPr>
                <w:rFonts w:asciiTheme="minorHAnsi" w:hAnsiTheme="minorHAnsi"/>
                <w:b/>
                <w:bCs/>
                <w:color w:val="000000"/>
                <w:sz w:val="22"/>
                <w:szCs w:val="22"/>
              </w:rPr>
            </w:pPr>
          </w:p>
          <w:p w:rsidRPr="00F50A0B" w:rsidR="006B11B0" w:rsidP="002D2032" w:rsidRDefault="006B11B0">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6B11B0" w:rsidP="002D2032" w:rsidRDefault="006B11B0">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6B11B0" w:rsidP="002D2032" w:rsidRDefault="006B11B0">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6B11B0" w:rsidTr="002D2032">
        <w:trPr>
          <w:trHeight w:val="300"/>
        </w:trPr>
        <w:tc>
          <w:tcPr>
            <w:tcW w:w="1433" w:type="dxa"/>
            <w:tcBorders>
              <w:bottom w:val="single" w:color="auto" w:sz="4" w:space="0"/>
            </w:tcBorders>
            <w:shd w:val="clear" w:color="000000" w:fill="538DD5"/>
            <w:vAlign w:val="bottom"/>
            <w:hideMark/>
          </w:tcPr>
          <w:p w:rsidRPr="00F67F5B" w:rsidR="006B11B0" w:rsidP="002D2032" w:rsidRDefault="006B11B0">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6B11B0" w:rsidP="002D2032" w:rsidRDefault="006B11B0">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6B11B0" w:rsidP="002D2032" w:rsidRDefault="006B11B0">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6B11B0" w:rsidP="002D2032" w:rsidRDefault="006B11B0">
            <w:pPr>
              <w:jc w:val="cente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6B11B0" w:rsidP="002D2032" w:rsidRDefault="006B11B0">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6B11B0" w:rsidP="002D2032" w:rsidRDefault="006B11B0">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6B11B0" w:rsidP="002D2032" w:rsidRDefault="006B11B0">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6B11B0" w:rsidTr="002D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11B0" w:rsidP="002D2032" w:rsidRDefault="006B11B0">
            <w:pPr>
              <w:rPr>
                <w:rFonts w:ascii="Calibri" w:hAnsi="Calibri"/>
                <w:color w:val="000000"/>
                <w:sz w:val="22"/>
                <w:szCs w:val="22"/>
              </w:rPr>
            </w:pPr>
            <w:r>
              <w:rPr>
                <w:rFonts w:ascii="Calibri" w:hAnsi="Calibri"/>
                <w:color w:val="000000"/>
                <w:sz w:val="22"/>
                <w:szCs w:val="22"/>
              </w:rPr>
              <w:t>25-sep-15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6B11B0" w:rsidP="002D2032" w:rsidRDefault="006B11B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6B11B0" w:rsidP="006B11B0" w:rsidRDefault="006B11B0">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auto"/>
            <w:noWrap/>
          </w:tcPr>
          <w:p w:rsidRPr="006B11B0" w:rsidR="006B11B0" w:rsidP="002D2032" w:rsidRDefault="006B11B0">
            <w:pPr>
              <w:rPr>
                <w:rFonts w:ascii="Calibri" w:hAnsi="Calibri"/>
                <w:color w:val="000000"/>
                <w:sz w:val="22"/>
                <w:szCs w:val="22"/>
              </w:rPr>
            </w:pPr>
            <w:r>
              <w:rPr>
                <w:rFonts w:ascii="Calibri" w:hAnsi="Calibri"/>
                <w:color w:val="000000"/>
                <w:sz w:val="22"/>
                <w:szCs w:val="22"/>
              </w:rPr>
              <w:t>Geo-blocking and other geographically-based restrictions when shopping and accessing information in the EU.</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11B0" w:rsidP="006B11B0" w:rsidRDefault="007A0B95">
            <w:pPr>
              <w:rPr>
                <w:rFonts w:ascii="Calibri" w:hAnsi="Calibri"/>
                <w:color w:val="0000FF"/>
                <w:sz w:val="22"/>
                <w:szCs w:val="22"/>
                <w:u w:val="single"/>
              </w:rPr>
            </w:pPr>
            <w:hyperlink w:history="1" r:id="rId10">
              <w:r w:rsidR="006B11B0">
                <w:rPr>
                  <w:rStyle w:val="Hyperlink"/>
                  <w:rFonts w:ascii="Calibri" w:hAnsi="Calibri"/>
                  <w:sz w:val="22"/>
                  <w:szCs w:val="22"/>
                </w:rPr>
                <w:t>OR</w:t>
              </w:r>
            </w:hyperlink>
          </w:p>
          <w:p w:rsidR="006B11B0" w:rsidP="006B11B0" w:rsidRDefault="006B11B0">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6B11B0" w:rsidP="002D2032" w:rsidRDefault="006B11B0">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6B11B0" w:rsidP="002D2032" w:rsidRDefault="006B11B0">
            <w:pPr>
              <w:rPr>
                <w:rFonts w:ascii="Calibri" w:hAnsi="Calibri"/>
                <w:color w:val="000000"/>
                <w:sz w:val="22"/>
                <w:szCs w:val="22"/>
              </w:rPr>
            </w:pPr>
            <w:r>
              <w:rPr>
                <w:rFonts w:ascii="Calibri" w:hAnsi="Calibri"/>
                <w:color w:val="000000"/>
                <w:sz w:val="22"/>
                <w:szCs w:val="22"/>
              </w:rPr>
              <w:t>Raadpleging loopt t/m 18-dec-15</w:t>
            </w:r>
          </w:p>
        </w:tc>
      </w:tr>
      <w:tr w:rsidR="006B11B0" w:rsidTr="002D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11B0" w:rsidP="002D2032" w:rsidRDefault="006B11B0">
            <w:pPr>
              <w:rPr>
                <w:rFonts w:ascii="Calibri" w:hAnsi="Calibri"/>
                <w:color w:val="000000"/>
                <w:sz w:val="22"/>
                <w:szCs w:val="22"/>
              </w:rPr>
            </w:pPr>
            <w:r w:rsidRPr="006B11B0">
              <w:rPr>
                <w:rFonts w:ascii="Calibri" w:hAnsi="Calibri"/>
                <w:color w:val="000000"/>
                <w:sz w:val="22"/>
                <w:szCs w:val="22"/>
              </w:rPr>
              <w:t>25-sep-15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6B11B0" w:rsidP="002D2032" w:rsidRDefault="006B11B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6B11B0" w:rsidP="006B11B0" w:rsidRDefault="006B11B0">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auto"/>
            <w:noWrap/>
          </w:tcPr>
          <w:p w:rsidRPr="006B11B0" w:rsidR="006B11B0" w:rsidP="002D2032" w:rsidRDefault="006B11B0">
            <w:pPr>
              <w:rPr>
                <w:rFonts w:ascii="Calibri" w:hAnsi="Calibri"/>
                <w:color w:val="000000"/>
                <w:sz w:val="22"/>
                <w:szCs w:val="22"/>
              </w:rPr>
            </w:pPr>
            <w:r>
              <w:rPr>
                <w:rFonts w:ascii="Calibri" w:hAnsi="Calibri"/>
                <w:color w:val="000000"/>
                <w:sz w:val="22"/>
                <w:szCs w:val="22"/>
              </w:rPr>
              <w:t>Regulatory environment for platforms, online intermediaries, data and cloud computing and the collaborative economy.</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11B0" w:rsidP="006B11B0" w:rsidRDefault="007A0B95">
            <w:pPr>
              <w:rPr>
                <w:rFonts w:ascii="Calibri" w:hAnsi="Calibri"/>
                <w:color w:val="0000FF"/>
                <w:sz w:val="22"/>
                <w:szCs w:val="22"/>
                <w:u w:val="single"/>
              </w:rPr>
            </w:pPr>
            <w:hyperlink w:history="1" r:id="rId11">
              <w:r w:rsidR="006B11B0">
                <w:rPr>
                  <w:rStyle w:val="Hyperlink"/>
                  <w:rFonts w:ascii="Calibri" w:hAnsi="Calibri"/>
                  <w:sz w:val="22"/>
                  <w:szCs w:val="22"/>
                </w:rPr>
                <w:t>OR</w:t>
              </w:r>
            </w:hyperlink>
          </w:p>
          <w:p w:rsidR="006B11B0" w:rsidP="006B11B0" w:rsidRDefault="006B11B0">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6B11B0" w:rsidP="002D2032" w:rsidRDefault="006B11B0">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6B11B0" w:rsidP="002D2032" w:rsidRDefault="006B11B0">
            <w:pPr>
              <w:rPr>
                <w:rFonts w:ascii="Calibri" w:hAnsi="Calibri"/>
                <w:color w:val="000000"/>
                <w:sz w:val="22"/>
                <w:szCs w:val="22"/>
              </w:rPr>
            </w:pPr>
            <w:r>
              <w:rPr>
                <w:rFonts w:ascii="Calibri" w:hAnsi="Calibri"/>
                <w:color w:val="000000"/>
                <w:sz w:val="22"/>
                <w:szCs w:val="22"/>
              </w:rPr>
              <w:t>Raadpleging loopt t/m 18-dec-15</w:t>
            </w:r>
          </w:p>
        </w:tc>
      </w:tr>
      <w:tr w:rsidR="006B11B0" w:rsidTr="002D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7F5661" w:rsidR="006B11B0" w:rsidP="002D2032" w:rsidRDefault="006B11B0">
            <w:pPr>
              <w:rPr>
                <w:rFonts w:ascii="Calibri" w:hAnsi="Calibri"/>
                <w:color w:val="000000"/>
                <w:sz w:val="22"/>
                <w:szCs w:val="22"/>
              </w:rPr>
            </w:pPr>
            <w:r>
              <w:rPr>
                <w:rFonts w:ascii="Calibri" w:hAnsi="Calibri"/>
                <w:color w:val="000000"/>
                <w:sz w:val="22"/>
                <w:szCs w:val="22"/>
              </w:rPr>
              <w:t>30-sep-15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6B11B0" w:rsidP="002D2032" w:rsidRDefault="006B11B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6B11B0" w:rsidP="006B11B0" w:rsidRDefault="006B11B0">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auto"/>
            <w:noWrap/>
          </w:tcPr>
          <w:p w:rsidRPr="007F5661" w:rsidR="006B11B0" w:rsidP="002D2032" w:rsidRDefault="006B11B0">
            <w:pPr>
              <w:rPr>
                <w:rFonts w:ascii="Calibri" w:hAnsi="Calibri"/>
                <w:sz w:val="22"/>
                <w:szCs w:val="22"/>
              </w:rPr>
            </w:pPr>
            <w:r w:rsidRPr="006B11B0">
              <w:rPr>
                <w:rFonts w:ascii="Calibri" w:hAnsi="Calibri"/>
                <w:sz w:val="22"/>
                <w:szCs w:val="22"/>
              </w:rPr>
              <w:t>Voorstel voor een VERORDENING VAN DE RAAD betreffende de toewijzing van vangstmogelijkheden in het kader van het protocol voor de tenuitvoerlegging van de partnerschapsovereenkomst inzake duurzame visserij tussen de Europese Unie en de Republiek Liberia</w:t>
            </w:r>
            <w:r>
              <w:rPr>
                <w:rFonts w:ascii="Calibri" w:hAnsi="Calibri"/>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11B0" w:rsidP="006B11B0" w:rsidRDefault="007A0B95">
            <w:pPr>
              <w:rPr>
                <w:rFonts w:ascii="Calibri" w:hAnsi="Calibri"/>
                <w:color w:val="0000FF"/>
                <w:sz w:val="22"/>
                <w:szCs w:val="22"/>
                <w:u w:val="single"/>
              </w:rPr>
            </w:pPr>
            <w:hyperlink w:history="1" w:anchor="dossier-NLE20150222" r:id="rId12">
              <w:r w:rsidR="006B11B0">
                <w:rPr>
                  <w:rStyle w:val="Hyperlink"/>
                  <w:rFonts w:ascii="Calibri" w:hAnsi="Calibri"/>
                  <w:sz w:val="22"/>
                  <w:szCs w:val="22"/>
                </w:rPr>
                <w:t>465</w:t>
              </w:r>
            </w:hyperlink>
          </w:p>
          <w:p w:rsidR="006B11B0" w:rsidP="002D2032" w:rsidRDefault="006B11B0">
            <w:pPr>
              <w:rPr>
                <w:rFonts w:ascii="Calibri" w:hAnsi="Calibri"/>
                <w:color w:val="0000FF"/>
                <w:sz w:val="22"/>
                <w:szCs w:val="22"/>
                <w:u w:val="single"/>
              </w:rPr>
            </w:pPr>
          </w:p>
          <w:p w:rsidR="006B11B0" w:rsidP="002D2032" w:rsidRDefault="006B11B0"/>
        </w:tc>
        <w:tc>
          <w:tcPr>
            <w:tcW w:w="1052" w:type="dxa"/>
            <w:tcBorders>
              <w:top w:val="single" w:color="auto" w:sz="4" w:space="0"/>
              <w:left w:val="nil"/>
              <w:bottom w:val="single" w:color="auto" w:sz="4" w:space="0"/>
              <w:right w:val="single" w:color="auto" w:sz="4" w:space="0"/>
            </w:tcBorders>
            <w:shd w:val="clear" w:color="auto" w:fill="auto"/>
            <w:noWrap/>
          </w:tcPr>
          <w:p w:rsidR="006B11B0" w:rsidP="002D2032" w:rsidRDefault="006B11B0">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6B11B0" w:rsidP="002D2032" w:rsidRDefault="004E492E">
            <w:pPr>
              <w:rPr>
                <w:rFonts w:ascii="Calibri" w:hAnsi="Calibri"/>
                <w:color w:val="000000"/>
                <w:sz w:val="22"/>
                <w:szCs w:val="22"/>
              </w:rPr>
            </w:pPr>
            <w:r w:rsidRPr="004E492E">
              <w:rPr>
                <w:rFonts w:ascii="Calibri" w:hAnsi="Calibri"/>
                <w:color w:val="000000"/>
                <w:sz w:val="22"/>
                <w:szCs w:val="22"/>
              </w:rPr>
              <w:t>Bij besluitvorming over het sluiten van visserijprotocollen met derde landen wordt de Kamer, gezien de meestal korte termijn waarbinnen besluitvorming plaatsvindt, geïnformeerd via de geannoteerde agenda van de desbetreffende Raad. Er wordt geen BNC-fiche verzonden</w:t>
            </w:r>
            <w:r>
              <w:rPr>
                <w:rFonts w:ascii="Calibri" w:hAnsi="Calibri"/>
                <w:color w:val="000000"/>
                <w:sz w:val="22"/>
                <w:szCs w:val="22"/>
              </w:rPr>
              <w:t>.</w:t>
            </w:r>
          </w:p>
        </w:tc>
      </w:tr>
      <w:tr w:rsidR="006B11B0" w:rsidTr="002D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11B0" w:rsidP="002D2032" w:rsidRDefault="006B11B0">
            <w:pPr>
              <w:rPr>
                <w:rFonts w:ascii="Calibri" w:hAnsi="Calibri"/>
                <w:color w:val="000000"/>
                <w:sz w:val="22"/>
                <w:szCs w:val="22"/>
              </w:rPr>
            </w:pPr>
            <w:r>
              <w:rPr>
                <w:rFonts w:ascii="Calibri" w:hAnsi="Calibri"/>
                <w:color w:val="000000"/>
                <w:sz w:val="22"/>
                <w:szCs w:val="22"/>
              </w:rPr>
              <w:t>1-okt-15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6B11B0" w:rsidP="002D2032" w:rsidRDefault="006B11B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6B11B0" w:rsidP="006B11B0" w:rsidRDefault="006B11B0">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auto"/>
            <w:noWrap/>
          </w:tcPr>
          <w:p w:rsidRPr="006B11B0" w:rsidR="006B11B0" w:rsidP="002D2032" w:rsidRDefault="006B11B0">
            <w:pPr>
              <w:rPr>
                <w:rFonts w:ascii="Calibri" w:hAnsi="Calibri"/>
                <w:color w:val="000000"/>
                <w:sz w:val="22"/>
                <w:szCs w:val="22"/>
              </w:rPr>
            </w:pPr>
            <w:r>
              <w:rPr>
                <w:rFonts w:ascii="Calibri" w:hAnsi="Calibri"/>
                <w:color w:val="000000"/>
                <w:sz w:val="22"/>
                <w:szCs w:val="22"/>
              </w:rPr>
              <w:t>Voorstel voor een VERORDENING VAN DE RAAD betreffende de verdeling van de vangstmogelijkheden in het kader van het protocol tot vaststelling van de vangstmogelijkheden en de financiële tegenprestatie waarin is voorzien bij de partnerschapsovereenkomst inzake visserij tussen de Europese Gemeenschap en de Islamitische Republiek Mauritanië voor een periode van vier jaar.</w:t>
            </w:r>
          </w:p>
        </w:tc>
        <w:tc>
          <w:tcPr>
            <w:tcW w:w="879" w:type="dxa"/>
            <w:tcBorders>
              <w:top w:val="single" w:color="auto" w:sz="4" w:space="0"/>
              <w:left w:val="single" w:color="auto" w:sz="4" w:space="0"/>
              <w:bottom w:val="single" w:color="auto" w:sz="4" w:space="0"/>
              <w:right w:val="single" w:color="auto" w:sz="4" w:space="0"/>
            </w:tcBorders>
            <w:shd w:val="clear" w:color="auto" w:fill="auto"/>
            <w:noWrap/>
          </w:tcPr>
          <w:p w:rsidR="006B11B0" w:rsidP="006B11B0" w:rsidRDefault="006B11B0">
            <w:pPr>
              <w:rPr>
                <w:rFonts w:ascii="Calibri" w:hAnsi="Calibri"/>
                <w:color w:val="0000FF"/>
                <w:sz w:val="22"/>
                <w:szCs w:val="22"/>
                <w:u w:val="single"/>
              </w:rPr>
            </w:pPr>
          </w:p>
          <w:p w:rsidR="006B11B0" w:rsidP="006B11B0" w:rsidRDefault="007A0B95">
            <w:pPr>
              <w:rPr>
                <w:rFonts w:ascii="Calibri" w:hAnsi="Calibri"/>
                <w:color w:val="0000FF"/>
                <w:sz w:val="22"/>
                <w:szCs w:val="22"/>
                <w:u w:val="single"/>
              </w:rPr>
            </w:pPr>
            <w:hyperlink w:history="1" w:anchor="dossier-NLE20150228" r:id="rId13">
              <w:r w:rsidR="006B11B0">
                <w:rPr>
                  <w:rStyle w:val="Hyperlink"/>
                  <w:rFonts w:ascii="Calibri" w:hAnsi="Calibri"/>
                  <w:sz w:val="22"/>
                  <w:szCs w:val="22"/>
                </w:rPr>
                <w:t>474</w:t>
              </w:r>
            </w:hyperlink>
          </w:p>
          <w:p w:rsidR="006B11B0" w:rsidP="006B11B0" w:rsidRDefault="006B11B0">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6B11B0" w:rsidP="002D2032" w:rsidRDefault="006B11B0">
            <w:pPr>
              <w:jc w:val="right"/>
              <w:rPr>
                <w:rFonts w:ascii="Calibri" w:hAnsi="Calibri"/>
                <w:color w:val="000000"/>
                <w:sz w:val="22"/>
                <w:szCs w:val="22"/>
              </w:rPr>
            </w:pPr>
          </w:p>
          <w:p w:rsidR="006B11B0" w:rsidP="002D2032" w:rsidRDefault="006B11B0">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6B11B0" w:rsidP="002D2032" w:rsidRDefault="004E492E">
            <w:pPr>
              <w:rPr>
                <w:rFonts w:ascii="Calibri" w:hAnsi="Calibri"/>
                <w:color w:val="000000"/>
                <w:sz w:val="22"/>
                <w:szCs w:val="22"/>
              </w:rPr>
            </w:pPr>
            <w:r w:rsidRPr="004E492E">
              <w:rPr>
                <w:rFonts w:ascii="Calibri" w:hAnsi="Calibri"/>
                <w:color w:val="000000"/>
                <w:sz w:val="22"/>
                <w:szCs w:val="22"/>
              </w:rPr>
              <w:t xml:space="preserve">Bij besluitvorming over het sluiten van visserijprotocollen met derde landen wordt de Kamer, gezien de meestal korte termijn waarbinnen besluitvorming plaatsvindt, geïnformeerd via de geannoteerde agenda van de </w:t>
            </w:r>
            <w:r w:rsidRPr="004E492E">
              <w:rPr>
                <w:rFonts w:ascii="Calibri" w:hAnsi="Calibri"/>
                <w:color w:val="000000"/>
                <w:sz w:val="22"/>
                <w:szCs w:val="22"/>
              </w:rPr>
              <w:lastRenderedPageBreak/>
              <w:t>desbetreffende Raad. Er wordt geen BNC-fiche verzonden</w:t>
            </w:r>
            <w:r>
              <w:rPr>
                <w:rFonts w:ascii="Calibri" w:hAnsi="Calibri"/>
                <w:color w:val="000000"/>
                <w:sz w:val="22"/>
                <w:szCs w:val="22"/>
              </w:rPr>
              <w:t>.</w:t>
            </w:r>
          </w:p>
        </w:tc>
      </w:tr>
      <w:tr w:rsidR="006B11B0" w:rsidTr="002D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11B0" w:rsidP="002D2032" w:rsidRDefault="006B11B0">
            <w:pPr>
              <w:rPr>
                <w:rFonts w:ascii="Calibri" w:hAnsi="Calibri"/>
                <w:color w:val="000000"/>
                <w:sz w:val="22"/>
                <w:szCs w:val="22"/>
              </w:rPr>
            </w:pPr>
            <w:r>
              <w:rPr>
                <w:rFonts w:ascii="Calibri" w:hAnsi="Calibri"/>
                <w:color w:val="000000"/>
                <w:sz w:val="22"/>
                <w:szCs w:val="22"/>
              </w:rPr>
              <w:lastRenderedPageBreak/>
              <w:t>1-okt-15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6B11B0" w:rsidP="002D2032" w:rsidRDefault="006B11B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6B11B0" w:rsidP="006B11B0" w:rsidRDefault="006B11B0">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auto"/>
            <w:noWrap/>
          </w:tcPr>
          <w:p w:rsidR="006B11B0" w:rsidP="002D2032" w:rsidRDefault="006B11B0">
            <w:pPr>
              <w:rPr>
                <w:rFonts w:ascii="Calibri" w:hAnsi="Calibri"/>
                <w:color w:val="000000"/>
                <w:sz w:val="22"/>
                <w:szCs w:val="22"/>
              </w:rPr>
            </w:pPr>
            <w:r w:rsidRPr="006B11B0">
              <w:rPr>
                <w:rFonts w:ascii="Calibri" w:hAnsi="Calibri"/>
                <w:color w:val="000000"/>
                <w:sz w:val="22"/>
                <w:szCs w:val="22"/>
              </w:rPr>
              <w:t>MEDEDELING VAN DE COMMISSIE AAN HET EUROPEES PARLEMENT EN DE RAAD over de toepassing van Verordening (EG) nr. 1005/2008 van de Raad houdende de totstandbrenging van een communautair systeem om illegale, ongemelde en ongereglementeerde visserij te voorkomen, tegen te gaan en te beëindigen</w:t>
            </w:r>
          </w:p>
        </w:tc>
        <w:tc>
          <w:tcPr>
            <w:tcW w:w="879" w:type="dxa"/>
            <w:tcBorders>
              <w:top w:val="single" w:color="auto" w:sz="4" w:space="0"/>
              <w:left w:val="single" w:color="auto" w:sz="4" w:space="0"/>
              <w:bottom w:val="single" w:color="auto" w:sz="4" w:space="0"/>
              <w:right w:val="single" w:color="auto" w:sz="4" w:space="0"/>
            </w:tcBorders>
            <w:shd w:val="clear" w:color="auto" w:fill="auto"/>
            <w:noWrap/>
          </w:tcPr>
          <w:p w:rsidR="006B11B0" w:rsidP="006B11B0" w:rsidRDefault="006B11B0">
            <w:pPr>
              <w:rPr>
                <w:rFonts w:ascii="Calibri" w:hAnsi="Calibri"/>
                <w:color w:val="0000FF"/>
                <w:sz w:val="22"/>
                <w:szCs w:val="22"/>
                <w:u w:val="single"/>
              </w:rPr>
            </w:pPr>
          </w:p>
          <w:p w:rsidR="006B11B0" w:rsidP="006B11B0" w:rsidRDefault="007A0B95">
            <w:pPr>
              <w:rPr>
                <w:rFonts w:ascii="Calibri" w:hAnsi="Calibri"/>
                <w:color w:val="0000FF"/>
                <w:sz w:val="22"/>
                <w:szCs w:val="22"/>
                <w:u w:val="single"/>
              </w:rPr>
            </w:pPr>
            <w:hyperlink w:history="1" w:anchor="dossier-COM20150480" r:id="rId14">
              <w:r w:rsidR="006B11B0">
                <w:rPr>
                  <w:rStyle w:val="Hyperlink"/>
                  <w:rFonts w:ascii="Calibri" w:hAnsi="Calibri"/>
                  <w:sz w:val="22"/>
                  <w:szCs w:val="22"/>
                </w:rPr>
                <w:t>480</w:t>
              </w:r>
            </w:hyperlink>
          </w:p>
          <w:p w:rsidR="006B11B0" w:rsidP="006B11B0" w:rsidRDefault="006B11B0">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6B11B0" w:rsidP="002D2032" w:rsidRDefault="006B11B0">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6B11B0" w:rsidP="002D2032" w:rsidRDefault="006B11B0">
            <w:pPr>
              <w:rPr>
                <w:rFonts w:ascii="Calibri" w:hAnsi="Calibri"/>
                <w:color w:val="000000"/>
                <w:sz w:val="22"/>
                <w:szCs w:val="22"/>
              </w:rPr>
            </w:pPr>
          </w:p>
        </w:tc>
      </w:tr>
      <w:tr w:rsidR="006B11B0" w:rsidTr="002D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6B11B0" w:rsidP="002D2032" w:rsidRDefault="006B11B0">
            <w:pPr>
              <w:rPr>
                <w:rFonts w:ascii="Calibri" w:hAnsi="Calibri"/>
                <w:color w:val="000000"/>
                <w:sz w:val="22"/>
                <w:szCs w:val="22"/>
              </w:rPr>
            </w:pPr>
            <w:r>
              <w:rPr>
                <w:rFonts w:ascii="Calibri" w:hAnsi="Calibri"/>
                <w:color w:val="000000"/>
                <w:sz w:val="22"/>
                <w:szCs w:val="22"/>
              </w:rPr>
              <w:t>2-okt-15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6B11B0" w:rsidP="002D2032" w:rsidRDefault="006B11B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6B11B0" w:rsidP="006B11B0" w:rsidRDefault="006B11B0">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auto"/>
            <w:noWrap/>
          </w:tcPr>
          <w:p w:rsidR="006B11B0" w:rsidP="002D2032" w:rsidRDefault="006B11B0">
            <w:pPr>
              <w:rPr>
                <w:rFonts w:ascii="Calibri" w:hAnsi="Calibri"/>
                <w:color w:val="000000"/>
                <w:sz w:val="22"/>
                <w:szCs w:val="22"/>
              </w:rPr>
            </w:pPr>
            <w:r>
              <w:rPr>
                <w:rFonts w:ascii="Calibri" w:hAnsi="Calibri"/>
                <w:color w:val="000000"/>
                <w:sz w:val="22"/>
                <w:szCs w:val="22"/>
              </w:rPr>
              <w:t>MEDEDELING VAN DE COMMISSIE AAN HET EUROPEES PARLEMENT overeenkomstig artikel 294, lid 6, van het Verdrag betreffende de werking van de Europese Unie over het standpunt van de Raad met het oog op de aanneming van een verordening van het Europees Parlement en de Raad tot vaststelling van maatregelen inzake openinternettoegang en tot wijziging van Richtlijn 2002/22/EG inzake de universele dienst en gebruikersrechten met betrekking tot elektronische-communicatienetwerken en -diensten en Verordening (EU) nr. 531/2012 van het Europees Parlement en de Raad van 13 juni 2012 betreffende roaming op openbare mobielecommunicatienetwerken binnen de Unie .</w:t>
            </w:r>
          </w:p>
        </w:tc>
        <w:tc>
          <w:tcPr>
            <w:tcW w:w="879" w:type="dxa"/>
            <w:tcBorders>
              <w:top w:val="single" w:color="auto" w:sz="4" w:space="0"/>
              <w:left w:val="single" w:color="auto" w:sz="4" w:space="0"/>
              <w:bottom w:val="single" w:color="auto" w:sz="4" w:space="0"/>
              <w:right w:val="single" w:color="auto" w:sz="4" w:space="0"/>
            </w:tcBorders>
            <w:shd w:val="clear" w:color="auto" w:fill="auto"/>
            <w:noWrap/>
          </w:tcPr>
          <w:p w:rsidR="006B11B0" w:rsidP="006B11B0" w:rsidRDefault="006B11B0">
            <w:pPr>
              <w:rPr>
                <w:rFonts w:ascii="Calibri" w:hAnsi="Calibri"/>
                <w:color w:val="0000FF"/>
                <w:sz w:val="22"/>
                <w:szCs w:val="22"/>
                <w:u w:val="single"/>
              </w:rPr>
            </w:pPr>
          </w:p>
          <w:p w:rsidR="006B11B0" w:rsidP="006B11B0" w:rsidRDefault="007A0B95">
            <w:pPr>
              <w:rPr>
                <w:rFonts w:ascii="Calibri" w:hAnsi="Calibri"/>
                <w:color w:val="0000FF"/>
                <w:sz w:val="22"/>
                <w:szCs w:val="22"/>
                <w:u w:val="single"/>
              </w:rPr>
            </w:pPr>
            <w:hyperlink w:history="1" r:id="rId15">
              <w:r w:rsidR="006B11B0">
                <w:rPr>
                  <w:rStyle w:val="Hyperlink"/>
                  <w:rFonts w:ascii="Calibri" w:hAnsi="Calibri"/>
                  <w:sz w:val="22"/>
                  <w:szCs w:val="22"/>
                </w:rPr>
                <w:t>489</w:t>
              </w:r>
            </w:hyperlink>
          </w:p>
          <w:p w:rsidR="006B11B0" w:rsidP="006B11B0" w:rsidRDefault="006B11B0">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6B11B0" w:rsidP="002D2032" w:rsidRDefault="006B11B0">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6B11B0" w:rsidP="002D2032" w:rsidRDefault="006B11B0">
            <w:pPr>
              <w:rPr>
                <w:rFonts w:ascii="Calibri" w:hAnsi="Calibri"/>
                <w:color w:val="000000"/>
                <w:sz w:val="22"/>
                <w:szCs w:val="22"/>
              </w:rPr>
            </w:pPr>
            <w:r>
              <w:rPr>
                <w:rFonts w:ascii="Calibri" w:hAnsi="Calibri"/>
                <w:color w:val="000000"/>
                <w:sz w:val="22"/>
                <w:szCs w:val="22"/>
              </w:rPr>
              <w:t>Het betreft hier een standpunt van de Raad, de Kamer ontvangt geen BNC-fiche.</w:t>
            </w:r>
          </w:p>
        </w:tc>
      </w:tr>
      <w:tr w:rsidR="00D93FB3" w:rsidTr="002D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D93FB3" w:rsidP="00D93FB3" w:rsidRDefault="00D93FB3">
            <w:pPr>
              <w:rPr>
                <w:rFonts w:ascii="Calibri" w:hAnsi="Calibri"/>
                <w:color w:val="000000"/>
                <w:sz w:val="22"/>
                <w:szCs w:val="22"/>
              </w:rPr>
            </w:pPr>
            <w:r>
              <w:rPr>
                <w:rFonts w:ascii="Calibri" w:hAnsi="Calibri"/>
                <w:color w:val="000000"/>
                <w:sz w:val="22"/>
                <w:szCs w:val="22"/>
              </w:rPr>
              <w:t>2-okt-15</w:t>
            </w:r>
          </w:p>
          <w:p w:rsidR="00D93FB3" w:rsidP="002D2032" w:rsidRDefault="00D93FB3">
            <w:pPr>
              <w:rPr>
                <w:rFonts w:ascii="Calibri" w:hAnsi="Calibri"/>
                <w:color w:val="000000"/>
                <w:sz w:val="22"/>
                <w:szCs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D93FB3" w:rsidP="002D2032" w:rsidRDefault="00D93FB3">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D93FB3" w:rsidP="006B11B0" w:rsidRDefault="00D93FB3">
            <w:pPr>
              <w:rPr>
                <w:rFonts w:ascii="Calibri" w:hAnsi="Calibri"/>
                <w:color w:val="000000"/>
                <w:sz w:val="22"/>
                <w:szCs w:val="22"/>
              </w:rPr>
            </w:pPr>
            <w:r>
              <w:rPr>
                <w:rFonts w:ascii="Calibri" w:hAnsi="Calibri"/>
                <w:color w:val="000000"/>
                <w:sz w:val="22"/>
                <w:szCs w:val="22"/>
              </w:rPr>
              <w:t>Verslag</w:t>
            </w:r>
          </w:p>
        </w:tc>
        <w:tc>
          <w:tcPr>
            <w:tcW w:w="6101" w:type="dxa"/>
            <w:tcBorders>
              <w:top w:val="single" w:color="auto" w:sz="4" w:space="0"/>
              <w:left w:val="nil"/>
              <w:bottom w:val="single" w:color="auto" w:sz="4" w:space="0"/>
              <w:right w:val="nil"/>
            </w:tcBorders>
            <w:shd w:val="clear" w:color="auto" w:fill="auto"/>
            <w:noWrap/>
          </w:tcPr>
          <w:p w:rsidR="00D93FB3" w:rsidP="00D93FB3" w:rsidRDefault="00D93FB3">
            <w:pPr>
              <w:rPr>
                <w:rFonts w:ascii="Calibri" w:hAnsi="Calibri"/>
                <w:color w:val="000000"/>
                <w:sz w:val="22"/>
                <w:szCs w:val="22"/>
              </w:rPr>
            </w:pPr>
            <w:r>
              <w:rPr>
                <w:rFonts w:ascii="Calibri" w:hAnsi="Calibri"/>
                <w:color w:val="000000"/>
                <w:sz w:val="22"/>
                <w:szCs w:val="22"/>
              </w:rPr>
              <w:t>VERSLAG VAN DE COMMISSIE AAN HET EUROPEES PARLEMENT EN DE RAAD DE TUSSENTIJDSE EVALUATIE VAN DE BIODIVERSITEITSSTRATEGIE VAN DE EU VOOR 2020.</w:t>
            </w:r>
          </w:p>
          <w:p w:rsidR="00D93FB3" w:rsidP="002D2032" w:rsidRDefault="00D93FB3">
            <w:pPr>
              <w:rPr>
                <w:rFonts w:ascii="Calibri" w:hAnsi="Calibri"/>
                <w:color w:val="000000"/>
                <w:sz w:val="22"/>
                <w:szCs w:val="22"/>
              </w:rPr>
            </w:pPr>
          </w:p>
        </w:tc>
        <w:tc>
          <w:tcPr>
            <w:tcW w:w="879" w:type="dxa"/>
            <w:tcBorders>
              <w:top w:val="single" w:color="auto" w:sz="4" w:space="0"/>
              <w:left w:val="single" w:color="auto" w:sz="4" w:space="0"/>
              <w:bottom w:val="single" w:color="auto" w:sz="4" w:space="0"/>
              <w:right w:val="single" w:color="auto" w:sz="4" w:space="0"/>
            </w:tcBorders>
            <w:shd w:val="clear" w:color="auto" w:fill="auto"/>
            <w:noWrap/>
          </w:tcPr>
          <w:p w:rsidR="00D93FB3" w:rsidP="00D93FB3" w:rsidRDefault="007A0B95">
            <w:pPr>
              <w:rPr>
                <w:rFonts w:ascii="Calibri" w:hAnsi="Calibri"/>
                <w:color w:val="0000FF"/>
                <w:sz w:val="22"/>
                <w:szCs w:val="22"/>
                <w:u w:val="single"/>
              </w:rPr>
            </w:pPr>
            <w:hyperlink w:history="1" w:anchor="dossier-COM20150478" r:id="rId16">
              <w:r w:rsidR="00D93FB3">
                <w:rPr>
                  <w:rStyle w:val="Hyperlink"/>
                  <w:rFonts w:ascii="Calibri" w:hAnsi="Calibri"/>
                  <w:sz w:val="22"/>
                  <w:szCs w:val="22"/>
                </w:rPr>
                <w:t>478</w:t>
              </w:r>
            </w:hyperlink>
          </w:p>
          <w:p w:rsidR="00D93FB3" w:rsidP="006B11B0" w:rsidRDefault="00D93FB3">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D93FB3" w:rsidP="002D2032" w:rsidRDefault="00D93FB3">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D93FB3" w:rsidP="002D2032" w:rsidRDefault="00D93FB3">
            <w:pPr>
              <w:rPr>
                <w:rFonts w:ascii="Calibri" w:hAnsi="Calibri"/>
                <w:color w:val="000000"/>
                <w:sz w:val="22"/>
                <w:szCs w:val="22"/>
              </w:rPr>
            </w:pPr>
            <w:r w:rsidRPr="00D93FB3">
              <w:rPr>
                <w:rFonts w:ascii="Calibri" w:hAnsi="Calibri"/>
                <w:color w:val="000000"/>
                <w:sz w:val="22"/>
                <w:szCs w:val="22"/>
              </w:rPr>
              <w:t xml:space="preserve">Onderdeel van de biodiversiteitsstrategie is de uitvoering van de Vogel- en habitatrichtlijn/N2000. Uw commissie heeft dit dossier als prioritair aangemerkt en twee rapporteurs aangewezen. Aangezien het een verslag betreft </w:t>
            </w:r>
            <w:r>
              <w:rPr>
                <w:rFonts w:ascii="Calibri" w:hAnsi="Calibri"/>
                <w:color w:val="000000"/>
                <w:sz w:val="22"/>
                <w:szCs w:val="22"/>
              </w:rPr>
              <w:t xml:space="preserve">(geen voorstel), </w:t>
            </w:r>
            <w:r w:rsidRPr="00D93FB3">
              <w:rPr>
                <w:rFonts w:ascii="Calibri" w:hAnsi="Calibri"/>
                <w:color w:val="000000"/>
                <w:sz w:val="22"/>
                <w:szCs w:val="22"/>
              </w:rPr>
              <w:t>ontvangt u hierover geen BNC-fiche.</w:t>
            </w:r>
          </w:p>
        </w:tc>
      </w:tr>
    </w:tbl>
    <w:p w:rsidR="006B11B0" w:rsidP="006B11B0" w:rsidRDefault="006B11B0"/>
    <w:p w:rsidR="0046131B" w:rsidRDefault="0046131B"/>
    <w:sectPr w:rsidR="0046131B" w:rsidSect="00BF35EE">
      <w:footerReference w:type="default" r:id="rId17"/>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C71" w:rsidRDefault="004E492E">
      <w:r>
        <w:separator/>
      </w:r>
    </w:p>
  </w:endnote>
  <w:endnote w:type="continuationSeparator" w:id="0">
    <w:p w:rsidR="00861C71" w:rsidRDefault="004E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6B11B0">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7A0B95">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7A0B9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C71" w:rsidRDefault="004E492E">
      <w:r>
        <w:separator/>
      </w:r>
    </w:p>
  </w:footnote>
  <w:footnote w:type="continuationSeparator" w:id="0">
    <w:p w:rsidR="00861C71" w:rsidRDefault="004E4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B0"/>
    <w:rsid w:val="00433D6E"/>
    <w:rsid w:val="0046131B"/>
    <w:rsid w:val="004E492E"/>
    <w:rsid w:val="006B11B0"/>
    <w:rsid w:val="007A0B95"/>
    <w:rsid w:val="00861C71"/>
    <w:rsid w:val="00D93F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11B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6B11B0"/>
    <w:pPr>
      <w:tabs>
        <w:tab w:val="center" w:pos="4536"/>
        <w:tab w:val="right" w:pos="9072"/>
      </w:tabs>
    </w:pPr>
  </w:style>
  <w:style w:type="character" w:customStyle="1" w:styleId="VoettekstChar">
    <w:name w:val="Voettekst Char"/>
    <w:basedOn w:val="Standaardalinea-lettertype"/>
    <w:link w:val="Voettekst"/>
    <w:uiPriority w:val="99"/>
    <w:rsid w:val="006B11B0"/>
    <w:rPr>
      <w:sz w:val="24"/>
      <w:szCs w:val="24"/>
    </w:rPr>
  </w:style>
  <w:style w:type="character" w:styleId="Hyperlink">
    <w:name w:val="Hyperlink"/>
    <w:basedOn w:val="Standaardalinea-lettertype"/>
    <w:uiPriority w:val="99"/>
    <w:unhideWhenUsed/>
    <w:rsid w:val="006B11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B11B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6B11B0"/>
    <w:pPr>
      <w:tabs>
        <w:tab w:val="center" w:pos="4536"/>
        <w:tab w:val="right" w:pos="9072"/>
      </w:tabs>
    </w:pPr>
  </w:style>
  <w:style w:type="character" w:customStyle="1" w:styleId="VoettekstChar">
    <w:name w:val="Voettekst Char"/>
    <w:basedOn w:val="Standaardalinea-lettertype"/>
    <w:link w:val="Voettekst"/>
    <w:uiPriority w:val="99"/>
    <w:rsid w:val="006B11B0"/>
    <w:rPr>
      <w:sz w:val="24"/>
      <w:szCs w:val="24"/>
    </w:rPr>
  </w:style>
  <w:style w:type="character" w:styleId="Hyperlink">
    <w:name w:val="Hyperlink"/>
    <w:basedOn w:val="Standaardalinea-lettertype"/>
    <w:uiPriority w:val="99"/>
    <w:unhideWhenUsed/>
    <w:rsid w:val="006B11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8959">
      <w:bodyDiv w:val="1"/>
      <w:marLeft w:val="0"/>
      <w:marRight w:val="0"/>
      <w:marTop w:val="0"/>
      <w:marBottom w:val="0"/>
      <w:divBdr>
        <w:top w:val="none" w:sz="0" w:space="0" w:color="auto"/>
        <w:left w:val="none" w:sz="0" w:space="0" w:color="auto"/>
        <w:bottom w:val="none" w:sz="0" w:space="0" w:color="auto"/>
        <w:right w:val="none" w:sz="0" w:space="0" w:color="auto"/>
      </w:divBdr>
    </w:div>
    <w:div w:id="178355496">
      <w:bodyDiv w:val="1"/>
      <w:marLeft w:val="0"/>
      <w:marRight w:val="0"/>
      <w:marTop w:val="0"/>
      <w:marBottom w:val="0"/>
      <w:divBdr>
        <w:top w:val="none" w:sz="0" w:space="0" w:color="auto"/>
        <w:left w:val="none" w:sz="0" w:space="0" w:color="auto"/>
        <w:bottom w:val="none" w:sz="0" w:space="0" w:color="auto"/>
        <w:right w:val="none" w:sz="0" w:space="0" w:color="auto"/>
      </w:divBdr>
    </w:div>
    <w:div w:id="278075389">
      <w:bodyDiv w:val="1"/>
      <w:marLeft w:val="0"/>
      <w:marRight w:val="0"/>
      <w:marTop w:val="0"/>
      <w:marBottom w:val="0"/>
      <w:divBdr>
        <w:top w:val="none" w:sz="0" w:space="0" w:color="auto"/>
        <w:left w:val="none" w:sz="0" w:space="0" w:color="auto"/>
        <w:bottom w:val="none" w:sz="0" w:space="0" w:color="auto"/>
        <w:right w:val="none" w:sz="0" w:space="0" w:color="auto"/>
      </w:divBdr>
    </w:div>
    <w:div w:id="384838390">
      <w:bodyDiv w:val="1"/>
      <w:marLeft w:val="0"/>
      <w:marRight w:val="0"/>
      <w:marTop w:val="0"/>
      <w:marBottom w:val="0"/>
      <w:divBdr>
        <w:top w:val="none" w:sz="0" w:space="0" w:color="auto"/>
        <w:left w:val="none" w:sz="0" w:space="0" w:color="auto"/>
        <w:bottom w:val="none" w:sz="0" w:space="0" w:color="auto"/>
        <w:right w:val="none" w:sz="0" w:space="0" w:color="auto"/>
      </w:divBdr>
    </w:div>
    <w:div w:id="464273008">
      <w:bodyDiv w:val="1"/>
      <w:marLeft w:val="0"/>
      <w:marRight w:val="0"/>
      <w:marTop w:val="0"/>
      <w:marBottom w:val="0"/>
      <w:divBdr>
        <w:top w:val="none" w:sz="0" w:space="0" w:color="auto"/>
        <w:left w:val="none" w:sz="0" w:space="0" w:color="auto"/>
        <w:bottom w:val="none" w:sz="0" w:space="0" w:color="auto"/>
        <w:right w:val="none" w:sz="0" w:space="0" w:color="auto"/>
      </w:divBdr>
    </w:div>
    <w:div w:id="534931559">
      <w:bodyDiv w:val="1"/>
      <w:marLeft w:val="0"/>
      <w:marRight w:val="0"/>
      <w:marTop w:val="0"/>
      <w:marBottom w:val="0"/>
      <w:divBdr>
        <w:top w:val="none" w:sz="0" w:space="0" w:color="auto"/>
        <w:left w:val="none" w:sz="0" w:space="0" w:color="auto"/>
        <w:bottom w:val="none" w:sz="0" w:space="0" w:color="auto"/>
        <w:right w:val="none" w:sz="0" w:space="0" w:color="auto"/>
      </w:divBdr>
    </w:div>
    <w:div w:id="1001153258">
      <w:bodyDiv w:val="1"/>
      <w:marLeft w:val="0"/>
      <w:marRight w:val="0"/>
      <w:marTop w:val="0"/>
      <w:marBottom w:val="0"/>
      <w:divBdr>
        <w:top w:val="none" w:sz="0" w:space="0" w:color="auto"/>
        <w:left w:val="none" w:sz="0" w:space="0" w:color="auto"/>
        <w:bottom w:val="none" w:sz="0" w:space="0" w:color="auto"/>
        <w:right w:val="none" w:sz="0" w:space="0" w:color="auto"/>
      </w:divBdr>
    </w:div>
    <w:div w:id="1161890728">
      <w:bodyDiv w:val="1"/>
      <w:marLeft w:val="0"/>
      <w:marRight w:val="0"/>
      <w:marTop w:val="0"/>
      <w:marBottom w:val="0"/>
      <w:divBdr>
        <w:top w:val="none" w:sz="0" w:space="0" w:color="auto"/>
        <w:left w:val="none" w:sz="0" w:space="0" w:color="auto"/>
        <w:bottom w:val="none" w:sz="0" w:space="0" w:color="auto"/>
        <w:right w:val="none" w:sz="0" w:space="0" w:color="auto"/>
      </w:divBdr>
    </w:div>
    <w:div w:id="1174957395">
      <w:bodyDiv w:val="1"/>
      <w:marLeft w:val="0"/>
      <w:marRight w:val="0"/>
      <w:marTop w:val="0"/>
      <w:marBottom w:val="0"/>
      <w:divBdr>
        <w:top w:val="none" w:sz="0" w:space="0" w:color="auto"/>
        <w:left w:val="none" w:sz="0" w:space="0" w:color="auto"/>
        <w:bottom w:val="none" w:sz="0" w:space="0" w:color="auto"/>
        <w:right w:val="none" w:sz="0" w:space="0" w:color="auto"/>
      </w:divBdr>
    </w:div>
    <w:div w:id="1178886933">
      <w:bodyDiv w:val="1"/>
      <w:marLeft w:val="0"/>
      <w:marRight w:val="0"/>
      <w:marTop w:val="0"/>
      <w:marBottom w:val="0"/>
      <w:divBdr>
        <w:top w:val="none" w:sz="0" w:space="0" w:color="auto"/>
        <w:left w:val="none" w:sz="0" w:space="0" w:color="auto"/>
        <w:bottom w:val="none" w:sz="0" w:space="0" w:color="auto"/>
        <w:right w:val="none" w:sz="0" w:space="0" w:color="auto"/>
      </w:divBdr>
    </w:div>
    <w:div w:id="1357535212">
      <w:bodyDiv w:val="1"/>
      <w:marLeft w:val="0"/>
      <w:marRight w:val="0"/>
      <w:marTop w:val="0"/>
      <w:marBottom w:val="0"/>
      <w:divBdr>
        <w:top w:val="none" w:sz="0" w:space="0" w:color="auto"/>
        <w:left w:val="none" w:sz="0" w:space="0" w:color="auto"/>
        <w:bottom w:val="none" w:sz="0" w:space="0" w:color="auto"/>
        <w:right w:val="none" w:sz="0" w:space="0" w:color="auto"/>
      </w:divBdr>
    </w:div>
    <w:div w:id="1467969873">
      <w:bodyDiv w:val="1"/>
      <w:marLeft w:val="0"/>
      <w:marRight w:val="0"/>
      <w:marTop w:val="0"/>
      <w:marBottom w:val="0"/>
      <w:divBdr>
        <w:top w:val="none" w:sz="0" w:space="0" w:color="auto"/>
        <w:left w:val="none" w:sz="0" w:space="0" w:color="auto"/>
        <w:bottom w:val="none" w:sz="0" w:space="0" w:color="auto"/>
        <w:right w:val="none" w:sz="0" w:space="0" w:color="auto"/>
      </w:divBdr>
    </w:div>
    <w:div w:id="179713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ipex.eu/IPEXL-WEB/dossier/document/COM20150474.do" TargetMode="Externa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yperlink" Target="http://www.ipex.eu/IPEXL-WEB/dossier/document/COM20150465.do" TargetMode="External" Id="rId12" /><Relationship Type="http://schemas.openxmlformats.org/officeDocument/2006/relationships/footer" Target="footer1.xml" Id="rId17" /><Relationship Type="http://schemas.openxmlformats.org/officeDocument/2006/relationships/hyperlink" Target="http://www.ipex.eu/IPEXL-WEB/dossier/document/COM20150478.do" TargetMode="External" Id="rId16" /><Relationship Type="http://schemas.openxmlformats.org/officeDocument/2006/relationships/settings" Target="settings.xml" Id="rId6" /><Relationship Type="http://schemas.openxmlformats.org/officeDocument/2006/relationships/hyperlink" Target="https://ec.europa.eu/eusurvey/runner/Platforms/" TargetMode="External" Id="rId11" /><Relationship Type="http://schemas.microsoft.com/office/2007/relationships/stylesWithEffects" Target="stylesWithEffects.xml" Id="rId5" /><Relationship Type="http://schemas.openxmlformats.org/officeDocument/2006/relationships/hyperlink" Target="http://www.ipex.eu/IPEXL-WEB/dossier/document/COM20150489.do" TargetMode="External" Id="rId15" /><Relationship Type="http://schemas.openxmlformats.org/officeDocument/2006/relationships/hyperlink" Target="https://ec.europa.eu/eusurvey/runner/geoblocksurvey2015/"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www.ipex.eu/IPEXL-WEB/dossier/document/COM20150480.do"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459</ap:Words>
  <ap:Characters>3544</ap:Characters>
  <ap:DocSecurity>4</ap:DocSecurity>
  <ap:Lines>29</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2016-03-24T08:57:00.0000000Z</dcterms:created>
  <dcterms:modified xsi:type="dcterms:W3CDTF">2016-03-24T08:57:00.0000000Z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