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61" w:rsidP="007F5661" w:rsidRDefault="007F566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Overzicht nieuw gepubliceerde EU-voorstellen</w:t>
      </w:r>
      <w:r w:rsidRPr="00F67F5B">
        <w:rPr>
          <w:rFonts w:asciiTheme="minorHAnsi" w:hAnsiTheme="minorHAnsi"/>
          <w:b/>
          <w:sz w:val="22"/>
          <w:szCs w:val="22"/>
        </w:rPr>
        <w:t xml:space="preserve"> </w:t>
      </w:r>
    </w:p>
    <w:p w:rsidRPr="00F67F5B" w:rsidR="007F5661" w:rsidP="007F5661" w:rsidRDefault="007F5661">
      <w:pPr>
        <w:rPr>
          <w:rFonts w:asciiTheme="minorHAnsi" w:hAnsiTheme="minorHAnsi"/>
          <w:sz w:val="22"/>
          <w:szCs w:val="22"/>
        </w:rPr>
      </w:pPr>
    </w:p>
    <w:p w:rsidRPr="00BF35EE" w:rsidR="007F5661" w:rsidP="007F5661" w:rsidRDefault="007F5661">
      <w:pPr>
        <w:rPr>
          <w:rFonts w:asciiTheme="minorHAnsi" w:hAnsiTheme="minorHAnsi"/>
          <w:sz w:val="22"/>
          <w:szCs w:val="22"/>
          <w:u w:val="single"/>
        </w:rPr>
      </w:pPr>
      <w:bookmarkStart w:name="_GoBack" w:id="0"/>
      <w:r w:rsidRPr="00BF35EE">
        <w:rPr>
          <w:rFonts w:asciiTheme="minorHAnsi" w:hAnsiTheme="minorHAnsi"/>
          <w:sz w:val="22"/>
          <w:szCs w:val="22"/>
          <w:u w:val="single"/>
        </w:rPr>
        <w:t xml:space="preserve">Integraal overzicht met nieuw gepubliceerde EU-voorstellen </w:t>
      </w:r>
      <w:r w:rsidR="008A3640">
        <w:rPr>
          <w:rFonts w:asciiTheme="minorHAnsi" w:hAnsiTheme="minorHAnsi"/>
          <w:sz w:val="22"/>
          <w:szCs w:val="22"/>
          <w:u w:val="single"/>
        </w:rPr>
        <w:t>t/m week 39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BF35EE">
        <w:rPr>
          <w:rFonts w:asciiTheme="minorHAnsi" w:hAnsiTheme="minorHAnsi"/>
          <w:sz w:val="22"/>
          <w:szCs w:val="22"/>
          <w:u w:val="single"/>
        </w:rPr>
        <w:t>(</w:t>
      </w:r>
      <w:r w:rsidR="008A3640">
        <w:rPr>
          <w:rFonts w:asciiTheme="minorHAnsi" w:hAnsiTheme="minorHAnsi"/>
          <w:sz w:val="22"/>
          <w:szCs w:val="22"/>
          <w:u w:val="single"/>
        </w:rPr>
        <w:t>14 september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3C35BA">
        <w:rPr>
          <w:rFonts w:asciiTheme="minorHAnsi" w:hAnsiTheme="minorHAnsi"/>
          <w:sz w:val="22"/>
          <w:szCs w:val="22"/>
          <w:u w:val="single"/>
        </w:rPr>
        <w:t xml:space="preserve">2015 </w:t>
      </w:r>
      <w:r>
        <w:rPr>
          <w:rFonts w:asciiTheme="minorHAnsi" w:hAnsiTheme="minorHAnsi"/>
          <w:sz w:val="22"/>
          <w:szCs w:val="22"/>
          <w:u w:val="single"/>
        </w:rPr>
        <w:t>–</w:t>
      </w:r>
      <w:r w:rsidRPr="003C35B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8A3640">
        <w:rPr>
          <w:rFonts w:asciiTheme="minorHAnsi" w:hAnsiTheme="minorHAnsi"/>
          <w:sz w:val="22"/>
          <w:szCs w:val="22"/>
          <w:u w:val="single"/>
        </w:rPr>
        <w:t>25</w:t>
      </w:r>
      <w:r>
        <w:rPr>
          <w:rFonts w:asciiTheme="minorHAnsi" w:hAnsiTheme="minorHAnsi"/>
          <w:sz w:val="22"/>
          <w:szCs w:val="22"/>
          <w:u w:val="single"/>
        </w:rPr>
        <w:t xml:space="preserve"> september</w:t>
      </w:r>
      <w:r w:rsidRPr="003C35BA">
        <w:rPr>
          <w:rFonts w:asciiTheme="minorHAnsi" w:hAnsiTheme="minorHAnsi"/>
          <w:sz w:val="22"/>
          <w:szCs w:val="22"/>
          <w:u w:val="single"/>
        </w:rPr>
        <w:t xml:space="preserve"> 2015</w:t>
      </w:r>
      <w:r w:rsidRPr="00BF35EE">
        <w:rPr>
          <w:rFonts w:asciiTheme="minorHAnsi" w:hAnsiTheme="minorHAnsi"/>
          <w:sz w:val="22"/>
          <w:szCs w:val="22"/>
          <w:u w:val="single"/>
        </w:rPr>
        <w:t xml:space="preserve">) d.d. </w:t>
      </w:r>
      <w:r w:rsidR="007366C9">
        <w:rPr>
          <w:rFonts w:asciiTheme="minorHAnsi" w:hAnsiTheme="minorHAnsi"/>
          <w:sz w:val="22"/>
          <w:szCs w:val="22"/>
          <w:u w:val="single"/>
        </w:rPr>
        <w:t>1 oktober</w:t>
      </w:r>
      <w:r>
        <w:rPr>
          <w:rFonts w:asciiTheme="minorHAnsi" w:hAnsiTheme="minorHAnsi"/>
          <w:sz w:val="22"/>
          <w:szCs w:val="22"/>
          <w:u w:val="single"/>
        </w:rPr>
        <w:t xml:space="preserve"> 2015.</w:t>
      </w:r>
    </w:p>
    <w:bookmarkEnd w:id="0"/>
    <w:p w:rsidRPr="00F67F5B" w:rsidR="007F5661" w:rsidP="007F5661" w:rsidRDefault="007F5661">
      <w:pPr>
        <w:rPr>
          <w:rFonts w:asciiTheme="minorHAnsi" w:hAnsiTheme="minorHAnsi"/>
          <w:sz w:val="22"/>
          <w:szCs w:val="22"/>
        </w:rPr>
      </w:pPr>
    </w:p>
    <w:p w:rsidRPr="00F67F5B" w:rsidR="007F5661" w:rsidP="007F5661" w:rsidRDefault="007F5661">
      <w:pPr>
        <w:rPr>
          <w:rFonts w:asciiTheme="minorHAnsi" w:hAnsiTheme="minorHAnsi"/>
          <w:sz w:val="22"/>
          <w:szCs w:val="22"/>
        </w:rPr>
      </w:pPr>
    </w:p>
    <w:tbl>
      <w:tblPr>
        <w:tblW w:w="15436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992"/>
        <w:gridCol w:w="1843"/>
        <w:gridCol w:w="6101"/>
        <w:gridCol w:w="879"/>
        <w:gridCol w:w="1052"/>
        <w:gridCol w:w="3136"/>
      </w:tblGrid>
      <w:tr w:rsidRPr="00F67F5B" w:rsidR="007F5661" w:rsidTr="007366C9">
        <w:trPr>
          <w:trHeight w:val="1550"/>
        </w:trPr>
        <w:tc>
          <w:tcPr>
            <w:tcW w:w="1433" w:type="dxa"/>
            <w:shd w:val="clear" w:color="auto" w:fill="auto"/>
            <w:textDirection w:val="btLr"/>
            <w:vAlign w:val="bottom"/>
            <w:hideMark/>
          </w:tcPr>
          <w:p w:rsidRPr="00F50A0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Publicatie-</w:t>
            </w:r>
          </w:p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992" w:type="dxa"/>
            <w:shd w:val="clear" w:color="auto" w:fill="auto"/>
            <w:textDirection w:val="btLr"/>
            <w:vAlign w:val="bottom"/>
            <w:hideMark/>
          </w:tcPr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Voortouw</w:t>
            </w:r>
            <w:proofErr w:type="gramEnd"/>
          </w:p>
        </w:tc>
        <w:tc>
          <w:tcPr>
            <w:tcW w:w="1843" w:type="dxa"/>
            <w:shd w:val="clear" w:color="auto" w:fill="auto"/>
            <w:textDirection w:val="btLr"/>
            <w:vAlign w:val="bottom"/>
            <w:hideMark/>
          </w:tcPr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6101" w:type="dxa"/>
            <w:shd w:val="clear" w:color="auto" w:fill="auto"/>
            <w:textDirection w:val="btLr"/>
            <w:vAlign w:val="bottom"/>
            <w:hideMark/>
          </w:tcPr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Titel</w:t>
            </w:r>
          </w:p>
        </w:tc>
        <w:tc>
          <w:tcPr>
            <w:tcW w:w="879" w:type="dxa"/>
            <w:shd w:val="clear" w:color="auto" w:fill="auto"/>
            <w:textDirection w:val="btLr"/>
            <w:vAlign w:val="bottom"/>
            <w:hideMark/>
          </w:tcPr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OM</w:t>
            </w: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-nummer</w:t>
            </w:r>
          </w:p>
        </w:tc>
        <w:tc>
          <w:tcPr>
            <w:tcW w:w="1052" w:type="dxa"/>
            <w:textDirection w:val="btLr"/>
          </w:tcPr>
          <w:p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Pr="00F50A0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Sub.toets</w:t>
            </w:r>
            <w:proofErr w:type="spellEnd"/>
          </w:p>
        </w:tc>
        <w:tc>
          <w:tcPr>
            <w:tcW w:w="3136" w:type="dxa"/>
            <w:shd w:val="clear" w:color="auto" w:fill="auto"/>
            <w:textDirection w:val="btLr"/>
            <w:vAlign w:val="bottom"/>
            <w:hideMark/>
          </w:tcPr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Opmerking</w:t>
            </w:r>
          </w:p>
        </w:tc>
      </w:tr>
      <w:tr w:rsidRPr="00F67F5B" w:rsidR="007F5661" w:rsidTr="007366C9">
        <w:trPr>
          <w:trHeight w:val="300"/>
        </w:trPr>
        <w:tc>
          <w:tcPr>
            <w:tcW w:w="1433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7F5661" w:rsidP="00BB2745" w:rsidRDefault="007F566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1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674C2D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74C2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7F5661" w:rsidP="00BB2745" w:rsidRDefault="007F566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bottom w:val="single" w:color="auto" w:sz="4" w:space="0"/>
            </w:tcBorders>
            <w:shd w:val="clear" w:color="000000" w:fill="538DD5"/>
          </w:tcPr>
          <w:p w:rsidRPr="00F67F5B" w:rsidR="007F5661" w:rsidP="00BB2745" w:rsidRDefault="007F566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tcBorders>
              <w:bottom w:val="single" w:color="auto" w:sz="4" w:space="0"/>
            </w:tcBorders>
            <w:shd w:val="clear" w:color="000000" w:fill="538DD5"/>
            <w:hideMark/>
          </w:tcPr>
          <w:p w:rsidRPr="00F67F5B" w:rsidR="007F5661" w:rsidP="00BB2745" w:rsidRDefault="007F566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F5661" w:rsidTr="0073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F5661" w:rsidR="007F5661" w:rsidP="00BB2745" w:rsidRDefault="007F5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11-sept-15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F5661" w:rsidP="00BB2745" w:rsidRDefault="007F5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7F5661" w:rsidP="00BB2745" w:rsidRDefault="007F5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Mededeling</w:t>
            </w:r>
          </w:p>
        </w:tc>
        <w:tc>
          <w:tcPr>
            <w:tcW w:w="61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7F5661" w:rsidR="007F5661" w:rsidP="007366C9" w:rsidRDefault="007F5661">
            <w:pPr>
              <w:rPr>
                <w:rFonts w:ascii="Calibri" w:hAnsi="Calibri"/>
                <w:sz w:val="22"/>
                <w:szCs w:val="22"/>
              </w:rPr>
            </w:pPr>
            <w:r w:rsidRPr="007F5661">
              <w:rPr>
                <w:rFonts w:ascii="Calibri" w:hAnsi="Calibri"/>
                <w:sz w:val="22"/>
                <w:szCs w:val="22"/>
              </w:rPr>
              <w:t xml:space="preserve">MEDEDELING VAN DE COMMISSIE Marktstudie betreffende netspanningslampen </w:t>
            </w:r>
            <w:proofErr w:type="gramStart"/>
            <w:r w:rsidRPr="007F5661">
              <w:rPr>
                <w:rFonts w:ascii="Calibri" w:hAnsi="Calibri"/>
                <w:sz w:val="22"/>
                <w:szCs w:val="22"/>
              </w:rPr>
              <w:t>overeenkomstig</w:t>
            </w:r>
            <w:proofErr w:type="gramEnd"/>
            <w:r w:rsidRPr="007F5661">
              <w:rPr>
                <w:rFonts w:ascii="Calibri" w:hAnsi="Calibri"/>
                <w:sz w:val="22"/>
                <w:szCs w:val="22"/>
              </w:rPr>
              <w:t xml:space="preserve"> Verordening (EU) nr. 1194/2012</w:t>
            </w:r>
            <w:r w:rsidRPr="007F5661">
              <w:rPr>
                <w:rFonts w:ascii="Calibri" w:hAnsi="Calibri"/>
                <w:sz w:val="22"/>
                <w:szCs w:val="22"/>
              </w:rPr>
              <w:tab/>
            </w:r>
            <w:r w:rsidRPr="007F5661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8A3640" w:rsidP="008A3640" w:rsidRDefault="00EC6140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w:anchor="dossier-COM20150443" r:id="rId10">
              <w:r w:rsidR="008A3640">
                <w:rPr>
                  <w:rStyle w:val="Hyperlink"/>
                  <w:rFonts w:ascii="Calibri" w:hAnsi="Calibri"/>
                  <w:sz w:val="22"/>
                  <w:szCs w:val="22"/>
                </w:rPr>
                <w:t>443</w:t>
              </w:r>
            </w:hyperlink>
          </w:p>
          <w:p w:rsidR="007F5661" w:rsidP="00BB2745" w:rsidRDefault="007F5661"/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7F5661" w:rsidP="00BB2745" w:rsidRDefault="007F566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F5661" w:rsidP="00BB2745" w:rsidRDefault="007F56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66C9" w:rsidTr="00E5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7366C9" w:rsidP="00BB2745" w:rsidRDefault="007366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23-sep-15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366C9" w:rsidP="00BB2745" w:rsidRDefault="007366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7366C9" w:rsidP="00BB2745" w:rsidRDefault="007366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Raadpleging</w:t>
            </w:r>
          </w:p>
        </w:tc>
        <w:tc>
          <w:tcPr>
            <w:tcW w:w="61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7F5661" w:rsidR="007366C9" w:rsidP="007F5661" w:rsidRDefault="007366C9">
            <w:pPr>
              <w:rPr>
                <w:rFonts w:ascii="Calibri" w:hAnsi="Calibri"/>
                <w:sz w:val="22"/>
                <w:szCs w:val="22"/>
              </w:rPr>
            </w:pPr>
            <w:r w:rsidRPr="007366C9">
              <w:rPr>
                <w:rFonts w:ascii="Calibri" w:hAnsi="Calibri"/>
                <w:sz w:val="22"/>
                <w:szCs w:val="22"/>
              </w:rPr>
              <w:t>Normen binnen de digitale eengemaakte markt: prioriteiten en resultaten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7366C9" w:rsidP="007366C9" w:rsidRDefault="007366C9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  <w:p w:rsidR="007366C9" w:rsidP="007366C9" w:rsidRDefault="00EC6140">
            <w:pP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hyperlink w:history="1" r:id="rId11">
              <w:r w:rsidR="007366C9">
                <w:rPr>
                  <w:rStyle w:val="Hyperlink"/>
                  <w:rFonts w:ascii="Calibri" w:hAnsi="Calibri"/>
                  <w:sz w:val="22"/>
                  <w:szCs w:val="22"/>
                </w:rPr>
                <w:t>OR</w:t>
              </w:r>
            </w:hyperlink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="007366C9" w:rsidP="00BB2745" w:rsidRDefault="007366C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366C9" w:rsidP="00BB2745" w:rsidRDefault="007366C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366C9" w:rsidP="00BB2745" w:rsidRDefault="00DB27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Raadpleging loopt t/m </w:t>
            </w:r>
            <w:r w:rsidRPr="00DB27B9">
              <w:rPr>
                <w:rFonts w:ascii="Calibri" w:hAnsi="Calibri"/>
                <w:color w:val="000000"/>
                <w:sz w:val="22"/>
                <w:szCs w:val="22"/>
              </w:rPr>
              <w:t>16-dec-15</w:t>
            </w:r>
          </w:p>
        </w:tc>
      </w:tr>
    </w:tbl>
    <w:p w:rsidR="0046131B" w:rsidRDefault="0046131B"/>
    <w:sectPr w:rsidR="0046131B" w:rsidSect="00BF35EE">
      <w:footerReference w:type="default" r:id="rId12"/>
      <w:pgSz w:w="16838" w:h="11906" w:orient="landscape"/>
      <w:pgMar w:top="1134" w:right="1134" w:bottom="1134" w:left="1134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2F" w:rsidRDefault="007366C9">
      <w:r>
        <w:separator/>
      </w:r>
    </w:p>
  </w:endnote>
  <w:endnote w:type="continuationSeparator" w:id="0">
    <w:p w:rsidR="009A1A2F" w:rsidRDefault="0073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33007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F35EE" w:rsidRPr="00BF35EE" w:rsidRDefault="00950FC2">
        <w:pPr>
          <w:pStyle w:val="Voettekst"/>
          <w:jc w:val="right"/>
          <w:rPr>
            <w:rFonts w:asciiTheme="minorHAnsi" w:hAnsiTheme="minorHAnsi"/>
            <w:sz w:val="22"/>
            <w:szCs w:val="22"/>
          </w:rPr>
        </w:pPr>
        <w:r w:rsidRPr="00BF35EE">
          <w:rPr>
            <w:rFonts w:asciiTheme="minorHAnsi" w:hAnsiTheme="minorHAnsi"/>
            <w:sz w:val="22"/>
            <w:szCs w:val="22"/>
          </w:rPr>
          <w:fldChar w:fldCharType="begin"/>
        </w:r>
        <w:r w:rsidRPr="00BF35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F35EE">
          <w:rPr>
            <w:rFonts w:asciiTheme="minorHAnsi" w:hAnsiTheme="minorHAnsi"/>
            <w:sz w:val="22"/>
            <w:szCs w:val="22"/>
          </w:rPr>
          <w:fldChar w:fldCharType="separate"/>
        </w:r>
        <w:r w:rsidR="00EC6140">
          <w:rPr>
            <w:rFonts w:asciiTheme="minorHAnsi" w:hAnsiTheme="minorHAnsi"/>
            <w:noProof/>
            <w:sz w:val="22"/>
            <w:szCs w:val="22"/>
          </w:rPr>
          <w:t>1</w:t>
        </w:r>
        <w:r w:rsidRPr="00BF35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BF35EE" w:rsidRDefault="00EC614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2F" w:rsidRDefault="007366C9">
      <w:r>
        <w:separator/>
      </w:r>
    </w:p>
  </w:footnote>
  <w:footnote w:type="continuationSeparator" w:id="0">
    <w:p w:rsidR="009A1A2F" w:rsidRDefault="0073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61"/>
    <w:rsid w:val="00433D6E"/>
    <w:rsid w:val="0046131B"/>
    <w:rsid w:val="007366C9"/>
    <w:rsid w:val="007F5661"/>
    <w:rsid w:val="008A3640"/>
    <w:rsid w:val="00950FC2"/>
    <w:rsid w:val="009A1A2F"/>
    <w:rsid w:val="00DB27B9"/>
    <w:rsid w:val="00E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566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F56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5661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F56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F566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F56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5661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F5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yperlink" Target="https://ec.europa.eu/digital-agenda/en/news/public-consultation-priority-ict-standards-plan" TargetMode="External" Id="rId11" /><Relationship Type="http://schemas.microsoft.com/office/2007/relationships/stylesWithEffects" Target="stylesWithEffects.xml" Id="rId5" /><Relationship Type="http://schemas.openxmlformats.org/officeDocument/2006/relationships/hyperlink" Target="http://www.ipex.eu/IPEXL-WEB/dossier/document/COM20150443.do" TargetMode="Externa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710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2016-03-24T08:54:00.0000000Z</dcterms:created>
  <dcterms:modified xsi:type="dcterms:W3CDTF">2016-03-24T08:54:00.0000000Z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0x0101001ED3D33AB200A9499C8642D68373B8E6</vt:lpwstr>
  </property>
</Properties>
</file>