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EF" w:rsidP="00AC73EF" w:rsidRDefault="00AC73EF">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AC73EF" w:rsidP="00AC73EF" w:rsidRDefault="00AC73EF">
      <w:pPr>
        <w:rPr>
          <w:rFonts w:asciiTheme="minorHAnsi" w:hAnsiTheme="minorHAnsi"/>
          <w:sz w:val="22"/>
          <w:szCs w:val="22"/>
        </w:rPr>
      </w:pPr>
    </w:p>
    <w:p w:rsidRPr="001A05B7" w:rsidR="00AC73EF" w:rsidP="00AC73EF" w:rsidRDefault="00AC73EF">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sidR="00184ABF">
        <w:rPr>
          <w:rFonts w:asciiTheme="minorHAnsi" w:hAnsiTheme="minorHAnsi"/>
          <w:sz w:val="22"/>
          <w:szCs w:val="22"/>
          <w:u w:val="single"/>
        </w:rPr>
        <w:t>t/m week 10</w:t>
      </w:r>
      <w:r>
        <w:rPr>
          <w:rFonts w:asciiTheme="minorHAnsi" w:hAnsiTheme="minorHAnsi"/>
          <w:sz w:val="22"/>
          <w:szCs w:val="22"/>
          <w:u w:val="single"/>
        </w:rPr>
        <w:t xml:space="preserve">  </w:t>
      </w:r>
      <w:r w:rsidRPr="00BF35EE">
        <w:rPr>
          <w:rFonts w:asciiTheme="minorHAnsi" w:hAnsiTheme="minorHAnsi"/>
          <w:sz w:val="22"/>
          <w:szCs w:val="22"/>
          <w:u w:val="single"/>
        </w:rPr>
        <w:t>(</w:t>
      </w:r>
      <w:r>
        <w:rPr>
          <w:rFonts w:asciiTheme="minorHAnsi" w:hAnsiTheme="minorHAnsi"/>
          <w:sz w:val="22"/>
          <w:szCs w:val="22"/>
          <w:u w:val="single"/>
        </w:rPr>
        <w:t>27 februari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11 maart 2016</w:t>
      </w:r>
      <w:r w:rsidRPr="00BF35EE">
        <w:rPr>
          <w:rFonts w:asciiTheme="minorHAnsi" w:hAnsiTheme="minorHAnsi"/>
          <w:sz w:val="22"/>
          <w:szCs w:val="22"/>
          <w:u w:val="single"/>
        </w:rPr>
        <w:t xml:space="preserve">) d.d. </w:t>
      </w:r>
      <w:r>
        <w:rPr>
          <w:rFonts w:asciiTheme="minorHAnsi" w:hAnsiTheme="minorHAnsi"/>
          <w:sz w:val="22"/>
          <w:szCs w:val="22"/>
          <w:u w:val="single"/>
        </w:rPr>
        <w:t>17 maart 2016.</w:t>
      </w:r>
    </w:p>
    <w:bookmarkEnd w:id="0"/>
    <w:p w:rsidRPr="00F67F5B" w:rsidR="00AC73EF" w:rsidP="00AC73EF" w:rsidRDefault="00AC73EF">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AC73EF" w:rsidTr="00F77D48">
        <w:trPr>
          <w:trHeight w:val="1550"/>
        </w:trPr>
        <w:tc>
          <w:tcPr>
            <w:tcW w:w="1433" w:type="dxa"/>
            <w:shd w:val="clear" w:color="auto" w:fill="auto"/>
            <w:textDirection w:val="btLr"/>
            <w:vAlign w:val="bottom"/>
            <w:hideMark/>
          </w:tcPr>
          <w:p w:rsidRPr="00F50A0B" w:rsidR="00AC73EF" w:rsidP="00F77D48" w:rsidRDefault="00AC73EF">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C73EF" w:rsidP="00F77D48" w:rsidRDefault="00AC73EF">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AC73EF" w:rsidP="00F77D48" w:rsidRDefault="00AC73EF">
            <w:pPr>
              <w:rPr>
                <w:rFonts w:asciiTheme="minorHAnsi" w:hAnsiTheme="minorHAnsi"/>
                <w:b/>
                <w:bCs/>
                <w:color w:val="000000"/>
                <w:sz w:val="22"/>
                <w:szCs w:val="22"/>
              </w:rPr>
            </w:pPr>
          </w:p>
          <w:p w:rsidRPr="00F50A0B" w:rsidR="00AC73EF" w:rsidP="00F77D48" w:rsidRDefault="00AC73EF">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C73EF" w:rsidP="00F77D48" w:rsidRDefault="00AC73EF">
            <w:pP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C73EF" w:rsidTr="00F77D48">
        <w:trPr>
          <w:trHeight w:val="300"/>
        </w:trPr>
        <w:tc>
          <w:tcPr>
            <w:tcW w:w="1433" w:type="dxa"/>
            <w:tcBorders>
              <w:bottom w:val="single" w:color="auto" w:sz="4" w:space="0"/>
            </w:tcBorders>
            <w:shd w:val="clear" w:color="000000" w:fill="538DD5"/>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AC73EF" w:rsidP="00F77D48" w:rsidRDefault="00AC73EF">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AC73EF" w:rsidP="00F77D48" w:rsidRDefault="00AC73EF">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AC73EF" w:rsidP="00F77D48" w:rsidRDefault="00AC73EF">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AC73EF" w:rsidTr="007A64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bottom"/>
          </w:tcPr>
          <w:p w:rsidR="00AC73EF" w:rsidP="00F77D48" w:rsidRDefault="007A644C">
            <w:pPr>
              <w:rPr>
                <w:rFonts w:ascii="Calibri" w:hAnsi="Calibri"/>
                <w:color w:val="000000"/>
                <w:sz w:val="22"/>
                <w:szCs w:val="22"/>
              </w:rPr>
            </w:pPr>
            <w:r>
              <w:rPr>
                <w:rFonts w:ascii="Calibri" w:hAnsi="Calibri"/>
                <w:color w:val="000000"/>
                <w:sz w:val="22"/>
                <w:szCs w:val="22"/>
              </w:rPr>
              <w:t>4-maa</w:t>
            </w:r>
            <w:r w:rsidR="00AC73EF">
              <w:rPr>
                <w:rFonts w:ascii="Calibri" w:hAnsi="Calibri"/>
                <w:color w:val="000000"/>
                <w:sz w:val="22"/>
                <w:szCs w:val="22"/>
              </w:rPr>
              <w:t>-16</w:t>
            </w:r>
          </w:p>
        </w:tc>
        <w:tc>
          <w:tcPr>
            <w:tcW w:w="992" w:type="dxa"/>
            <w:tcBorders>
              <w:top w:val="single" w:color="auto" w:sz="4" w:space="0"/>
              <w:left w:val="single" w:color="auto" w:sz="4" w:space="0"/>
              <w:bottom w:val="single" w:color="auto" w:sz="4" w:space="0"/>
              <w:right w:val="single" w:color="auto" w:sz="4" w:space="0"/>
            </w:tcBorders>
            <w:shd w:val="clear" w:color="auto" w:fill="E5B8B7" w:themeFill="accent2" w:themeFillTint="66"/>
            <w:vAlign w:val="bottom"/>
          </w:tcPr>
          <w:p w:rsidR="00AC73EF" w:rsidP="00F77D48" w:rsidRDefault="00AC73EF">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E5B8B7" w:themeFill="accent2" w:themeFillTint="66"/>
            <w:noWrap/>
            <w:vAlign w:val="bottom"/>
          </w:tcPr>
          <w:p w:rsidR="00AC73EF" w:rsidP="00F77D48" w:rsidRDefault="007A644C">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E5B8B7" w:themeFill="accent2" w:themeFillTint="66"/>
            <w:noWrap/>
          </w:tcPr>
          <w:p w:rsidRPr="00994716" w:rsidR="00AC73EF" w:rsidP="00F77D48" w:rsidRDefault="007A644C">
            <w:pPr>
              <w:rPr>
                <w:rFonts w:ascii="Calibri" w:hAnsi="Calibri"/>
                <w:color w:val="000000"/>
                <w:sz w:val="22"/>
                <w:szCs w:val="22"/>
              </w:rPr>
            </w:pPr>
            <w:r>
              <w:rPr>
                <w:rFonts w:ascii="Calibri" w:hAnsi="Calibri"/>
                <w:color w:val="000000"/>
                <w:sz w:val="22"/>
                <w:szCs w:val="22"/>
              </w:rPr>
              <w:t>Publieke consultatie voor de ontwikkeling van een brede, geïntegreerde strategie voor onderzoek, innovatie en concurrentievermogen in de energie-unie.</w:t>
            </w:r>
          </w:p>
        </w:tc>
        <w:tc>
          <w:tcPr>
            <w:tcW w:w="879"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vAlign w:val="bottom"/>
          </w:tcPr>
          <w:p w:rsidR="00AC73EF" w:rsidP="00F77D48" w:rsidRDefault="00AC73EF">
            <w:pPr>
              <w:rPr>
                <w:rFonts w:ascii="Calibri" w:hAnsi="Calibri"/>
                <w:color w:val="0000FF"/>
                <w:sz w:val="22"/>
                <w:szCs w:val="22"/>
                <w:u w:val="single"/>
              </w:rPr>
            </w:pPr>
          </w:p>
          <w:p w:rsidR="00AC73EF" w:rsidP="00F77D48" w:rsidRDefault="00B05A4A">
            <w:pPr>
              <w:rPr>
                <w:rFonts w:ascii="Calibri" w:hAnsi="Calibri"/>
                <w:color w:val="0000FF"/>
                <w:sz w:val="22"/>
                <w:szCs w:val="22"/>
                <w:u w:val="single"/>
              </w:rPr>
            </w:pPr>
            <w:hyperlink w:history="1" r:id="rId10">
              <w:r w:rsidR="007A644C">
                <w:rPr>
                  <w:rStyle w:val="Hyperlink"/>
                  <w:rFonts w:ascii="Calibri" w:hAnsi="Calibri"/>
                  <w:sz w:val="22"/>
                  <w:szCs w:val="22"/>
                </w:rPr>
                <w:t>OR</w:t>
              </w:r>
            </w:hyperlink>
          </w:p>
          <w:p w:rsidR="00AC73EF" w:rsidP="00AC73EF" w:rsidRDefault="00AC73EF"/>
        </w:tc>
        <w:tc>
          <w:tcPr>
            <w:tcW w:w="1052" w:type="dxa"/>
            <w:tcBorders>
              <w:top w:val="single" w:color="auto" w:sz="4" w:space="0"/>
              <w:left w:val="nil"/>
              <w:bottom w:val="single" w:color="auto" w:sz="4" w:space="0"/>
              <w:right w:val="single" w:color="auto" w:sz="4" w:space="0"/>
            </w:tcBorders>
            <w:shd w:val="clear" w:color="auto" w:fill="E5B8B7" w:themeFill="accent2" w:themeFillTint="66"/>
            <w:noWrap/>
          </w:tcPr>
          <w:p w:rsidR="00AC73EF" w:rsidP="007A644C" w:rsidRDefault="00AC73EF">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E5B8B7" w:themeFill="accent2" w:themeFillTint="66"/>
          </w:tcPr>
          <w:p w:rsidR="00AC73EF" w:rsidP="00F77D48" w:rsidRDefault="007A644C">
            <w:pPr>
              <w:rPr>
                <w:rFonts w:ascii="Calibri" w:hAnsi="Calibri"/>
                <w:color w:val="000000"/>
                <w:sz w:val="22"/>
                <w:szCs w:val="22"/>
              </w:rPr>
            </w:pPr>
            <w:r>
              <w:rPr>
                <w:rFonts w:ascii="Calibri" w:hAnsi="Calibri"/>
                <w:color w:val="000000"/>
                <w:sz w:val="22"/>
                <w:szCs w:val="22"/>
              </w:rPr>
              <w:t>Het betreft hier een raadpleging over de Energie Unie, een Kamerprioriteit. Deze raadpleging loopt t/m 31-mei-16. Voorstel:</w:t>
            </w:r>
            <w:r w:rsidRPr="00994716">
              <w:rPr>
                <w:rFonts w:ascii="Calibri" w:hAnsi="Calibri"/>
                <w:color w:val="000000"/>
                <w:sz w:val="22"/>
                <w:szCs w:val="22"/>
              </w:rPr>
              <w:t xml:space="preserve"> de regering verzoeken om aan te geven of zij een reactie zullen insturen en zo ja, of de Kamer hier tijdig een concept van kan ontvangen zodat zij zich hierover nog kan uitspreken voordat de reactie aan de Europese Commissie wordt verzonden</w:t>
            </w:r>
            <w:r>
              <w:rPr>
                <w:rFonts w:ascii="Calibri" w:hAnsi="Calibri"/>
                <w:color w:val="000000"/>
                <w:sz w:val="22"/>
                <w:szCs w:val="22"/>
              </w:rPr>
              <w:t>.</w:t>
            </w:r>
          </w:p>
        </w:tc>
      </w:tr>
      <w:tr w:rsidR="00AC73EF" w:rsidTr="00F77D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AC73EF" w:rsidP="00F77D48" w:rsidRDefault="00184ABF">
            <w:pPr>
              <w:rPr>
                <w:rFonts w:ascii="Calibri" w:hAnsi="Calibri"/>
                <w:color w:val="000000"/>
                <w:sz w:val="22"/>
                <w:szCs w:val="22"/>
              </w:rPr>
            </w:pPr>
            <w:r>
              <w:rPr>
                <w:rFonts w:ascii="Calibri" w:hAnsi="Calibri"/>
                <w:color w:val="000000"/>
                <w:sz w:val="22"/>
                <w:szCs w:val="22"/>
              </w:rPr>
              <w:t>8-maa</w:t>
            </w:r>
            <w:r w:rsidR="00AC73EF">
              <w:rPr>
                <w:rFonts w:ascii="Calibri" w:hAnsi="Calibri"/>
                <w:color w:val="000000"/>
                <w:sz w:val="22"/>
                <w:szCs w:val="22"/>
              </w:rPr>
              <w:t>-16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AC73EF" w:rsidP="00F77D48" w:rsidRDefault="00AC73EF">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AC73EF" w:rsidP="00F77D48" w:rsidRDefault="00184ABF">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AC73EF" w:rsidP="00F77D48" w:rsidRDefault="00184ABF">
            <w:pPr>
              <w:rPr>
                <w:rFonts w:ascii="Calibri" w:hAnsi="Calibri"/>
                <w:color w:val="000000"/>
                <w:sz w:val="22"/>
                <w:szCs w:val="22"/>
              </w:rPr>
            </w:pPr>
            <w:r>
              <w:rPr>
                <w:rFonts w:ascii="Calibri" w:hAnsi="Calibri"/>
                <w:color w:val="000000"/>
                <w:sz w:val="22"/>
                <w:szCs w:val="22"/>
              </w:rPr>
              <w:t>Voorstel van de Commissie voor een verordening van de Raad tot wijziging van Verordening (EU) 2016/72 van de Raad wat bepaalde vangstmogelijkheden betreft.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184ABF" w:rsidP="00184ABF" w:rsidRDefault="00B05A4A">
            <w:pPr>
              <w:rPr>
                <w:rFonts w:ascii="Calibri" w:hAnsi="Calibri"/>
                <w:color w:val="0000FF"/>
                <w:sz w:val="22"/>
                <w:szCs w:val="22"/>
                <w:u w:val="single"/>
              </w:rPr>
            </w:pPr>
            <w:hyperlink w:history="1" r:id="rId11">
              <w:r w:rsidR="00184ABF">
                <w:rPr>
                  <w:rStyle w:val="Hyperlink"/>
                  <w:rFonts w:ascii="Calibri" w:hAnsi="Calibri"/>
                  <w:sz w:val="22"/>
                  <w:szCs w:val="22"/>
                </w:rPr>
                <w:t>123</w:t>
              </w:r>
            </w:hyperlink>
          </w:p>
          <w:p w:rsidR="00AC73EF" w:rsidP="00AC73EF" w:rsidRDefault="00AC73EF"/>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AC73EF" w:rsidP="00F77D48" w:rsidRDefault="00AC73EF">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AC73EF" w:rsidP="00F77D48" w:rsidRDefault="007A644C">
            <w:pPr>
              <w:rPr>
                <w:rFonts w:ascii="Calibri" w:hAnsi="Calibri"/>
                <w:color w:val="000000"/>
                <w:sz w:val="22"/>
                <w:szCs w:val="22"/>
              </w:rPr>
            </w:pPr>
            <w:r>
              <w:rPr>
                <w:rFonts w:ascii="Calibri" w:hAnsi="Calibri"/>
                <w:color w:val="000000"/>
                <w:sz w:val="22"/>
                <w:szCs w:val="22"/>
              </w:rPr>
              <w:t>In de geannoteerde</w:t>
            </w:r>
            <w:r w:rsidR="00E17CD2">
              <w:rPr>
                <w:rFonts w:ascii="Calibri" w:hAnsi="Calibri"/>
                <w:color w:val="000000"/>
                <w:sz w:val="22"/>
                <w:szCs w:val="22"/>
              </w:rPr>
              <w:t xml:space="preserve"> agenda t.b.v. </w:t>
            </w:r>
            <w:r w:rsidRPr="007A644C">
              <w:rPr>
                <w:rFonts w:ascii="Calibri" w:hAnsi="Calibri"/>
                <w:color w:val="000000"/>
                <w:sz w:val="22"/>
                <w:szCs w:val="22"/>
              </w:rPr>
              <w:t>de Landbouw- en Visserijraad op 14 maart 2016</w:t>
            </w:r>
            <w:r w:rsidR="00DA0684">
              <w:rPr>
                <w:rFonts w:ascii="Calibri" w:hAnsi="Calibri"/>
                <w:color w:val="000000"/>
                <w:sz w:val="22"/>
                <w:szCs w:val="22"/>
              </w:rPr>
              <w:t xml:space="preserve"> bent u </w:t>
            </w:r>
            <w:r w:rsidR="00DC3BDD">
              <w:rPr>
                <w:rFonts w:ascii="Calibri" w:hAnsi="Calibri"/>
                <w:color w:val="000000"/>
                <w:sz w:val="22"/>
                <w:szCs w:val="22"/>
              </w:rPr>
              <w:t xml:space="preserve">geïnformeerd over het kabinetsstandpunt inzake </w:t>
            </w:r>
            <w:r w:rsidRPr="00DC3BDD" w:rsidR="00DC3BDD">
              <w:rPr>
                <w:rFonts w:ascii="Calibri" w:hAnsi="Calibri"/>
                <w:color w:val="000000"/>
                <w:sz w:val="22"/>
                <w:szCs w:val="22"/>
              </w:rPr>
              <w:t>Vangstmogelijkheden zandspiering voor 2016</w:t>
            </w:r>
            <w:r w:rsidR="00DC3BDD">
              <w:rPr>
                <w:rFonts w:ascii="Calibri" w:hAnsi="Calibri"/>
                <w:color w:val="000000"/>
                <w:sz w:val="22"/>
                <w:szCs w:val="22"/>
              </w:rPr>
              <w:t xml:space="preserve">. Er zal geen apart BNC-fiche worden gestuurd. </w:t>
            </w:r>
            <w:r w:rsidR="00A75E17">
              <w:rPr>
                <w:rFonts w:ascii="Calibri" w:hAnsi="Calibri"/>
                <w:color w:val="000000"/>
                <w:sz w:val="22"/>
                <w:szCs w:val="22"/>
              </w:rPr>
              <w:t>Voorstel: v.k.a.</w:t>
            </w:r>
          </w:p>
        </w:tc>
      </w:tr>
      <w:tr w:rsidR="00AC73EF" w:rsidTr="00F77D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AC73EF" w:rsidP="00F77D48" w:rsidRDefault="00184ABF">
            <w:pPr>
              <w:rPr>
                <w:rFonts w:ascii="Calibri" w:hAnsi="Calibri"/>
                <w:color w:val="000000"/>
                <w:sz w:val="22"/>
                <w:szCs w:val="22"/>
              </w:rPr>
            </w:pPr>
            <w:r>
              <w:rPr>
                <w:rFonts w:ascii="Calibri" w:hAnsi="Calibri"/>
                <w:color w:val="000000"/>
                <w:sz w:val="22"/>
                <w:szCs w:val="22"/>
              </w:rPr>
              <w:lastRenderedPageBreak/>
              <w:t>11-maa-16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AC73EF" w:rsidP="00F77D48" w:rsidRDefault="00184ABF">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AC73EF" w:rsidP="00F77D48" w:rsidRDefault="00184ABF">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Pr="0002251B" w:rsidR="00AC73EF" w:rsidP="00F77D48" w:rsidRDefault="00184ABF">
            <w:pPr>
              <w:rPr>
                <w:rFonts w:ascii="Calibri" w:hAnsi="Calibri"/>
                <w:color w:val="000000"/>
                <w:sz w:val="22"/>
                <w:szCs w:val="22"/>
              </w:rPr>
            </w:pPr>
            <w:r>
              <w:rPr>
                <w:rFonts w:ascii="Calibri" w:hAnsi="Calibri"/>
                <w:color w:val="000000"/>
                <w:sz w:val="22"/>
                <w:szCs w:val="22"/>
              </w:rPr>
              <w:t>Voorstel voor een verordening van het Europees Parlement en de Raad betreffende de instandhouding van visbestanden en de bescherming van mariene ecosystemen door middel van technische maatregelen, tot wijziging van de Verordeningen (EG) nr. 1967/2006, (EG) nr. 1098/2007 en (EG) nr. 1224/2009 van de Raad en de Verordeningen (EU) nr. 1343/2011 en (EU) nr. 1380/2013 van het Europees Parlement en de Raad en tot intrekking van de Verordeningen (EG) nr. 894/97, (EG) nr. 850/98, (EG) nr. 2549/2000, (EG) nr. 254/2002, (EG) nr. 812/2004 en (EG) nr. 2187/2005 van de Raad.</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184ABF" w:rsidP="00184ABF" w:rsidRDefault="00B05A4A">
            <w:pPr>
              <w:rPr>
                <w:rFonts w:ascii="Calibri" w:hAnsi="Calibri"/>
                <w:color w:val="0000FF"/>
                <w:sz w:val="22"/>
                <w:szCs w:val="22"/>
                <w:u w:val="single"/>
              </w:rPr>
            </w:pPr>
            <w:hyperlink w:history="1" r:id="rId12">
              <w:r w:rsidR="00184ABF">
                <w:rPr>
                  <w:rStyle w:val="Hyperlink"/>
                  <w:rFonts w:ascii="Calibri" w:hAnsi="Calibri"/>
                  <w:sz w:val="22"/>
                  <w:szCs w:val="22"/>
                </w:rPr>
                <w:t>134</w:t>
              </w:r>
            </w:hyperlink>
          </w:p>
          <w:p w:rsidR="00AC73EF" w:rsidP="00AC73EF" w:rsidRDefault="00AC73EF"/>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AC73EF" w:rsidP="00F77D48" w:rsidRDefault="00AC73EF">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AC73EF" w:rsidP="00F77D48" w:rsidRDefault="00A75E17">
            <w:pPr>
              <w:rPr>
                <w:rFonts w:ascii="Calibri" w:hAnsi="Calibri"/>
                <w:color w:val="000000"/>
                <w:sz w:val="22"/>
                <w:szCs w:val="22"/>
              </w:rPr>
            </w:pPr>
            <w:r>
              <w:rPr>
                <w:rFonts w:ascii="Calibri" w:hAnsi="Calibri"/>
                <w:color w:val="000000"/>
                <w:sz w:val="22"/>
                <w:szCs w:val="22"/>
              </w:rPr>
              <w:t>Voorstel: BNC-fiche afwachten.</w:t>
            </w:r>
          </w:p>
        </w:tc>
      </w:tr>
    </w:tbl>
    <w:p w:rsidR="00AC73EF" w:rsidP="00AC73EF" w:rsidRDefault="00AC73EF">
      <w:pPr>
        <w:pStyle w:val="Voetnoottekst"/>
        <w:tabs>
          <w:tab w:val="left" w:pos="9240"/>
        </w:tabs>
        <w:rPr>
          <w:rFonts w:asciiTheme="minorHAnsi" w:hAnsiTheme="minorHAnsi"/>
          <w:b/>
        </w:rPr>
      </w:pPr>
      <w:r>
        <w:rPr>
          <w:rFonts w:asciiTheme="minorHAnsi" w:hAnsiTheme="minorHAnsi"/>
          <w:b/>
        </w:rPr>
        <w:tab/>
      </w:r>
    </w:p>
    <w:p w:rsidR="00AC73EF" w:rsidP="00AC73EF" w:rsidRDefault="00AC73EF">
      <w:pPr>
        <w:pStyle w:val="Voetnoottekst"/>
        <w:rPr>
          <w:rFonts w:asciiTheme="minorHAnsi" w:hAnsiTheme="minorHAnsi"/>
          <w:b/>
        </w:rPr>
      </w:pPr>
    </w:p>
    <w:p w:rsidR="00AC73EF" w:rsidP="00AC73EF" w:rsidRDefault="00AC73EF">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AC73EF" w:rsidP="00AC73EF" w:rsidRDefault="00AC73EF">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AC73EF" w:rsidP="00AC73EF" w:rsidRDefault="00AC73EF">
      <w:pPr>
        <w:pStyle w:val="Voetnoottekst"/>
        <w:rPr>
          <w:rFonts w:asciiTheme="minorHAnsi" w:hAnsiTheme="minorHAnsi"/>
        </w:rPr>
      </w:pPr>
    </w:p>
    <w:p w:rsidRPr="00962F35" w:rsidR="00AC73EF" w:rsidP="00AC73EF" w:rsidRDefault="00AC73EF">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AC73EF" w:rsidTr="00F77D48">
        <w:tc>
          <w:tcPr>
            <w:tcW w:w="1384" w:type="dxa"/>
          </w:tcPr>
          <w:p w:rsidRPr="005C6EF4" w:rsidR="00AC73EF" w:rsidP="00F77D48" w:rsidRDefault="00AC73EF">
            <w:pPr>
              <w:pStyle w:val="Voetnoottekst"/>
              <w:rPr>
                <w:rFonts w:asciiTheme="minorHAnsi" w:hAnsiTheme="minorHAnsi"/>
                <w:b/>
              </w:rPr>
            </w:pPr>
            <w:r w:rsidRPr="005C6EF4">
              <w:rPr>
                <w:rFonts w:asciiTheme="minorHAnsi" w:hAnsiTheme="minorHAnsi"/>
                <w:b/>
              </w:rPr>
              <w:t>Onderwerp</w:t>
            </w:r>
          </w:p>
        </w:tc>
        <w:tc>
          <w:tcPr>
            <w:tcW w:w="4820" w:type="dxa"/>
          </w:tcPr>
          <w:p w:rsidRPr="005C6EF4" w:rsidR="00AC73EF" w:rsidP="00F77D48" w:rsidRDefault="00AC73EF">
            <w:pPr>
              <w:pStyle w:val="Voetnoottekst"/>
              <w:rPr>
                <w:rFonts w:asciiTheme="minorHAnsi" w:hAnsiTheme="minorHAnsi"/>
                <w:b/>
              </w:rPr>
            </w:pPr>
            <w:r w:rsidRPr="005C6EF4">
              <w:rPr>
                <w:rFonts w:asciiTheme="minorHAnsi" w:hAnsiTheme="minorHAnsi"/>
                <w:b/>
              </w:rPr>
              <w:t>Toelichting</w:t>
            </w:r>
          </w:p>
        </w:tc>
        <w:tc>
          <w:tcPr>
            <w:tcW w:w="3685" w:type="dxa"/>
          </w:tcPr>
          <w:p w:rsidRPr="005C6EF4" w:rsidR="00AC73EF" w:rsidP="00F77D48" w:rsidRDefault="00AC73EF">
            <w:pPr>
              <w:pStyle w:val="Voetnoottekst"/>
              <w:rPr>
                <w:rFonts w:asciiTheme="minorHAnsi" w:hAnsiTheme="minorHAnsi"/>
                <w:b/>
              </w:rPr>
            </w:pPr>
            <w:r w:rsidRPr="005C6EF4">
              <w:rPr>
                <w:rFonts w:asciiTheme="minorHAnsi" w:hAnsiTheme="minorHAnsi"/>
                <w:b/>
              </w:rPr>
              <w:t>Mogelijke beïnvloedingsmomenten nationale parlement</w:t>
            </w:r>
          </w:p>
        </w:tc>
      </w:tr>
      <w:tr w:rsidR="00AC73EF" w:rsidTr="00F77D48">
        <w:tc>
          <w:tcPr>
            <w:tcW w:w="1384" w:type="dxa"/>
          </w:tcPr>
          <w:p w:rsidRPr="005C6EF4" w:rsidR="00AC73EF" w:rsidP="00F77D48" w:rsidRDefault="00AC73EF">
            <w:pPr>
              <w:pStyle w:val="Voetnoottekst"/>
              <w:rPr>
                <w:rFonts w:asciiTheme="minorHAnsi" w:hAnsiTheme="minorHAnsi"/>
              </w:rPr>
            </w:pPr>
            <w:r w:rsidRPr="005C6EF4">
              <w:rPr>
                <w:rFonts w:asciiTheme="minorHAnsi" w:hAnsiTheme="minorHAnsi"/>
              </w:rPr>
              <w:t>Groen- en witboek</w:t>
            </w:r>
          </w:p>
        </w:tc>
        <w:tc>
          <w:tcPr>
            <w:tcW w:w="4820" w:type="dxa"/>
          </w:tcPr>
          <w:p w:rsidRPr="005C6EF4" w:rsidR="00AC73EF" w:rsidP="00F77D48" w:rsidRDefault="00AC73EF">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AC73EF" w:rsidP="00F77D48" w:rsidRDefault="00AC73EF">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AC73EF" w:rsidP="00F77D48" w:rsidRDefault="00AC73EF">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AC73EF" w:rsidP="00F77D48" w:rsidRDefault="00AC73EF">
            <w:pPr>
              <w:pStyle w:val="Voetnoottekst"/>
              <w:rPr>
                <w:rFonts w:asciiTheme="minorHAnsi" w:hAnsiTheme="minorHAnsi"/>
              </w:rPr>
            </w:pPr>
          </w:p>
          <w:p w:rsidRPr="005C6EF4" w:rsidR="00AC73EF" w:rsidP="00F77D48" w:rsidRDefault="00AC73EF">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AC73EF" w:rsidP="00F77D48" w:rsidRDefault="00AC73EF">
            <w:pPr>
              <w:pStyle w:val="Voetnoottekst"/>
              <w:rPr>
                <w:rFonts w:asciiTheme="minorHAnsi" w:hAnsiTheme="minorHAnsi"/>
              </w:rPr>
            </w:pPr>
            <w:r w:rsidRPr="005C6EF4">
              <w:rPr>
                <w:rFonts w:asciiTheme="minorHAnsi" w:hAnsiTheme="minorHAnsi"/>
              </w:rPr>
              <w:lastRenderedPageBreak/>
              <w:t>Het kabinet stelt doorgaans een BNC-fiche op met daarin onder andere rechtsbasis, subsidiariteits- en proportionaliteitsoordeel, alsook het krachtenveld in Europa.</w:t>
            </w:r>
          </w:p>
        </w:tc>
        <w:tc>
          <w:tcPr>
            <w:tcW w:w="3685" w:type="dxa"/>
          </w:tcPr>
          <w:p w:rsidRPr="005C6EF4" w:rsidR="00AC73EF" w:rsidP="00F77D48" w:rsidRDefault="00AC73EF">
            <w:pPr>
              <w:pStyle w:val="Voetnoottekst"/>
              <w:rPr>
                <w:rFonts w:asciiTheme="minorHAnsi" w:hAnsiTheme="minorHAnsi"/>
              </w:rPr>
            </w:pPr>
            <w:r w:rsidRPr="005C6EF4">
              <w:rPr>
                <w:rFonts w:asciiTheme="minorHAnsi" w:hAnsiTheme="minorHAnsi"/>
              </w:rPr>
              <w:lastRenderedPageBreak/>
              <w:t>In commissieverband of via individuele fracties kan naar de Europese Commissie gereageerd worden.</w:t>
            </w:r>
          </w:p>
          <w:p w:rsidRPr="005C6EF4" w:rsidR="00AC73EF" w:rsidP="00F77D48" w:rsidRDefault="00AC73EF">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AC73EF" w:rsidP="00F77D48" w:rsidRDefault="00AC73EF">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AC73EF" w:rsidP="00F77D48" w:rsidRDefault="00AC73EF">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AC73EF" w:rsidP="00F77D48" w:rsidRDefault="00AC73EF">
            <w:pPr>
              <w:pStyle w:val="Voetnoottekst"/>
              <w:rPr>
                <w:rFonts w:asciiTheme="minorHAnsi" w:hAnsiTheme="minorHAnsi"/>
              </w:rPr>
            </w:pPr>
            <w:r w:rsidRPr="005C6EF4">
              <w:rPr>
                <w:rFonts w:asciiTheme="minorHAnsi" w:hAnsiTheme="minorHAnsi"/>
              </w:rPr>
              <w:t>BNC-fiche bespreken</w:t>
            </w:r>
          </w:p>
        </w:tc>
      </w:tr>
      <w:tr w:rsidR="00AC73EF" w:rsidTr="00F77D48">
        <w:tc>
          <w:tcPr>
            <w:tcW w:w="1384" w:type="dxa"/>
          </w:tcPr>
          <w:p w:rsidRPr="005C6EF4" w:rsidR="00AC73EF" w:rsidP="00F77D48" w:rsidRDefault="00AC73EF">
            <w:pPr>
              <w:pStyle w:val="Voetnoottekst"/>
              <w:rPr>
                <w:rFonts w:asciiTheme="minorHAnsi" w:hAnsiTheme="minorHAnsi"/>
              </w:rPr>
            </w:pPr>
            <w:r w:rsidRPr="005C6EF4">
              <w:rPr>
                <w:rFonts w:asciiTheme="minorHAnsi" w:hAnsiTheme="minorHAnsi"/>
              </w:rPr>
              <w:lastRenderedPageBreak/>
              <w:t>Verordening</w:t>
            </w:r>
            <w:r>
              <w:rPr>
                <w:rFonts w:asciiTheme="minorHAnsi" w:hAnsiTheme="minorHAnsi"/>
              </w:rPr>
              <w:t xml:space="preserve"> + Richtlijn</w:t>
            </w:r>
          </w:p>
        </w:tc>
        <w:tc>
          <w:tcPr>
            <w:tcW w:w="4820" w:type="dxa"/>
          </w:tcPr>
          <w:p w:rsidR="00AC73EF" w:rsidP="00F77D48" w:rsidRDefault="00AC73EF">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AC73EF" w:rsidP="00F77D48" w:rsidRDefault="00AC73EF">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AC73EF" w:rsidP="00F77D48" w:rsidRDefault="00AC73EF">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AC73EF" w:rsidP="00F77D48" w:rsidRDefault="00AC73EF">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AC73EF" w:rsidP="00F77D48" w:rsidRDefault="00AC73EF">
            <w:pPr>
              <w:pStyle w:val="Voetnoottekst"/>
              <w:rPr>
                <w:rFonts w:asciiTheme="minorHAnsi" w:hAnsiTheme="minorHAnsi"/>
              </w:rPr>
            </w:pPr>
            <w:r w:rsidRPr="005C6EF4">
              <w:rPr>
                <w:rFonts w:asciiTheme="minorHAnsi" w:hAnsiTheme="minorHAnsi"/>
              </w:rPr>
              <w:t>Subsidiariteitstoets overwegen</w:t>
            </w:r>
          </w:p>
          <w:p w:rsidRPr="005C6EF4" w:rsidR="00AC73EF" w:rsidP="00F77D48" w:rsidRDefault="00AC73EF">
            <w:pPr>
              <w:pStyle w:val="Voetnoottekst"/>
              <w:rPr>
                <w:rFonts w:asciiTheme="minorHAnsi" w:hAnsiTheme="minorHAnsi"/>
              </w:rPr>
            </w:pPr>
            <w:r w:rsidRPr="005C6EF4">
              <w:rPr>
                <w:rFonts w:asciiTheme="minorHAnsi" w:hAnsiTheme="minorHAnsi"/>
              </w:rPr>
              <w:t>Behandelvoorbehoud overwegen</w:t>
            </w:r>
          </w:p>
          <w:p w:rsidRPr="005C6EF4" w:rsidR="00AC73EF" w:rsidP="00F77D48" w:rsidRDefault="00AC73EF">
            <w:pPr>
              <w:pStyle w:val="Voetnoottekst"/>
              <w:rPr>
                <w:rFonts w:asciiTheme="minorHAnsi" w:hAnsiTheme="minorHAnsi"/>
              </w:rPr>
            </w:pPr>
            <w:r w:rsidRPr="005C6EF4">
              <w:rPr>
                <w:rFonts w:asciiTheme="minorHAnsi" w:hAnsiTheme="minorHAnsi"/>
              </w:rPr>
              <w:t>BNC-fiche bespreken</w:t>
            </w:r>
          </w:p>
          <w:p w:rsidRPr="005C6EF4" w:rsidR="00AC73EF" w:rsidP="00F77D48" w:rsidRDefault="00AC73EF">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AC73EF" w:rsidP="00F77D48" w:rsidRDefault="00AC73EF">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AC73EF" w:rsidP="00F77D48" w:rsidRDefault="00AC73EF">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AC73EF" w:rsidP="00F77D48" w:rsidRDefault="00AC73EF">
            <w:pPr>
              <w:pStyle w:val="Voetnoottekst"/>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ijn naar nationale wetgeving)</w:t>
            </w:r>
          </w:p>
          <w:p w:rsidRPr="005C6EF4" w:rsidR="00AC73EF" w:rsidP="00F77D48" w:rsidRDefault="00AC73EF">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AC73EF" w:rsidTr="00F77D48">
        <w:tc>
          <w:tcPr>
            <w:tcW w:w="1384" w:type="dxa"/>
          </w:tcPr>
          <w:p w:rsidRPr="005C6EF4" w:rsidR="00AC73EF" w:rsidP="00F77D48" w:rsidRDefault="00AC73EF">
            <w:pPr>
              <w:pStyle w:val="Voetnoottekst"/>
              <w:rPr>
                <w:rFonts w:asciiTheme="minorHAnsi" w:hAnsiTheme="minorHAnsi"/>
              </w:rPr>
            </w:pPr>
            <w:r w:rsidRPr="005C6EF4">
              <w:rPr>
                <w:rFonts w:asciiTheme="minorHAnsi" w:hAnsiTheme="minorHAnsi"/>
              </w:rPr>
              <w:t>Subsidiariteitstoets</w:t>
            </w:r>
            <w:r>
              <w:rPr>
                <w:rFonts w:asciiTheme="minorHAnsi" w:hAnsiTheme="minorHAnsi"/>
              </w:rPr>
              <w:t xml:space="preserve"> (ook gele kaart genoemd)</w:t>
            </w:r>
          </w:p>
        </w:tc>
        <w:tc>
          <w:tcPr>
            <w:tcW w:w="4820" w:type="dxa"/>
          </w:tcPr>
          <w:p w:rsidRPr="00921964" w:rsidR="00AC73EF" w:rsidP="00F77D48" w:rsidRDefault="00AC73EF">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AC73EF" w:rsidP="00F77D48" w:rsidRDefault="00AC73EF">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AC73EF" w:rsidP="00F77D48" w:rsidRDefault="00AC73EF">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AC73EF" w:rsidP="00F77D48" w:rsidRDefault="00AC73EF">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AC73EF" w:rsidP="00F77D48" w:rsidRDefault="00AC73EF">
            <w:pPr>
              <w:pStyle w:val="Voetnoottekst"/>
              <w:rPr>
                <w:rFonts w:asciiTheme="minorHAnsi" w:hAnsiTheme="minorHAnsi"/>
              </w:rPr>
            </w:pPr>
            <w:r>
              <w:rPr>
                <w:rFonts w:asciiTheme="minorHAnsi" w:hAnsiTheme="minorHAnsi"/>
              </w:rPr>
              <w:t xml:space="preserve">Bij wetgevende voorstellen kan een commissie besluiten tot het uitvoeren van een subsidiariteitstoets. </w:t>
            </w:r>
          </w:p>
          <w:p w:rsidR="00AC73EF" w:rsidP="00F77D48" w:rsidRDefault="00AC73EF">
            <w:pPr>
              <w:pStyle w:val="Voetnoottekst"/>
              <w:rPr>
                <w:rFonts w:asciiTheme="minorHAnsi" w:hAnsiTheme="minorHAnsi"/>
              </w:rPr>
            </w:pPr>
            <w:r>
              <w:rPr>
                <w:rFonts w:asciiTheme="minorHAnsi" w:hAnsiTheme="minorHAnsi"/>
              </w:rPr>
              <w:t>Dit moet binnen 8 weken na het uitkomen van het voorstel</w:t>
            </w:r>
          </w:p>
          <w:p w:rsidR="00AC73EF" w:rsidP="00F77D48" w:rsidRDefault="00AC73EF">
            <w:pPr>
              <w:pStyle w:val="Voetnoottekst"/>
              <w:rPr>
                <w:rFonts w:asciiTheme="minorHAnsi" w:hAnsiTheme="minorHAnsi"/>
              </w:rPr>
            </w:pPr>
          </w:p>
          <w:p w:rsidRPr="005C6EF4" w:rsidR="00AC73EF" w:rsidP="00F77D48" w:rsidRDefault="00AC73EF">
            <w:pPr>
              <w:pStyle w:val="Voetnoottekst"/>
              <w:rPr>
                <w:rFonts w:asciiTheme="minorHAnsi" w:hAnsiTheme="minorHAnsi"/>
              </w:rPr>
            </w:pPr>
          </w:p>
        </w:tc>
      </w:tr>
      <w:tr w:rsidR="00AC73EF" w:rsidTr="00F77D48">
        <w:tc>
          <w:tcPr>
            <w:tcW w:w="1384" w:type="dxa"/>
          </w:tcPr>
          <w:p w:rsidRPr="005C6EF4" w:rsidR="00AC73EF" w:rsidP="00F77D48" w:rsidRDefault="00AC73EF">
            <w:pPr>
              <w:pStyle w:val="Voetnoottekst"/>
              <w:rPr>
                <w:rFonts w:asciiTheme="minorHAnsi" w:hAnsiTheme="minorHAnsi"/>
              </w:rPr>
            </w:pPr>
            <w:r w:rsidRPr="005C6EF4">
              <w:rPr>
                <w:rFonts w:asciiTheme="minorHAnsi" w:hAnsiTheme="minorHAnsi"/>
              </w:rPr>
              <w:t>Behandel</w:t>
            </w:r>
            <w:r>
              <w:rPr>
                <w:rFonts w:asciiTheme="minorHAnsi" w:hAnsiTheme="minorHAnsi"/>
              </w:rPr>
              <w:t>-</w:t>
            </w:r>
            <w:r w:rsidRPr="005C6EF4">
              <w:rPr>
                <w:rFonts w:asciiTheme="minorHAnsi" w:hAnsiTheme="minorHAnsi"/>
              </w:rPr>
              <w:lastRenderedPageBreak/>
              <w:t>voorbehoud</w:t>
            </w:r>
          </w:p>
        </w:tc>
        <w:tc>
          <w:tcPr>
            <w:tcW w:w="4820" w:type="dxa"/>
          </w:tcPr>
          <w:p w:rsidRPr="006D2BFD" w:rsidR="00AC73EF" w:rsidP="00F77D48" w:rsidRDefault="00AC73EF">
            <w:pPr>
              <w:pStyle w:val="Lijstalinea"/>
              <w:rPr>
                <w:rFonts w:asciiTheme="minorHAnsi" w:hAnsiTheme="minorHAnsi"/>
                <w:sz w:val="20"/>
                <w:szCs w:val="20"/>
              </w:rPr>
            </w:pPr>
            <w:r w:rsidRPr="006D2BFD">
              <w:rPr>
                <w:rFonts w:asciiTheme="minorHAnsi" w:hAnsiTheme="minorHAnsi"/>
                <w:sz w:val="20"/>
                <w:szCs w:val="20"/>
              </w:rPr>
              <w:lastRenderedPageBreak/>
              <w:t xml:space="preserve">Zodra de Europese Commissie een voorstel tot </w:t>
            </w:r>
            <w:r w:rsidRPr="006D2BFD">
              <w:rPr>
                <w:rFonts w:asciiTheme="minorHAnsi" w:hAnsiTheme="minorHAnsi"/>
                <w:sz w:val="20"/>
                <w:szCs w:val="20"/>
              </w:rPr>
              <w:lastRenderedPageBreak/>
              <w:t>wetgeving heeft gepresenteerd, kan de Tweede Kamer besluiten dat zij het voorstel van dusdanig politiek belang acht, dat de Kamer hierover op bijzondere wijze geïnformeerd wil worden.</w:t>
            </w:r>
          </w:p>
          <w:p w:rsidRPr="006D2BFD" w:rsidR="00AC73EF" w:rsidP="00F77D48" w:rsidRDefault="00AC73EF">
            <w:pPr>
              <w:pStyle w:val="Lijstalinea"/>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AC73EF" w:rsidP="00F77D48" w:rsidRDefault="00AC73EF">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AC73EF" w:rsidP="00F77D48" w:rsidRDefault="00AC73EF">
            <w:pPr>
              <w:pStyle w:val="Voetnoottekst"/>
              <w:rPr>
                <w:rFonts w:asciiTheme="minorHAnsi" w:hAnsiTheme="minorHAnsi"/>
              </w:rPr>
            </w:pPr>
            <w:r>
              <w:rPr>
                <w:rFonts w:asciiTheme="minorHAnsi" w:hAnsiTheme="minorHAnsi"/>
              </w:rPr>
              <w:lastRenderedPageBreak/>
              <w:t xml:space="preserve">Bij wetgevende voorstellen kan een </w:t>
            </w:r>
            <w:r>
              <w:rPr>
                <w:rFonts w:asciiTheme="minorHAnsi" w:hAnsiTheme="minorHAnsi"/>
              </w:rPr>
              <w:lastRenderedPageBreak/>
              <w:t xml:space="preserve">commissie besluiten tot het uitvoeren van een behandelvoorbehoud. </w:t>
            </w:r>
          </w:p>
          <w:p w:rsidR="00AC73EF" w:rsidP="00F77D48" w:rsidRDefault="00AC73EF">
            <w:pPr>
              <w:pStyle w:val="Voetnoottekst"/>
              <w:rPr>
                <w:rFonts w:asciiTheme="minorHAnsi" w:hAnsiTheme="minorHAnsi"/>
              </w:rPr>
            </w:pPr>
            <w:r>
              <w:rPr>
                <w:rFonts w:asciiTheme="minorHAnsi" w:hAnsiTheme="minorHAnsi"/>
              </w:rPr>
              <w:t>Dit moet binnen 8 weken na het uitkomen van het voorstel</w:t>
            </w:r>
          </w:p>
          <w:p w:rsidR="00AC73EF" w:rsidP="00F77D48" w:rsidRDefault="00AC73EF">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AC73EF" w:rsidP="00F77D48" w:rsidRDefault="00AC73EF">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AC73EF" w:rsidTr="00F77D48">
        <w:tc>
          <w:tcPr>
            <w:tcW w:w="1384" w:type="dxa"/>
          </w:tcPr>
          <w:p w:rsidRPr="005C6EF4" w:rsidR="00AC73EF" w:rsidP="00F77D48" w:rsidRDefault="00AC73EF">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AC73EF" w:rsidP="00F77D48" w:rsidRDefault="00AC73EF">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w:t>
            </w:r>
            <w:r w:rsidRPr="002140D2">
              <w:rPr>
                <w:rFonts w:asciiTheme="minorHAnsi" w:hAnsiTheme="minorHAnsi"/>
                <w:sz w:val="20"/>
                <w:szCs w:val="20"/>
              </w:rPr>
              <w:lastRenderedPageBreak/>
              <w:t>hetzij in commissieverband, het zij via fracties.</w:t>
            </w:r>
          </w:p>
        </w:tc>
        <w:tc>
          <w:tcPr>
            <w:tcW w:w="3685" w:type="dxa"/>
          </w:tcPr>
          <w:p w:rsidR="00AC73EF" w:rsidP="00F77D48" w:rsidRDefault="00AC73EF">
            <w:pPr>
              <w:pStyle w:val="Voetnoottekst"/>
              <w:rPr>
                <w:rFonts w:asciiTheme="minorHAnsi" w:hAnsiTheme="minorHAnsi"/>
              </w:rPr>
            </w:pPr>
            <w:r>
              <w:rPr>
                <w:rFonts w:asciiTheme="minorHAnsi" w:hAnsiTheme="minorHAnsi"/>
              </w:rPr>
              <w:lastRenderedPageBreak/>
              <w:t>In commissieverband meedoen aan de openbare raadpleging</w:t>
            </w:r>
          </w:p>
          <w:p w:rsidR="00AC73EF" w:rsidP="00F77D48" w:rsidRDefault="00AC73EF">
            <w:pPr>
              <w:pStyle w:val="Voetnoottekst"/>
              <w:rPr>
                <w:rFonts w:asciiTheme="minorHAnsi" w:hAnsiTheme="minorHAnsi"/>
              </w:rPr>
            </w:pPr>
            <w:r>
              <w:rPr>
                <w:rFonts w:asciiTheme="minorHAnsi" w:hAnsiTheme="minorHAnsi"/>
              </w:rPr>
              <w:t>Aan fracties overlaten om mee te doen aan de openbare raadpleging</w:t>
            </w:r>
          </w:p>
          <w:p w:rsidRPr="005C6EF4" w:rsidR="00AC73EF" w:rsidP="00F77D48" w:rsidRDefault="00AC73EF">
            <w:pPr>
              <w:pStyle w:val="Voetnoottekst"/>
              <w:rPr>
                <w:rFonts w:asciiTheme="minorHAnsi" w:hAnsiTheme="minorHAnsi"/>
              </w:rPr>
            </w:pPr>
            <w:r>
              <w:rPr>
                <w:rFonts w:asciiTheme="minorHAnsi" w:hAnsiTheme="minorHAnsi"/>
              </w:rPr>
              <w:t>Kabinet verzoeken de inbreng aan de openbare raadpleging naar de Tweede Kamer te sturen</w:t>
            </w:r>
          </w:p>
        </w:tc>
      </w:tr>
      <w:tr w:rsidR="00AC73EF" w:rsidTr="00F77D48">
        <w:tc>
          <w:tcPr>
            <w:tcW w:w="1384" w:type="dxa"/>
          </w:tcPr>
          <w:p w:rsidRPr="005C6EF4" w:rsidR="00AC73EF" w:rsidP="00F77D48" w:rsidRDefault="00AC73EF">
            <w:pPr>
              <w:pStyle w:val="Voetnoottekst"/>
              <w:rPr>
                <w:rFonts w:asciiTheme="minorHAnsi" w:hAnsiTheme="minorHAnsi"/>
              </w:rPr>
            </w:pPr>
            <w:r w:rsidRPr="005C6EF4">
              <w:rPr>
                <w:rFonts w:asciiTheme="minorHAnsi" w:hAnsiTheme="minorHAnsi"/>
              </w:rPr>
              <w:lastRenderedPageBreak/>
              <w:t>Roadmap</w:t>
            </w:r>
          </w:p>
        </w:tc>
        <w:tc>
          <w:tcPr>
            <w:tcW w:w="4820" w:type="dxa"/>
          </w:tcPr>
          <w:p w:rsidRPr="002140D2" w:rsidR="00AC73EF" w:rsidP="00F77D48" w:rsidRDefault="00AC73EF">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AC73EF" w:rsidP="00F77D48" w:rsidRDefault="00AC73EF">
            <w:pPr>
              <w:pStyle w:val="Voetnoottekst"/>
              <w:rPr>
                <w:rFonts w:asciiTheme="minorHAnsi" w:hAnsiTheme="minorHAnsi"/>
              </w:rPr>
            </w:pPr>
            <w:r>
              <w:rPr>
                <w:rFonts w:asciiTheme="minorHAnsi" w:hAnsiTheme="minorHAnsi"/>
              </w:rPr>
              <w:t>Tijdens algemeen overleg minister vragen om appreciatie van het traject van de roadmap</w:t>
            </w:r>
          </w:p>
          <w:p w:rsidR="00AC73EF" w:rsidP="00F77D48" w:rsidRDefault="00AC73EF">
            <w:pPr>
              <w:pStyle w:val="Voetnoottekst"/>
              <w:rPr>
                <w:rFonts w:asciiTheme="minorHAnsi" w:hAnsiTheme="minorHAnsi"/>
              </w:rPr>
            </w:pPr>
            <w:r>
              <w:rPr>
                <w:rFonts w:asciiTheme="minorHAnsi" w:hAnsiTheme="minorHAnsi"/>
              </w:rPr>
              <w:t>Aangekondigde Openbare raadpleging afwachten</w:t>
            </w:r>
          </w:p>
          <w:p w:rsidRPr="005C6EF4" w:rsidR="00AC73EF" w:rsidP="00F77D48" w:rsidRDefault="00AC73EF">
            <w:pPr>
              <w:pStyle w:val="Voetnoottekst"/>
              <w:rPr>
                <w:rFonts w:asciiTheme="minorHAnsi" w:hAnsiTheme="minorHAnsi"/>
              </w:rPr>
            </w:pPr>
            <w:r>
              <w:rPr>
                <w:rFonts w:asciiTheme="minorHAnsi" w:hAnsiTheme="minorHAnsi"/>
              </w:rPr>
              <w:t>BNC-fiche afwachten</w:t>
            </w:r>
          </w:p>
        </w:tc>
      </w:tr>
    </w:tbl>
    <w:p w:rsidRPr="00CE1B84" w:rsidR="00AC73EF" w:rsidP="00AC73EF" w:rsidRDefault="00AC73EF">
      <w:pPr>
        <w:pStyle w:val="Voetnoottekst"/>
        <w:rPr>
          <w:rFonts w:asciiTheme="minorHAnsi" w:hAnsiTheme="minorHAnsi"/>
        </w:rPr>
      </w:pPr>
    </w:p>
    <w:p w:rsidR="00AC73EF" w:rsidP="00AC73EF" w:rsidRDefault="00AC73EF"/>
    <w:p w:rsidR="00AC73EF" w:rsidP="00AC73EF" w:rsidRDefault="00AC73EF"/>
    <w:p w:rsidR="00AC73EF" w:rsidP="00AC73EF" w:rsidRDefault="00AC73EF"/>
    <w:p w:rsidR="00AC73EF" w:rsidP="00AC73EF" w:rsidRDefault="00AC73EF"/>
    <w:p w:rsidR="00AC73EF" w:rsidP="00AC73EF" w:rsidRDefault="00AC73EF"/>
    <w:p w:rsidR="00AC73EF" w:rsidP="00AC73EF" w:rsidRDefault="00AC73EF"/>
    <w:p w:rsidR="00AC73EF" w:rsidP="00AC73EF" w:rsidRDefault="00AC73EF"/>
    <w:p w:rsidR="0046131B" w:rsidRDefault="0046131B"/>
    <w:sectPr w:rsidR="0046131B" w:rsidSect="00BF35EE">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5A4A">
      <w:r>
        <w:separator/>
      </w:r>
    </w:p>
  </w:endnote>
  <w:endnote w:type="continuationSeparator" w:id="0">
    <w:p w:rsidR="00000000" w:rsidRDefault="00B0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A75E1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B05A4A">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B05A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5A4A">
      <w:r>
        <w:separator/>
      </w:r>
    </w:p>
  </w:footnote>
  <w:footnote w:type="continuationSeparator" w:id="0">
    <w:p w:rsidR="00000000" w:rsidRDefault="00B0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EF"/>
    <w:rsid w:val="00184ABF"/>
    <w:rsid w:val="00433D6E"/>
    <w:rsid w:val="0046131B"/>
    <w:rsid w:val="007A644C"/>
    <w:rsid w:val="00A75E17"/>
    <w:rsid w:val="00AC73EF"/>
    <w:rsid w:val="00B05A4A"/>
    <w:rsid w:val="00DA0684"/>
    <w:rsid w:val="00DC3BDD"/>
    <w:rsid w:val="00E17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73E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C73EF"/>
    <w:pPr>
      <w:tabs>
        <w:tab w:val="center" w:pos="4536"/>
        <w:tab w:val="right" w:pos="9072"/>
      </w:tabs>
    </w:pPr>
  </w:style>
  <w:style w:type="character" w:customStyle="1" w:styleId="VoettekstChar">
    <w:name w:val="Voettekst Char"/>
    <w:basedOn w:val="Standaardalinea-lettertype"/>
    <w:link w:val="Voettekst"/>
    <w:uiPriority w:val="99"/>
    <w:rsid w:val="00AC73EF"/>
    <w:rPr>
      <w:sz w:val="24"/>
      <w:szCs w:val="24"/>
    </w:rPr>
  </w:style>
  <w:style w:type="character" w:styleId="Hyperlink">
    <w:name w:val="Hyperlink"/>
    <w:basedOn w:val="Standaardalinea-lettertype"/>
    <w:uiPriority w:val="99"/>
    <w:unhideWhenUsed/>
    <w:rsid w:val="00AC73EF"/>
    <w:rPr>
      <w:color w:val="0000FF"/>
      <w:u w:val="single"/>
    </w:rPr>
  </w:style>
  <w:style w:type="character" w:styleId="Zwaar">
    <w:name w:val="Strong"/>
    <w:basedOn w:val="Standaardalinea-lettertype"/>
    <w:uiPriority w:val="22"/>
    <w:qFormat/>
    <w:rsid w:val="00AC73EF"/>
    <w:rPr>
      <w:b/>
      <w:bCs/>
    </w:rPr>
  </w:style>
  <w:style w:type="paragraph" w:styleId="Voetnoottekst">
    <w:name w:val="footnote text"/>
    <w:basedOn w:val="Standaard"/>
    <w:link w:val="VoetnoottekstChar"/>
    <w:rsid w:val="00AC73EF"/>
    <w:rPr>
      <w:sz w:val="20"/>
      <w:szCs w:val="20"/>
    </w:rPr>
  </w:style>
  <w:style w:type="character" w:customStyle="1" w:styleId="VoetnoottekstChar">
    <w:name w:val="Voetnoottekst Char"/>
    <w:basedOn w:val="Standaardalinea-lettertype"/>
    <w:link w:val="Voetnoottekst"/>
    <w:rsid w:val="00AC73EF"/>
  </w:style>
  <w:style w:type="paragraph" w:styleId="Normaalweb">
    <w:name w:val="Normal (Web)"/>
    <w:basedOn w:val="Standaard"/>
    <w:uiPriority w:val="99"/>
    <w:unhideWhenUsed/>
    <w:rsid w:val="00AC73EF"/>
    <w:pPr>
      <w:spacing w:before="100" w:beforeAutospacing="1" w:after="100" w:afterAutospacing="1"/>
    </w:pPr>
  </w:style>
  <w:style w:type="table" w:styleId="Tabelraster">
    <w:name w:val="Table Grid"/>
    <w:basedOn w:val="Standaardtabel"/>
    <w:rsid w:val="00A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73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73E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C73EF"/>
    <w:pPr>
      <w:tabs>
        <w:tab w:val="center" w:pos="4536"/>
        <w:tab w:val="right" w:pos="9072"/>
      </w:tabs>
    </w:pPr>
  </w:style>
  <w:style w:type="character" w:customStyle="1" w:styleId="VoettekstChar">
    <w:name w:val="Voettekst Char"/>
    <w:basedOn w:val="Standaardalinea-lettertype"/>
    <w:link w:val="Voettekst"/>
    <w:uiPriority w:val="99"/>
    <w:rsid w:val="00AC73EF"/>
    <w:rPr>
      <w:sz w:val="24"/>
      <w:szCs w:val="24"/>
    </w:rPr>
  </w:style>
  <w:style w:type="character" w:styleId="Hyperlink">
    <w:name w:val="Hyperlink"/>
    <w:basedOn w:val="Standaardalinea-lettertype"/>
    <w:uiPriority w:val="99"/>
    <w:unhideWhenUsed/>
    <w:rsid w:val="00AC73EF"/>
    <w:rPr>
      <w:color w:val="0000FF"/>
      <w:u w:val="single"/>
    </w:rPr>
  </w:style>
  <w:style w:type="character" w:styleId="Zwaar">
    <w:name w:val="Strong"/>
    <w:basedOn w:val="Standaardalinea-lettertype"/>
    <w:uiPriority w:val="22"/>
    <w:qFormat/>
    <w:rsid w:val="00AC73EF"/>
    <w:rPr>
      <w:b/>
      <w:bCs/>
    </w:rPr>
  </w:style>
  <w:style w:type="paragraph" w:styleId="Voetnoottekst">
    <w:name w:val="footnote text"/>
    <w:basedOn w:val="Standaard"/>
    <w:link w:val="VoetnoottekstChar"/>
    <w:rsid w:val="00AC73EF"/>
    <w:rPr>
      <w:sz w:val="20"/>
      <w:szCs w:val="20"/>
    </w:rPr>
  </w:style>
  <w:style w:type="character" w:customStyle="1" w:styleId="VoetnoottekstChar">
    <w:name w:val="Voetnoottekst Char"/>
    <w:basedOn w:val="Standaardalinea-lettertype"/>
    <w:link w:val="Voetnoottekst"/>
    <w:rsid w:val="00AC73EF"/>
  </w:style>
  <w:style w:type="paragraph" w:styleId="Normaalweb">
    <w:name w:val="Normal (Web)"/>
    <w:basedOn w:val="Standaard"/>
    <w:uiPriority w:val="99"/>
    <w:unhideWhenUsed/>
    <w:rsid w:val="00AC73EF"/>
    <w:pPr>
      <w:spacing w:before="100" w:beforeAutospacing="1" w:after="100" w:afterAutospacing="1"/>
    </w:pPr>
  </w:style>
  <w:style w:type="table" w:styleId="Tabelraster">
    <w:name w:val="Table Grid"/>
    <w:basedOn w:val="Standaardtabel"/>
    <w:rsid w:val="00A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73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93746341">
      <w:bodyDiv w:val="1"/>
      <w:marLeft w:val="0"/>
      <w:marRight w:val="0"/>
      <w:marTop w:val="0"/>
      <w:marBottom w:val="0"/>
      <w:divBdr>
        <w:top w:val="none" w:sz="0" w:space="0" w:color="auto"/>
        <w:left w:val="none" w:sz="0" w:space="0" w:color="auto"/>
        <w:bottom w:val="none" w:sz="0" w:space="0" w:color="auto"/>
        <w:right w:val="none" w:sz="0" w:space="0" w:color="auto"/>
      </w:divBdr>
    </w:div>
    <w:div w:id="681475524">
      <w:bodyDiv w:val="1"/>
      <w:marLeft w:val="0"/>
      <w:marRight w:val="0"/>
      <w:marTop w:val="0"/>
      <w:marBottom w:val="0"/>
      <w:divBdr>
        <w:top w:val="none" w:sz="0" w:space="0" w:color="auto"/>
        <w:left w:val="none" w:sz="0" w:space="0" w:color="auto"/>
        <w:bottom w:val="none" w:sz="0" w:space="0" w:color="auto"/>
        <w:right w:val="none" w:sz="0" w:space="0" w:color="auto"/>
      </w:divBdr>
    </w:div>
    <w:div w:id="775442768">
      <w:bodyDiv w:val="1"/>
      <w:marLeft w:val="0"/>
      <w:marRight w:val="0"/>
      <w:marTop w:val="0"/>
      <w:marBottom w:val="0"/>
      <w:divBdr>
        <w:top w:val="none" w:sz="0" w:space="0" w:color="auto"/>
        <w:left w:val="none" w:sz="0" w:space="0" w:color="auto"/>
        <w:bottom w:val="none" w:sz="0" w:space="0" w:color="auto"/>
        <w:right w:val="none" w:sz="0" w:space="0" w:color="auto"/>
      </w:divBdr>
    </w:div>
    <w:div w:id="1181819842">
      <w:bodyDiv w:val="1"/>
      <w:marLeft w:val="0"/>
      <w:marRight w:val="0"/>
      <w:marTop w:val="0"/>
      <w:marBottom w:val="0"/>
      <w:divBdr>
        <w:top w:val="none" w:sz="0" w:space="0" w:color="auto"/>
        <w:left w:val="none" w:sz="0" w:space="0" w:color="auto"/>
        <w:bottom w:val="none" w:sz="0" w:space="0" w:color="auto"/>
        <w:right w:val="none" w:sz="0" w:space="0" w:color="auto"/>
      </w:divBdr>
    </w:div>
    <w:div w:id="1297832736">
      <w:bodyDiv w:val="1"/>
      <w:marLeft w:val="0"/>
      <w:marRight w:val="0"/>
      <w:marTop w:val="0"/>
      <w:marBottom w:val="0"/>
      <w:divBdr>
        <w:top w:val="none" w:sz="0" w:space="0" w:color="auto"/>
        <w:left w:val="none" w:sz="0" w:space="0" w:color="auto"/>
        <w:bottom w:val="none" w:sz="0" w:space="0" w:color="auto"/>
        <w:right w:val="none" w:sz="0" w:space="0" w:color="auto"/>
      </w:divBdr>
    </w:div>
    <w:div w:id="1773741097">
      <w:bodyDiv w:val="1"/>
      <w:marLeft w:val="0"/>
      <w:marRight w:val="0"/>
      <w:marTop w:val="0"/>
      <w:marBottom w:val="0"/>
      <w:divBdr>
        <w:top w:val="none" w:sz="0" w:space="0" w:color="auto"/>
        <w:left w:val="none" w:sz="0" w:space="0" w:color="auto"/>
        <w:bottom w:val="none" w:sz="0" w:space="0" w:color="auto"/>
        <w:right w:val="none" w:sz="0" w:space="0" w:color="auto"/>
      </w:divBdr>
    </w:div>
    <w:div w:id="18710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www.ipex.eu/IPEXL-WEB/dossier/document/COM20160134.do"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www.ipex.eu/IPEXL-WEB/dossier/document/COM20160123.do" TargetMode="Externa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hyperlink" Target="http://ec.europa.eu/research/consultations/euric/consultation_en.htm"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1304</ap:Words>
  <ap:Characters>8321</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2016-03-24T08:20:00.0000000Z</dcterms:created>
  <dcterms:modified xsi:type="dcterms:W3CDTF">2016-03-24T08:20:00.0000000Z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