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72B" w:rsidP="008F37C6" w:rsidRDefault="007C2DAF">
      <w:pPr>
        <w:pStyle w:val="Geenafstand"/>
        <w:rPr>
          <w:rFonts w:ascii="Arial" w:hAnsi="Arial" w:cs="Arial"/>
          <w:b/>
          <w:sz w:val="28"/>
        </w:rPr>
      </w:pPr>
      <w:r>
        <w:rPr>
          <w:rFonts w:ascii="Arial" w:hAnsi="Arial" w:cs="Arial"/>
          <w:b/>
          <w:sz w:val="28"/>
        </w:rPr>
        <w:t>Inbreng LTO Nederland t.b.v. Rondetafelgesprek over topsectorenbeleid op 31 maart 2016</w:t>
      </w:r>
    </w:p>
    <w:p w:rsidRPr="007E3FF7" w:rsidR="007C2DAF" w:rsidP="007C2DAF" w:rsidRDefault="00C006C0">
      <w:pPr>
        <w:pStyle w:val="Geenafstand"/>
        <w:rPr>
          <w:rFonts w:ascii="Arial" w:hAnsi="Arial" w:cs="Arial"/>
          <w:i/>
        </w:rPr>
      </w:pPr>
      <w:r w:rsidRPr="00625566">
        <w:rPr>
          <w:rFonts w:ascii="Arial" w:hAnsi="Arial" w:cs="Arial"/>
          <w:i/>
        </w:rPr>
        <w:t xml:space="preserve">meer informatie: </w:t>
      </w:r>
      <w:r w:rsidRPr="00625566" w:rsidR="00625566">
        <w:rPr>
          <w:rFonts w:ascii="Arial" w:hAnsi="Arial" w:cs="Arial"/>
          <w:i/>
        </w:rPr>
        <w:t xml:space="preserve">Adinda Lodders (06-1288 2887 / </w:t>
      </w:r>
      <w:hyperlink w:history="1" r:id="rId8">
        <w:r w:rsidRPr="00625566" w:rsidR="00625566">
          <w:rPr>
            <w:rStyle w:val="Hyperlink"/>
            <w:rFonts w:ascii="Arial" w:hAnsi="Arial" w:cs="Arial"/>
            <w:i/>
          </w:rPr>
          <w:t>alodders@lto.nl</w:t>
        </w:r>
      </w:hyperlink>
      <w:r w:rsidRPr="00625566" w:rsidR="00625566">
        <w:rPr>
          <w:rFonts w:ascii="Arial" w:hAnsi="Arial" w:cs="Arial"/>
          <w:i/>
        </w:rPr>
        <w:t xml:space="preserve">) of  </w:t>
      </w:r>
      <w:r w:rsidR="007C2DAF">
        <w:rPr>
          <w:rFonts w:ascii="Arial" w:hAnsi="Arial" w:cs="Arial"/>
          <w:i/>
        </w:rPr>
        <w:t xml:space="preserve">Nico van Ruiten </w:t>
      </w:r>
      <w:r w:rsidRPr="007E3FF7" w:rsidR="007C2DAF">
        <w:rPr>
          <w:rFonts w:ascii="Arial" w:hAnsi="Arial" w:cs="Arial"/>
          <w:i/>
        </w:rPr>
        <w:t xml:space="preserve">(06 22284714 / </w:t>
      </w:r>
      <w:hyperlink w:history="1" r:id="rId9">
        <w:r w:rsidRPr="007E3FF7" w:rsidR="007C2DAF">
          <w:rPr>
            <w:rStyle w:val="Hyperlink"/>
            <w:rFonts w:ascii="Arial" w:hAnsi="Arial" w:cs="Arial"/>
            <w:i/>
          </w:rPr>
          <w:t>nvanruiten@ltoglaskracht.nl</w:t>
        </w:r>
      </w:hyperlink>
      <w:r w:rsidRPr="007E3FF7" w:rsidR="007C2DAF">
        <w:rPr>
          <w:rFonts w:ascii="Arial" w:hAnsi="Arial" w:cs="Arial"/>
          <w:i/>
        </w:rPr>
        <w:t>)</w:t>
      </w:r>
    </w:p>
    <w:p w:rsidR="00C006C0" w:rsidP="008F37C6" w:rsidRDefault="00C006C0">
      <w:pPr>
        <w:pStyle w:val="Geenafstand"/>
        <w:rPr>
          <w:rFonts w:ascii="Arial" w:hAnsi="Arial" w:cs="Arial"/>
          <w:i/>
        </w:rPr>
      </w:pPr>
    </w:p>
    <w:p w:rsidRPr="007E3FF7" w:rsidR="003C060A" w:rsidP="003C060A" w:rsidRDefault="003C060A">
      <w:pPr>
        <w:pStyle w:val="Geenafstand"/>
        <w:rPr>
          <w:rFonts w:ascii="Arial" w:hAnsi="Arial" w:cs="Arial"/>
        </w:rPr>
      </w:pPr>
      <w:r w:rsidRPr="007E3FF7">
        <w:rPr>
          <w:rFonts w:ascii="Arial" w:hAnsi="Arial" w:cs="Arial"/>
          <w:b/>
          <w:noProof/>
          <w:lang w:eastAsia="nl-NL"/>
        </w:rPr>
        <w:drawing>
          <wp:anchor distT="0" distB="0" distL="114300" distR="114300" simplePos="0" relativeHeight="251659264" behindDoc="0" locked="0" layoutInCell="1" allowOverlap="1" wp14:editId="495C4E5B" wp14:anchorId="191EB040">
            <wp:simplePos x="0" y="0"/>
            <wp:positionH relativeFrom="column">
              <wp:posOffset>3109595</wp:posOffset>
            </wp:positionH>
            <wp:positionV relativeFrom="paragraph">
              <wp:posOffset>-1433830</wp:posOffset>
            </wp:positionV>
            <wp:extent cx="2765425" cy="790575"/>
            <wp:effectExtent l="0" t="0" r="0" b="9525"/>
            <wp:wrapNone/>
            <wp:docPr id="6" name="Afbeelding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65425" cy="79057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7E3FF7">
        <w:rPr>
          <w:rFonts w:ascii="Arial" w:hAnsi="Arial" w:cs="Arial"/>
        </w:rPr>
        <w:t xml:space="preserve">LTO Nederland is betrokken bij twee topsectoren: </w:t>
      </w:r>
      <w:r w:rsidR="003F633D">
        <w:rPr>
          <w:rFonts w:ascii="Arial" w:hAnsi="Arial" w:cs="Arial"/>
        </w:rPr>
        <w:t>‘</w:t>
      </w:r>
      <w:proofErr w:type="spellStart"/>
      <w:r w:rsidRPr="007E3FF7">
        <w:rPr>
          <w:rFonts w:ascii="Arial" w:hAnsi="Arial" w:cs="Arial"/>
        </w:rPr>
        <w:t>Agri&amp;Food</w:t>
      </w:r>
      <w:proofErr w:type="spellEnd"/>
      <w:r w:rsidR="003F633D">
        <w:rPr>
          <w:rFonts w:ascii="Arial" w:hAnsi="Arial" w:cs="Arial"/>
        </w:rPr>
        <w:t>’</w:t>
      </w:r>
      <w:r w:rsidRPr="007E3FF7">
        <w:rPr>
          <w:rFonts w:ascii="Arial" w:hAnsi="Arial" w:cs="Arial"/>
        </w:rPr>
        <w:t xml:space="preserve"> en </w:t>
      </w:r>
      <w:r w:rsidR="003F633D">
        <w:rPr>
          <w:rFonts w:ascii="Arial" w:hAnsi="Arial" w:cs="Arial"/>
        </w:rPr>
        <w:t>‘</w:t>
      </w:r>
      <w:r w:rsidRPr="007E3FF7">
        <w:rPr>
          <w:rFonts w:ascii="Arial" w:hAnsi="Arial" w:cs="Arial"/>
        </w:rPr>
        <w:t>Tuinbouw</w:t>
      </w:r>
      <w:r w:rsidR="003B738A">
        <w:rPr>
          <w:rFonts w:ascii="Arial" w:hAnsi="Arial" w:cs="Arial"/>
        </w:rPr>
        <w:t>&amp;</w:t>
      </w:r>
      <w:r w:rsidRPr="007E3FF7">
        <w:rPr>
          <w:rFonts w:ascii="Arial" w:hAnsi="Arial" w:cs="Arial"/>
        </w:rPr>
        <w:t>Uitgangsmaterialen</w:t>
      </w:r>
      <w:r w:rsidR="003F633D">
        <w:rPr>
          <w:rFonts w:ascii="Arial" w:hAnsi="Arial" w:cs="Arial"/>
        </w:rPr>
        <w:t>’</w:t>
      </w:r>
      <w:r w:rsidRPr="007E3FF7">
        <w:rPr>
          <w:rFonts w:ascii="Arial" w:hAnsi="Arial" w:cs="Arial"/>
        </w:rPr>
        <w:t>. Het Nederlandse agrocluster is goed voor  circa 10% van het BNP</w:t>
      </w:r>
      <w:r w:rsidR="003F633D">
        <w:rPr>
          <w:rFonts w:ascii="Arial" w:hAnsi="Arial" w:cs="Arial"/>
        </w:rPr>
        <w:t xml:space="preserve"> en daarmee</w:t>
      </w:r>
      <w:r w:rsidRPr="007E3FF7">
        <w:rPr>
          <w:rFonts w:ascii="Arial" w:hAnsi="Arial" w:cs="Arial"/>
        </w:rPr>
        <w:t xml:space="preserve"> belangrijk voor de economie, werkgelegenheid en exportpositie van ons land. </w:t>
      </w:r>
      <w:r w:rsidR="003F633D">
        <w:rPr>
          <w:rFonts w:ascii="Arial" w:hAnsi="Arial" w:cs="Arial"/>
        </w:rPr>
        <w:t>Om deze positie te behouden en verder te versterken, is verdere verduu</w:t>
      </w:r>
      <w:r w:rsidR="003B738A">
        <w:rPr>
          <w:rFonts w:ascii="Arial" w:hAnsi="Arial" w:cs="Arial"/>
        </w:rPr>
        <w:t>r</w:t>
      </w:r>
      <w:r w:rsidR="003F633D">
        <w:rPr>
          <w:rFonts w:ascii="Arial" w:hAnsi="Arial" w:cs="Arial"/>
        </w:rPr>
        <w:t xml:space="preserve">zaming en innovatie nodig. </w:t>
      </w:r>
      <w:r w:rsidR="00011843">
        <w:rPr>
          <w:rFonts w:ascii="Arial" w:hAnsi="Arial" w:cs="Arial"/>
        </w:rPr>
        <w:t>Door verduurzaming wordt recht gedaan aan de randvoorwaarden die mens, dier en milieu van ons verlangen</w:t>
      </w:r>
      <w:r w:rsidR="004D4857">
        <w:rPr>
          <w:rFonts w:ascii="Arial" w:hAnsi="Arial" w:cs="Arial"/>
        </w:rPr>
        <w:t xml:space="preserve"> en kan de land- en tuinbouw verdere invulling geven aan de uitdagingen op bijvoorbeeld het gebied van klimaat en energie</w:t>
      </w:r>
      <w:r w:rsidR="00011843">
        <w:rPr>
          <w:rFonts w:ascii="Arial" w:hAnsi="Arial" w:cs="Arial"/>
        </w:rPr>
        <w:t>.</w:t>
      </w:r>
      <w:r w:rsidRPr="007E3FF7">
        <w:rPr>
          <w:rFonts w:ascii="Arial" w:hAnsi="Arial" w:cs="Arial"/>
        </w:rPr>
        <w:t xml:space="preserve">De inzet in de topsectoren geeft de sector de kans zich voortdurend te vernieuwen en voorop te lopen bij de verduurzaming en het voldoen aan de eisen die de samenleving stelt aan de agrarische productie. Graag brengt LTO Nederland enkele zaken onder uw aandacht ter voorbereiding op het </w:t>
      </w:r>
      <w:r w:rsidR="003F633D">
        <w:rPr>
          <w:rFonts w:ascii="Arial" w:hAnsi="Arial" w:cs="Arial"/>
        </w:rPr>
        <w:t>rondetafelgesprek</w:t>
      </w:r>
      <w:r w:rsidRPr="007E3FF7">
        <w:rPr>
          <w:rFonts w:ascii="Arial" w:hAnsi="Arial" w:cs="Arial"/>
        </w:rPr>
        <w:t xml:space="preserve"> op 31 maart a.s.</w:t>
      </w:r>
    </w:p>
    <w:p w:rsidRPr="007E3FF7" w:rsidR="003C060A" w:rsidP="003C060A" w:rsidRDefault="003C060A">
      <w:pPr>
        <w:pStyle w:val="Geenafstand"/>
        <w:rPr>
          <w:rFonts w:ascii="Arial" w:hAnsi="Arial" w:cs="Arial"/>
        </w:rPr>
      </w:pPr>
    </w:p>
    <w:p w:rsidRPr="007E3FF7" w:rsidR="003C060A" w:rsidP="003C060A" w:rsidRDefault="003C060A">
      <w:pPr>
        <w:pStyle w:val="Geenafstand"/>
        <w:rPr>
          <w:rFonts w:ascii="Arial" w:hAnsi="Arial" w:cs="Arial"/>
          <w:b/>
        </w:rPr>
      </w:pPr>
      <w:r w:rsidRPr="007E3FF7">
        <w:rPr>
          <w:rFonts w:ascii="Arial" w:hAnsi="Arial" w:cs="Arial"/>
          <w:b/>
        </w:rPr>
        <w:t>Vraagsturing in de gouden driehoek</w:t>
      </w:r>
    </w:p>
    <w:p w:rsidR="003F633D" w:rsidP="003C060A" w:rsidRDefault="003C060A">
      <w:pPr>
        <w:pStyle w:val="Geenafstand"/>
        <w:rPr>
          <w:rFonts w:ascii="Arial" w:hAnsi="Arial" w:cs="Arial"/>
        </w:rPr>
      </w:pPr>
      <w:r w:rsidRPr="007E3FF7">
        <w:rPr>
          <w:rFonts w:ascii="Arial" w:hAnsi="Arial" w:cs="Arial"/>
        </w:rPr>
        <w:t xml:space="preserve">Het topsectorenbeleid </w:t>
      </w:r>
      <w:r w:rsidR="003F633D">
        <w:rPr>
          <w:rFonts w:ascii="Arial" w:hAnsi="Arial" w:cs="Arial"/>
        </w:rPr>
        <w:t>is</w:t>
      </w:r>
      <w:r w:rsidRPr="007E3FF7" w:rsidR="003F633D">
        <w:rPr>
          <w:rFonts w:ascii="Arial" w:hAnsi="Arial" w:cs="Arial"/>
        </w:rPr>
        <w:t xml:space="preserve"> </w:t>
      </w:r>
      <w:r w:rsidRPr="007E3FF7">
        <w:rPr>
          <w:rFonts w:ascii="Arial" w:hAnsi="Arial" w:cs="Arial"/>
        </w:rPr>
        <w:t xml:space="preserve">het kader voor de samenwerking tussen bedrijfsleven, kennisinstellingen en overheid. Dit begint met het opstellen van de innovatieagenda’s door de partijen gezamenlijk. In 2015 zijn </w:t>
      </w:r>
      <w:r w:rsidR="003F633D">
        <w:rPr>
          <w:rFonts w:ascii="Arial" w:hAnsi="Arial" w:cs="Arial"/>
        </w:rPr>
        <w:t>de innovatieagenda’s</w:t>
      </w:r>
      <w:r w:rsidRPr="007E3FF7">
        <w:rPr>
          <w:rFonts w:ascii="Arial" w:hAnsi="Arial" w:cs="Arial"/>
        </w:rPr>
        <w:t xml:space="preserve"> voor de komende vier jaar</w:t>
      </w:r>
      <w:r w:rsidR="003F633D">
        <w:rPr>
          <w:rFonts w:ascii="Arial" w:hAnsi="Arial" w:cs="Arial"/>
        </w:rPr>
        <w:t xml:space="preserve"> vastgesteld</w:t>
      </w:r>
      <w:r w:rsidRPr="007E3FF7">
        <w:rPr>
          <w:rFonts w:ascii="Arial" w:hAnsi="Arial" w:cs="Arial"/>
        </w:rPr>
        <w:t>. Vervolgens worden ieder jaar oproepen gedaan voor onderzoeksvoorstellen. Deze voorstellen worden ingediend door</w:t>
      </w:r>
      <w:r w:rsidR="003F633D">
        <w:rPr>
          <w:rFonts w:ascii="Arial" w:hAnsi="Arial" w:cs="Arial"/>
        </w:rPr>
        <w:t xml:space="preserve"> het</w:t>
      </w:r>
      <w:r w:rsidRPr="007E3FF7">
        <w:rPr>
          <w:rFonts w:ascii="Arial" w:hAnsi="Arial" w:cs="Arial"/>
        </w:rPr>
        <w:t xml:space="preserve"> bedrijfsleven en </w:t>
      </w:r>
      <w:r w:rsidR="003F633D">
        <w:rPr>
          <w:rFonts w:ascii="Arial" w:hAnsi="Arial" w:cs="Arial"/>
        </w:rPr>
        <w:t xml:space="preserve">de </w:t>
      </w:r>
      <w:r w:rsidRPr="007E3FF7">
        <w:rPr>
          <w:rFonts w:ascii="Arial" w:hAnsi="Arial" w:cs="Arial"/>
        </w:rPr>
        <w:t>onderzoeksinstellingen gezamenlijk. De voorstellen worden beoordeeld door onafhankelijke commissies en gehonoreerd op volgorde van scores</w:t>
      </w:r>
      <w:r>
        <w:rPr>
          <w:rFonts w:ascii="Arial" w:hAnsi="Arial" w:cs="Arial"/>
        </w:rPr>
        <w:t xml:space="preserve"> van </w:t>
      </w:r>
      <w:r w:rsidRPr="007E3FF7">
        <w:rPr>
          <w:rFonts w:ascii="Arial" w:hAnsi="Arial" w:cs="Arial"/>
        </w:rPr>
        <w:t xml:space="preserve">deze commissies. Circa de helft van de financiering van een voorstel dient van de bedrijven te komen. Door deze systematiek wordt geborgd dat </w:t>
      </w:r>
      <w:r w:rsidR="003F633D">
        <w:rPr>
          <w:rFonts w:ascii="Arial" w:hAnsi="Arial" w:cs="Arial"/>
        </w:rPr>
        <w:t>er uitsluitend onderzoek gedaan wordt naar onderwerpen die voor het bedrijfsleven noodzakelijk zijn</w:t>
      </w:r>
      <w:r w:rsidRPr="007E3FF7">
        <w:rPr>
          <w:rFonts w:ascii="Arial" w:hAnsi="Arial" w:cs="Arial"/>
        </w:rPr>
        <w:t xml:space="preserve">. Tegelijk wordt voor de financiering van de overheid de voorwaarde gesteld dat er ook maatschappelijke en wetenschappelijke doelen aan bod komen. Door deze werkwijze wordt de samenwerking in de gouden driehoek invulling gegeven. </w:t>
      </w:r>
    </w:p>
    <w:p w:rsidR="003F633D" w:rsidP="003C060A" w:rsidRDefault="003F633D">
      <w:pPr>
        <w:pStyle w:val="Geenafstand"/>
        <w:rPr>
          <w:rFonts w:ascii="Arial" w:hAnsi="Arial" w:cs="Arial"/>
        </w:rPr>
      </w:pPr>
    </w:p>
    <w:p w:rsidRPr="00EE5848" w:rsidR="003C060A" w:rsidP="003C060A" w:rsidRDefault="003C060A">
      <w:pPr>
        <w:pStyle w:val="Geenafstand"/>
        <w:rPr>
          <w:rFonts w:ascii="Arial" w:hAnsi="Arial" w:cs="Arial"/>
        </w:rPr>
      </w:pPr>
      <w:r w:rsidRPr="007E3FF7">
        <w:rPr>
          <w:rFonts w:ascii="Arial" w:hAnsi="Arial" w:cs="Arial"/>
          <w:b/>
        </w:rPr>
        <w:t xml:space="preserve">Onderzoeksprojecten </w:t>
      </w:r>
    </w:p>
    <w:p w:rsidR="003C060A" w:rsidP="003C060A" w:rsidRDefault="003C060A">
      <w:pPr>
        <w:pStyle w:val="Geenafstand"/>
        <w:rPr>
          <w:rFonts w:ascii="Arial" w:hAnsi="Arial" w:cs="Arial"/>
        </w:rPr>
      </w:pPr>
      <w:r w:rsidRPr="007E3FF7">
        <w:rPr>
          <w:rFonts w:ascii="Arial" w:hAnsi="Arial" w:cs="Arial"/>
        </w:rPr>
        <w:t xml:space="preserve">Via de jaarlijkse oproepen voor onderzoek van de topsectoren is een stevig portfolio aan onderzoeksprojecten in publiek-private samenwerking ontwikkeld. Bij </w:t>
      </w:r>
      <w:proofErr w:type="spellStart"/>
      <w:r w:rsidRPr="007E3FF7">
        <w:rPr>
          <w:rFonts w:ascii="Arial" w:hAnsi="Arial" w:cs="Arial"/>
        </w:rPr>
        <w:t>Agri&amp;Food</w:t>
      </w:r>
      <w:proofErr w:type="spellEnd"/>
      <w:r w:rsidRPr="007E3FF7">
        <w:rPr>
          <w:rFonts w:ascii="Arial" w:hAnsi="Arial" w:cs="Arial"/>
        </w:rPr>
        <w:t xml:space="preserve"> </w:t>
      </w:r>
      <w:r>
        <w:rPr>
          <w:rFonts w:ascii="Arial" w:hAnsi="Arial" w:cs="Arial"/>
        </w:rPr>
        <w:t xml:space="preserve">is </w:t>
      </w:r>
      <w:r w:rsidRPr="007E3FF7">
        <w:rPr>
          <w:rFonts w:ascii="Arial" w:hAnsi="Arial" w:cs="Arial"/>
        </w:rPr>
        <w:t xml:space="preserve">in 2015 </w:t>
      </w:r>
      <w:r>
        <w:rPr>
          <w:rFonts w:ascii="Arial" w:hAnsi="Arial" w:cs="Arial"/>
        </w:rPr>
        <w:t xml:space="preserve">gewerkt aan </w:t>
      </w:r>
      <w:r w:rsidRPr="007E3FF7">
        <w:rPr>
          <w:rFonts w:ascii="Arial" w:hAnsi="Arial" w:cs="Arial"/>
        </w:rPr>
        <w:t>ca</w:t>
      </w:r>
      <w:r>
        <w:rPr>
          <w:rFonts w:ascii="Arial" w:hAnsi="Arial" w:cs="Arial"/>
        </w:rPr>
        <w:t>.</w:t>
      </w:r>
      <w:r w:rsidRPr="007E3FF7">
        <w:rPr>
          <w:rFonts w:ascii="Arial" w:hAnsi="Arial" w:cs="Arial"/>
        </w:rPr>
        <w:t xml:space="preserve"> 80 projecten met 275 betrokken bedrijven. Bij </w:t>
      </w:r>
      <w:proofErr w:type="spellStart"/>
      <w:r w:rsidRPr="007E3FF7">
        <w:rPr>
          <w:rFonts w:ascii="Arial" w:hAnsi="Arial" w:cs="Arial"/>
        </w:rPr>
        <w:t>T</w:t>
      </w:r>
      <w:r w:rsidR="003B738A">
        <w:rPr>
          <w:rFonts w:ascii="Arial" w:hAnsi="Arial" w:cs="Arial"/>
        </w:rPr>
        <w:t>uinbouw</w:t>
      </w:r>
      <w:r w:rsidRPr="007E3FF7">
        <w:rPr>
          <w:rFonts w:ascii="Arial" w:hAnsi="Arial" w:cs="Arial"/>
        </w:rPr>
        <w:t>&amp;U</w:t>
      </w:r>
      <w:r w:rsidR="003B738A">
        <w:rPr>
          <w:rFonts w:ascii="Arial" w:hAnsi="Arial" w:cs="Arial"/>
        </w:rPr>
        <w:t>itgangsmaterialen</w:t>
      </w:r>
      <w:proofErr w:type="spellEnd"/>
      <w:r w:rsidRPr="007E3FF7">
        <w:rPr>
          <w:rFonts w:ascii="Arial" w:hAnsi="Arial" w:cs="Arial"/>
        </w:rPr>
        <w:t xml:space="preserve"> gaat het om 120 projecten met ca. 300 bedrijven. </w:t>
      </w:r>
      <w:r>
        <w:rPr>
          <w:rFonts w:ascii="Arial" w:hAnsi="Arial" w:cs="Arial"/>
        </w:rPr>
        <w:t xml:space="preserve">De land- en tuinbouw is bij uitstek een MKB-sector. </w:t>
      </w:r>
      <w:r w:rsidR="003B738A">
        <w:rPr>
          <w:rFonts w:ascii="Arial" w:hAnsi="Arial" w:cs="Arial"/>
        </w:rPr>
        <w:t>Individuele b</w:t>
      </w:r>
      <w:r>
        <w:rPr>
          <w:rFonts w:ascii="Arial" w:hAnsi="Arial" w:cs="Arial"/>
        </w:rPr>
        <w:t xml:space="preserve">edrijven zijn vaak te klein om projecten te initiëren en te financieren. </w:t>
      </w:r>
      <w:r w:rsidR="003B738A">
        <w:rPr>
          <w:rFonts w:ascii="Arial" w:hAnsi="Arial" w:cs="Arial"/>
        </w:rPr>
        <w:t xml:space="preserve">Daarvoor </w:t>
      </w:r>
      <w:r>
        <w:rPr>
          <w:rFonts w:ascii="Arial" w:hAnsi="Arial" w:cs="Arial"/>
        </w:rPr>
        <w:t>is o</w:t>
      </w:r>
      <w:r w:rsidRPr="007E3FF7">
        <w:rPr>
          <w:rFonts w:ascii="Arial" w:hAnsi="Arial" w:cs="Arial"/>
        </w:rPr>
        <w:t>rganis</w:t>
      </w:r>
      <w:r>
        <w:rPr>
          <w:rFonts w:ascii="Arial" w:hAnsi="Arial" w:cs="Arial"/>
        </w:rPr>
        <w:t xml:space="preserve">atiekracht nodig om </w:t>
      </w:r>
      <w:r w:rsidRPr="007E3FF7">
        <w:rPr>
          <w:rFonts w:ascii="Arial" w:hAnsi="Arial" w:cs="Arial"/>
        </w:rPr>
        <w:t>partijen bij elkaar te brengen. Vanuit LTO wordt ingezet op</w:t>
      </w:r>
      <w:r w:rsidR="003B738A">
        <w:rPr>
          <w:rFonts w:ascii="Arial" w:hAnsi="Arial" w:cs="Arial"/>
        </w:rPr>
        <w:t xml:space="preserve"> het</w:t>
      </w:r>
      <w:r w:rsidRPr="007E3FF7">
        <w:rPr>
          <w:rFonts w:ascii="Arial" w:hAnsi="Arial" w:cs="Arial"/>
        </w:rPr>
        <w:t xml:space="preserve"> organiseren van de sector, hetzij in gewascoöperaties waar</w:t>
      </w:r>
      <w:r>
        <w:rPr>
          <w:rFonts w:ascii="Arial" w:hAnsi="Arial" w:cs="Arial"/>
        </w:rPr>
        <w:t xml:space="preserve"> bedrijven middelen inleggen voor het uitvoeren van  onderzoek, hetzij in nieuwe Brancheorganisaties of Producentenorganisaties waar middelen opgehaald kunnen worden voor het uitvoeren van onderzoek. De mogelijkheid voor </w:t>
      </w:r>
      <w:proofErr w:type="spellStart"/>
      <w:r>
        <w:rPr>
          <w:rFonts w:ascii="Arial" w:hAnsi="Arial" w:cs="Arial"/>
        </w:rPr>
        <w:t>BO’s</w:t>
      </w:r>
      <w:proofErr w:type="spellEnd"/>
      <w:r>
        <w:rPr>
          <w:rFonts w:ascii="Arial" w:hAnsi="Arial" w:cs="Arial"/>
        </w:rPr>
        <w:t xml:space="preserve"> en </w:t>
      </w:r>
      <w:proofErr w:type="spellStart"/>
      <w:r>
        <w:rPr>
          <w:rFonts w:ascii="Arial" w:hAnsi="Arial" w:cs="Arial"/>
        </w:rPr>
        <w:t>PO’s</w:t>
      </w:r>
      <w:proofErr w:type="spellEnd"/>
      <w:r>
        <w:rPr>
          <w:rFonts w:ascii="Arial" w:hAnsi="Arial" w:cs="Arial"/>
        </w:rPr>
        <w:t xml:space="preserve"> om middelen op te halen voor de private cofinanciering van onderzoek via een Verbindend Verklaring dient z.s.m. gerealiseerd te worden. </w:t>
      </w:r>
    </w:p>
    <w:p w:rsidR="003C060A" w:rsidP="003C060A" w:rsidRDefault="003C060A">
      <w:pPr>
        <w:pStyle w:val="Geenafstand"/>
        <w:rPr>
          <w:rFonts w:ascii="Arial" w:hAnsi="Arial" w:cs="Arial"/>
        </w:rPr>
      </w:pPr>
    </w:p>
    <w:p w:rsidRPr="00881668" w:rsidR="003C060A" w:rsidP="003C060A" w:rsidRDefault="003C060A">
      <w:pPr>
        <w:pStyle w:val="Geenafstand"/>
        <w:rPr>
          <w:rFonts w:ascii="Arial" w:hAnsi="Arial" w:cs="Arial"/>
          <w:b/>
        </w:rPr>
      </w:pPr>
      <w:r>
        <w:rPr>
          <w:rFonts w:ascii="Arial" w:hAnsi="Arial" w:cs="Arial"/>
          <w:b/>
        </w:rPr>
        <w:t>Voorbeelden</w:t>
      </w:r>
    </w:p>
    <w:p w:rsidRPr="00805C41" w:rsidR="003C060A" w:rsidP="003C060A" w:rsidRDefault="003C060A">
      <w:pPr>
        <w:pStyle w:val="Geenafstand"/>
        <w:rPr>
          <w:rFonts w:ascii="Arial" w:hAnsi="Arial" w:cs="Arial"/>
        </w:rPr>
      </w:pPr>
      <w:r w:rsidRPr="007E3FF7">
        <w:rPr>
          <w:rFonts w:ascii="Arial" w:hAnsi="Arial" w:cs="Arial"/>
        </w:rPr>
        <w:t>Belangrijke programma</w:t>
      </w:r>
      <w:r>
        <w:rPr>
          <w:rFonts w:ascii="Arial" w:hAnsi="Arial" w:cs="Arial"/>
        </w:rPr>
        <w:t>’</w:t>
      </w:r>
      <w:r w:rsidRPr="007E3FF7">
        <w:rPr>
          <w:rFonts w:ascii="Arial" w:hAnsi="Arial" w:cs="Arial"/>
        </w:rPr>
        <w:t xml:space="preserve">s </w:t>
      </w:r>
      <w:r>
        <w:rPr>
          <w:rFonts w:ascii="Arial" w:hAnsi="Arial" w:cs="Arial"/>
        </w:rPr>
        <w:t xml:space="preserve">binnen de topsectoren </w:t>
      </w:r>
      <w:r w:rsidRPr="007E3FF7">
        <w:rPr>
          <w:rFonts w:ascii="Arial" w:hAnsi="Arial" w:cs="Arial"/>
        </w:rPr>
        <w:t>voor de land- en tuinbouw</w:t>
      </w:r>
      <w:r>
        <w:rPr>
          <w:rFonts w:ascii="Arial" w:hAnsi="Arial" w:cs="Arial"/>
        </w:rPr>
        <w:t xml:space="preserve"> zijn:</w:t>
      </w:r>
    </w:p>
    <w:p w:rsidRPr="00805C41" w:rsidR="003C060A" w:rsidP="003C060A" w:rsidRDefault="003C060A">
      <w:pPr>
        <w:pStyle w:val="Lijstalinea"/>
        <w:numPr>
          <w:ilvl w:val="0"/>
          <w:numId w:val="2"/>
        </w:numPr>
        <w:rPr>
          <w:rFonts w:ascii="Arial" w:hAnsi="Arial" w:cs="Arial"/>
        </w:rPr>
      </w:pPr>
      <w:r>
        <w:rPr>
          <w:rFonts w:ascii="Arial" w:hAnsi="Arial" w:cs="Arial"/>
        </w:rPr>
        <w:t xml:space="preserve">Het Nieuwe Doen in </w:t>
      </w:r>
      <w:r w:rsidRPr="00805C41">
        <w:rPr>
          <w:rFonts w:ascii="Arial" w:hAnsi="Arial" w:cs="Arial"/>
        </w:rPr>
        <w:t xml:space="preserve">Plantgezondheid, gericht op </w:t>
      </w:r>
      <w:r>
        <w:rPr>
          <w:rFonts w:ascii="Arial" w:hAnsi="Arial" w:cs="Arial"/>
        </w:rPr>
        <w:t xml:space="preserve">de ontwikkeling van </w:t>
      </w:r>
      <w:r w:rsidRPr="00805C41">
        <w:rPr>
          <w:rFonts w:ascii="Arial" w:hAnsi="Arial" w:cs="Arial"/>
        </w:rPr>
        <w:t>robuuste weerbare systemen</w:t>
      </w:r>
      <w:r>
        <w:rPr>
          <w:rFonts w:ascii="Arial" w:hAnsi="Arial" w:cs="Arial"/>
        </w:rPr>
        <w:t xml:space="preserve"> </w:t>
      </w:r>
      <w:r w:rsidRPr="00805C41">
        <w:rPr>
          <w:rFonts w:ascii="Arial" w:hAnsi="Arial" w:cs="Arial"/>
        </w:rPr>
        <w:t xml:space="preserve">die zoveel mogelijk uitgaan van natuurlijk evenwicht, minimale externe </w:t>
      </w:r>
      <w:proofErr w:type="spellStart"/>
      <w:r w:rsidRPr="00805C41">
        <w:rPr>
          <w:rFonts w:ascii="Arial" w:hAnsi="Arial" w:cs="Arial"/>
        </w:rPr>
        <w:t>inputs</w:t>
      </w:r>
      <w:proofErr w:type="spellEnd"/>
      <w:r>
        <w:rPr>
          <w:rFonts w:ascii="Arial" w:hAnsi="Arial" w:cs="Arial"/>
        </w:rPr>
        <w:t xml:space="preserve"> en </w:t>
      </w:r>
      <w:r w:rsidRPr="00805C41">
        <w:rPr>
          <w:rFonts w:ascii="Arial" w:hAnsi="Arial" w:cs="Arial"/>
        </w:rPr>
        <w:t xml:space="preserve">minimale ongewenste </w:t>
      </w:r>
      <w:proofErr w:type="spellStart"/>
      <w:r w:rsidRPr="00805C41">
        <w:rPr>
          <w:rFonts w:ascii="Arial" w:hAnsi="Arial" w:cs="Arial"/>
        </w:rPr>
        <w:t>outputs</w:t>
      </w:r>
      <w:proofErr w:type="spellEnd"/>
      <w:r w:rsidRPr="00805C41">
        <w:rPr>
          <w:rFonts w:ascii="Arial" w:hAnsi="Arial" w:cs="Arial"/>
        </w:rPr>
        <w:t xml:space="preserve"> </w:t>
      </w:r>
      <w:r>
        <w:rPr>
          <w:rFonts w:ascii="Arial" w:hAnsi="Arial" w:cs="Arial"/>
        </w:rPr>
        <w:t xml:space="preserve">waarbij de </w:t>
      </w:r>
      <w:r w:rsidRPr="00805C41">
        <w:rPr>
          <w:rFonts w:ascii="Arial" w:hAnsi="Arial" w:cs="Arial"/>
        </w:rPr>
        <w:t xml:space="preserve">productie en het bedrijfseconomische rendement op peil blijven. </w:t>
      </w:r>
    </w:p>
    <w:p w:rsidRPr="00805C41" w:rsidR="003C060A" w:rsidP="003C060A" w:rsidRDefault="003C060A">
      <w:pPr>
        <w:pStyle w:val="Geenafstand"/>
        <w:numPr>
          <w:ilvl w:val="0"/>
          <w:numId w:val="1"/>
        </w:numPr>
        <w:rPr>
          <w:rFonts w:ascii="Arial" w:hAnsi="Arial" w:cs="Arial"/>
        </w:rPr>
      </w:pPr>
      <w:r w:rsidRPr="00805C41">
        <w:rPr>
          <w:rFonts w:ascii="Arial" w:hAnsi="Arial" w:cs="Arial"/>
        </w:rPr>
        <w:t>Duurzame Bodem</w:t>
      </w:r>
      <w:r>
        <w:rPr>
          <w:rFonts w:ascii="Arial" w:hAnsi="Arial" w:cs="Arial"/>
        </w:rPr>
        <w:t>: het</w:t>
      </w:r>
      <w:r w:rsidRPr="00805C41">
        <w:rPr>
          <w:rFonts w:ascii="Arial" w:hAnsi="Arial" w:cs="Arial"/>
        </w:rPr>
        <w:t xml:space="preserve"> integraal ontwikkelen en toetsen van nieuwe systemen voor duurzaam bodembeheer in grondgebonden teelten. </w:t>
      </w:r>
      <w:r>
        <w:rPr>
          <w:rFonts w:ascii="Arial" w:hAnsi="Arial" w:cs="Arial"/>
        </w:rPr>
        <w:t xml:space="preserve">Hierbij gaat het om </w:t>
      </w:r>
      <w:r w:rsidRPr="00805C41">
        <w:rPr>
          <w:rFonts w:ascii="Arial" w:hAnsi="Arial" w:cs="Arial"/>
        </w:rPr>
        <w:t xml:space="preserve">het spaarzaam gebruik van </w:t>
      </w:r>
      <w:proofErr w:type="spellStart"/>
      <w:r w:rsidRPr="00805C41">
        <w:rPr>
          <w:rFonts w:ascii="Arial" w:hAnsi="Arial" w:cs="Arial"/>
        </w:rPr>
        <w:t>inputs</w:t>
      </w:r>
      <w:proofErr w:type="spellEnd"/>
      <w:r w:rsidRPr="00805C41">
        <w:rPr>
          <w:rFonts w:ascii="Arial" w:hAnsi="Arial" w:cs="Arial"/>
        </w:rPr>
        <w:t xml:space="preserve"> (meststoffen, gewasbescher</w:t>
      </w:r>
      <w:r w:rsidRPr="00805C41">
        <w:rPr>
          <w:rFonts w:ascii="Arial" w:hAnsi="Arial" w:cs="Arial"/>
        </w:rPr>
        <w:softHyphen/>
        <w:t>mings</w:t>
      </w:r>
      <w:r w:rsidRPr="00805C41">
        <w:rPr>
          <w:rFonts w:ascii="Arial" w:hAnsi="Arial" w:cs="Arial"/>
        </w:rPr>
        <w:softHyphen/>
        <w:t>middelen), het bevorderen van bodemkwaliteit (fysisch, chemisch, biologisch) als basis voor primaire productie, en het bijdragen aan meerdere maatschappelijke duurzaamheidswensen, zoals biodiversiteit, klimaat en waterbeheer.</w:t>
      </w:r>
    </w:p>
    <w:p w:rsidRPr="00881668" w:rsidR="003C060A" w:rsidP="003C060A" w:rsidRDefault="003C060A">
      <w:pPr>
        <w:pStyle w:val="Default"/>
        <w:numPr>
          <w:ilvl w:val="0"/>
          <w:numId w:val="1"/>
        </w:numPr>
        <w:spacing w:after="18"/>
        <w:rPr>
          <w:rFonts w:ascii="Arial" w:hAnsi="Arial" w:cs="Arial"/>
          <w:sz w:val="22"/>
          <w:szCs w:val="22"/>
          <w:lang w:val="nl-NL"/>
        </w:rPr>
      </w:pPr>
      <w:r w:rsidRPr="00881668">
        <w:rPr>
          <w:rFonts w:ascii="Arial" w:hAnsi="Arial" w:cs="Arial"/>
          <w:sz w:val="22"/>
          <w:szCs w:val="22"/>
          <w:lang w:val="nl-NL"/>
        </w:rPr>
        <w:t xml:space="preserve">Duurzame zuivelketen: Via </w:t>
      </w:r>
      <w:r>
        <w:rPr>
          <w:rFonts w:ascii="Arial" w:hAnsi="Arial" w:cs="Arial"/>
          <w:sz w:val="22"/>
          <w:szCs w:val="22"/>
          <w:lang w:val="nl-NL"/>
        </w:rPr>
        <w:t>dit programma</w:t>
      </w:r>
      <w:r w:rsidRPr="00881668">
        <w:rPr>
          <w:rFonts w:ascii="Arial" w:hAnsi="Arial" w:cs="Arial"/>
          <w:sz w:val="22"/>
          <w:szCs w:val="22"/>
          <w:lang w:val="nl-NL"/>
        </w:rPr>
        <w:t xml:space="preserve"> streven zuivelondernemingen en melkveehouders gezamenlijk naar een toekomstbestendige en verantwoorde zuivelsector. Hierbij gaat het om: Klimaat</w:t>
      </w:r>
      <w:r>
        <w:rPr>
          <w:rFonts w:ascii="Arial" w:hAnsi="Arial" w:cs="Arial"/>
          <w:sz w:val="22"/>
          <w:szCs w:val="22"/>
          <w:lang w:val="nl-NL"/>
        </w:rPr>
        <w:t xml:space="preserve"> </w:t>
      </w:r>
      <w:r w:rsidRPr="00881668">
        <w:rPr>
          <w:rFonts w:ascii="Arial" w:hAnsi="Arial" w:cs="Arial"/>
          <w:sz w:val="22"/>
          <w:szCs w:val="22"/>
          <w:lang w:val="nl-NL"/>
        </w:rPr>
        <w:t xml:space="preserve">neutrale groei, continue verbetering van dierenwelzijn en diergezondheid, behoud van weidegang, behoud van biodiversiteit en milieu. </w:t>
      </w:r>
    </w:p>
    <w:p w:rsidRPr="00805C41" w:rsidR="003C060A" w:rsidP="003C060A" w:rsidRDefault="003C060A">
      <w:pPr>
        <w:pStyle w:val="Geenafstand"/>
        <w:numPr>
          <w:ilvl w:val="0"/>
          <w:numId w:val="1"/>
        </w:numPr>
        <w:rPr>
          <w:rFonts w:ascii="Arial" w:hAnsi="Arial" w:cs="Arial"/>
        </w:rPr>
      </w:pPr>
      <w:r w:rsidRPr="00805C41">
        <w:rPr>
          <w:rFonts w:ascii="Arial" w:hAnsi="Arial" w:cs="Arial"/>
        </w:rPr>
        <w:t>1Health4Food (1H4F)</w:t>
      </w:r>
      <w:r>
        <w:rPr>
          <w:rFonts w:ascii="Arial" w:hAnsi="Arial" w:cs="Arial"/>
        </w:rPr>
        <w:t>: een programma op h</w:t>
      </w:r>
      <w:r w:rsidRPr="00805C41">
        <w:rPr>
          <w:rFonts w:ascii="Arial" w:hAnsi="Arial" w:cs="Arial"/>
        </w:rPr>
        <w:t>et gebied van dier- en volksgezondheid</w:t>
      </w:r>
      <w:r>
        <w:rPr>
          <w:rFonts w:ascii="Arial" w:hAnsi="Arial" w:cs="Arial"/>
        </w:rPr>
        <w:t xml:space="preserve"> waarbij kennis ontwikkeld wordt d</w:t>
      </w:r>
      <w:r w:rsidRPr="00805C41">
        <w:rPr>
          <w:rFonts w:ascii="Arial" w:hAnsi="Arial" w:cs="Arial"/>
        </w:rPr>
        <w:t>ie veehouders in staat stelt rendabel te produceren op een wijze die aantoonbaar veilig en gezond is voor mens en dier.</w:t>
      </w:r>
    </w:p>
    <w:p w:rsidRPr="00805C41" w:rsidR="003C060A" w:rsidP="003C060A" w:rsidRDefault="003C060A">
      <w:pPr>
        <w:pStyle w:val="Geenafstand"/>
        <w:rPr>
          <w:rFonts w:ascii="Arial" w:hAnsi="Arial" w:cs="Arial"/>
        </w:rPr>
      </w:pPr>
    </w:p>
    <w:p w:rsidRPr="00881668" w:rsidR="003C060A" w:rsidP="003C060A" w:rsidRDefault="003C060A">
      <w:pPr>
        <w:pStyle w:val="Geenafstand"/>
        <w:rPr>
          <w:rFonts w:ascii="Arial" w:hAnsi="Arial" w:cs="Arial"/>
          <w:b/>
        </w:rPr>
      </w:pPr>
      <w:r w:rsidRPr="00881668">
        <w:rPr>
          <w:rFonts w:ascii="Arial" w:hAnsi="Arial" w:cs="Arial"/>
          <w:b/>
        </w:rPr>
        <w:t>MKB-projecten</w:t>
      </w:r>
    </w:p>
    <w:p w:rsidRPr="007E3FF7" w:rsidR="003C060A" w:rsidP="003C060A" w:rsidRDefault="003C060A">
      <w:pPr>
        <w:pStyle w:val="Geenafstand"/>
        <w:rPr>
          <w:rFonts w:ascii="Arial" w:hAnsi="Arial" w:cs="Arial"/>
        </w:rPr>
      </w:pPr>
      <w:r w:rsidRPr="00805C41">
        <w:rPr>
          <w:rFonts w:ascii="Arial" w:hAnsi="Arial" w:cs="Arial"/>
        </w:rPr>
        <w:t xml:space="preserve">Individuele </w:t>
      </w:r>
      <w:r>
        <w:rPr>
          <w:rFonts w:ascii="Arial" w:hAnsi="Arial" w:cs="Arial"/>
        </w:rPr>
        <w:t>land- en tuinbouw</w:t>
      </w:r>
      <w:r w:rsidRPr="00805C41">
        <w:rPr>
          <w:rFonts w:ascii="Arial" w:hAnsi="Arial" w:cs="Arial"/>
        </w:rPr>
        <w:t xml:space="preserve">bedrijven zijn wel actief in de MKB-innovatieregeling MIT. Door de topsectoren </w:t>
      </w:r>
      <w:proofErr w:type="spellStart"/>
      <w:r w:rsidRPr="00805C41">
        <w:rPr>
          <w:rFonts w:ascii="Arial" w:hAnsi="Arial" w:cs="Arial"/>
        </w:rPr>
        <w:t>Agri&amp;Food</w:t>
      </w:r>
      <w:proofErr w:type="spellEnd"/>
      <w:r w:rsidRPr="00805C41">
        <w:rPr>
          <w:rFonts w:ascii="Arial" w:hAnsi="Arial" w:cs="Arial"/>
        </w:rPr>
        <w:t xml:space="preserve"> en </w:t>
      </w:r>
      <w:proofErr w:type="spellStart"/>
      <w:r w:rsidRPr="00805C41">
        <w:rPr>
          <w:rFonts w:ascii="Arial" w:hAnsi="Arial" w:cs="Arial"/>
        </w:rPr>
        <w:t>Tuinbouw&amp;Uitgangsmaterialen</w:t>
      </w:r>
      <w:proofErr w:type="spellEnd"/>
      <w:r w:rsidRPr="00805C41">
        <w:rPr>
          <w:rFonts w:ascii="Arial" w:hAnsi="Arial" w:cs="Arial"/>
        </w:rPr>
        <w:t xml:space="preserve"> wordt </w:t>
      </w:r>
      <w:r>
        <w:rPr>
          <w:rFonts w:ascii="Arial" w:hAnsi="Arial" w:cs="Arial"/>
        </w:rPr>
        <w:t xml:space="preserve">flink </w:t>
      </w:r>
      <w:r w:rsidRPr="00805C41">
        <w:rPr>
          <w:rFonts w:ascii="Arial" w:hAnsi="Arial" w:cs="Arial"/>
        </w:rPr>
        <w:t xml:space="preserve">gebruik gemaakt van R&amp;D samenwerkingsprojecten (in 2015 ca.5 mln. subsidie, 20% van het totale budget), haalbaarheidsprojecten (3 mln., 20 % van totaal) en vooral kennisvouchers (1,1 mln. 75 % van het totaal, ca. 300 aanvragen t.w. 3750 euro per voucher). </w:t>
      </w:r>
      <w:r w:rsidRPr="007E3FF7">
        <w:rPr>
          <w:rFonts w:ascii="Arial" w:hAnsi="Arial" w:cs="Arial"/>
        </w:rPr>
        <w:t>Met name de tuinbouw</w:t>
      </w:r>
      <w:r>
        <w:rPr>
          <w:rFonts w:ascii="Arial" w:hAnsi="Arial" w:cs="Arial"/>
        </w:rPr>
        <w:t>sector</w:t>
      </w:r>
      <w:r w:rsidRPr="007E3FF7">
        <w:rPr>
          <w:rFonts w:ascii="Arial" w:hAnsi="Arial" w:cs="Arial"/>
        </w:rPr>
        <w:t xml:space="preserve"> maakt veel gebruik van kennisvouchers</w:t>
      </w:r>
      <w:r>
        <w:rPr>
          <w:rFonts w:ascii="Arial" w:hAnsi="Arial" w:cs="Arial"/>
        </w:rPr>
        <w:t xml:space="preserve"> omdat dit een l</w:t>
      </w:r>
      <w:r w:rsidRPr="007E3FF7">
        <w:rPr>
          <w:rFonts w:ascii="Arial" w:hAnsi="Arial" w:cs="Arial"/>
        </w:rPr>
        <w:t>aagdrempelig</w:t>
      </w:r>
      <w:r>
        <w:rPr>
          <w:rFonts w:ascii="Arial" w:hAnsi="Arial" w:cs="Arial"/>
        </w:rPr>
        <w:t>e</w:t>
      </w:r>
      <w:r w:rsidRPr="007E3FF7">
        <w:rPr>
          <w:rFonts w:ascii="Arial" w:hAnsi="Arial" w:cs="Arial"/>
        </w:rPr>
        <w:t xml:space="preserve"> </w:t>
      </w:r>
      <w:r>
        <w:rPr>
          <w:rFonts w:ascii="Arial" w:hAnsi="Arial" w:cs="Arial"/>
        </w:rPr>
        <w:t>manier is om toegang te krijgen tot kennis en deze te kunnen toepassen in de eigen bedrijfssituatie. LTO Nederland pleit voor de uitbreiding van dergelijk instrumentarium dat geschikt is voor individuele bedrijven.</w:t>
      </w:r>
    </w:p>
    <w:p w:rsidRPr="007E3FF7" w:rsidR="003C060A" w:rsidP="003C060A" w:rsidRDefault="003C060A">
      <w:pPr>
        <w:pStyle w:val="Lijstalinea"/>
        <w:spacing w:line="240" w:lineRule="auto"/>
        <w:ind w:hanging="360"/>
        <w:rPr>
          <w:rFonts w:ascii="Arial" w:hAnsi="Arial" w:cs="Arial"/>
        </w:rPr>
      </w:pPr>
    </w:p>
    <w:p w:rsidRPr="007436DB" w:rsidR="003C060A" w:rsidP="003C060A" w:rsidRDefault="003C060A">
      <w:pPr>
        <w:pStyle w:val="Geenafstand"/>
        <w:rPr>
          <w:rFonts w:ascii="Arial" w:hAnsi="Arial" w:cs="Arial"/>
          <w:b/>
        </w:rPr>
      </w:pPr>
      <w:r w:rsidRPr="007436DB">
        <w:rPr>
          <w:rFonts w:ascii="Arial" w:hAnsi="Arial" w:cs="Arial"/>
          <w:b/>
        </w:rPr>
        <w:t>Continuïteit van beleid</w:t>
      </w:r>
    </w:p>
    <w:p w:rsidRPr="007E3FF7" w:rsidR="003C060A" w:rsidP="003C060A" w:rsidRDefault="003C060A">
      <w:pPr>
        <w:pStyle w:val="Geenafstand"/>
        <w:rPr>
          <w:rFonts w:ascii="Arial" w:hAnsi="Arial" w:cs="Arial"/>
        </w:rPr>
      </w:pPr>
      <w:r w:rsidRPr="007E3FF7">
        <w:rPr>
          <w:rFonts w:ascii="Arial" w:hAnsi="Arial" w:cs="Arial"/>
        </w:rPr>
        <w:t xml:space="preserve">Het kost tijd om de kennisinfrastructuur werkelijk vraaggericht </w:t>
      </w:r>
      <w:r>
        <w:rPr>
          <w:rFonts w:ascii="Arial" w:hAnsi="Arial" w:cs="Arial"/>
        </w:rPr>
        <w:t xml:space="preserve">te laten werken. Voor zowel </w:t>
      </w:r>
      <w:proofErr w:type="spellStart"/>
      <w:r>
        <w:rPr>
          <w:rFonts w:ascii="Arial" w:hAnsi="Arial" w:cs="Arial"/>
        </w:rPr>
        <w:t>Agri&amp;</w:t>
      </w:r>
      <w:r w:rsidRPr="007E3FF7">
        <w:rPr>
          <w:rFonts w:ascii="Arial" w:hAnsi="Arial" w:cs="Arial"/>
        </w:rPr>
        <w:t>Food</w:t>
      </w:r>
      <w:proofErr w:type="spellEnd"/>
      <w:r w:rsidRPr="007E3FF7">
        <w:rPr>
          <w:rFonts w:ascii="Arial" w:hAnsi="Arial" w:cs="Arial"/>
        </w:rPr>
        <w:t xml:space="preserve"> als </w:t>
      </w:r>
      <w:proofErr w:type="spellStart"/>
      <w:r w:rsidRPr="007E3FF7">
        <w:rPr>
          <w:rFonts w:ascii="Arial" w:hAnsi="Arial" w:cs="Arial"/>
        </w:rPr>
        <w:t>Tuinbouw</w:t>
      </w:r>
      <w:r>
        <w:rPr>
          <w:rFonts w:ascii="Arial" w:hAnsi="Arial" w:cs="Arial"/>
        </w:rPr>
        <w:t>&amp;</w:t>
      </w:r>
      <w:r w:rsidRPr="007E3FF7">
        <w:rPr>
          <w:rFonts w:ascii="Arial" w:hAnsi="Arial" w:cs="Arial"/>
        </w:rPr>
        <w:t>Uitgangsmaterialen</w:t>
      </w:r>
      <w:proofErr w:type="spellEnd"/>
      <w:r w:rsidRPr="007E3FF7">
        <w:rPr>
          <w:rFonts w:ascii="Arial" w:hAnsi="Arial" w:cs="Arial"/>
        </w:rPr>
        <w:t xml:space="preserve"> </w:t>
      </w:r>
      <w:r>
        <w:rPr>
          <w:rFonts w:ascii="Arial" w:hAnsi="Arial" w:cs="Arial"/>
        </w:rPr>
        <w:t>heeft het meerdere jaren geduurd voordat er een portfolio is gevormd dat een substantiële bijdrage kan leveren aan de doelen van de sector.</w:t>
      </w:r>
      <w:r w:rsidRPr="007E3FF7">
        <w:rPr>
          <w:rFonts w:ascii="Arial" w:hAnsi="Arial" w:cs="Arial"/>
        </w:rPr>
        <w:t xml:space="preserve"> </w:t>
      </w:r>
      <w:r>
        <w:rPr>
          <w:rFonts w:ascii="Arial" w:hAnsi="Arial" w:cs="Arial"/>
        </w:rPr>
        <w:t xml:space="preserve">Het topsectorbeleid biedt de mogelijkheid om </w:t>
      </w:r>
      <w:r w:rsidRPr="007E3FF7">
        <w:rPr>
          <w:rFonts w:ascii="Arial" w:hAnsi="Arial" w:cs="Arial"/>
        </w:rPr>
        <w:t xml:space="preserve">vragen </w:t>
      </w:r>
      <w:r>
        <w:rPr>
          <w:rFonts w:ascii="Arial" w:hAnsi="Arial" w:cs="Arial"/>
        </w:rPr>
        <w:t xml:space="preserve">m.b.t. verduurzaming en </w:t>
      </w:r>
      <w:proofErr w:type="spellStart"/>
      <w:r>
        <w:rPr>
          <w:rFonts w:ascii="Arial" w:hAnsi="Arial" w:cs="Arial"/>
        </w:rPr>
        <w:t>waardecreatie</w:t>
      </w:r>
      <w:proofErr w:type="spellEnd"/>
      <w:r>
        <w:rPr>
          <w:rFonts w:ascii="Arial" w:hAnsi="Arial" w:cs="Arial"/>
        </w:rPr>
        <w:t xml:space="preserve"> </w:t>
      </w:r>
      <w:r w:rsidRPr="007E3FF7">
        <w:rPr>
          <w:rFonts w:ascii="Arial" w:hAnsi="Arial" w:cs="Arial"/>
        </w:rPr>
        <w:t>vanuit het bedrijfsleven een plek te</w:t>
      </w:r>
      <w:r>
        <w:rPr>
          <w:rFonts w:ascii="Arial" w:hAnsi="Arial" w:cs="Arial"/>
        </w:rPr>
        <w:t xml:space="preserve"> geven in de publieke </w:t>
      </w:r>
      <w:proofErr w:type="spellStart"/>
      <w:r>
        <w:rPr>
          <w:rFonts w:ascii="Arial" w:hAnsi="Arial" w:cs="Arial"/>
        </w:rPr>
        <w:t>onderzoeks-</w:t>
      </w:r>
      <w:r w:rsidRPr="007E3FF7">
        <w:rPr>
          <w:rFonts w:ascii="Arial" w:hAnsi="Arial" w:cs="Arial"/>
        </w:rPr>
        <w:t>programma’s</w:t>
      </w:r>
      <w:proofErr w:type="spellEnd"/>
      <w:r w:rsidRPr="007E3FF7">
        <w:rPr>
          <w:rFonts w:ascii="Arial" w:hAnsi="Arial" w:cs="Arial"/>
        </w:rPr>
        <w:t xml:space="preserve">. </w:t>
      </w:r>
      <w:r>
        <w:rPr>
          <w:rFonts w:ascii="Arial" w:hAnsi="Arial" w:cs="Arial"/>
        </w:rPr>
        <w:t xml:space="preserve">De topsectoren dienen de tijd te krijgen om een </w:t>
      </w:r>
      <w:r w:rsidRPr="007E3FF7">
        <w:rPr>
          <w:rFonts w:ascii="Arial" w:hAnsi="Arial" w:cs="Arial"/>
        </w:rPr>
        <w:t xml:space="preserve">structuur </w:t>
      </w:r>
      <w:r>
        <w:rPr>
          <w:rFonts w:ascii="Arial" w:hAnsi="Arial" w:cs="Arial"/>
        </w:rPr>
        <w:t xml:space="preserve">neer te zetten </w:t>
      </w:r>
      <w:r w:rsidRPr="007E3FF7">
        <w:rPr>
          <w:rFonts w:ascii="Arial" w:hAnsi="Arial" w:cs="Arial"/>
        </w:rPr>
        <w:t>die toekomstbestendig is. Duurzame samenwerkingsrelaties worden</w:t>
      </w:r>
      <w:r>
        <w:rPr>
          <w:rFonts w:ascii="Arial" w:hAnsi="Arial" w:cs="Arial"/>
        </w:rPr>
        <w:t>/zijn</w:t>
      </w:r>
      <w:r w:rsidRPr="007E3FF7">
        <w:rPr>
          <w:rFonts w:ascii="Arial" w:hAnsi="Arial" w:cs="Arial"/>
        </w:rPr>
        <w:t xml:space="preserve"> aangegaan voor meerdere jaren</w:t>
      </w:r>
      <w:r>
        <w:rPr>
          <w:rFonts w:ascii="Arial" w:hAnsi="Arial" w:cs="Arial"/>
        </w:rPr>
        <w:t xml:space="preserve">. </w:t>
      </w:r>
    </w:p>
    <w:p w:rsidRPr="007E3FF7" w:rsidR="003C060A" w:rsidP="003C060A" w:rsidRDefault="003C060A">
      <w:pPr>
        <w:pStyle w:val="Geenafstand"/>
        <w:rPr>
          <w:rFonts w:ascii="Arial" w:hAnsi="Arial" w:cs="Arial"/>
        </w:rPr>
      </w:pPr>
    </w:p>
    <w:p w:rsidRPr="007E3FF7" w:rsidR="003C060A" w:rsidP="003C060A" w:rsidRDefault="003C060A">
      <w:pPr>
        <w:pStyle w:val="Geenafstand"/>
        <w:rPr>
          <w:rFonts w:ascii="Arial" w:hAnsi="Arial" w:cs="Arial"/>
        </w:rPr>
      </w:pPr>
      <w:r w:rsidRPr="007E3FF7">
        <w:rPr>
          <w:rFonts w:ascii="Arial" w:hAnsi="Arial" w:cs="Arial"/>
          <w:b/>
        </w:rPr>
        <w:t>Concluderend</w:t>
      </w:r>
    </w:p>
    <w:p w:rsidRPr="007E3FF7" w:rsidR="003C060A" w:rsidP="003C060A" w:rsidRDefault="003C060A">
      <w:pPr>
        <w:pStyle w:val="Geenafstand"/>
        <w:rPr>
          <w:rFonts w:ascii="Arial" w:hAnsi="Arial" w:cs="Arial"/>
        </w:rPr>
      </w:pPr>
      <w:r w:rsidRPr="007E3FF7">
        <w:rPr>
          <w:rFonts w:ascii="Arial" w:hAnsi="Arial" w:cs="Arial"/>
        </w:rPr>
        <w:t xml:space="preserve">Het </w:t>
      </w:r>
      <w:r>
        <w:rPr>
          <w:rFonts w:ascii="Arial" w:hAnsi="Arial" w:cs="Arial"/>
        </w:rPr>
        <w:t>topsectoren</w:t>
      </w:r>
      <w:r w:rsidRPr="007E3FF7">
        <w:rPr>
          <w:rFonts w:ascii="Arial" w:hAnsi="Arial" w:cs="Arial"/>
        </w:rPr>
        <w:t xml:space="preserve">beleid biedt de land- en tuinbouwsector veel kansen voor innovatie en ontwikkeling. Het werkelijk samen optrekken van onderzoek en bedrijfsleven is in het verleden een succesfactor gebleken en heeft geleid tot de toppositie die de sectoren </w:t>
      </w:r>
      <w:proofErr w:type="spellStart"/>
      <w:r w:rsidRPr="007E3FF7">
        <w:rPr>
          <w:rFonts w:ascii="Arial" w:hAnsi="Arial" w:cs="Arial"/>
        </w:rPr>
        <w:t>Agr</w:t>
      </w:r>
      <w:r>
        <w:rPr>
          <w:rFonts w:ascii="Arial" w:hAnsi="Arial" w:cs="Arial"/>
        </w:rPr>
        <w:t>i&amp;</w:t>
      </w:r>
      <w:r w:rsidRPr="007E3FF7">
        <w:rPr>
          <w:rFonts w:ascii="Arial" w:hAnsi="Arial" w:cs="Arial"/>
        </w:rPr>
        <w:t>Food</w:t>
      </w:r>
      <w:proofErr w:type="spellEnd"/>
      <w:r w:rsidRPr="007E3FF7">
        <w:rPr>
          <w:rFonts w:ascii="Arial" w:hAnsi="Arial" w:cs="Arial"/>
        </w:rPr>
        <w:t xml:space="preserve"> en Tuinbouw en Uitgangmaterialen nu innemen.  Aandacht </w:t>
      </w:r>
      <w:r>
        <w:rPr>
          <w:rFonts w:ascii="Arial" w:hAnsi="Arial" w:cs="Arial"/>
        </w:rPr>
        <w:t xml:space="preserve">blijft </w:t>
      </w:r>
      <w:r w:rsidRPr="007E3FF7">
        <w:rPr>
          <w:rFonts w:ascii="Arial" w:hAnsi="Arial" w:cs="Arial"/>
        </w:rPr>
        <w:t>nodig voor de specifieke positie van MKB en agrobedrijven, alsmede voor de private financieringsmogelijkheden vanuit de agrosector. Daarnaast vragen lopende en nieuw in te zetten verduurzamingstrajecten betrokkenheid en financieel commitment van de overheid.</w:t>
      </w:r>
    </w:p>
    <w:p w:rsidRPr="007E3FF7" w:rsidR="003C060A" w:rsidP="003C060A" w:rsidRDefault="003C060A">
      <w:pPr>
        <w:pStyle w:val="Geenafstand"/>
        <w:rPr>
          <w:rFonts w:ascii="Arial" w:hAnsi="Arial" w:cs="Arial"/>
        </w:rPr>
      </w:pPr>
    </w:p>
    <w:p w:rsidRPr="007E3FF7" w:rsidR="003C060A" w:rsidP="003C060A" w:rsidRDefault="003C060A">
      <w:pPr>
        <w:jc w:val="both"/>
        <w:rPr>
          <w:rFonts w:ascii="Arial" w:hAnsi="Arial" w:cs="Arial"/>
          <w:b/>
        </w:rPr>
      </w:pPr>
    </w:p>
    <w:p w:rsidRPr="003C060A" w:rsidR="007C2DAF" w:rsidP="008F37C6" w:rsidRDefault="007C2DAF">
      <w:pPr>
        <w:pStyle w:val="Geenafstand"/>
        <w:rPr>
          <w:rFonts w:ascii="Arial" w:hAnsi="Arial" w:cs="Arial"/>
        </w:rPr>
      </w:pPr>
    </w:p>
    <w:p w:rsidR="0024272B" w:rsidP="008F37C6" w:rsidRDefault="0024272B">
      <w:pPr>
        <w:spacing w:line="240" w:lineRule="auto"/>
        <w:rPr>
          <w:rFonts w:ascii="Arial" w:hAnsi="Arial" w:cs="Arial"/>
          <w:sz w:val="22"/>
          <w:szCs w:val="22"/>
        </w:rPr>
      </w:pPr>
    </w:p>
    <w:sectPr w:rsidR="0024272B">
      <w:headerReference w:type="defaul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268" w:rsidRDefault="00284268" w:rsidP="00C006C0">
      <w:pPr>
        <w:spacing w:line="240" w:lineRule="auto"/>
      </w:pPr>
      <w:r>
        <w:separator/>
      </w:r>
    </w:p>
  </w:endnote>
  <w:endnote w:type="continuationSeparator" w:id="0">
    <w:p w:rsidR="00284268" w:rsidRDefault="00284268" w:rsidP="00C006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268" w:rsidRDefault="00284268" w:rsidP="00C006C0">
      <w:pPr>
        <w:spacing w:line="240" w:lineRule="auto"/>
      </w:pPr>
      <w:r>
        <w:separator/>
      </w:r>
    </w:p>
  </w:footnote>
  <w:footnote w:type="continuationSeparator" w:id="0">
    <w:p w:rsidR="00284268" w:rsidRDefault="00284268" w:rsidP="00C006C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06C0" w:rsidRDefault="00C006C0" w:rsidP="00C006C0">
    <w:pPr>
      <w:pStyle w:val="Koptekst"/>
      <w:jc w:val="right"/>
    </w:pPr>
    <w:r>
      <w:rPr>
        <w:noProof/>
        <w:lang w:eastAsia="nl-NL"/>
      </w:rPr>
      <w:drawing>
        <wp:inline distT="0" distB="0" distL="0" distR="0" wp14:anchorId="1002F014" wp14:editId="5BC0DE3F">
          <wp:extent cx="2481349" cy="665018"/>
          <wp:effectExtent l="0" t="0" r="0" b="190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TO logo.jpg"/>
                  <pic:cNvPicPr/>
                </pic:nvPicPr>
                <pic:blipFill>
                  <a:blip r:embed="rId1">
                    <a:extLst>
                      <a:ext uri="{28A0092B-C50C-407E-A947-70E740481C1C}">
                        <a14:useLocalDpi xmlns:a14="http://schemas.microsoft.com/office/drawing/2010/main" val="0"/>
                      </a:ext>
                    </a:extLst>
                  </a:blip>
                  <a:stretch>
                    <a:fillRect/>
                  </a:stretch>
                </pic:blipFill>
                <pic:spPr>
                  <a:xfrm>
                    <a:off x="0" y="0"/>
                    <a:ext cx="2481349" cy="66501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3029AF"/>
    <w:multiLevelType w:val="hybridMultilevel"/>
    <w:tmpl w:val="912E3942"/>
    <w:lvl w:ilvl="0" w:tplc="8848DA92">
      <w:start w:val="1"/>
      <w:numFmt w:val="bullet"/>
      <w:lvlText w:val="-"/>
      <w:lvlJc w:val="left"/>
      <w:pPr>
        <w:ind w:left="360" w:hanging="360"/>
      </w:pPr>
      <w:rPr>
        <w:rFonts w:ascii="Arial" w:eastAsiaTheme="minorHAnsi" w:hAnsi="Arial" w:cs="Arial" w:hint="default"/>
        <w:sz w:val="22"/>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61ED1D98"/>
    <w:multiLevelType w:val="hybridMultilevel"/>
    <w:tmpl w:val="8F30A99A"/>
    <w:lvl w:ilvl="0" w:tplc="56FC9564">
      <w:start w:val="1"/>
      <w:numFmt w:val="bullet"/>
      <w:lvlText w:val="-"/>
      <w:lvlJc w:val="left"/>
      <w:pPr>
        <w:ind w:left="360" w:hanging="360"/>
      </w:pPr>
      <w:rPr>
        <w:rFonts w:ascii="Arial" w:eastAsia="Calibri" w:hAnsi="Arial"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6C0"/>
    <w:rsid w:val="00011843"/>
    <w:rsid w:val="00022972"/>
    <w:rsid w:val="001A50ED"/>
    <w:rsid w:val="001D2E26"/>
    <w:rsid w:val="00212104"/>
    <w:rsid w:val="0024272B"/>
    <w:rsid w:val="00284268"/>
    <w:rsid w:val="002C283E"/>
    <w:rsid w:val="003B738A"/>
    <w:rsid w:val="003C060A"/>
    <w:rsid w:val="003F633D"/>
    <w:rsid w:val="0045572D"/>
    <w:rsid w:val="004C3B31"/>
    <w:rsid w:val="004D4857"/>
    <w:rsid w:val="005A045E"/>
    <w:rsid w:val="005D671F"/>
    <w:rsid w:val="00625566"/>
    <w:rsid w:val="007C2DAF"/>
    <w:rsid w:val="008F37C6"/>
    <w:rsid w:val="00A21AE0"/>
    <w:rsid w:val="00C006C0"/>
    <w:rsid w:val="00D2104B"/>
    <w:rsid w:val="00EE5848"/>
    <w:rsid w:val="00F0048B"/>
    <w:rsid w:val="00F714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72B"/>
    <w:pPr>
      <w:widowControl w:val="0"/>
      <w:spacing w:after="0" w:line="300" w:lineRule="auto"/>
    </w:pPr>
    <w:rPr>
      <w:rFonts w:ascii="Verdana" w:eastAsia="Times New Roman" w:hAnsi="Verdana" w:cs="Times New Roman"/>
      <w:sz w:val="18"/>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6C0"/>
    <w:pPr>
      <w:widowControl/>
      <w:tabs>
        <w:tab w:val="center" w:pos="4536"/>
        <w:tab w:val="right" w:pos="9072"/>
      </w:tabs>
      <w:spacing w:line="240" w:lineRule="auto"/>
    </w:pPr>
    <w:rPr>
      <w:rFonts w:asciiTheme="minorHAnsi" w:eastAsiaTheme="minorHAnsi" w:hAnsiTheme="minorHAnsi" w:cstheme="minorBidi"/>
      <w:sz w:val="22"/>
      <w:szCs w:val="22"/>
      <w:lang w:val="nl-NL" w:eastAsia="en-US"/>
    </w:rPr>
  </w:style>
  <w:style w:type="character" w:customStyle="1" w:styleId="KoptekstChar">
    <w:name w:val="Koptekst Char"/>
    <w:basedOn w:val="Standaardalinea-lettertype"/>
    <w:link w:val="Koptekst"/>
    <w:uiPriority w:val="99"/>
    <w:rsid w:val="00C006C0"/>
  </w:style>
  <w:style w:type="paragraph" w:styleId="Voettekst">
    <w:name w:val="footer"/>
    <w:basedOn w:val="Standaard"/>
    <w:link w:val="VoettekstChar"/>
    <w:uiPriority w:val="99"/>
    <w:unhideWhenUsed/>
    <w:rsid w:val="00C006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06C0"/>
  </w:style>
  <w:style w:type="paragraph" w:styleId="Ballontekst">
    <w:name w:val="Balloon Text"/>
    <w:basedOn w:val="Standaard"/>
    <w:link w:val="BallontekstChar"/>
    <w:uiPriority w:val="99"/>
    <w:semiHidden/>
    <w:unhideWhenUsed/>
    <w:rsid w:val="00C006C0"/>
    <w:pPr>
      <w:widowControl/>
      <w:spacing w:line="240" w:lineRule="auto"/>
    </w:pPr>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C006C0"/>
    <w:rPr>
      <w:rFonts w:ascii="Tahoma" w:hAnsi="Tahoma" w:cs="Tahoma"/>
      <w:sz w:val="16"/>
      <w:szCs w:val="16"/>
    </w:rPr>
  </w:style>
  <w:style w:type="paragraph" w:styleId="Geenafstand">
    <w:name w:val="No Spacing"/>
    <w:uiPriority w:val="1"/>
    <w:qFormat/>
    <w:rsid w:val="00C006C0"/>
    <w:pPr>
      <w:spacing w:after="0" w:line="240" w:lineRule="auto"/>
    </w:pPr>
  </w:style>
  <w:style w:type="character" w:styleId="Hyperlink">
    <w:name w:val="Hyperlink"/>
    <w:basedOn w:val="Standaardalinea-lettertype"/>
    <w:unhideWhenUsed/>
    <w:rsid w:val="00625566"/>
    <w:rPr>
      <w:color w:val="0000FF" w:themeColor="hyperlink"/>
      <w:u w:val="single"/>
    </w:rPr>
  </w:style>
  <w:style w:type="paragraph" w:styleId="Lijstalinea">
    <w:name w:val="List Paragraph"/>
    <w:basedOn w:val="Standaard"/>
    <w:uiPriority w:val="34"/>
    <w:qFormat/>
    <w:rsid w:val="003C060A"/>
    <w:pPr>
      <w:widowControl/>
      <w:spacing w:line="252" w:lineRule="auto"/>
      <w:ind w:left="720"/>
    </w:pPr>
    <w:rPr>
      <w:rFonts w:ascii="Calibri" w:eastAsiaTheme="minorHAnsi" w:hAnsi="Calibri"/>
      <w:sz w:val="22"/>
      <w:szCs w:val="22"/>
      <w:lang w:val="nl-NL"/>
    </w:rPr>
  </w:style>
  <w:style w:type="paragraph" w:customStyle="1" w:styleId="Default">
    <w:name w:val="Default"/>
    <w:rsid w:val="003C060A"/>
    <w:pPr>
      <w:autoSpaceDE w:val="0"/>
      <w:autoSpaceDN w:val="0"/>
      <w:adjustRightInd w:val="0"/>
      <w:spacing w:after="0" w:line="240" w:lineRule="auto"/>
    </w:pPr>
    <w:rPr>
      <w:rFonts w:ascii="Calibri" w:eastAsia="Times New Roman" w:hAnsi="Calibri" w:cs="Calibri"/>
      <w:color w:val="000000"/>
      <w:sz w:val="24"/>
      <w:szCs w:val="24"/>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4272B"/>
    <w:pPr>
      <w:widowControl w:val="0"/>
      <w:spacing w:after="0" w:line="300" w:lineRule="auto"/>
    </w:pPr>
    <w:rPr>
      <w:rFonts w:ascii="Verdana" w:eastAsia="Times New Roman" w:hAnsi="Verdana" w:cs="Times New Roman"/>
      <w:sz w:val="18"/>
      <w:szCs w:val="20"/>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C006C0"/>
    <w:pPr>
      <w:widowControl/>
      <w:tabs>
        <w:tab w:val="center" w:pos="4536"/>
        <w:tab w:val="right" w:pos="9072"/>
      </w:tabs>
      <w:spacing w:line="240" w:lineRule="auto"/>
    </w:pPr>
    <w:rPr>
      <w:rFonts w:asciiTheme="minorHAnsi" w:eastAsiaTheme="minorHAnsi" w:hAnsiTheme="minorHAnsi" w:cstheme="minorBidi"/>
      <w:sz w:val="22"/>
      <w:szCs w:val="22"/>
      <w:lang w:val="nl-NL" w:eastAsia="en-US"/>
    </w:rPr>
  </w:style>
  <w:style w:type="character" w:customStyle="1" w:styleId="KoptekstChar">
    <w:name w:val="Koptekst Char"/>
    <w:basedOn w:val="Standaardalinea-lettertype"/>
    <w:link w:val="Koptekst"/>
    <w:uiPriority w:val="99"/>
    <w:rsid w:val="00C006C0"/>
  </w:style>
  <w:style w:type="paragraph" w:styleId="Voettekst">
    <w:name w:val="footer"/>
    <w:basedOn w:val="Standaard"/>
    <w:link w:val="VoettekstChar"/>
    <w:uiPriority w:val="99"/>
    <w:unhideWhenUsed/>
    <w:rsid w:val="00C006C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006C0"/>
  </w:style>
  <w:style w:type="paragraph" w:styleId="Ballontekst">
    <w:name w:val="Balloon Text"/>
    <w:basedOn w:val="Standaard"/>
    <w:link w:val="BallontekstChar"/>
    <w:uiPriority w:val="99"/>
    <w:semiHidden/>
    <w:unhideWhenUsed/>
    <w:rsid w:val="00C006C0"/>
    <w:pPr>
      <w:widowControl/>
      <w:spacing w:line="240" w:lineRule="auto"/>
    </w:pPr>
    <w:rPr>
      <w:rFonts w:ascii="Tahoma" w:eastAsiaTheme="minorHAnsi" w:hAnsi="Tahoma" w:cs="Tahoma"/>
      <w:sz w:val="16"/>
      <w:szCs w:val="16"/>
      <w:lang w:val="nl-NL" w:eastAsia="en-US"/>
    </w:rPr>
  </w:style>
  <w:style w:type="character" w:customStyle="1" w:styleId="BallontekstChar">
    <w:name w:val="Ballontekst Char"/>
    <w:basedOn w:val="Standaardalinea-lettertype"/>
    <w:link w:val="Ballontekst"/>
    <w:uiPriority w:val="99"/>
    <w:semiHidden/>
    <w:rsid w:val="00C006C0"/>
    <w:rPr>
      <w:rFonts w:ascii="Tahoma" w:hAnsi="Tahoma" w:cs="Tahoma"/>
      <w:sz w:val="16"/>
      <w:szCs w:val="16"/>
    </w:rPr>
  </w:style>
  <w:style w:type="paragraph" w:styleId="Geenafstand">
    <w:name w:val="No Spacing"/>
    <w:uiPriority w:val="1"/>
    <w:qFormat/>
    <w:rsid w:val="00C006C0"/>
    <w:pPr>
      <w:spacing w:after="0" w:line="240" w:lineRule="auto"/>
    </w:pPr>
  </w:style>
  <w:style w:type="character" w:styleId="Hyperlink">
    <w:name w:val="Hyperlink"/>
    <w:basedOn w:val="Standaardalinea-lettertype"/>
    <w:unhideWhenUsed/>
    <w:rsid w:val="00625566"/>
    <w:rPr>
      <w:color w:val="0000FF" w:themeColor="hyperlink"/>
      <w:u w:val="single"/>
    </w:rPr>
  </w:style>
  <w:style w:type="paragraph" w:styleId="Lijstalinea">
    <w:name w:val="List Paragraph"/>
    <w:basedOn w:val="Standaard"/>
    <w:uiPriority w:val="34"/>
    <w:qFormat/>
    <w:rsid w:val="003C060A"/>
    <w:pPr>
      <w:widowControl/>
      <w:spacing w:line="252" w:lineRule="auto"/>
      <w:ind w:left="720"/>
    </w:pPr>
    <w:rPr>
      <w:rFonts w:ascii="Calibri" w:eastAsiaTheme="minorHAnsi" w:hAnsi="Calibri"/>
      <w:sz w:val="22"/>
      <w:szCs w:val="22"/>
      <w:lang w:val="nl-NL"/>
    </w:rPr>
  </w:style>
  <w:style w:type="paragraph" w:customStyle="1" w:styleId="Default">
    <w:name w:val="Default"/>
    <w:rsid w:val="003C060A"/>
    <w:pPr>
      <w:autoSpaceDE w:val="0"/>
      <w:autoSpaceDN w:val="0"/>
      <w:adjustRightInd w:val="0"/>
      <w:spacing w:after="0" w:line="240" w:lineRule="auto"/>
    </w:pPr>
    <w:rPr>
      <w:rFonts w:ascii="Calibri" w:eastAsia="Times New Roman" w:hAnsi="Calibri" w:cs="Calibri"/>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alodders@lto.nl" TargetMode="Externa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image" Target="media/image1.png" Id="rId10" /><Relationship Type="http://schemas.openxmlformats.org/officeDocument/2006/relationships/settings" Target="settings.xml" Id="rId4" /><Relationship Type="http://schemas.openxmlformats.org/officeDocument/2006/relationships/hyperlink" Target="mailto:nvanruiten@ltoglaskracht.nl" TargetMode="External" Id="rId9"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1016</ap:Words>
  <ap:Characters>5592</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6595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2016-03-21T11:13:00.0000000Z</dcterms:created>
  <dcterms:modified xsi:type="dcterms:W3CDTF">2016-03-21T15:04:00.0000000Z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0x0101008FBAFE6BA58A7A43B2C230D42DECE5D5</vt:lpwstr>
  </property>
</Properties>
</file>