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60" w:rsidP="007646C0" w:rsidRDefault="00317260">
      <w:pPr>
        <w:rPr>
          <w:szCs w:val="18"/>
        </w:rPr>
      </w:pPr>
      <w:bookmarkStart w:name="_GoBack" w:id="0"/>
      <w:bookmarkEnd w:id="0"/>
    </w:p>
    <w:p w:rsidR="00317260" w:rsidP="007646C0" w:rsidRDefault="00317260">
      <w:pPr>
        <w:rPr>
          <w:szCs w:val="18"/>
        </w:rPr>
      </w:pPr>
    </w:p>
    <w:p w:rsidRPr="009E66FA" w:rsidR="007646C0" w:rsidP="007646C0" w:rsidRDefault="00317260">
      <w:pPr>
        <w:rPr>
          <w:szCs w:val="18"/>
        </w:rPr>
      </w:pPr>
      <w:r>
        <w:rPr>
          <w:szCs w:val="18"/>
        </w:rPr>
        <w:t>Geachte V</w:t>
      </w:r>
      <w:r w:rsidRPr="009E66FA" w:rsidR="007646C0">
        <w:rPr>
          <w:szCs w:val="18"/>
        </w:rPr>
        <w:t>oorzitter,</w:t>
      </w:r>
    </w:p>
    <w:p w:rsidRPr="009E66FA" w:rsidR="007646C0" w:rsidP="007646C0" w:rsidRDefault="007646C0">
      <w:pPr>
        <w:rPr>
          <w:szCs w:val="18"/>
        </w:rPr>
      </w:pPr>
    </w:p>
    <w:p w:rsidR="007646C0" w:rsidP="007646C0" w:rsidRDefault="001478FC">
      <w:pPr>
        <w:rPr>
          <w:szCs w:val="18"/>
        </w:rPr>
      </w:pPr>
      <w:r>
        <w:rPr>
          <w:szCs w:val="18"/>
        </w:rPr>
        <w:t>Hierbij</w:t>
      </w:r>
      <w:r w:rsidRPr="009E66FA" w:rsidR="007646C0">
        <w:rPr>
          <w:szCs w:val="18"/>
        </w:rPr>
        <w:t xml:space="preserve"> stuur ik uw Kamer </w:t>
      </w:r>
      <w:r>
        <w:rPr>
          <w:szCs w:val="18"/>
        </w:rPr>
        <w:t>de</w:t>
      </w:r>
      <w:r w:rsidRPr="009E66FA" w:rsidR="007646C0">
        <w:rPr>
          <w:szCs w:val="18"/>
        </w:rPr>
        <w:t xml:space="preserve"> antwoorden op vragen van </w:t>
      </w:r>
      <w:r w:rsidRPr="007646C0" w:rsidR="007646C0">
        <w:rPr>
          <w:szCs w:val="18"/>
        </w:rPr>
        <w:t>het lid Jan Vos (PvdA) over de nationalisatie van de kerncentrale Borssele (ingezonden 12 februari 2016</w:t>
      </w:r>
      <w:r w:rsidR="007646C0">
        <w:rPr>
          <w:szCs w:val="18"/>
        </w:rPr>
        <w:t>,</w:t>
      </w:r>
      <w:r w:rsidRPr="007646C0" w:rsidR="007646C0">
        <w:rPr>
          <w:szCs w:val="18"/>
        </w:rPr>
        <w:t xml:space="preserve"> </w:t>
      </w:r>
      <w:r w:rsidRPr="009E66FA" w:rsidR="007646C0">
        <w:rPr>
          <w:szCs w:val="18"/>
        </w:rPr>
        <w:t xml:space="preserve">kenmerk </w:t>
      </w:r>
      <w:r w:rsidRPr="007646C0" w:rsidR="007646C0">
        <w:rPr>
          <w:szCs w:val="18"/>
        </w:rPr>
        <w:t>2016Z03124)</w:t>
      </w:r>
      <w:r w:rsidR="007646C0">
        <w:rPr>
          <w:szCs w:val="18"/>
        </w:rPr>
        <w:t>.</w:t>
      </w:r>
    </w:p>
    <w:p w:rsidR="007646C0" w:rsidP="007646C0" w:rsidRDefault="007646C0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1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Bent u op de hoogte van de berichtgeving over de kerncentrale B</w:t>
      </w:r>
      <w:r>
        <w:rPr>
          <w:szCs w:val="18"/>
        </w:rPr>
        <w:t>orssele?</w:t>
      </w:r>
      <w:r>
        <w:rPr>
          <w:rStyle w:val="Voetnootmarkering"/>
          <w:szCs w:val="18"/>
        </w:rPr>
        <w:footnoteReference w:id="1"/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D75044" w:rsidP="007646C0" w:rsidRDefault="00D75044">
      <w:pPr>
        <w:rPr>
          <w:szCs w:val="18"/>
        </w:rPr>
      </w:pPr>
      <w:r>
        <w:rPr>
          <w:szCs w:val="18"/>
        </w:rPr>
        <w:t>Ja.</w:t>
      </w:r>
    </w:p>
    <w:p w:rsidRPr="007646C0" w:rsidR="00D75044" w:rsidP="007646C0" w:rsidRDefault="00D75044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2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 xml:space="preserve">Waarom, en op welke manier, wil een meerderheid van de politieke partijen in Zeeland af van de kerncentrale?  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F47223" w:rsidP="00F47223" w:rsidRDefault="00ED0737">
      <w:pPr>
        <w:rPr>
          <w:szCs w:val="18"/>
        </w:rPr>
      </w:pPr>
      <w:r>
        <w:rPr>
          <w:szCs w:val="18"/>
        </w:rPr>
        <w:t xml:space="preserve">Ik vind het voorbarig om voorlopige plannen van de provincie Zeeland ten aanzien van haar aandeelhouderschap in DELTA N.V. te becommentariëren. </w:t>
      </w:r>
      <w:r w:rsidR="00F47223">
        <w:rPr>
          <w:szCs w:val="18"/>
        </w:rPr>
        <w:t xml:space="preserve">Provinciale Staten van Zeeland hebben op </w:t>
      </w:r>
      <w:r w:rsidRPr="002C10D7" w:rsidR="00F47223">
        <w:rPr>
          <w:szCs w:val="18"/>
        </w:rPr>
        <w:t>5 februari 2016</w:t>
      </w:r>
      <w:r w:rsidR="00F47223">
        <w:rPr>
          <w:szCs w:val="18"/>
        </w:rPr>
        <w:t xml:space="preserve"> ingestemd met het door Gedeputeerde Staten van Zeeland voorgestelde “Toetsingskader </w:t>
      </w:r>
      <w:r w:rsidRPr="002C10D7" w:rsidR="00F47223">
        <w:rPr>
          <w:szCs w:val="18"/>
        </w:rPr>
        <w:t xml:space="preserve">herstructurering </w:t>
      </w:r>
      <w:r w:rsidR="00F47223">
        <w:rPr>
          <w:szCs w:val="18"/>
        </w:rPr>
        <w:t>DELTA</w:t>
      </w:r>
      <w:r w:rsidRPr="002C10D7" w:rsidR="00F47223">
        <w:rPr>
          <w:szCs w:val="18"/>
        </w:rPr>
        <w:t xml:space="preserve"> N</w:t>
      </w:r>
      <w:r w:rsidR="00F47223">
        <w:rPr>
          <w:szCs w:val="18"/>
        </w:rPr>
        <w:t>.</w:t>
      </w:r>
      <w:r w:rsidRPr="002C10D7" w:rsidR="00F47223">
        <w:rPr>
          <w:szCs w:val="18"/>
        </w:rPr>
        <w:t>V</w:t>
      </w:r>
      <w:r w:rsidR="00F47223">
        <w:rPr>
          <w:szCs w:val="18"/>
        </w:rPr>
        <w:t>.”</w:t>
      </w:r>
      <w:r w:rsidR="00F47223">
        <w:rPr>
          <w:rStyle w:val="Voetnootmarkering"/>
          <w:szCs w:val="18"/>
        </w:rPr>
        <w:footnoteReference w:id="2"/>
      </w:r>
      <w:r w:rsidR="00F47223">
        <w:rPr>
          <w:szCs w:val="18"/>
        </w:rPr>
        <w:t xml:space="preserve">. Met het oog op het </w:t>
      </w:r>
      <w:r w:rsidR="00C43B23">
        <w:rPr>
          <w:szCs w:val="18"/>
        </w:rPr>
        <w:t xml:space="preserve">meerderheidsbelang </w:t>
      </w:r>
      <w:r w:rsidR="00F47223">
        <w:rPr>
          <w:szCs w:val="18"/>
        </w:rPr>
        <w:t xml:space="preserve">van de provincie Zeeland in </w:t>
      </w:r>
      <w:r w:rsidR="00C43B23">
        <w:rPr>
          <w:szCs w:val="18"/>
        </w:rPr>
        <w:t xml:space="preserve">het aandelenkapitaal van </w:t>
      </w:r>
      <w:r w:rsidR="00F47223">
        <w:rPr>
          <w:szCs w:val="18"/>
        </w:rPr>
        <w:t xml:space="preserve">DELTA N.V. zijn hiermee belangrijke overwegingen vastgesteld, die richting geven bij de ontwikkeling van een plan tot herstructurering en herfinanciering van DELTA N.V. </w:t>
      </w:r>
      <w:r w:rsidR="005635F7">
        <w:rPr>
          <w:szCs w:val="18"/>
        </w:rPr>
        <w:t>Ik word door</w:t>
      </w:r>
      <w:r w:rsidR="00F47223">
        <w:rPr>
          <w:szCs w:val="18"/>
        </w:rPr>
        <w:t xml:space="preserve"> </w:t>
      </w:r>
      <w:r w:rsidR="005635F7">
        <w:rPr>
          <w:szCs w:val="18"/>
        </w:rPr>
        <w:t xml:space="preserve">Gedeputeerde Staten van Zeeland </w:t>
      </w:r>
      <w:r w:rsidR="005573C1">
        <w:rPr>
          <w:szCs w:val="18"/>
        </w:rPr>
        <w:t>op de hoogte gehouden van</w:t>
      </w:r>
      <w:r w:rsidR="005635F7">
        <w:rPr>
          <w:szCs w:val="18"/>
        </w:rPr>
        <w:t xml:space="preserve"> </w:t>
      </w:r>
      <w:r w:rsidR="00483024">
        <w:rPr>
          <w:szCs w:val="18"/>
        </w:rPr>
        <w:t>verdere</w:t>
      </w:r>
      <w:r w:rsidR="00A723F9">
        <w:rPr>
          <w:szCs w:val="18"/>
        </w:rPr>
        <w:t xml:space="preserve"> ontwikkeling</w:t>
      </w:r>
      <w:r w:rsidR="00483024">
        <w:rPr>
          <w:szCs w:val="18"/>
        </w:rPr>
        <w:t>en</w:t>
      </w:r>
      <w:r w:rsidR="00F47223">
        <w:rPr>
          <w:szCs w:val="18"/>
        </w:rPr>
        <w:t>.</w:t>
      </w:r>
    </w:p>
    <w:p w:rsidRPr="007646C0" w:rsidR="00D75044" w:rsidP="007646C0" w:rsidRDefault="00D75044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3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Hoeveel bedraagt het verlies dat geleden wordt op de kerncentrale?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7860A7" w:rsidP="007646C0" w:rsidRDefault="007860A7">
      <w:pPr>
        <w:rPr>
          <w:szCs w:val="18"/>
        </w:rPr>
      </w:pPr>
      <w:r>
        <w:rPr>
          <w:szCs w:val="18"/>
        </w:rPr>
        <w:t>Ik beschik niet over de</w:t>
      </w:r>
      <w:r w:rsidR="001478FC">
        <w:rPr>
          <w:szCs w:val="18"/>
        </w:rPr>
        <w:t xml:space="preserve"> benodigde</w:t>
      </w:r>
      <w:r>
        <w:rPr>
          <w:szCs w:val="18"/>
        </w:rPr>
        <w:t xml:space="preserve"> informatie om </w:t>
      </w:r>
      <w:r w:rsidR="001478FC">
        <w:rPr>
          <w:szCs w:val="18"/>
        </w:rPr>
        <w:t>deze</w:t>
      </w:r>
      <w:r>
        <w:rPr>
          <w:szCs w:val="18"/>
        </w:rPr>
        <w:t xml:space="preserve"> vraag te kunnen beantwoorden. </w:t>
      </w:r>
      <w:r w:rsidR="000B110A">
        <w:rPr>
          <w:szCs w:val="18"/>
        </w:rPr>
        <w:t xml:space="preserve">Op basis van vertrouwelijkheid </w:t>
      </w:r>
      <w:r w:rsidR="00DE6BBC">
        <w:rPr>
          <w:szCs w:val="18"/>
        </w:rPr>
        <w:t>is</w:t>
      </w:r>
      <w:r w:rsidR="00980FDA">
        <w:rPr>
          <w:szCs w:val="18"/>
        </w:rPr>
        <w:t xml:space="preserve"> de Rijksoverheid</w:t>
      </w:r>
      <w:r>
        <w:rPr>
          <w:szCs w:val="18"/>
        </w:rPr>
        <w:t xml:space="preserve"> </w:t>
      </w:r>
      <w:r w:rsidR="00980FDA">
        <w:rPr>
          <w:szCs w:val="18"/>
        </w:rPr>
        <w:t xml:space="preserve">op hoofdlijnen </w:t>
      </w:r>
      <w:r w:rsidR="00DE6BBC">
        <w:rPr>
          <w:szCs w:val="18"/>
        </w:rPr>
        <w:t>geïnformeerd over</w:t>
      </w:r>
      <w:r w:rsidR="000B110A">
        <w:rPr>
          <w:szCs w:val="18"/>
        </w:rPr>
        <w:t xml:space="preserve"> de financiële positie van </w:t>
      </w:r>
      <w:r w:rsidRPr="00440908" w:rsidR="00C43B23">
        <w:rPr>
          <w:szCs w:val="18"/>
        </w:rPr>
        <w:t xml:space="preserve">N.V. </w:t>
      </w:r>
      <w:proofErr w:type="spellStart"/>
      <w:r w:rsidRPr="00440908" w:rsidR="00C43B23">
        <w:rPr>
          <w:szCs w:val="18"/>
        </w:rPr>
        <w:t>Elektriciteits</w:t>
      </w:r>
      <w:proofErr w:type="spellEnd"/>
      <w:r w:rsidRPr="00440908" w:rsidR="00C43B23">
        <w:rPr>
          <w:szCs w:val="18"/>
        </w:rPr>
        <w:t xml:space="preserve"> </w:t>
      </w:r>
      <w:proofErr w:type="spellStart"/>
      <w:r w:rsidRPr="00440908" w:rsidR="00C43B23">
        <w:rPr>
          <w:szCs w:val="18"/>
        </w:rPr>
        <w:t>Produktiemaatschappij</w:t>
      </w:r>
      <w:proofErr w:type="spellEnd"/>
      <w:r w:rsidRPr="00440908" w:rsidR="00C43B23">
        <w:rPr>
          <w:szCs w:val="18"/>
        </w:rPr>
        <w:t xml:space="preserve"> Zuid-Nederland </w:t>
      </w:r>
      <w:r w:rsidR="001478FC">
        <w:rPr>
          <w:szCs w:val="18"/>
        </w:rPr>
        <w:t>(</w:t>
      </w:r>
      <w:r w:rsidRPr="00440908" w:rsidR="00C43B23">
        <w:rPr>
          <w:szCs w:val="18"/>
        </w:rPr>
        <w:t>EPZ</w:t>
      </w:r>
      <w:r w:rsidR="001478FC">
        <w:rPr>
          <w:szCs w:val="18"/>
        </w:rPr>
        <w:t>)</w:t>
      </w:r>
      <w:r w:rsidR="00C43B23">
        <w:rPr>
          <w:szCs w:val="18"/>
        </w:rPr>
        <w:t>, vergunninghouder en</w:t>
      </w:r>
      <w:r w:rsidR="000B110A">
        <w:rPr>
          <w:szCs w:val="18"/>
        </w:rPr>
        <w:t xml:space="preserve"> exploitant van </w:t>
      </w:r>
      <w:r w:rsidR="001478FC">
        <w:rPr>
          <w:szCs w:val="18"/>
        </w:rPr>
        <w:t xml:space="preserve">de </w:t>
      </w:r>
      <w:r w:rsidR="000B110A">
        <w:rPr>
          <w:szCs w:val="18"/>
        </w:rPr>
        <w:t>kerncentrale Borssele.</w:t>
      </w:r>
      <w:r>
        <w:rPr>
          <w:szCs w:val="18"/>
        </w:rPr>
        <w:t xml:space="preserve"> </w:t>
      </w:r>
    </w:p>
    <w:p w:rsidRPr="007646C0" w:rsidR="00704F37" w:rsidP="007646C0" w:rsidRDefault="00704F37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4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Waarom wordt de productie voortgezet als er verlies gemaakt wordt?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D75044" w:rsidP="007646C0" w:rsidRDefault="00D75044">
      <w:pPr>
        <w:rPr>
          <w:szCs w:val="18"/>
        </w:rPr>
      </w:pPr>
      <w:r>
        <w:rPr>
          <w:szCs w:val="18"/>
        </w:rPr>
        <w:t xml:space="preserve">De afweging om </w:t>
      </w:r>
      <w:r w:rsidR="000B110A">
        <w:rPr>
          <w:szCs w:val="18"/>
        </w:rPr>
        <w:t>een energiecentrale in bedrijf te houden</w:t>
      </w:r>
      <w:r w:rsidR="00483024">
        <w:rPr>
          <w:szCs w:val="18"/>
        </w:rPr>
        <w:t xml:space="preserve"> is </w:t>
      </w:r>
      <w:r>
        <w:rPr>
          <w:szCs w:val="18"/>
        </w:rPr>
        <w:t xml:space="preserve">aan de exploitant van </w:t>
      </w:r>
      <w:r w:rsidR="000B110A">
        <w:rPr>
          <w:szCs w:val="18"/>
        </w:rPr>
        <w:t>de betreffende</w:t>
      </w:r>
      <w:r>
        <w:rPr>
          <w:szCs w:val="18"/>
        </w:rPr>
        <w:t xml:space="preserve"> </w:t>
      </w:r>
      <w:r w:rsidR="00483024">
        <w:rPr>
          <w:szCs w:val="18"/>
        </w:rPr>
        <w:t>energie</w:t>
      </w:r>
      <w:r>
        <w:rPr>
          <w:szCs w:val="18"/>
        </w:rPr>
        <w:t>centrale</w:t>
      </w:r>
      <w:r w:rsidR="000B110A">
        <w:rPr>
          <w:szCs w:val="18"/>
        </w:rPr>
        <w:t xml:space="preserve">, zolang deze </w:t>
      </w:r>
      <w:r w:rsidR="00DB50C5">
        <w:rPr>
          <w:szCs w:val="18"/>
        </w:rPr>
        <w:t xml:space="preserve">blijft </w:t>
      </w:r>
      <w:r w:rsidR="00483024">
        <w:rPr>
          <w:szCs w:val="18"/>
        </w:rPr>
        <w:t>voldoen</w:t>
      </w:r>
      <w:r w:rsidR="000B110A">
        <w:rPr>
          <w:szCs w:val="18"/>
        </w:rPr>
        <w:t xml:space="preserve"> aan </w:t>
      </w:r>
      <w:r w:rsidR="00DB50C5">
        <w:rPr>
          <w:szCs w:val="18"/>
        </w:rPr>
        <w:t>de</w:t>
      </w:r>
      <w:r w:rsidR="000B110A">
        <w:rPr>
          <w:szCs w:val="18"/>
        </w:rPr>
        <w:t xml:space="preserve"> geldende voorschriften</w:t>
      </w:r>
      <w:r>
        <w:rPr>
          <w:szCs w:val="18"/>
        </w:rPr>
        <w:t xml:space="preserve">. </w:t>
      </w:r>
      <w:r w:rsidR="000B110A">
        <w:rPr>
          <w:szCs w:val="18"/>
        </w:rPr>
        <w:t>Ik merk</w:t>
      </w:r>
      <w:r>
        <w:rPr>
          <w:szCs w:val="18"/>
        </w:rPr>
        <w:t xml:space="preserve"> </w:t>
      </w:r>
      <w:r w:rsidR="00483024">
        <w:rPr>
          <w:szCs w:val="18"/>
        </w:rPr>
        <w:t xml:space="preserve">daarbij </w:t>
      </w:r>
      <w:r>
        <w:rPr>
          <w:szCs w:val="18"/>
        </w:rPr>
        <w:t xml:space="preserve">op dat het niet ongebruikelijk is </w:t>
      </w:r>
      <w:r w:rsidR="000B110A">
        <w:rPr>
          <w:szCs w:val="18"/>
        </w:rPr>
        <w:t>om</w:t>
      </w:r>
      <w:r>
        <w:rPr>
          <w:szCs w:val="18"/>
        </w:rPr>
        <w:t xml:space="preserve"> </w:t>
      </w:r>
      <w:r w:rsidR="00483024">
        <w:rPr>
          <w:szCs w:val="18"/>
        </w:rPr>
        <w:t>energie</w:t>
      </w:r>
      <w:r>
        <w:rPr>
          <w:szCs w:val="18"/>
        </w:rPr>
        <w:t xml:space="preserve">centrales gedurende perioden waarin verlies wordt geleden in bedrijf </w:t>
      </w:r>
      <w:r w:rsidR="000B110A">
        <w:rPr>
          <w:szCs w:val="18"/>
        </w:rPr>
        <w:t>te houden</w:t>
      </w:r>
      <w:r>
        <w:rPr>
          <w:szCs w:val="18"/>
        </w:rPr>
        <w:t>.</w:t>
      </w:r>
      <w:r w:rsidR="000B110A">
        <w:rPr>
          <w:szCs w:val="18"/>
        </w:rPr>
        <w:t xml:space="preserve"> </w:t>
      </w:r>
    </w:p>
    <w:p w:rsidRPr="007646C0" w:rsidR="00D75044" w:rsidP="007646C0" w:rsidRDefault="00D75044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5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Hoe zijn de vooruitzichten met betrekking tot de winstgevendheid?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D75044" w:rsidP="007646C0" w:rsidRDefault="000B110A">
      <w:pPr>
        <w:rPr>
          <w:szCs w:val="18"/>
        </w:rPr>
      </w:pPr>
      <w:r>
        <w:rPr>
          <w:szCs w:val="18"/>
        </w:rPr>
        <w:t xml:space="preserve">Zie </w:t>
      </w:r>
      <w:r w:rsidR="001478FC">
        <w:rPr>
          <w:szCs w:val="18"/>
        </w:rPr>
        <w:t>het</w:t>
      </w:r>
      <w:r>
        <w:rPr>
          <w:szCs w:val="18"/>
        </w:rPr>
        <w:t xml:space="preserve"> antwoord op vraag 3.</w:t>
      </w:r>
    </w:p>
    <w:p w:rsidRPr="007646C0" w:rsidR="000B110A" w:rsidP="007646C0" w:rsidRDefault="000B110A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6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 xml:space="preserve">Hoeveel is er op dit moment ingelegd in het </w:t>
      </w:r>
      <w:proofErr w:type="spellStart"/>
      <w:r w:rsidRPr="007646C0">
        <w:rPr>
          <w:szCs w:val="18"/>
        </w:rPr>
        <w:t>amoveringsfonds</w:t>
      </w:r>
      <w:proofErr w:type="spellEnd"/>
      <w:r w:rsidRPr="007646C0">
        <w:rPr>
          <w:szCs w:val="18"/>
        </w:rPr>
        <w:t>? Hoe kunt u de daling van het vermogen in het recente verleden verklaren?</w:t>
      </w:r>
    </w:p>
    <w:p w:rsidR="007F38DC" w:rsidP="00D75044" w:rsidRDefault="007F38DC">
      <w:pPr>
        <w:rPr>
          <w:szCs w:val="18"/>
        </w:rPr>
      </w:pPr>
    </w:p>
    <w:p w:rsidR="00FC66A3" w:rsidP="00D75044" w:rsidRDefault="007F38DC">
      <w:pPr>
        <w:rPr>
          <w:szCs w:val="18"/>
        </w:rPr>
      </w:pPr>
      <w:r>
        <w:rPr>
          <w:szCs w:val="18"/>
        </w:rPr>
        <w:t>Antwoord</w:t>
      </w:r>
    </w:p>
    <w:p w:rsidR="00704F37" w:rsidP="007646C0" w:rsidRDefault="00E812B6">
      <w:pPr>
        <w:rPr>
          <w:szCs w:val="18"/>
        </w:rPr>
      </w:pPr>
      <w:r w:rsidRPr="00E812B6">
        <w:rPr>
          <w:szCs w:val="18"/>
        </w:rPr>
        <w:t xml:space="preserve">Tijdens overleg van de ministeries van </w:t>
      </w:r>
      <w:r w:rsidR="00317260">
        <w:rPr>
          <w:szCs w:val="18"/>
        </w:rPr>
        <w:t>Economische Z</w:t>
      </w:r>
      <w:r w:rsidR="00B83EEF">
        <w:rPr>
          <w:szCs w:val="18"/>
        </w:rPr>
        <w:t xml:space="preserve">aken, </w:t>
      </w:r>
      <w:r w:rsidRPr="00E812B6">
        <w:rPr>
          <w:szCs w:val="18"/>
        </w:rPr>
        <w:t xml:space="preserve">Financiën en Infrastructuur en Milieu met EPZ is geen informatie verstrekt waaruit een recente daling van het </w:t>
      </w:r>
      <w:proofErr w:type="spellStart"/>
      <w:r w:rsidRPr="00E812B6">
        <w:rPr>
          <w:szCs w:val="18"/>
        </w:rPr>
        <w:t>amoveringsfonds</w:t>
      </w:r>
      <w:proofErr w:type="spellEnd"/>
      <w:r w:rsidRPr="00E812B6">
        <w:rPr>
          <w:szCs w:val="18"/>
        </w:rPr>
        <w:t xml:space="preserve"> van de kerncentrale Borssele (de Stichting Beheer Ontmantelingsgelden Kerncentrale Borssele) blijkt. EPZ heeft hierbij gerapporteerd over de jaarlijkse stortingen en de waarde van het </w:t>
      </w:r>
      <w:proofErr w:type="spellStart"/>
      <w:r w:rsidRPr="00E812B6">
        <w:rPr>
          <w:szCs w:val="18"/>
        </w:rPr>
        <w:t>amoveringsfonds</w:t>
      </w:r>
      <w:proofErr w:type="spellEnd"/>
      <w:r w:rsidRPr="00E812B6">
        <w:rPr>
          <w:szCs w:val="18"/>
        </w:rPr>
        <w:t xml:space="preserve"> van de kerncentrale Borssele. In het laatste gepubliceerde jaarverslag is de stand per 31 december 2014 o</w:t>
      </w:r>
      <w:r w:rsidR="00317260">
        <w:rPr>
          <w:szCs w:val="18"/>
        </w:rPr>
        <w:t>pgenomen, te weten € 144,184 miljoen</w:t>
      </w:r>
      <w:r w:rsidRPr="00E812B6">
        <w:rPr>
          <w:szCs w:val="18"/>
        </w:rPr>
        <w:t xml:space="preserve">. De stand per 1 januari 2014 bedroeg € 116,051 </w:t>
      </w:r>
      <w:r w:rsidR="00317260">
        <w:rPr>
          <w:szCs w:val="18"/>
        </w:rPr>
        <w:t>miljoen</w:t>
      </w:r>
      <w:r w:rsidRPr="00E812B6">
        <w:rPr>
          <w:szCs w:val="18"/>
        </w:rPr>
        <w:t>.</w:t>
      </w:r>
    </w:p>
    <w:p w:rsidRPr="007646C0" w:rsidR="00E812B6" w:rsidP="007646C0" w:rsidRDefault="00E812B6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7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Hoeveel zal er ingelegd zijn, en door wie, in het jaar 2033 wanneer sluiting is voorzien? Kunt u daarbij specifieker zijn dan de minister van Infrastructuur en Milieu tijdens het Algemeen overleg  Nucleaire Veiligheid en Stralingsbescherming op 12 november 2015?</w:t>
      </w:r>
    </w:p>
    <w:p w:rsidR="007646C0" w:rsidP="007646C0" w:rsidRDefault="007646C0">
      <w:pPr>
        <w:rPr>
          <w:szCs w:val="18"/>
        </w:rPr>
      </w:pPr>
    </w:p>
    <w:p w:rsidR="00AD4012" w:rsidP="007646C0" w:rsidRDefault="00AD4012">
      <w:pPr>
        <w:rPr>
          <w:szCs w:val="18"/>
        </w:rPr>
      </w:pPr>
      <w:r>
        <w:rPr>
          <w:szCs w:val="18"/>
        </w:rPr>
        <w:t>Antwoord</w:t>
      </w:r>
    </w:p>
    <w:p w:rsidR="00483024" w:rsidP="005C2056" w:rsidRDefault="00F678A4">
      <w:pPr>
        <w:rPr>
          <w:szCs w:val="18"/>
        </w:rPr>
      </w:pPr>
      <w:r>
        <w:rPr>
          <w:szCs w:val="18"/>
        </w:rPr>
        <w:t xml:space="preserve">EPZ draagt als vergunninghouder </w:t>
      </w:r>
      <w:r w:rsidRPr="005C2056">
        <w:rPr>
          <w:szCs w:val="18"/>
        </w:rPr>
        <w:t xml:space="preserve">zelf de verantwoordelijkheid voor de </w:t>
      </w:r>
      <w:r w:rsidR="00B910C5">
        <w:rPr>
          <w:szCs w:val="18"/>
        </w:rPr>
        <w:t xml:space="preserve">bekostiging van de </w:t>
      </w:r>
      <w:r w:rsidRPr="005C2056">
        <w:rPr>
          <w:szCs w:val="18"/>
        </w:rPr>
        <w:t>buitengebruikstelling, veilige insluiting en ont</w:t>
      </w:r>
      <w:r w:rsidR="00142910">
        <w:rPr>
          <w:szCs w:val="18"/>
        </w:rPr>
        <w:t xml:space="preserve">manteling van een </w:t>
      </w:r>
      <w:r w:rsidR="00142910">
        <w:rPr>
          <w:szCs w:val="18"/>
        </w:rPr>
        <w:lastRenderedPageBreak/>
        <w:t xml:space="preserve">kerncentrale en </w:t>
      </w:r>
      <w:r w:rsidRPr="005C2056">
        <w:rPr>
          <w:szCs w:val="18"/>
        </w:rPr>
        <w:t xml:space="preserve">het terugbrengen van het terrein tot de ‘groene weide’ situatie. </w:t>
      </w:r>
      <w:r w:rsidR="005C2056">
        <w:rPr>
          <w:szCs w:val="18"/>
        </w:rPr>
        <w:t xml:space="preserve">Ter dekking van deze toekomstige kosten vult EPZ het bovengenoemde </w:t>
      </w:r>
      <w:proofErr w:type="spellStart"/>
      <w:r w:rsidR="005C2056">
        <w:rPr>
          <w:szCs w:val="18"/>
        </w:rPr>
        <w:t>amoveringsfonds</w:t>
      </w:r>
      <w:proofErr w:type="spellEnd"/>
      <w:r w:rsidR="005C2056">
        <w:rPr>
          <w:szCs w:val="18"/>
        </w:rPr>
        <w:t xml:space="preserve">. </w:t>
      </w:r>
      <w:r w:rsidR="002114ED">
        <w:rPr>
          <w:szCs w:val="18"/>
        </w:rPr>
        <w:t>O</w:t>
      </w:r>
      <w:r w:rsidR="00EE4071">
        <w:rPr>
          <w:szCs w:val="18"/>
        </w:rPr>
        <w:t>p grond van de laatste actualisatie van het ontmantelingsplan (2010), reeds bekende bijstellingen en prijsindexatie</w:t>
      </w:r>
      <w:r w:rsidR="002114ED">
        <w:rPr>
          <w:szCs w:val="18"/>
        </w:rPr>
        <w:t xml:space="preserve"> bedragen</w:t>
      </w:r>
      <w:r w:rsidR="00EE4071">
        <w:rPr>
          <w:szCs w:val="18"/>
        </w:rPr>
        <w:t xml:space="preserve"> de </w:t>
      </w:r>
      <w:r w:rsidR="00B910C5">
        <w:rPr>
          <w:szCs w:val="18"/>
        </w:rPr>
        <w:t xml:space="preserve">verwachte </w:t>
      </w:r>
      <w:r w:rsidR="00EE4071">
        <w:rPr>
          <w:szCs w:val="18"/>
        </w:rPr>
        <w:t xml:space="preserve">uiteindelijke </w:t>
      </w:r>
      <w:proofErr w:type="spellStart"/>
      <w:r w:rsidR="00EE4071">
        <w:rPr>
          <w:szCs w:val="18"/>
        </w:rPr>
        <w:t>amoveringskosten</w:t>
      </w:r>
      <w:proofErr w:type="spellEnd"/>
      <w:r w:rsidR="00EE4071">
        <w:rPr>
          <w:szCs w:val="18"/>
        </w:rPr>
        <w:t xml:space="preserve"> € 491 </w:t>
      </w:r>
      <w:r w:rsidR="00317260">
        <w:rPr>
          <w:szCs w:val="18"/>
        </w:rPr>
        <w:t>miljoen</w:t>
      </w:r>
      <w:r w:rsidR="00EE4071">
        <w:rPr>
          <w:szCs w:val="18"/>
        </w:rPr>
        <w:t xml:space="preserve"> (</w:t>
      </w:r>
      <w:r w:rsidR="00B54B95">
        <w:rPr>
          <w:szCs w:val="18"/>
        </w:rPr>
        <w:t xml:space="preserve">jaarverslag EPZ 2014, volgens </w:t>
      </w:r>
      <w:r w:rsidR="00EE4071">
        <w:rPr>
          <w:szCs w:val="18"/>
        </w:rPr>
        <w:t xml:space="preserve">prijspeil ultimo 2014). </w:t>
      </w:r>
      <w:r w:rsidRPr="00483024" w:rsidR="00EE4071">
        <w:rPr>
          <w:szCs w:val="18"/>
        </w:rPr>
        <w:t xml:space="preserve">De </w:t>
      </w:r>
      <w:r w:rsidR="00EE4071">
        <w:rPr>
          <w:szCs w:val="18"/>
        </w:rPr>
        <w:t>m</w:t>
      </w:r>
      <w:r w:rsidRPr="00483024" w:rsidR="00EE4071">
        <w:rPr>
          <w:szCs w:val="18"/>
        </w:rPr>
        <w:t xml:space="preserve">inister van Infrastructuur en Milieu is, tezamen met de </w:t>
      </w:r>
      <w:r w:rsidR="00EE4071">
        <w:rPr>
          <w:szCs w:val="18"/>
        </w:rPr>
        <w:t>m</w:t>
      </w:r>
      <w:r w:rsidRPr="00483024" w:rsidR="00EE4071">
        <w:rPr>
          <w:szCs w:val="18"/>
        </w:rPr>
        <w:t xml:space="preserve">inister van Financiën, verantwoordelijk voor de goedkeuring van de </w:t>
      </w:r>
      <w:r w:rsidR="00EE4071">
        <w:rPr>
          <w:szCs w:val="18"/>
        </w:rPr>
        <w:t xml:space="preserve">wijze waarop </w:t>
      </w:r>
      <w:r w:rsidRPr="00483024" w:rsidR="00EE4071">
        <w:rPr>
          <w:szCs w:val="18"/>
        </w:rPr>
        <w:t xml:space="preserve">financiële zekerheid </w:t>
      </w:r>
      <w:r w:rsidR="00EE4071">
        <w:rPr>
          <w:szCs w:val="18"/>
        </w:rPr>
        <w:t xml:space="preserve">wordt gesteld </w:t>
      </w:r>
      <w:r w:rsidRPr="00483024" w:rsidR="00EE4071">
        <w:rPr>
          <w:szCs w:val="18"/>
        </w:rPr>
        <w:t>voor de kosten van de buitengebruikstelling en</w:t>
      </w:r>
      <w:r w:rsidR="00EE4071">
        <w:rPr>
          <w:szCs w:val="18"/>
        </w:rPr>
        <w:t xml:space="preserve"> ontmanteling van kernreactoren, waaronder de kerncentrale Borssele. </w:t>
      </w:r>
      <w:r>
        <w:rPr>
          <w:szCs w:val="18"/>
        </w:rPr>
        <w:t>O</w:t>
      </w:r>
      <w:r w:rsidR="00EE4071">
        <w:rPr>
          <w:szCs w:val="18"/>
        </w:rPr>
        <w:t xml:space="preserve">p grond van de Kernenergiewet </w:t>
      </w:r>
      <w:r>
        <w:rPr>
          <w:szCs w:val="18"/>
        </w:rPr>
        <w:t>is EPZ verplicht</w:t>
      </w:r>
      <w:r w:rsidR="00EE4071">
        <w:rPr>
          <w:szCs w:val="18"/>
        </w:rPr>
        <w:t xml:space="preserve"> om in 2016 een herzien ontmantelingsplan in te dienen. Het goedgekeurde ontmantelingsplan vormt </w:t>
      </w:r>
      <w:r w:rsidR="0076798D">
        <w:rPr>
          <w:szCs w:val="18"/>
        </w:rPr>
        <w:t xml:space="preserve">daarna </w:t>
      </w:r>
      <w:r w:rsidR="00EE4071">
        <w:rPr>
          <w:szCs w:val="18"/>
        </w:rPr>
        <w:t xml:space="preserve">de basis voor de </w:t>
      </w:r>
      <w:r>
        <w:rPr>
          <w:szCs w:val="18"/>
        </w:rPr>
        <w:t xml:space="preserve">vijfjaarlijkse  </w:t>
      </w:r>
      <w:r w:rsidR="00EE4071">
        <w:rPr>
          <w:szCs w:val="18"/>
        </w:rPr>
        <w:t>aanvraag financiële zekerhei</w:t>
      </w:r>
      <w:r w:rsidR="00686442">
        <w:rPr>
          <w:szCs w:val="18"/>
        </w:rPr>
        <w:t>d</w:t>
      </w:r>
      <w:r w:rsidR="00483024">
        <w:rPr>
          <w:szCs w:val="18"/>
        </w:rPr>
        <w:t>.</w:t>
      </w:r>
    </w:p>
    <w:p w:rsidRPr="007646C0" w:rsidR="00AD4012" w:rsidP="007646C0" w:rsidRDefault="00AD4012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8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Mag Delta besluiten de kerncentrale eerder te sluiten dan 2033?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 xml:space="preserve">Antwoord </w:t>
      </w:r>
    </w:p>
    <w:p w:rsidR="00440908" w:rsidP="007646C0" w:rsidRDefault="007A264A">
      <w:pPr>
        <w:rPr>
          <w:szCs w:val="18"/>
        </w:rPr>
      </w:pPr>
      <w:r w:rsidRPr="00E43418">
        <w:rPr>
          <w:szCs w:val="18"/>
        </w:rPr>
        <w:t xml:space="preserve">Het staat de vergunninghouder van de kerncentrale Borssele vrij om de centrale eerder te sluiten dan 2033. </w:t>
      </w:r>
      <w:r w:rsidRPr="00E43418" w:rsidR="00440908">
        <w:rPr>
          <w:szCs w:val="18"/>
        </w:rPr>
        <w:t>In het Convenant Kerncentrale Borssele (Staat</w:t>
      </w:r>
      <w:r w:rsidRPr="00E43418" w:rsidR="00DB50C5">
        <w:rPr>
          <w:szCs w:val="18"/>
        </w:rPr>
        <w:t>scourant 17 juli 2006, nr. 136</w:t>
      </w:r>
      <w:r w:rsidRPr="00E43418" w:rsidR="00440908">
        <w:rPr>
          <w:szCs w:val="18"/>
        </w:rPr>
        <w:t xml:space="preserve">) zijn door </w:t>
      </w:r>
      <w:r w:rsidRPr="00E43418" w:rsidR="00AD4012">
        <w:rPr>
          <w:szCs w:val="18"/>
        </w:rPr>
        <w:t xml:space="preserve">de </w:t>
      </w:r>
      <w:r w:rsidRPr="00E43418" w:rsidR="00440908">
        <w:rPr>
          <w:szCs w:val="18"/>
        </w:rPr>
        <w:t xml:space="preserve">betrokken partijen, te weten </w:t>
      </w:r>
      <w:r w:rsidRPr="00E43418" w:rsidR="00EA6E55">
        <w:rPr>
          <w:szCs w:val="18"/>
        </w:rPr>
        <w:t>EPZ</w:t>
      </w:r>
      <w:r w:rsidRPr="00E43418" w:rsidR="00440908">
        <w:rPr>
          <w:szCs w:val="18"/>
        </w:rPr>
        <w:t xml:space="preserve">, </w:t>
      </w:r>
      <w:r w:rsidRPr="00E43418" w:rsidR="00663AAA">
        <w:rPr>
          <w:szCs w:val="18"/>
        </w:rPr>
        <w:t>DELTA</w:t>
      </w:r>
      <w:r w:rsidRPr="00E43418" w:rsidR="00440908">
        <w:rPr>
          <w:szCs w:val="18"/>
        </w:rPr>
        <w:t xml:space="preserve"> Energy B.V., Essent Energie B.V. en de Rijksoverheid, afspraken gemaakt over het continueren van de </w:t>
      </w:r>
      <w:r w:rsidR="002659EA">
        <w:rPr>
          <w:szCs w:val="18"/>
        </w:rPr>
        <w:t>bedrijfsvoering</w:t>
      </w:r>
      <w:r w:rsidRPr="00E43418" w:rsidR="00440908">
        <w:rPr>
          <w:szCs w:val="18"/>
        </w:rPr>
        <w:t xml:space="preserve"> van </w:t>
      </w:r>
      <w:r w:rsidRPr="00E43418" w:rsidR="00DB50C5">
        <w:rPr>
          <w:szCs w:val="18"/>
        </w:rPr>
        <w:t xml:space="preserve">de </w:t>
      </w:r>
      <w:r w:rsidRPr="00E43418" w:rsidR="00440908">
        <w:rPr>
          <w:szCs w:val="18"/>
        </w:rPr>
        <w:t xml:space="preserve">kerncentrale Borssele tot uiterlijk 31 december 2033. </w:t>
      </w:r>
      <w:r w:rsidRPr="00E43418" w:rsidR="00980FDA">
        <w:rPr>
          <w:szCs w:val="18"/>
        </w:rPr>
        <w:t xml:space="preserve">In </w:t>
      </w:r>
      <w:r w:rsidRPr="00E43418" w:rsidR="00440908">
        <w:rPr>
          <w:szCs w:val="18"/>
        </w:rPr>
        <w:t xml:space="preserve">het </w:t>
      </w:r>
      <w:r w:rsidRPr="00E43418" w:rsidR="009366DF">
        <w:rPr>
          <w:szCs w:val="18"/>
        </w:rPr>
        <w:t>c</w:t>
      </w:r>
      <w:r w:rsidRPr="00E43418" w:rsidR="00C43B23">
        <w:rPr>
          <w:szCs w:val="18"/>
        </w:rPr>
        <w:t xml:space="preserve">onvenant </w:t>
      </w:r>
      <w:r w:rsidRPr="00E43418" w:rsidR="00370E84">
        <w:rPr>
          <w:szCs w:val="18"/>
        </w:rPr>
        <w:t xml:space="preserve">is verder </w:t>
      </w:r>
      <w:r w:rsidRPr="00E43418" w:rsidR="00440908">
        <w:rPr>
          <w:szCs w:val="18"/>
        </w:rPr>
        <w:t xml:space="preserve">vastgelegd dat </w:t>
      </w:r>
      <w:r w:rsidRPr="00E43418" w:rsidR="00E43418">
        <w:rPr>
          <w:szCs w:val="18"/>
        </w:rPr>
        <w:t>de Rijksoverheid zelf geen initiatieven zal nemen met als doel de kerncentrale Borssele vóór 31 december 2033 te sluiten</w:t>
      </w:r>
      <w:r w:rsidRPr="00E43418" w:rsidR="00AD4012">
        <w:rPr>
          <w:szCs w:val="18"/>
        </w:rPr>
        <w:t>.</w:t>
      </w:r>
      <w:r w:rsidRPr="00E43418" w:rsidR="00E43418">
        <w:rPr>
          <w:szCs w:val="18"/>
        </w:rPr>
        <w:t xml:space="preserve"> </w:t>
      </w:r>
      <w:r w:rsidR="002659EA">
        <w:rPr>
          <w:szCs w:val="18"/>
        </w:rPr>
        <w:t>Uiteraard blijft de vergunninghouder van de kerncentrale Borssele gehouden aan alle geldende voorschriften.</w:t>
      </w:r>
    </w:p>
    <w:p w:rsidRPr="007646C0" w:rsidR="00D75044" w:rsidP="007646C0" w:rsidRDefault="00D75044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9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Is de garantie van 200 miljoen euro van de provincie Zeeland niet op te vatten als staatssteun?</w:t>
      </w:r>
    </w:p>
    <w:p w:rsidR="007646C0" w:rsidP="007646C0" w:rsidRDefault="007646C0">
      <w:pPr>
        <w:rPr>
          <w:szCs w:val="18"/>
        </w:rPr>
      </w:pPr>
    </w:p>
    <w:p w:rsidR="00D75044" w:rsidP="007646C0" w:rsidRDefault="00D75044">
      <w:pPr>
        <w:rPr>
          <w:szCs w:val="18"/>
        </w:rPr>
      </w:pPr>
      <w:r>
        <w:rPr>
          <w:szCs w:val="18"/>
        </w:rPr>
        <w:t>Antwoord</w:t>
      </w:r>
    </w:p>
    <w:p w:rsidR="00D75044" w:rsidP="007646C0" w:rsidRDefault="00F47223">
      <w:pPr>
        <w:rPr>
          <w:szCs w:val="18"/>
        </w:rPr>
      </w:pPr>
      <w:r>
        <w:rPr>
          <w:szCs w:val="18"/>
        </w:rPr>
        <w:t xml:space="preserve">Zie </w:t>
      </w:r>
      <w:r w:rsidR="001478FC">
        <w:rPr>
          <w:szCs w:val="18"/>
        </w:rPr>
        <w:t>het</w:t>
      </w:r>
      <w:r>
        <w:rPr>
          <w:szCs w:val="18"/>
        </w:rPr>
        <w:t xml:space="preserve"> antwoord op vraag 2.</w:t>
      </w:r>
    </w:p>
    <w:p w:rsidRPr="007646C0" w:rsidR="00F47223" w:rsidP="007646C0" w:rsidRDefault="00F47223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10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Wanneer wordt de motie Jan Vos (Kamerstuk 25 422, nr. 133) uitgevoerd, waarin wordt gevraagd naar een onderzoek naar de nationalisatie van de kerncentrale Borssele?</w:t>
      </w:r>
    </w:p>
    <w:p w:rsidR="007646C0" w:rsidP="007646C0" w:rsidRDefault="007646C0">
      <w:pPr>
        <w:rPr>
          <w:szCs w:val="18"/>
        </w:rPr>
      </w:pPr>
    </w:p>
    <w:p w:rsidR="000B110A" w:rsidP="007646C0" w:rsidRDefault="000B110A">
      <w:pPr>
        <w:rPr>
          <w:szCs w:val="18"/>
        </w:rPr>
      </w:pPr>
      <w:r>
        <w:rPr>
          <w:szCs w:val="18"/>
        </w:rPr>
        <w:t>Antwoord</w:t>
      </w:r>
    </w:p>
    <w:p w:rsidR="000B110A" w:rsidP="007646C0" w:rsidRDefault="00293FFD">
      <w:pPr>
        <w:rPr>
          <w:szCs w:val="18"/>
        </w:rPr>
      </w:pPr>
      <w:r>
        <w:rPr>
          <w:szCs w:val="18"/>
        </w:rPr>
        <w:t xml:space="preserve">Ik zal </w:t>
      </w:r>
      <w:r w:rsidR="00321AAA">
        <w:rPr>
          <w:szCs w:val="18"/>
        </w:rPr>
        <w:t xml:space="preserve">uw Kamer </w:t>
      </w:r>
      <w:r w:rsidR="00104137">
        <w:rPr>
          <w:szCs w:val="18"/>
        </w:rPr>
        <w:t>samen</w:t>
      </w:r>
      <w:r w:rsidR="0039177B">
        <w:rPr>
          <w:szCs w:val="18"/>
        </w:rPr>
        <w:t xml:space="preserve"> met de betrokken </w:t>
      </w:r>
      <w:r w:rsidR="001478FC">
        <w:rPr>
          <w:szCs w:val="18"/>
        </w:rPr>
        <w:t>m</w:t>
      </w:r>
      <w:r w:rsidR="0039177B">
        <w:rPr>
          <w:szCs w:val="18"/>
        </w:rPr>
        <w:t>inister</w:t>
      </w:r>
      <w:r>
        <w:rPr>
          <w:szCs w:val="18"/>
        </w:rPr>
        <w:t xml:space="preserve"> van Infrastructuur en Milieu en </w:t>
      </w:r>
      <w:r w:rsidR="0039177B">
        <w:rPr>
          <w:szCs w:val="18"/>
        </w:rPr>
        <w:t xml:space="preserve">de </w:t>
      </w:r>
      <w:r w:rsidR="001478FC">
        <w:rPr>
          <w:szCs w:val="18"/>
        </w:rPr>
        <w:t>m</w:t>
      </w:r>
      <w:r w:rsidR="0039177B">
        <w:rPr>
          <w:szCs w:val="18"/>
        </w:rPr>
        <w:t xml:space="preserve">inister </w:t>
      </w:r>
      <w:r>
        <w:rPr>
          <w:szCs w:val="18"/>
        </w:rPr>
        <w:t>van Financiën</w:t>
      </w:r>
      <w:r w:rsidR="005573C1">
        <w:rPr>
          <w:szCs w:val="18"/>
        </w:rPr>
        <w:t xml:space="preserve"> op korte termijn</w:t>
      </w:r>
      <w:r>
        <w:rPr>
          <w:szCs w:val="18"/>
        </w:rPr>
        <w:t xml:space="preserve"> </w:t>
      </w:r>
      <w:r w:rsidR="00321AAA">
        <w:rPr>
          <w:szCs w:val="18"/>
        </w:rPr>
        <w:t xml:space="preserve">informeren over </w:t>
      </w:r>
      <w:r w:rsidR="00E03129">
        <w:rPr>
          <w:szCs w:val="18"/>
        </w:rPr>
        <w:t xml:space="preserve">de uitvoering van </w:t>
      </w:r>
      <w:r>
        <w:rPr>
          <w:szCs w:val="18"/>
        </w:rPr>
        <w:t>deze motie.</w:t>
      </w:r>
    </w:p>
    <w:p w:rsidRPr="007646C0" w:rsidR="000B110A" w:rsidP="007646C0" w:rsidRDefault="000B110A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11</w:t>
      </w: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lastRenderedPageBreak/>
        <w:t>Klopt het dat de provincie Zeeland inmiddels ook op het standpunt staat dat de kerncentrale genationaliseerd zou moeten worden?</w:t>
      </w:r>
    </w:p>
    <w:p w:rsidR="007646C0" w:rsidP="007646C0" w:rsidRDefault="007646C0">
      <w:pPr>
        <w:rPr>
          <w:szCs w:val="18"/>
        </w:rPr>
      </w:pPr>
    </w:p>
    <w:p w:rsidR="000B110A" w:rsidP="007646C0" w:rsidRDefault="000B110A">
      <w:pPr>
        <w:rPr>
          <w:szCs w:val="18"/>
        </w:rPr>
      </w:pPr>
      <w:r>
        <w:rPr>
          <w:szCs w:val="18"/>
        </w:rPr>
        <w:t>Antwoord</w:t>
      </w:r>
    </w:p>
    <w:p w:rsidR="000B110A" w:rsidP="007646C0" w:rsidRDefault="00AD4012">
      <w:pPr>
        <w:rPr>
          <w:szCs w:val="18"/>
        </w:rPr>
      </w:pPr>
      <w:r>
        <w:rPr>
          <w:szCs w:val="18"/>
        </w:rPr>
        <w:t xml:space="preserve">Zie </w:t>
      </w:r>
      <w:r w:rsidR="001478FC">
        <w:rPr>
          <w:szCs w:val="18"/>
        </w:rPr>
        <w:t>het</w:t>
      </w:r>
      <w:r>
        <w:rPr>
          <w:szCs w:val="18"/>
        </w:rPr>
        <w:t xml:space="preserve"> antwoord op vraag </w:t>
      </w:r>
      <w:r w:rsidR="00F47223">
        <w:rPr>
          <w:szCs w:val="18"/>
        </w:rPr>
        <w:t>2</w:t>
      </w:r>
      <w:r>
        <w:rPr>
          <w:szCs w:val="18"/>
        </w:rPr>
        <w:t>.</w:t>
      </w:r>
    </w:p>
    <w:p w:rsidRPr="007646C0" w:rsidR="000B110A" w:rsidP="007646C0" w:rsidRDefault="000B110A">
      <w:pPr>
        <w:rPr>
          <w:szCs w:val="18"/>
        </w:rPr>
      </w:pPr>
    </w:p>
    <w:p w:rsidRPr="007646C0" w:rsidR="007646C0" w:rsidP="007646C0" w:rsidRDefault="007646C0">
      <w:pPr>
        <w:rPr>
          <w:szCs w:val="18"/>
        </w:rPr>
      </w:pPr>
      <w:r w:rsidRPr="007646C0">
        <w:rPr>
          <w:szCs w:val="18"/>
        </w:rPr>
        <w:t>12</w:t>
      </w:r>
    </w:p>
    <w:p w:rsidRPr="009E66FA" w:rsidR="007646C0" w:rsidP="007646C0" w:rsidRDefault="007646C0">
      <w:pPr>
        <w:rPr>
          <w:szCs w:val="18"/>
        </w:rPr>
      </w:pPr>
      <w:r w:rsidRPr="007646C0">
        <w:rPr>
          <w:szCs w:val="18"/>
        </w:rPr>
        <w:t xml:space="preserve">Kunt u gesprekken daarover met de provincie Zeeland starten? Kan er, gezien de </w:t>
      </w:r>
      <w:proofErr w:type="spellStart"/>
      <w:r w:rsidRPr="007646C0">
        <w:rPr>
          <w:szCs w:val="18"/>
        </w:rPr>
        <w:t>verliesgevendheid</w:t>
      </w:r>
      <w:proofErr w:type="spellEnd"/>
      <w:r w:rsidRPr="007646C0">
        <w:rPr>
          <w:szCs w:val="18"/>
        </w:rPr>
        <w:t xml:space="preserve"> en de </w:t>
      </w:r>
      <w:proofErr w:type="spellStart"/>
      <w:r w:rsidRPr="007646C0">
        <w:rPr>
          <w:szCs w:val="18"/>
        </w:rPr>
        <w:t>amoveringsopgave</w:t>
      </w:r>
      <w:proofErr w:type="spellEnd"/>
      <w:r w:rsidRPr="007646C0">
        <w:rPr>
          <w:szCs w:val="18"/>
        </w:rPr>
        <w:t xml:space="preserve">, sprake zijn van een overdracht aan het Rijk om niet?   </w:t>
      </w:r>
    </w:p>
    <w:p w:rsidRPr="007426AA" w:rsidR="00A2439A" w:rsidP="007426AA" w:rsidRDefault="00A2439A">
      <w:pPr>
        <w:rPr>
          <w:szCs w:val="18"/>
        </w:rPr>
      </w:pPr>
    </w:p>
    <w:p w:rsidR="000B110A" w:rsidP="00810C93" w:rsidRDefault="000B110A">
      <w:r>
        <w:t>Antwoord</w:t>
      </w:r>
    </w:p>
    <w:p w:rsidR="00440908" w:rsidP="00810C93" w:rsidRDefault="000B110A">
      <w:r w:rsidRPr="000B110A">
        <w:t>Zoals ik</w:t>
      </w:r>
      <w:r w:rsidR="00AD4012">
        <w:t xml:space="preserve"> uw Kamer op 18 februari jl. heb aangegeven (Kamerstuk </w:t>
      </w:r>
      <w:r w:rsidRPr="00AD4012" w:rsidR="00AD4012">
        <w:t>34 401, nr. 7</w:t>
      </w:r>
      <w:r w:rsidR="00AD4012">
        <w:t xml:space="preserve">), </w:t>
      </w:r>
      <w:r w:rsidRPr="000B110A">
        <w:t xml:space="preserve">is het Rijk in overleg met vergunninghouder EPZ, haar aandeelhouders DELTA (70%), met daarachter de Aandeelhouderscommissie, en haar aandeelhouder Essent/RWE (30%), om te komen tot een onderbouwde analyse en een heldere weging van mogelijke oplossingsrichtingen. </w:t>
      </w:r>
      <w:r w:rsidR="00483024">
        <w:t xml:space="preserve">Daarbij heb ik tevens aangegeven dat ik </w:t>
      </w:r>
      <w:r w:rsidR="00DE6BBC">
        <w:t xml:space="preserve">het van belang </w:t>
      </w:r>
      <w:r w:rsidR="00CD452E">
        <w:t>vind</w:t>
      </w:r>
      <w:r w:rsidR="00704F37">
        <w:t xml:space="preserve"> </w:t>
      </w:r>
      <w:r w:rsidRPr="000B110A" w:rsidR="00483024">
        <w:t>dat de positie van de kerncentrale Borssele in all</w:t>
      </w:r>
      <w:r w:rsidR="00483024">
        <w:t xml:space="preserve">e gevallen goed geborgd blijft, maar dat de </w:t>
      </w:r>
      <w:r w:rsidRPr="000B110A" w:rsidR="00483024">
        <w:t xml:space="preserve">verantwoordelijkheid daarvoor </w:t>
      </w:r>
      <w:r w:rsidR="00487942">
        <w:t xml:space="preserve">in de eerste plaats </w:t>
      </w:r>
      <w:r w:rsidR="00483024">
        <w:t xml:space="preserve">bij </w:t>
      </w:r>
      <w:r w:rsidR="00DE6BBC">
        <w:t xml:space="preserve">de vergunninghouder </w:t>
      </w:r>
      <w:r w:rsidR="00483024">
        <w:t>en haar aandeelhouders</w:t>
      </w:r>
      <w:r w:rsidRPr="00EA6E55" w:rsidR="00EA6E55">
        <w:t xml:space="preserve"> </w:t>
      </w:r>
      <w:r w:rsidRPr="000B110A" w:rsidR="00EA6E55">
        <w:t>ligt</w:t>
      </w:r>
      <w:r w:rsidR="00483024">
        <w:t xml:space="preserve">. </w:t>
      </w:r>
      <w:r w:rsidRPr="000B110A">
        <w:t xml:space="preserve">Ik heb </w:t>
      </w:r>
      <w:r w:rsidR="00EA6E55">
        <w:t xml:space="preserve">reeds </w:t>
      </w:r>
      <w:r w:rsidRPr="000B110A">
        <w:t xml:space="preserve">toegezegd uw Kamer tijdig te informeren over relevante ontwikkelingen. Ik acht het op dit moment niet opportuun om vooruit te lopen op de uitkomsten van </w:t>
      </w:r>
      <w:r w:rsidR="00487942">
        <w:t>het</w:t>
      </w:r>
      <w:r w:rsidRPr="000B110A">
        <w:t xml:space="preserve"> lopende proces.</w:t>
      </w:r>
      <w:r w:rsidR="00810C93">
        <w:br/>
      </w:r>
    </w:p>
    <w:p w:rsidR="00440908" w:rsidP="00440908" w:rsidRDefault="00440908"/>
    <w:p w:rsidR="00440908" w:rsidP="00440908" w:rsidRDefault="00440908"/>
    <w:p w:rsidR="00440908" w:rsidP="00440908" w:rsidRDefault="00440908"/>
    <w:p w:rsidR="00440908" w:rsidP="00440908" w:rsidRDefault="00440908"/>
    <w:p w:rsidR="00440908" w:rsidP="00317260" w:rsidRDefault="00317260">
      <w:pPr>
        <w:ind w:hanging="993"/>
      </w:pPr>
      <w:r>
        <w:t>(w.g.)</w:t>
      </w:r>
      <w:r>
        <w:tab/>
      </w:r>
      <w:r w:rsidR="00440908">
        <w:t>H.G.J. Kamp</w:t>
      </w:r>
    </w:p>
    <w:p w:rsidR="00440908" w:rsidP="00440908" w:rsidRDefault="00440908">
      <w:r>
        <w:t>Minister van Economische Zaken</w:t>
      </w:r>
    </w:p>
    <w:sectPr w:rsidR="00440908" w:rsidSect="00D604B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9A" w:rsidRDefault="00A2439A">
      <w:r>
        <w:separator/>
      </w:r>
    </w:p>
    <w:p w:rsidR="00A2439A" w:rsidRDefault="00A2439A"/>
  </w:endnote>
  <w:endnote w:type="continuationSeparator" w:id="0">
    <w:p w:rsidR="00A2439A" w:rsidRDefault="00A2439A">
      <w:r>
        <w:continuationSeparator/>
      </w:r>
    </w:p>
    <w:p w:rsidR="00A2439A" w:rsidRDefault="00A24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A2439A" w:rsidP="00A2439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37450">
            <w:t>4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37450">
            <w:t>4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A2439A" w:rsidP="00A2439A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37450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37450">
            <w:t>4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9A" w:rsidRDefault="00A2439A">
      <w:r>
        <w:separator/>
      </w:r>
    </w:p>
    <w:p w:rsidR="00A2439A" w:rsidRDefault="00A2439A"/>
  </w:footnote>
  <w:footnote w:type="continuationSeparator" w:id="0">
    <w:p w:rsidR="00A2439A" w:rsidRDefault="00A2439A">
      <w:r>
        <w:continuationSeparator/>
      </w:r>
    </w:p>
    <w:p w:rsidR="00A2439A" w:rsidRDefault="00A2439A"/>
  </w:footnote>
  <w:footnote w:id="1">
    <w:p w:rsidR="007646C0" w:rsidRPr="00317260" w:rsidRDefault="007646C0" w:rsidP="00317260">
      <w:pPr>
        <w:pStyle w:val="Voetnoottekst"/>
        <w:spacing w:line="180" w:lineRule="atLeast"/>
        <w:rPr>
          <w:sz w:val="13"/>
          <w:szCs w:val="13"/>
        </w:rPr>
      </w:pPr>
      <w:r w:rsidRPr="00317260">
        <w:rPr>
          <w:rStyle w:val="Voetnootmarkering"/>
          <w:sz w:val="13"/>
          <w:szCs w:val="13"/>
        </w:rPr>
        <w:footnoteRef/>
      </w:r>
      <w:r w:rsidR="001478FC" w:rsidRPr="00317260">
        <w:rPr>
          <w:sz w:val="13"/>
          <w:szCs w:val="13"/>
        </w:rPr>
        <w:t xml:space="preserve"> </w:t>
      </w:r>
      <w:r w:rsidRPr="00317260">
        <w:rPr>
          <w:sz w:val="13"/>
          <w:szCs w:val="13"/>
        </w:rPr>
        <w:t>AD, Zeeland wil snel af van Borssele, blz. 5, 11 februari 2016</w:t>
      </w:r>
    </w:p>
  </w:footnote>
  <w:footnote w:id="2">
    <w:p w:rsidR="00F47223" w:rsidRPr="00317260" w:rsidRDefault="00F47223" w:rsidP="00317260">
      <w:pPr>
        <w:pStyle w:val="Voetnoottekst"/>
        <w:spacing w:line="180" w:lineRule="atLeast"/>
        <w:rPr>
          <w:sz w:val="13"/>
          <w:szCs w:val="13"/>
        </w:rPr>
      </w:pPr>
      <w:r w:rsidRPr="00317260">
        <w:rPr>
          <w:rStyle w:val="Voetnootmarkering"/>
          <w:sz w:val="13"/>
          <w:szCs w:val="13"/>
        </w:rPr>
        <w:footnoteRef/>
      </w:r>
      <w:r w:rsidRPr="00317260">
        <w:rPr>
          <w:sz w:val="13"/>
          <w:szCs w:val="13"/>
        </w:rPr>
        <w:t xml:space="preserve"> Besluitenlijst Provinciale Staten Zeeland, 5 februari 2016, nr. 16001974.</w:t>
      </w:r>
      <w:r w:rsidR="001478FC" w:rsidRPr="00317260">
        <w:rPr>
          <w:sz w:val="13"/>
          <w:szCs w:val="13"/>
        </w:rPr>
        <w:t xml:space="preserve"> </w:t>
      </w:r>
      <w:hyperlink r:id="rId1" w:history="1">
        <w:r w:rsidRPr="00317260">
          <w:rPr>
            <w:rStyle w:val="Hyperlink"/>
            <w:sz w:val="13"/>
            <w:szCs w:val="13"/>
          </w:rPr>
          <w:t>http://www.zeeland.nl/digitaalarchief/ib169f75014a</w:t>
        </w:r>
      </w:hyperlink>
      <w:r w:rsidRPr="00317260">
        <w:rPr>
          <w:sz w:val="13"/>
          <w:szCs w:val="13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A2439A" w:rsidP="00A243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 w:rsidR="00317260">
            <w:rPr>
              <w:noProof w:val="0"/>
            </w:rPr>
            <w:t>Directie Energie en Innovatie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A2439A" w:rsidP="00A2439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A2439A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DGETM-EI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16029460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1478FC" w:rsidP="00A2439A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BBF3D4B" wp14:editId="729F70B6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B83EEF" w:rsidTr="00A50CF6">
      <w:tc>
        <w:tcPr>
          <w:tcW w:w="2160" w:type="dxa"/>
          <w:shd w:val="clear" w:color="auto" w:fill="auto"/>
        </w:tcPr>
        <w:p w:rsidR="00527BD4" w:rsidRPr="005819CE" w:rsidRDefault="00A2439A" w:rsidP="00A243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 w:rsidR="00317260">
            <w:rPr>
              <w:noProof w:val="0"/>
            </w:rPr>
            <w:t>Directie Energie en Innovatie</w:t>
          </w:r>
        </w:p>
        <w:p w:rsidR="00A2439A" w:rsidRDefault="00A2439A" w:rsidP="00A243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A2439A" w:rsidRDefault="00A2439A" w:rsidP="00A243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A2439A" w:rsidRDefault="00A2439A" w:rsidP="00A2439A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A2439A" w:rsidRPr="005B3814" w:rsidRDefault="00A2439A" w:rsidP="00A2439A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7646C0" w:rsidRDefault="00A2439A" w:rsidP="00317260">
          <w:pPr>
            <w:pStyle w:val="Huisstijl-Adres"/>
            <w:rPr>
              <w:noProof w:val="0"/>
              <w:lang w:val="de-DE"/>
            </w:rPr>
          </w:pPr>
          <w:r w:rsidRPr="007646C0">
            <w:rPr>
              <w:noProof w:val="0"/>
              <w:lang w:val="de-DE"/>
            </w:rPr>
            <w:t>T</w:t>
          </w:r>
          <w:r w:rsidRPr="007646C0">
            <w:rPr>
              <w:noProof w:val="0"/>
              <w:lang w:val="de-DE"/>
            </w:rPr>
            <w:tab/>
            <w:t>070 379 8911 (</w:t>
          </w:r>
          <w:proofErr w:type="spellStart"/>
          <w:r w:rsidRPr="007646C0">
            <w:rPr>
              <w:noProof w:val="0"/>
              <w:lang w:val="de-DE"/>
            </w:rPr>
            <w:t>algemeen</w:t>
          </w:r>
          <w:proofErr w:type="spellEnd"/>
          <w:r w:rsidRPr="007646C0">
            <w:rPr>
              <w:noProof w:val="0"/>
              <w:lang w:val="de-DE"/>
            </w:rPr>
            <w:t>)</w:t>
          </w:r>
          <w:r w:rsidRPr="007646C0">
            <w:rPr>
              <w:noProof w:val="0"/>
              <w:lang w:val="de-DE"/>
            </w:rPr>
            <w:br/>
            <w:t>www.rijksoverheid.nl/ez</w:t>
          </w:r>
        </w:p>
      </w:tc>
    </w:tr>
    <w:tr w:rsidR="00527BD4" w:rsidRPr="00B83EEF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7646C0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A2439A" w:rsidP="00A2439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A2439A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DGETM-EI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16029460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A2439A" w:rsidP="00A2439A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A2439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2016Z03124</w:t>
          </w:r>
        </w:p>
        <w:p w:rsidR="00527BD4" w:rsidRPr="005819CE" w:rsidRDefault="00527BD4" w:rsidP="00317260">
          <w:pPr>
            <w:pStyle w:val="Huisstijl-Kopje"/>
            <w:rPr>
              <w:noProof w:val="0"/>
            </w:rPr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B83EEF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7646C0" w:rsidRDefault="00527BD4" w:rsidP="00A2439A">
          <w:pPr>
            <w:pStyle w:val="Huisstijl-Retouradres"/>
            <w:rPr>
              <w:noProof w:val="0"/>
              <w:lang w:val="de-DE"/>
            </w:rPr>
          </w:pPr>
          <w:r w:rsidRPr="007646C0">
            <w:rPr>
              <w:noProof w:val="0"/>
              <w:lang w:val="de-DE"/>
            </w:rPr>
            <w:t xml:space="preserve">&gt; </w:t>
          </w:r>
          <w:proofErr w:type="spellStart"/>
          <w:r w:rsidR="00A2439A" w:rsidRPr="007646C0">
            <w:rPr>
              <w:noProof w:val="0"/>
              <w:lang w:val="de-DE"/>
            </w:rPr>
            <w:t>Retouradres</w:t>
          </w:r>
          <w:proofErr w:type="spellEnd"/>
          <w:r w:rsidR="00A2439A" w:rsidRPr="007646C0">
            <w:rPr>
              <w:noProof w:val="0"/>
              <w:lang w:val="de-DE"/>
            </w:rPr>
            <w:t xml:space="preserve"> Postbus 20401 2500 EK Den Haag</w:t>
          </w:r>
        </w:p>
      </w:tc>
    </w:tr>
    <w:tr w:rsidR="00527BD4" w:rsidRPr="00B83EEF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7646C0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17260" w:rsidRDefault="00317260" w:rsidP="00317260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317260" w:rsidRDefault="00317260" w:rsidP="00317260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317260" w:rsidRDefault="00317260" w:rsidP="00317260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317260" w:rsidP="00317260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’s-GRAVENHAGE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2439A" w:rsidP="00A2439A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F37450" w:rsidP="00A50CF6">
          <w:r>
            <w:t>22 maart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2439A" w:rsidP="00A2439A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1478FC" w:rsidP="00317260">
          <w:r>
            <w:t>Beantwoording vragen</w:t>
          </w:r>
          <w:r w:rsidR="00A2439A">
            <w:t xml:space="preserve"> over de nationalisatie van de kerncentrale Borssele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109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29460"/>
    <w:docVar w:name="HC_HBLIB" w:val="DOMUS"/>
  </w:docVars>
  <w:rsids>
    <w:rsidRoot w:val="00A2439A"/>
    <w:rsid w:val="000049FB"/>
    <w:rsid w:val="00010726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4172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110A"/>
    <w:rsid w:val="000B7281"/>
    <w:rsid w:val="000B7FAB"/>
    <w:rsid w:val="000C0163"/>
    <w:rsid w:val="000C1BA1"/>
    <w:rsid w:val="000C3EA9"/>
    <w:rsid w:val="000D0225"/>
    <w:rsid w:val="000E7895"/>
    <w:rsid w:val="000F161D"/>
    <w:rsid w:val="00104137"/>
    <w:rsid w:val="00121BF0"/>
    <w:rsid w:val="00123704"/>
    <w:rsid w:val="001270C7"/>
    <w:rsid w:val="00132540"/>
    <w:rsid w:val="00142910"/>
    <w:rsid w:val="0014786A"/>
    <w:rsid w:val="001478FC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236F"/>
    <w:rsid w:val="001C32EC"/>
    <w:rsid w:val="001C38BD"/>
    <w:rsid w:val="001C4D5A"/>
    <w:rsid w:val="001E34C6"/>
    <w:rsid w:val="001E5581"/>
    <w:rsid w:val="001F3C70"/>
    <w:rsid w:val="00200D88"/>
    <w:rsid w:val="00201F68"/>
    <w:rsid w:val="002114ED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659EA"/>
    <w:rsid w:val="00273F3B"/>
    <w:rsid w:val="00274DB7"/>
    <w:rsid w:val="00275984"/>
    <w:rsid w:val="00280F74"/>
    <w:rsid w:val="00286998"/>
    <w:rsid w:val="00291AB7"/>
    <w:rsid w:val="00293FFD"/>
    <w:rsid w:val="0029422B"/>
    <w:rsid w:val="00294891"/>
    <w:rsid w:val="002B153C"/>
    <w:rsid w:val="002B52FC"/>
    <w:rsid w:val="002C10D7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7260"/>
    <w:rsid w:val="00321AAA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66BD9"/>
    <w:rsid w:val="00370E84"/>
    <w:rsid w:val="00371048"/>
    <w:rsid w:val="0037396C"/>
    <w:rsid w:val="0037421D"/>
    <w:rsid w:val="00376093"/>
    <w:rsid w:val="00383DA1"/>
    <w:rsid w:val="00385F30"/>
    <w:rsid w:val="0039177B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0908"/>
    <w:rsid w:val="00441AC2"/>
    <w:rsid w:val="0044249B"/>
    <w:rsid w:val="00445A4D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024"/>
    <w:rsid w:val="00483F0B"/>
    <w:rsid w:val="00487942"/>
    <w:rsid w:val="00496319"/>
    <w:rsid w:val="00497279"/>
    <w:rsid w:val="004A670A"/>
    <w:rsid w:val="004B5465"/>
    <w:rsid w:val="004B70F0"/>
    <w:rsid w:val="004D505E"/>
    <w:rsid w:val="004D72CA"/>
    <w:rsid w:val="004E2242"/>
    <w:rsid w:val="004F16FC"/>
    <w:rsid w:val="004F42FF"/>
    <w:rsid w:val="004F44C2"/>
    <w:rsid w:val="00502512"/>
    <w:rsid w:val="00504F1B"/>
    <w:rsid w:val="005050AA"/>
    <w:rsid w:val="00505262"/>
    <w:rsid w:val="00516022"/>
    <w:rsid w:val="00521CEE"/>
    <w:rsid w:val="00527BD4"/>
    <w:rsid w:val="005403C8"/>
    <w:rsid w:val="005429DC"/>
    <w:rsid w:val="005565F9"/>
    <w:rsid w:val="005573C1"/>
    <w:rsid w:val="005635F7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2056"/>
    <w:rsid w:val="005C34E1"/>
    <w:rsid w:val="005C3FE0"/>
    <w:rsid w:val="005C554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3AAA"/>
    <w:rsid w:val="0066632F"/>
    <w:rsid w:val="00674A89"/>
    <w:rsid w:val="00674F3D"/>
    <w:rsid w:val="006757A6"/>
    <w:rsid w:val="00685545"/>
    <w:rsid w:val="00686442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04F37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46C0"/>
    <w:rsid w:val="0076798D"/>
    <w:rsid w:val="007709EF"/>
    <w:rsid w:val="00783559"/>
    <w:rsid w:val="007860A7"/>
    <w:rsid w:val="00797AA5"/>
    <w:rsid w:val="007A264A"/>
    <w:rsid w:val="007A26BD"/>
    <w:rsid w:val="007A4105"/>
    <w:rsid w:val="007B2D26"/>
    <w:rsid w:val="007B4503"/>
    <w:rsid w:val="007C406E"/>
    <w:rsid w:val="007C5183"/>
    <w:rsid w:val="007C7573"/>
    <w:rsid w:val="007E2B20"/>
    <w:rsid w:val="007E5C3B"/>
    <w:rsid w:val="007F38D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366DF"/>
    <w:rsid w:val="009716D8"/>
    <w:rsid w:val="009718F9"/>
    <w:rsid w:val="00972FB9"/>
    <w:rsid w:val="00975112"/>
    <w:rsid w:val="00980FDA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39A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23F9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4012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4B95"/>
    <w:rsid w:val="00B55014"/>
    <w:rsid w:val="00B62232"/>
    <w:rsid w:val="00B70BF3"/>
    <w:rsid w:val="00B71DC2"/>
    <w:rsid w:val="00B83EEF"/>
    <w:rsid w:val="00B910C5"/>
    <w:rsid w:val="00B91CFC"/>
    <w:rsid w:val="00B93893"/>
    <w:rsid w:val="00BA6390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B23"/>
    <w:rsid w:val="00C5258E"/>
    <w:rsid w:val="00C530C9"/>
    <w:rsid w:val="00C619A7"/>
    <w:rsid w:val="00C65694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D452E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25CF"/>
    <w:rsid w:val="00D23522"/>
    <w:rsid w:val="00D264D6"/>
    <w:rsid w:val="00D30744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44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0C5"/>
    <w:rsid w:val="00DB533A"/>
    <w:rsid w:val="00DB6307"/>
    <w:rsid w:val="00DD1DCD"/>
    <w:rsid w:val="00DD338F"/>
    <w:rsid w:val="00DD66F2"/>
    <w:rsid w:val="00DE3FE0"/>
    <w:rsid w:val="00DE578A"/>
    <w:rsid w:val="00DE6BBC"/>
    <w:rsid w:val="00DF2583"/>
    <w:rsid w:val="00DF3E77"/>
    <w:rsid w:val="00DF54D9"/>
    <w:rsid w:val="00DF7283"/>
    <w:rsid w:val="00E01A59"/>
    <w:rsid w:val="00E03129"/>
    <w:rsid w:val="00E10DC6"/>
    <w:rsid w:val="00E11F8E"/>
    <w:rsid w:val="00E15881"/>
    <w:rsid w:val="00E16A8F"/>
    <w:rsid w:val="00E21DE3"/>
    <w:rsid w:val="00E307D1"/>
    <w:rsid w:val="00E3731D"/>
    <w:rsid w:val="00E43418"/>
    <w:rsid w:val="00E51469"/>
    <w:rsid w:val="00E634E3"/>
    <w:rsid w:val="00E717C4"/>
    <w:rsid w:val="00E77F89"/>
    <w:rsid w:val="00E80330"/>
    <w:rsid w:val="00E806C5"/>
    <w:rsid w:val="00E80E71"/>
    <w:rsid w:val="00E812B6"/>
    <w:rsid w:val="00E850D3"/>
    <w:rsid w:val="00E853D6"/>
    <w:rsid w:val="00E876B9"/>
    <w:rsid w:val="00EA6E55"/>
    <w:rsid w:val="00EC0DFF"/>
    <w:rsid w:val="00EC237D"/>
    <w:rsid w:val="00EC4D0E"/>
    <w:rsid w:val="00EC4E2B"/>
    <w:rsid w:val="00ED072A"/>
    <w:rsid w:val="00ED0737"/>
    <w:rsid w:val="00ED539E"/>
    <w:rsid w:val="00EE4071"/>
    <w:rsid w:val="00EE4A1F"/>
    <w:rsid w:val="00EE4C2D"/>
    <w:rsid w:val="00EE5501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7450"/>
    <w:rsid w:val="00F41A6F"/>
    <w:rsid w:val="00F45A25"/>
    <w:rsid w:val="00F47223"/>
    <w:rsid w:val="00F50F86"/>
    <w:rsid w:val="00F53F91"/>
    <w:rsid w:val="00F61569"/>
    <w:rsid w:val="00F61A72"/>
    <w:rsid w:val="00F62B67"/>
    <w:rsid w:val="00F66F13"/>
    <w:rsid w:val="00F678A4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66A3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7646C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646C0"/>
    <w:rPr>
      <w:rFonts w:ascii="Verdana" w:hAnsi="Verdana"/>
    </w:rPr>
  </w:style>
  <w:style w:type="character" w:styleId="Voetnootmarkering">
    <w:name w:val="footnote reference"/>
    <w:basedOn w:val="Standaardalinea-lettertype"/>
    <w:rsid w:val="007646C0"/>
    <w:rPr>
      <w:vertAlign w:val="superscript"/>
    </w:rPr>
  </w:style>
  <w:style w:type="character" w:styleId="Verwijzingopmerking">
    <w:name w:val="annotation reference"/>
    <w:basedOn w:val="Standaardalinea-lettertype"/>
    <w:rsid w:val="001478F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78F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478F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478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478FC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47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7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7646C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646C0"/>
    <w:rPr>
      <w:rFonts w:ascii="Verdana" w:hAnsi="Verdana"/>
    </w:rPr>
  </w:style>
  <w:style w:type="character" w:styleId="Voetnootmarkering">
    <w:name w:val="footnote reference"/>
    <w:basedOn w:val="Standaardalinea-lettertype"/>
    <w:rsid w:val="007646C0"/>
    <w:rPr>
      <w:vertAlign w:val="superscript"/>
    </w:rPr>
  </w:style>
  <w:style w:type="character" w:styleId="Verwijzingopmerking">
    <w:name w:val="annotation reference"/>
    <w:basedOn w:val="Standaardalinea-lettertype"/>
    <w:rsid w:val="001478F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78F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478FC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478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478FC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478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eeland.nl/digitaalarchief/ib169f75014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955</ap:Words>
  <ap:Characters>5553</ap:Characters>
  <ap:DocSecurity>0</ap:DocSecurity>
  <ap:Lines>46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2016-03-22T10:37:00.0000000Z</lastPrinted>
  <dcterms:created xsi:type="dcterms:W3CDTF">2016-03-22T10:38:00.0000000Z</dcterms:created>
  <dcterms:modified xsi:type="dcterms:W3CDTF">2016-03-22T13:20:00.0000000Z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0x0101002B4530870BE40B47BFC4C15272787FB8</vt:lpwstr>
  </property>
</Properties>
</file>