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glossary/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F72BB4">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W06.15.0076/III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9 juli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3C5B41" w:rsidRDefault="00E72390">
              <w:r>
                <w:t>Bij Kabinetsmissive van 16 maart 2015, no.2015000432, heeft Uwe Majesteit, op voordracht van de Minister van Financiën, bij de Afdeling advisering van de Raad van State ter overweging aanhangig gemaakt het voorstel van wet houdende regels inzake het beheer, de informatievoorziening, de controle en de verantwoording van de financiën van het Rijk, inzake het beheer van liquide publieke financiële middelen door organisaties buiten het Rijk en inzake het toezicht op het beheer van publieke financiële middelen door organisaties buiten het Rijk (Comptabiliteitswet 201X), met memorie van toelichting.</w:t>
              </w:r>
            </w:p>
          </w:sdtContent>
        </w:sdt>
        <w:p w:rsidRPr="00831363" w:rsidR="00CE4655" w:rsidP="003C7608" w:rsidRDefault="00CE4655"/>
        <w:sdt>
          <w:sdtPr>
            <w:alias w:val="VrijeTekst1"/>
            <w:tag w:val="VrijeTekst1"/>
            <w:id w:val="-1861418069"/>
            <w:lock w:val="sdtLocked"/>
          </w:sdtPr>
          <w:sdtContent>
            <w:p w:rsidR="00641EE0" w:rsidP="00641EE0" w:rsidRDefault="00E72390">
              <w:pPr>
                <w:rPr>
                  <w:rFonts w:ascii="Times New Roman" w:hAnsi="Times New Roman"/>
                  <w:sz w:val="24"/>
                </w:rPr>
              </w:pPr>
              <w:r>
                <w:t>Het voorstel voorziet in vervanging van de Comptabiliteitswet 2001 (Cw 2001) door een nieuwe Comptabiliteitswet 201X (Cw 201X). Het voornemen voor het onderhavige wetsvoorstel is, zo vermeldt de toelichting, al aangekondigd in 2006.</w:t>
              </w:r>
              <w:r>
                <w:rPr>
                  <w:rStyle w:val="Voetnootmarkering"/>
                </w:rPr>
                <w:footnoteReference w:id="1"/>
              </w:r>
              <w:r>
                <w:t xml:space="preserve"> In 2013 is een hoofdlijnennotitie opgesteld over de modernisering van de Comptabiliteitswet (Cw).</w:t>
              </w:r>
              <w:r>
                <w:rPr>
                  <w:rStyle w:val="Voetnootmarkering"/>
                </w:rPr>
                <w:footnoteReference w:id="2"/>
              </w:r>
              <w:r>
                <w:t xml:space="preserve"> Het voorstel volgt de in de hoofdlijnennotitie neergelegde voornemens. </w:t>
              </w:r>
            </w:p>
            <w:p w:rsidR="00641EE0" w:rsidP="00641EE0" w:rsidRDefault="00E72390">
              <w:r>
                <w:t xml:space="preserve">In de adviesaanvraag is in het bijzonder aandacht gevraagd voor de bevoegdheden van de Algemene Rekenkamer (AR) ten aanzien van staatsdeelnemingen. </w:t>
              </w:r>
              <w:r>
                <w:br/>
              </w:r>
              <w:r>
                <w:br/>
                <w:t>De Afdeling advisering van de Raad van State heeft opmerkingen over het voorstel die van dien aard zijn dat zij adviseert het voorstel niet aan de Tweede Kamer te zenden dan nadat daarmee rekening is gehouden.</w:t>
              </w:r>
            </w:p>
            <w:p w:rsidR="00641EE0" w:rsidP="00641EE0" w:rsidRDefault="007D5C6E"/>
            <w:p w:rsidR="00641EE0" w:rsidP="00641EE0" w:rsidRDefault="00E72390">
              <w:r w:rsidRPr="00182184">
                <w:t>Het voorstel strekt er hoofdzakelijk toe om te komen tot een terminologisch en systematisch moderne en begrijpelijke opzet voor de Cw. Gelet op het karakter van de Cw onderschrijft de Afdeling een beleidsarme modernisering van de Cw, waarbij uiteenlopende thema’s die een meer beleidsinhoudelijke achtergrond</w:t>
              </w:r>
              <w:r>
                <w:t xml:space="preserve"> </w:t>
              </w:r>
              <w:r w:rsidRPr="00182184">
                <w:t>hebben die in wezen buiten de Cw liggen</w:t>
              </w:r>
              <w:r>
                <w:t>, niet worden aangesneden</w:t>
              </w:r>
              <w:r w:rsidRPr="00182184">
                <w:t>. In weerwil van deze opzet worden in de toelichting diverse ambities geformuleerd. De Afdeling acht het wenselijk dat de toelichting op dit punt beter aansluit bij de opzet van het voorstel. De Afdeling adviseert daarnaast om het wetsvoorstel op onderdelen nader te bezien</w:t>
              </w:r>
              <w:r>
                <w:t>,</w:t>
              </w:r>
              <w:r w:rsidRPr="00182184">
                <w:t xml:space="preserve"> teneinde meer recht te doen aan de doelstelling om te komen tot een terminologisch en systematisch moderne en begrijpelijke opzet voor de Cw.</w:t>
              </w:r>
              <w:r>
                <w:t xml:space="preserve"> Mede in verband met de wetgevingskwaliteit van het voorstel is zij van oordeel dat het voorstel in deze vorm nog niet rijp is voor indiening bij de Tweede Kamer. </w:t>
              </w:r>
            </w:p>
            <w:p w:rsidR="00641EE0" w:rsidP="00641EE0" w:rsidRDefault="007D5C6E"/>
            <w:p w:rsidR="00641EE0" w:rsidP="00641EE0" w:rsidRDefault="00E72390">
              <w:r>
                <w:t>De Afdeling wijst er verder op dat in het voorstel is voorzien in een aanzienlijke uitbreiding van de onderzoeksbevoegdheden ten aanzien van personen en instanties die niet tot het Rijk behoren. Zij ontraadt deze uitbreiding van bevoegdheden.</w:t>
              </w:r>
            </w:p>
            <w:p w:rsidR="00641EE0" w:rsidP="00641EE0" w:rsidRDefault="007D5C6E"/>
            <w:p w:rsidR="00641EE0" w:rsidP="00641EE0" w:rsidRDefault="00E72390">
              <w:r w:rsidRPr="00182184">
                <w:t>Voor het antwoord op de specifieke vraag met betrekking tot de onderzoeksbevoegdheden van de Algemene Rekenkamer ten aanzien van staatsdeelnemingen, die in de adviesaanvraag aan de Afdeling is voorgelegd, verwijst de Afdeling naar haar in 2011 gegeven voorlichting hierover. Zij ziet geen aanleiding om thans op de inhoud daarvan terug te komen.</w:t>
              </w:r>
            </w:p>
            <w:p w:rsidR="00641EE0" w:rsidP="00641EE0" w:rsidRDefault="007D5C6E"/>
            <w:p w:rsidR="00641EE0" w:rsidP="00641EE0" w:rsidRDefault="00E72390">
              <w:pPr>
                <w:rPr>
                  <w:u w:val="single"/>
                </w:rPr>
              </w:pPr>
              <w:r>
                <w:lastRenderedPageBreak/>
                <w:t>1.</w:t>
              </w:r>
              <w:r>
                <w:tab/>
              </w:r>
              <w:r w:rsidRPr="00D056A8">
                <w:rPr>
                  <w:u w:val="single"/>
                </w:rPr>
                <w:t>Karakter Cw en doelstellingen</w:t>
              </w:r>
            </w:p>
            <w:p w:rsidR="00641EE0" w:rsidP="00641EE0" w:rsidRDefault="007D5C6E"/>
            <w:p w:rsidRPr="002E1FC8" w:rsidR="00641EE0" w:rsidP="00641EE0" w:rsidRDefault="00E72390">
              <w:pPr>
                <w:rPr>
                  <w:i/>
                </w:rPr>
              </w:pPr>
              <w:r>
                <w:rPr>
                  <w:i/>
                </w:rPr>
                <w:t>Karakter Cw</w:t>
              </w:r>
            </w:p>
            <w:p w:rsidRPr="007D3348" w:rsidR="00641EE0" w:rsidP="00641EE0" w:rsidRDefault="00E72390">
              <w:pPr>
                <w:rPr>
                  <w:szCs w:val="22"/>
                </w:rPr>
              </w:pPr>
              <w:r w:rsidRPr="007D3348">
                <w:t>De C</w:t>
              </w:r>
              <w:r>
                <w:t>w</w:t>
              </w:r>
              <w:r w:rsidRPr="007D3348">
                <w:t xml:space="preserve"> vormt de basis voor het stelsel dat de inrichting, sturing en beheersing van de financiële bedrijfsvoering van het </w:t>
              </w:r>
              <w:r>
                <w:t>R</w:t>
              </w:r>
              <w:r w:rsidRPr="007D3348">
                <w:t>ijk regelt.</w:t>
              </w:r>
              <w:r>
                <w:t xml:space="preserve"> </w:t>
              </w:r>
              <w:r w:rsidRPr="007D3348">
                <w:rPr>
                  <w:szCs w:val="22"/>
                </w:rPr>
                <w:t>De belangrijkste functie van de C</w:t>
              </w:r>
              <w:r>
                <w:rPr>
                  <w:szCs w:val="22"/>
                </w:rPr>
                <w:t>w</w:t>
              </w:r>
              <w:r w:rsidRPr="007D3348">
                <w:rPr>
                  <w:szCs w:val="22"/>
                </w:rPr>
                <w:t xml:space="preserve"> vanuit het perspectief van de Staten-Generaal is het waarborgen van het </w:t>
              </w:r>
              <w:r>
                <w:rPr>
                  <w:szCs w:val="22"/>
                </w:rPr>
                <w:t xml:space="preserve">in de Grondwet neergelegde </w:t>
              </w:r>
              <w:r w:rsidRPr="007D3348">
                <w:rPr>
                  <w:szCs w:val="22"/>
                </w:rPr>
                <w:t xml:space="preserve">budgetrecht. Daarnaast is een belangrijke functie het op een doeltreffende en doelmatige wijze vormgeven van de interne sturing en beheersing van </w:t>
              </w:r>
              <w:r>
                <w:rPr>
                  <w:szCs w:val="22"/>
                </w:rPr>
                <w:t xml:space="preserve">de </w:t>
              </w:r>
              <w:r w:rsidRPr="007D3348">
                <w:rPr>
                  <w:szCs w:val="22"/>
                </w:rPr>
                <w:t>beleids- en bedrijfsvoering binnen de rijksdienst</w:t>
              </w:r>
              <w:r>
                <w:rPr>
                  <w:szCs w:val="22"/>
                </w:rPr>
                <w:t>, alsmede het regelen van de taken en bevoegdheden van de AR</w:t>
              </w:r>
              <w:r w:rsidRPr="007D3348">
                <w:rPr>
                  <w:szCs w:val="22"/>
                </w:rPr>
                <w:t>.</w:t>
              </w:r>
              <w:r>
                <w:rPr>
                  <w:szCs w:val="22"/>
                </w:rPr>
                <w:t xml:space="preserve"> G</w:t>
              </w:r>
              <w:r w:rsidRPr="007D3348">
                <w:rPr>
                  <w:szCs w:val="22"/>
                </w:rPr>
                <w:t>ezien de functie</w:t>
              </w:r>
              <w:r>
                <w:rPr>
                  <w:szCs w:val="22"/>
                </w:rPr>
                <w:t>s</w:t>
              </w:r>
              <w:r w:rsidRPr="007D3348">
                <w:rPr>
                  <w:szCs w:val="22"/>
                </w:rPr>
                <w:t xml:space="preserve"> van </w:t>
              </w:r>
              <w:r>
                <w:rPr>
                  <w:szCs w:val="22"/>
                </w:rPr>
                <w:t xml:space="preserve">de Cw dient deze wet </w:t>
              </w:r>
              <w:r w:rsidRPr="007D3348">
                <w:rPr>
                  <w:szCs w:val="22"/>
                </w:rPr>
                <w:t xml:space="preserve">zowel bepalingen </w:t>
              </w:r>
              <w:r>
                <w:rPr>
                  <w:szCs w:val="22"/>
                </w:rPr>
                <w:t>te bevatten</w:t>
              </w:r>
              <w:r w:rsidRPr="007D3348">
                <w:rPr>
                  <w:szCs w:val="22"/>
                </w:rPr>
                <w:t xml:space="preserve"> die zien op het </w:t>
              </w:r>
              <w:r w:rsidRPr="00076FA8">
                <w:rPr>
                  <w:szCs w:val="22"/>
                </w:rPr>
                <w:t xml:space="preserve">proces </w:t>
              </w:r>
              <w:r>
                <w:rPr>
                  <w:szCs w:val="22"/>
                </w:rPr>
                <w:t xml:space="preserve">van begrotingsvaststelling en </w:t>
              </w:r>
              <w:r w:rsidRPr="007D3348">
                <w:rPr>
                  <w:szCs w:val="22"/>
                </w:rPr>
                <w:t>verantwoording (</w:t>
              </w:r>
              <w:r>
                <w:rPr>
                  <w:szCs w:val="22"/>
                </w:rPr>
                <w:t xml:space="preserve">de </w:t>
              </w:r>
              <w:r w:rsidRPr="007D3348">
                <w:rPr>
                  <w:szCs w:val="22"/>
                </w:rPr>
                <w:t xml:space="preserve">begrotingscyclus) </w:t>
              </w:r>
              <w:r>
                <w:rPr>
                  <w:szCs w:val="22"/>
                </w:rPr>
                <w:t>als de wijze waarop dat gebeurt (hoe een begrotings- of verantwoordingsstaat is opgebouwd).</w:t>
              </w:r>
            </w:p>
            <w:p w:rsidR="00641EE0" w:rsidP="00641EE0" w:rsidRDefault="007D5C6E"/>
            <w:p w:rsidR="00641EE0" w:rsidP="00641EE0" w:rsidRDefault="00E72390">
              <w:r>
                <w:t>De Cw regelt daarbij van oudsher uiteenlopende onderwerpen: de inrichting van de begrotingen, het begrotings- en verantwoordingsproces, de financiële huishouding van het Rijk, de interne organisatie daarvan, het (financiële) toezicht op niet tot het Rijk behorende organisaties en de taken en bevoegdheden en inrichting van de AR. De Cw bevat zodoende regels over uiteenlopende onderwerpen, maar heeft gezien haar functie vooral ten doel om een correct beheer van middelen van het Rijk te waarborgen en het wettelijke kader te bieden voor een adequate begrotingsvaststelling en verantwoording en voor het proces waarin dat geschiedt.</w:t>
              </w:r>
            </w:p>
            <w:p w:rsidR="00641EE0" w:rsidP="00641EE0" w:rsidRDefault="007D5C6E"/>
            <w:p w:rsidR="00641EE0" w:rsidP="00641EE0" w:rsidRDefault="00E72390">
              <w:r>
                <w:t>In dit verband merkt de Afdeling op, dat naar aanleiding van de hoofdlijnennotitie over de modernisering van de Cw</w:t>
              </w:r>
              <w:r>
                <w:rPr>
                  <w:rStyle w:val="Voetnootmarkering"/>
                </w:rPr>
                <w:footnoteReference w:id="3"/>
              </w:r>
              <w:r>
                <w:t xml:space="preserve"> van verschillende zijden suggesties zijn gedaan ten aanzien van onderwerpen en ontwikkelingen, die niet in de hoofdlijnennotitie aan de orde waren gesteld, maar mogelijk wel relevant zouden zijn voor de toekomstige inrichting van het comptabel bestel als geheel.</w:t>
              </w:r>
              <w:r>
                <w:rPr>
                  <w:rStyle w:val="Voetnootmarkering"/>
                </w:rPr>
                <w:footnoteReference w:id="4"/>
              </w:r>
              <w:r>
                <w:t xml:space="preserve"> Zo zijn aan de orde gesteld de premie-gefinancierde sectoren en de decentralisatie van taken in het sociale domein. Over de hoofdlijnennotitie heeft een discussie in de Tweede Kamer plaatsgevonden, waarin ook deze onderwerpen aan de orde kwamen.</w:t>
              </w:r>
              <w:r>
                <w:rPr>
                  <w:rStyle w:val="Voetnootmarkering"/>
                </w:rPr>
                <w:footnoteReference w:id="5"/>
              </w:r>
              <w:r>
                <w:t xml:space="preserve"> </w:t>
              </w:r>
            </w:p>
            <w:p w:rsidRPr="001E0E2E" w:rsidR="00641EE0" w:rsidP="00641EE0" w:rsidRDefault="00E72390">
              <w:r>
                <w:t xml:space="preserve">In het voorliggende voorstel komen weinig van deze thema’s aan de orde. De Afdeling onderschrijft deze benadering. </w:t>
              </w:r>
              <w:r>
                <w:rPr>
                  <w:szCs w:val="22"/>
                </w:rPr>
                <w:t>Nu de Cw hoofdzakelijk een kader van algemene regels biedt inzake het beheer van financiële middelen, is deze wet niet het aangewezen instrument om thema’s als de hiervoor genoemde, die in feite een meer beleidsinhoudelijke achtergrond hebben, aan de orde te stellen. Die onderwerpen hebben weliswaar raakvlakken met het comptabel bestel, maar betreffen in het algemeen een andere problematiek en worden ook veelal niet geregeld in de Cw.</w:t>
              </w:r>
            </w:p>
            <w:p w:rsidR="00641EE0" w:rsidP="00641EE0" w:rsidRDefault="007D5C6E"/>
            <w:p w:rsidRPr="003F180D" w:rsidR="00641EE0" w:rsidP="00641EE0" w:rsidRDefault="00E72390">
              <w:pPr>
                <w:rPr>
                  <w:i/>
                </w:rPr>
              </w:pPr>
              <w:r>
                <w:rPr>
                  <w:i/>
                </w:rPr>
                <w:t>Doelstellingen</w:t>
              </w:r>
              <w:r w:rsidRPr="003F180D">
                <w:rPr>
                  <w:i/>
                </w:rPr>
                <w:t xml:space="preserve"> voorstel</w:t>
              </w:r>
            </w:p>
            <w:p w:rsidR="00641EE0" w:rsidP="00641EE0" w:rsidRDefault="00E72390">
              <w:r>
                <w:t>Blijkens de toelichting wordt met het voorstel een aantal doelstellingen nagestreefd,</w:t>
              </w:r>
              <w:r>
                <w:rPr>
                  <w:rStyle w:val="Voetnootmarkering"/>
                </w:rPr>
                <w:footnoteReference w:id="6"/>
              </w:r>
              <w:r>
                <w:t xml:space="preserve"> namelijk het komen tot een minder onderhoudsgevoelige Cw en vermindering van regeldruk, het verschaffen van duidelijkheid over de ministeriële verantwoordelijkheid bij verschillende betrokken ministers en de inrichting van een slanke controletoren. Hierna wordt nader ingegaan op deze doelstellingen.</w:t>
              </w:r>
            </w:p>
            <w:p w:rsidR="00641EE0" w:rsidP="00641EE0" w:rsidRDefault="007D5C6E"/>
            <w:p w:rsidRPr="00290C56" w:rsidR="00641EE0" w:rsidP="00641EE0" w:rsidRDefault="00E72390">
              <w:pPr>
                <w:rPr>
                  <w:i/>
                </w:rPr>
              </w:pPr>
              <w:r>
                <w:t xml:space="preserve">a. </w:t>
              </w:r>
              <w:r>
                <w:tab/>
              </w:r>
              <w:r>
                <w:rPr>
                  <w:i/>
                </w:rPr>
                <w:t>Onderhoudsgevoeligheid en globale voorschriften</w:t>
              </w:r>
            </w:p>
            <w:p w:rsidR="00641EE0" w:rsidP="00641EE0" w:rsidRDefault="00E72390">
              <w:r>
                <w:t>Het voorstel beoogt blijkens de toelichting de Cw te beperken tot hoofdlijnen en de uitwerking van een aantal onderwerpen over te laten aan lagere regelgeving of niet meer wettelijk te regelen, zodat de Cw duurzamer wordt en minder onderhoudsgevoelig. De toelichting geeft als voorbeelden “de categorie departementale begrotingen” en “de datum van het jaarlijkse verantwoordingsdebat (“derde dinsdag in mei”)”.</w:t>
              </w:r>
            </w:p>
            <w:p w:rsidR="00641EE0" w:rsidP="00641EE0" w:rsidRDefault="007D5C6E"/>
            <w:p w:rsidR="00641EE0" w:rsidP="00641EE0" w:rsidRDefault="00E72390">
              <w:pPr>
                <w:spacing w:after="240"/>
              </w:pPr>
              <w:r>
                <w:t>De Afdeling stelt voorop dat met deze doelstelling kan worden ingestemd. Het voorstel lijkt op een aantal punten evenwel niet te leiden tot minder, maar juist tot meer voorschriften op wettelijk niveau. De Afdeling wijst er in dat verband op dat de Cw in de loop van de tijd steeds meer voorschriften is gaan bevatten die het karakter hebben van interne regels binnen het Rijk en die daarom niet noodzakelijkerwijs op wetsniveau geregeld behoeven te worden.</w:t>
              </w:r>
              <w:r>
                <w:rPr>
                  <w:rStyle w:val="Voetnootmarkering"/>
                </w:rPr>
                <w:footnoteReference w:id="7"/>
              </w:r>
              <w:r>
                <w:t xml:space="preserve"> Te denken valt aan bepaalde regels inzake de inrichting en het functioneren van de financiële functie binnen departementen en de interne auditfunctie. Het had gezien de doelstelling om te komen tot een duurzame en minder onderhoudsgevoelige wet, voor de hand gelegen om in de nieuwe Cw meer soberheid te betrachten ten aanzien van bepalingen van interne aard en voor deze bepalingen vaker te volstaan met lagere regelgeving of opneming ervan in het Handboek Financiële Informatie en Administratie Rijksoverheid (HAFIR). Omdat de bepalingen evenmin globaal van aard zijn, neemt de onderhoudsgevoeligheid van de Cw door regeling op wetsniveau toe, hetgeen strijdig is met de voor het voorstel geformuleerde doelstelling om tot een minder onderhoudsgevoelige wet te komen. </w:t>
              </w:r>
            </w:p>
            <w:p w:rsidR="00641EE0" w:rsidP="00641EE0" w:rsidRDefault="00E72390">
              <w:pPr>
                <w:rPr>
                  <w:szCs w:val="22"/>
                </w:rPr>
              </w:pPr>
              <w:r w:rsidRPr="00865CDE">
                <w:rPr>
                  <w:szCs w:val="22"/>
                </w:rPr>
                <w:t xml:space="preserve">Meer in het bijzonder wijst de Afdeling </w:t>
              </w:r>
              <w:r>
                <w:rPr>
                  <w:szCs w:val="22"/>
                </w:rPr>
                <w:t>op de volgende bepalingen.</w:t>
              </w:r>
            </w:p>
            <w:p w:rsidRPr="00865CDE" w:rsidR="00641EE0" w:rsidP="00641EE0" w:rsidRDefault="007D5C6E">
              <w:pPr>
                <w:rPr>
                  <w:szCs w:val="22"/>
                </w:rPr>
              </w:pPr>
            </w:p>
            <w:p w:rsidR="00641EE0" w:rsidP="00641EE0" w:rsidRDefault="00E72390">
              <w:r>
                <w:t>i.</w:t>
              </w:r>
              <w:r>
                <w:tab/>
                <w:t>In a</w:t>
              </w:r>
              <w:r w:rsidRPr="004D3A43">
                <w:t>rtikel 2.1</w:t>
              </w:r>
              <w:r>
                <w:t xml:space="preserve">, eerste lid, worden budgettaire nota’s tot de rijksbegroting gerekend. Ook </w:t>
              </w:r>
              <w:r w:rsidRPr="00EE02C9">
                <w:t>artikel 2.10</w:t>
              </w:r>
              <w:r>
                <w:rPr>
                  <w:szCs w:val="22"/>
                </w:rPr>
                <w:t xml:space="preserve"> lijkt budgettaire nota’s tot de begroting te rekenen, gegeven dat dit artikel valt binnen de paragraaf over de inrichting van de begroting. </w:t>
              </w:r>
              <w:r>
                <w:t xml:space="preserve">Onduidelijk is waarom dit gebeurd. Deze nota’s worden, anders dan de begrotingen zelf, niet bij wet vastgesteld. Ook is niet duidelijk wat de betekenis is van de bepaling in het eerste lid, dat de budgettaire nota’s aan de begrotingen worden </w:t>
              </w:r>
              <w:r>
                <w:rPr>
                  <w:i/>
                </w:rPr>
                <w:t>toegevoegd</w:t>
              </w:r>
              <w:r>
                <w:t>. Als het erom gaat te benadrukken dat de budgettaire nota’s onderdeel uitmaken van de reguliere begrotingscyclus, is dat juist. Daarvoor is het echter niet nodig om deze onderdeel van de rijksbegroting te maken.</w:t>
              </w:r>
              <w:r>
                <w:rPr>
                  <w:szCs w:val="22"/>
                </w:rPr>
                <w:br/>
              </w:r>
            </w:p>
            <w:p w:rsidR="00641EE0" w:rsidP="00641EE0" w:rsidRDefault="00E72390">
              <w:r>
                <w:t>ii.</w:t>
              </w:r>
              <w:r>
                <w:tab/>
                <w:t xml:space="preserve">In </w:t>
              </w:r>
              <w:r w:rsidRPr="00865CDE">
                <w:t>artikel 5.10</w:t>
              </w:r>
              <w:r>
                <w:t xml:space="preserve"> wordt het besluit privaatrechtelijke rechtshandelingen 1996 nu opgenomen in de wet. Dat is zwaar voor een normale regeling inzake het verlenen van volmacht. Dit zou ook geregeld kunnen worden in uitvoeringsregels op grond van artikel 5.13, tweede lid, onder c. </w:t>
              </w:r>
            </w:p>
            <w:p w:rsidR="00641EE0" w:rsidP="00641EE0" w:rsidRDefault="007D5C6E"/>
            <w:p w:rsidR="00641EE0" w:rsidP="00641EE0" w:rsidRDefault="00E72390">
              <w:pPr>
                <w:spacing w:after="240"/>
              </w:pPr>
              <w:r>
                <w:t xml:space="preserve">iii. </w:t>
              </w:r>
              <w:r>
                <w:tab/>
              </w:r>
              <w:r w:rsidRPr="00865CDE">
                <w:t>Artikel 10.15</w:t>
              </w:r>
              <w:r>
                <w:t xml:space="preserve">, eerste lid introduceert de bevoegdheid voor de President van AR om regels te stellen. Het gaat hier niet om een regelgevende bevoegdheid maar in wezen om het geven van instructies aan de overige leden van de AR en de </w:t>
              </w:r>
              <w:r>
                <w:lastRenderedPageBreak/>
                <w:t>medewerkers. Mede gelet op de toezichthoudende rol van de President van de AR op de werkzaamheden (artikel 10.8, eerste lid) is het de vraag of deze bepaling nodig is.</w:t>
              </w:r>
            </w:p>
            <w:p w:rsidRPr="00290C56" w:rsidR="00641EE0" w:rsidP="00641EE0" w:rsidRDefault="00E72390">
              <w:pPr>
                <w:rPr>
                  <w:i/>
                </w:rPr>
              </w:pPr>
              <w:r>
                <w:t>b.</w:t>
              </w:r>
              <w:r>
                <w:tab/>
              </w:r>
              <w:r>
                <w:rPr>
                  <w:i/>
                </w:rPr>
                <w:t>Gedeelde verantwoordelijkheden</w:t>
              </w:r>
            </w:p>
            <w:p w:rsidR="00641EE0" w:rsidP="00641EE0" w:rsidRDefault="00E72390">
              <w:r>
                <w:t xml:space="preserve">Volgens de toelichting beoogt het voorstel eveneens helderheid te verschaffen over de ministeriële verantwoordelijkheid in situaties waarin meer dan één minister bij een beleidsterrein betrokken is en waarin het beleid, de uitvoering, het toezicht en de bedrijfsvoering niet meer uitsluitend de verantwoordelijkheid van één minister is. </w:t>
              </w:r>
            </w:p>
            <w:p w:rsidR="00641EE0" w:rsidP="00641EE0" w:rsidRDefault="007D5C6E"/>
            <w:p w:rsidR="00641EE0" w:rsidP="00641EE0" w:rsidRDefault="00E72390">
              <w:pPr>
                <w:rPr>
                  <w:szCs w:val="22"/>
                </w:rPr>
              </w:pPr>
              <w:r>
                <w:t>In het voorstel zelf zijn hiertoe geen ingrijpende maatregelen opgenomen. Gewezen kan worden op artikel 5.2, dat enkele praktische regels geeft voor de wijze waarop in het jaarverslag verantwoording wordt afgelegd over de beleids- en bedrijfsvoering op beleidsterreinen waar de desbetreffende minister niet zelf het beleid uitvoert. Het gaat hier om een aanpassing van praktische aard met een relatief beperkte strekking. Dat is niet verwonderlijk gezien de aard van de wet. De Cw beoogt een correct beheer van collectieve middelen te waarborgen en heeft betrekking op de financiële huishouding en verslaglegging. De problematiek van de ministeriële verantwoordelijkheid bij gedeelde verantwoordelijkheden valt als zodanig buiten het bestek van deze wet, terwijl de toelichting suggereert dat het voorstel deze problematiek beoogt op te lossen.</w:t>
              </w:r>
              <w:r>
                <w:rPr>
                  <w:rStyle w:val="Voetnootmarkering"/>
                </w:rPr>
                <w:footnoteReference w:id="8"/>
              </w:r>
              <w:r>
                <w:t xml:space="preserve"> </w:t>
              </w:r>
              <w:r>
                <w:rPr>
                  <w:szCs w:val="22"/>
                </w:rPr>
                <w:t xml:space="preserve">De Afdeling adviseert de toelichting op dit punt in overeenstemming te brengen met de wet. </w:t>
              </w:r>
            </w:p>
            <w:p w:rsidR="00641EE0" w:rsidP="00641EE0" w:rsidRDefault="007D5C6E"/>
            <w:p w:rsidR="00E02C8D" w:rsidP="00E02C8D" w:rsidRDefault="00E72390">
              <w:pPr>
                <w:rPr>
                  <w:i/>
                </w:rPr>
              </w:pPr>
              <w:r>
                <w:t>c.</w:t>
              </w:r>
              <w:r>
                <w:tab/>
              </w:r>
              <w:r>
                <w:rPr>
                  <w:i/>
                </w:rPr>
                <w:t>Slanke controletoren</w:t>
              </w:r>
            </w:p>
            <w:p w:rsidR="00E02C8D" w:rsidP="00E02C8D" w:rsidRDefault="00E72390">
              <w:r>
                <w:t>In het voorstel wordt de doelstelling om te komen tot een slanke controletoren met name tot uitdrukking gebracht in de afstemming van de bepalingen inzake de interne auditfunctie (hoofdstuk 7) en de externe auditfunctie door de AR (hoofdstuk 10). Wat betreft de onderzoeksbevoegdheden van de AR wordt aangesloten bij de toezichtsbevoegdheden van de minister. Wanneer de minister de bevoegdheid heeft om bij een organisatie toezicht te houden, kan daar ook extern toezicht door de AR worden uitgeoefend.</w:t>
              </w:r>
            </w:p>
            <w:p w:rsidR="00E02C8D" w:rsidP="00E02C8D" w:rsidRDefault="007D5C6E"/>
            <w:p w:rsidRPr="00E02C8D" w:rsidR="00641EE0" w:rsidP="00E02C8D" w:rsidRDefault="00E72390">
              <w:pPr>
                <w:rPr>
                  <w:i/>
                </w:rPr>
              </w:pPr>
              <w:r>
                <w:t xml:space="preserve">De Afdeling gaat onder punt 3 nader in op de betekenis van de voorgestelde uitbreiding van de onderzoeksbevoegdheden van de AR. Hier kan worden volstaan met de vaststelling dat de gekozen aanpak in het voorstel leidt tot een omvangrijkere in plaats van een slankere controletoren. Het voorstel voldoet op dit punt niet aan de in de toelichting geformuleerde doelstelling. </w:t>
              </w:r>
            </w:p>
            <w:p w:rsidR="00E02C8D" w:rsidP="00E02C8D" w:rsidRDefault="007D5C6E"/>
            <w:p w:rsidR="00E02C8D" w:rsidP="00E02C8D" w:rsidRDefault="00E72390">
              <w:r>
                <w:t xml:space="preserve">De Afdeling adviseert het voorstel en de toelichting met inachtneming van het vorenstaande opnieuw te bezien. </w:t>
              </w:r>
            </w:p>
            <w:p w:rsidR="00E02C8D" w:rsidP="00E02C8D" w:rsidRDefault="007D5C6E"/>
            <w:p w:rsidR="00E02C8D" w:rsidP="00E02C8D" w:rsidRDefault="00E72390">
              <w:r>
                <w:t>2.</w:t>
              </w:r>
              <w:r>
                <w:tab/>
              </w:r>
              <w:r w:rsidRPr="00C172D2">
                <w:rPr>
                  <w:u w:val="single"/>
                </w:rPr>
                <w:t>Een meer toegankelijke</w:t>
              </w:r>
              <w:r>
                <w:rPr>
                  <w:u w:val="single"/>
                </w:rPr>
                <w:t xml:space="preserve"> en meer leesbare Cw; rechtszekerheid</w:t>
              </w:r>
            </w:p>
            <w:p w:rsidR="00E02C8D" w:rsidP="00E02C8D" w:rsidRDefault="007D5C6E"/>
            <w:p w:rsidR="00E02C8D" w:rsidP="00641EE0" w:rsidRDefault="00E72390">
              <w:r>
                <w:t>Aanleiding om te komen tot een nieuwe Cw is ook de behoefte aan een meer toegankelijke en leesbare wet met een logische indeling en een modern begrippenapparaat. Naast de hierboven besproken doelstellingen beoogt het voorstel derhalve te komen tot een vernieuwde structuur en begrippenapparaat. In verband hiermee merkt de Afdeling het volgende op.</w:t>
              </w:r>
            </w:p>
            <w:p w:rsidR="00E02C8D" w:rsidP="00641EE0" w:rsidRDefault="007D5C6E"/>
            <w:p w:rsidR="00E02C8D" w:rsidP="00E02C8D" w:rsidRDefault="00E72390">
              <w:pPr>
                <w:rPr>
                  <w:i/>
                  <w:szCs w:val="22"/>
                </w:rPr>
              </w:pPr>
              <w:r>
                <w:rPr>
                  <w:szCs w:val="22"/>
                </w:rPr>
                <w:t xml:space="preserve">a) </w:t>
              </w:r>
              <w:r>
                <w:rPr>
                  <w:szCs w:val="22"/>
                </w:rPr>
                <w:tab/>
              </w:r>
              <w:r w:rsidRPr="00C80AE1">
                <w:rPr>
                  <w:i/>
                  <w:szCs w:val="22"/>
                </w:rPr>
                <w:t>Inzichtelijkheid behandeling materie</w:t>
              </w:r>
            </w:p>
            <w:p w:rsidR="00E02C8D" w:rsidP="00E02C8D" w:rsidRDefault="00E72390">
              <w:r>
                <w:lastRenderedPageBreak/>
                <w:t>In het voorstel is gekozen voor een nieuwe hoofdstukindeling voor de Cw. Deze gekozen indeling spreekt op veel punten voor zichzelf en is op enkele onderdelen zonder meer duidelijker dan de huidige Cw 2001. Zo zijn de regels die gelden ten aanzien van organisaties buiten het Rijk onder die noemer gegroepeerd en opgenomen in de hoofdstukken 8 en 9.</w:t>
              </w:r>
            </w:p>
            <w:p w:rsidR="00E02C8D" w:rsidP="00E02C8D" w:rsidRDefault="007D5C6E"/>
            <w:p w:rsidR="00E02C8D" w:rsidP="00E02C8D" w:rsidRDefault="00E72390">
              <w:pPr>
                <w:rPr>
                  <w:i/>
                  <w:szCs w:val="22"/>
                </w:rPr>
              </w:pPr>
              <w:r>
                <w:t>i.</w:t>
              </w:r>
              <w:r>
                <w:tab/>
              </w:r>
              <w:r>
                <w:rPr>
                  <w:szCs w:val="22"/>
                </w:rPr>
                <w:t>O</w:t>
              </w:r>
              <w:r w:rsidRPr="003265D5">
                <w:rPr>
                  <w:szCs w:val="22"/>
                </w:rPr>
                <w:t xml:space="preserve">p een aantal </w:t>
              </w:r>
              <w:r>
                <w:rPr>
                  <w:szCs w:val="22"/>
                </w:rPr>
                <w:t>punten lijkt de verdeling van de behandeling van de materie echter g</w:t>
              </w:r>
              <w:r w:rsidRPr="003265D5">
                <w:rPr>
                  <w:szCs w:val="22"/>
                </w:rPr>
                <w:t xml:space="preserve">een verbetering ten opzichte van de Cw 2001. </w:t>
              </w:r>
              <w:r>
                <w:rPr>
                  <w:szCs w:val="22"/>
                </w:rPr>
                <w:t>Zo behandelt hoofdstuk 2 de indeling en inrichting van begrotingen, de jaarverslagen, de periodiciteit en het begrotingsstelsel. Vervolgens regelt hoofdstuk 3 de autorisatie en verantwoording. Door deze opzet zijn met elkaar verband houdende bepalingen verspreid over verschillende hoofdstukken en paragrafen. Zo is de inrichting van de begrotingswetten verdeeld over de artikelen 2.1, 2.4, 2.5 en 3.1 e.v. De regels over de inrichting van jaarverslagen zijn verdeeld over paragraaf 2.3 en paragraaf 3.2. Dit komt de overzichtelijkheid niet ten goede.</w:t>
              </w:r>
            </w:p>
            <w:p w:rsidR="00E02C8D" w:rsidP="00E02C8D" w:rsidRDefault="007D5C6E">
              <w:pPr>
                <w:rPr>
                  <w:szCs w:val="22"/>
                </w:rPr>
              </w:pPr>
            </w:p>
            <w:p w:rsidR="00E02C8D" w:rsidP="00E02C8D" w:rsidRDefault="00E72390">
              <w:pPr>
                <w:rPr>
                  <w:szCs w:val="22"/>
                </w:rPr>
              </w:pPr>
              <w:r>
                <w:rPr>
                  <w:szCs w:val="22"/>
                </w:rPr>
                <w:t>De Afdeling adviseert de hoofdstukken 2 en 3 te herordenen en meer in lijn te brengen met de volgorde waarin deze onderwerpen in de huidige Cw 2001 zijn geregeld.</w:t>
              </w:r>
            </w:p>
            <w:p w:rsidR="00E02C8D" w:rsidP="00E02C8D" w:rsidRDefault="007D5C6E">
              <w:pPr>
                <w:rPr>
                  <w:szCs w:val="22"/>
                </w:rPr>
              </w:pPr>
            </w:p>
            <w:p w:rsidR="00E02C8D" w:rsidP="00E02C8D" w:rsidRDefault="00E72390">
              <w:r>
                <w:t>ii.</w:t>
              </w:r>
              <w:r>
                <w:tab/>
                <w:t>Evenzo dreigt op bepaalde plaatsen de samenhang tussen bepalingen te worden verbroken. Ingevolge de huidige artikelen 16 en 17 Cw 2001 moeten alle voorstellen, voornemens en toezeggingen met financiële gevolgen voor het Rijk eerst aan de Minister van Financiën worden voorgelegd (artikel 16). Indien deze voorstellen, voornemens en toezeggingen aan de Staten-Generaal kenbaar worden gemaakt, moet in de toelichting op die financiële gevolgen worden ingegaan (artikel 17).</w:t>
              </w:r>
            </w:p>
            <w:p w:rsidR="00E02C8D" w:rsidP="00E02C8D" w:rsidRDefault="007D5C6E"/>
            <w:p w:rsidR="00E02C8D" w:rsidP="00E02C8D" w:rsidRDefault="00E72390">
              <w:r>
                <w:t>In de daarmee overeenkomende regeling in het voorstel is de samenhang tussen deze artikelen echter verbroken en sluit artikel 4.1 met name niet meer aan op de artikelen 4.2 tot en met 4.4. Dit wordt versterkt doordat artikel 5.15 wel – in lijn met de huidige bepalingen - spreekt van “voorstellen, voornemens en toezeggingen”. Daar komt bij dat artikel 4.1 onduidelijke termen bevat: zo is niet direct duidelijk wat wordt bedoeld met een “beleidsvoorstel” en met “indien van toepassing”. Ook lijken ingevolge artikel 4.1, onder d, alleen de financiële gevolgen voor de rijksbegroting in beeld te moeten worden gebracht, terwijl volgens het huidige artikel 17 Cw 2001 de gevolgen breder in beeld moeten worden gebracht, namelijk de gevolgen voor het Rijk en – waar mogelijk – ook de financiële gevolgen voor andere maatschappelijke sectoren.</w:t>
              </w:r>
            </w:p>
            <w:p w:rsidR="00E02C8D" w:rsidP="00E02C8D" w:rsidRDefault="007D5C6E"/>
            <w:p w:rsidRPr="00E02C8D" w:rsidR="00641EE0" w:rsidP="00E02C8D" w:rsidRDefault="00E72390">
              <w:pPr>
                <w:rPr>
                  <w:i/>
                  <w:szCs w:val="22"/>
                </w:rPr>
              </w:pPr>
              <w:r>
                <w:t xml:space="preserve">De Afdeling adviseert de artikelen 4.1 en 5.15 aan te passen en daarbij de bestaande artikelen 16 en 17 van de Cw 2001 als uitgangspunt te nemen. </w:t>
              </w:r>
            </w:p>
            <w:p w:rsidR="00E02C8D" w:rsidP="00641EE0" w:rsidRDefault="007D5C6E"/>
            <w:p w:rsidR="00E02C8D" w:rsidP="00E02C8D" w:rsidRDefault="00E72390">
              <w:pPr>
                <w:rPr>
                  <w:i/>
                </w:rPr>
              </w:pPr>
              <w:r>
                <w:t xml:space="preserve">b) </w:t>
              </w:r>
              <w:r>
                <w:tab/>
              </w:r>
              <w:r w:rsidRPr="00884732">
                <w:rPr>
                  <w:i/>
                </w:rPr>
                <w:t>Definities</w:t>
              </w:r>
            </w:p>
            <w:p w:rsidR="00E02C8D" w:rsidP="00E02C8D" w:rsidRDefault="00E72390">
              <w:r>
                <w:t>Met het oog op een meer toegankelijke en leesbare wet met een modern begrippenapparaat bevat het voorstel in artikel 1.1 verschillende begripsbepalingen. Van verschillende definities en in definities gebruikte begrippen zoals: beleidsuitvoering, beleidsvoering, beleidsproces, taakproces, centrale kassen, is niet duidelijk wat deze toevoegen of betekenen. Zo is onduidelijk wat de toegevoegde waarde is van “het besturen en beheersen van het beleidsproces” als definitie van “beleidsvoering”.</w:t>
              </w:r>
            </w:p>
            <w:p w:rsidR="00E02C8D" w:rsidP="00E02C8D" w:rsidRDefault="007D5C6E"/>
            <w:p w:rsidR="00E02C8D" w:rsidP="00E02C8D" w:rsidRDefault="00E72390">
              <w:r>
                <w:lastRenderedPageBreak/>
                <w:t>In andere bepalingen in het voorstel lijkt niet consequent gebruik te worden gemaakt van de gedefinieerde begrippen. Zo wordt in artikel 10.14 betreffende het doelmatigheidsonderzoek door de AR gesproken van “het gevoerde beleid</w:t>
              </w:r>
              <w:r w:rsidRPr="0074589D">
                <w:t xml:space="preserve">”. </w:t>
              </w:r>
              <w:r>
                <w:t>Ook in artikel 2.11, tweede lid, wordt gesproken van “het gevoerde beleid”. Het is niet duidelijk waarom hier niet gebruik gemaakt wordt van de definitie “beleidsvoering”, bijvoorbeeld door in plaats van “het gevoerde beleid” de formulering “de beleidsvoering zoals die heeft plaatsgevonden” te hanteren.</w:t>
              </w:r>
            </w:p>
            <w:p w:rsidR="00E02C8D" w:rsidP="00E02C8D" w:rsidRDefault="007D5C6E"/>
            <w:p w:rsidR="00E02C8D" w:rsidP="00E02C8D" w:rsidRDefault="00E72390">
              <w:r>
                <w:t>Artikel 1.1 definieert “rechtspersoon met een wettelijke taak” – kortgezegd – als een rechtspersoon die een bij of krachtens een wet geregelde taak uitvoert en daartoe geheel of gedeeltelijk uit de opbrengst van een ingestelde heffing wordt bekostigd. In artikel 8.1 wordt geregeld welke rechtspersonen met een wettelijke taak kunnen worden aangewezen voor verplicht schatkistbankieren. Voor uitzonderingen daarop wordt in het tweede lid gesproken van “een bij of krachtens de wet geregelde taak met voornamelijk een marktkarakter” en “een relatief beperkte publieke neventaak”. Het vierde lid spreekt over het aanwijzen van rechtspersonen met een publieke taak naast de aanwijzing van rechtspersonen met een wettelijke taak. Het begrip “publieke taak” komt in de definitiebepaling niet voor.</w:t>
              </w:r>
            </w:p>
            <w:p w:rsidR="00E02C8D" w:rsidP="00E02C8D" w:rsidRDefault="007D5C6E"/>
            <w:p w:rsidR="00E02C8D" w:rsidP="00641EE0" w:rsidRDefault="00E72390">
              <w:r>
                <w:t>De Afdeling adviseert de verschillende definities en begrippen te verduidelijken en deze consequent te gebruiken.</w:t>
              </w:r>
            </w:p>
            <w:p w:rsidR="00E02C8D" w:rsidP="00641EE0" w:rsidRDefault="007D5C6E"/>
            <w:p w:rsidR="00E02C8D" w:rsidP="00E02C8D" w:rsidRDefault="00E72390">
              <w:r>
                <w:rPr>
                  <w:szCs w:val="22"/>
                </w:rPr>
                <w:t>c)</w:t>
              </w:r>
              <w:r>
                <w:rPr>
                  <w:szCs w:val="22"/>
                </w:rPr>
                <w:tab/>
              </w:r>
              <w:r w:rsidRPr="00DD36B9">
                <w:rPr>
                  <w:i/>
                  <w:szCs w:val="22"/>
                </w:rPr>
                <w:t>R</w:t>
              </w:r>
              <w:r w:rsidRPr="004D3A43">
                <w:rPr>
                  <w:i/>
                  <w:szCs w:val="22"/>
                </w:rPr>
                <w:t xml:space="preserve">eikwijdte </w:t>
              </w:r>
              <w:r>
                <w:rPr>
                  <w:i/>
                  <w:szCs w:val="22"/>
                </w:rPr>
                <w:t>rijks</w:t>
              </w:r>
              <w:r w:rsidRPr="004D3A43">
                <w:rPr>
                  <w:i/>
                  <w:szCs w:val="22"/>
                </w:rPr>
                <w:t>begroting</w:t>
              </w:r>
            </w:p>
            <w:p w:rsidR="00E02C8D" w:rsidP="00E02C8D" w:rsidRDefault="00E72390">
              <w:r>
                <w:rPr>
                  <w:szCs w:val="22"/>
                </w:rPr>
                <w:t>Met betrekking tot de afbakening van de rijksbegroting en de begrotingscyclus rijst een aantal vragen.</w:t>
              </w:r>
            </w:p>
            <w:p w:rsidR="00E02C8D" w:rsidP="00E02C8D" w:rsidRDefault="007D5C6E"/>
            <w:p w:rsidR="00E02C8D" w:rsidP="00E02C8D" w:rsidRDefault="00E72390">
              <w:pPr>
                <w:rPr>
                  <w:szCs w:val="22"/>
                </w:rPr>
              </w:pPr>
              <w:r>
                <w:rPr>
                  <w:szCs w:val="22"/>
                </w:rPr>
                <w:t>i.</w:t>
              </w:r>
              <w:r>
                <w:rPr>
                  <w:szCs w:val="22"/>
                </w:rPr>
                <w:tab/>
                <w:t>In artikel 2.10 wordt melding gemaakt van “de niet tot de rijksbegroting behorende budgetdisciplinesectoren”. Dit begrip “budgetdisciplinesectoren” wordt evenwel nergens gedefinieerd. Uit de toelichting wordt opgemaakt dat bedoeld worden de zorg en sociale zekerheid en arbeidsmarkt, die beide niet strikt tot de rijksbegroting behoren, maar wel met collectieve middelen worden gefinancierd.</w:t>
              </w:r>
              <w:r>
                <w:rPr>
                  <w:sz w:val="20"/>
                  <w:szCs w:val="20"/>
                </w:rPr>
                <w:t xml:space="preserve"> V</w:t>
              </w:r>
              <w:r w:rsidRPr="00F2431C">
                <w:rPr>
                  <w:szCs w:val="22"/>
                </w:rPr>
                <w:t>erduidelijk</w:t>
              </w:r>
              <w:r>
                <w:rPr>
                  <w:szCs w:val="22"/>
                </w:rPr>
                <w:t>ing is wenselijk</w:t>
              </w:r>
              <w:r w:rsidRPr="00F2431C">
                <w:rPr>
                  <w:szCs w:val="22"/>
                </w:rPr>
                <w:t>.</w:t>
              </w:r>
            </w:p>
            <w:p w:rsidR="00E02C8D" w:rsidP="00E02C8D" w:rsidRDefault="007D5C6E">
              <w:pPr>
                <w:rPr>
                  <w:szCs w:val="22"/>
                </w:rPr>
              </w:pPr>
            </w:p>
            <w:p w:rsidR="00E02C8D" w:rsidP="00E02C8D" w:rsidRDefault="00E72390">
              <w:pPr>
                <w:rPr>
                  <w:szCs w:val="22"/>
                </w:rPr>
              </w:pPr>
              <w:r>
                <w:rPr>
                  <w:szCs w:val="22"/>
                </w:rPr>
                <w:t>ii.</w:t>
              </w:r>
              <w:r>
                <w:rPr>
                  <w:szCs w:val="22"/>
                </w:rPr>
                <w:tab/>
                <w:t>I</w:t>
              </w:r>
              <w:r w:rsidRPr="003265D5">
                <w:rPr>
                  <w:szCs w:val="22"/>
                </w:rPr>
                <w:t xml:space="preserve">n het voorstel </w:t>
              </w:r>
              <w:r>
                <w:rPr>
                  <w:szCs w:val="22"/>
                </w:rPr>
                <w:t xml:space="preserve">wordt bepaald </w:t>
              </w:r>
              <w:r w:rsidRPr="003265D5">
                <w:rPr>
                  <w:szCs w:val="22"/>
                </w:rPr>
                <w:t xml:space="preserve">dat het stabiliteitsprogramma en het nationaal hervormingsprogramma jaarlijks aangeboden worden aan het parlement. Het valt daarbij op dat de regeling van het aanbieden van het stabiliteitsprogramma en nationaal hervormingsprogramma in het voorstel buiten de begrotingscyclus is geplaatst. </w:t>
              </w:r>
              <w:r>
                <w:rPr>
                  <w:szCs w:val="22"/>
                </w:rPr>
                <w:t>Met het stabiliteitsprogramma wordt evenwel voorgesorteerd op de begrotingen die in het najaar worden opgesteld.</w:t>
              </w:r>
              <w:r>
                <w:rPr>
                  <w:rStyle w:val="Voetnootmarkering"/>
                  <w:szCs w:val="22"/>
                </w:rPr>
                <w:footnoteReference w:id="9"/>
              </w:r>
              <w:r>
                <w:rPr>
                  <w:szCs w:val="22"/>
                </w:rPr>
                <w:t xml:space="preserve"> H</w:t>
              </w:r>
              <w:r w:rsidRPr="003265D5">
                <w:rPr>
                  <w:szCs w:val="22"/>
                </w:rPr>
                <w:t>et indienen van deze programma</w:t>
              </w:r>
              <w:r>
                <w:rPr>
                  <w:szCs w:val="22"/>
                </w:rPr>
                <w:t>’</w:t>
              </w:r>
              <w:r w:rsidRPr="003265D5">
                <w:rPr>
                  <w:szCs w:val="22"/>
                </w:rPr>
                <w:t xml:space="preserve">s </w:t>
              </w:r>
              <w:r>
                <w:rPr>
                  <w:szCs w:val="22"/>
                </w:rPr>
                <w:t xml:space="preserve">krijgt daarmee een functie in </w:t>
              </w:r>
              <w:r w:rsidRPr="003265D5">
                <w:rPr>
                  <w:szCs w:val="22"/>
                </w:rPr>
                <w:t xml:space="preserve">de nationale begrotingscyclus. </w:t>
              </w:r>
              <w:r>
                <w:rPr>
                  <w:szCs w:val="22"/>
                </w:rPr>
                <w:t xml:space="preserve">Tegen deze achtergrond is het de Afdeling niet op voorhand duidelijk waarom er niet voor is gekozen </w:t>
              </w:r>
              <w:r w:rsidRPr="003265D5">
                <w:rPr>
                  <w:szCs w:val="22"/>
                </w:rPr>
                <w:t xml:space="preserve">de Europese elementen van de begrotingscyclus in hoofdstuk 2 van de nieuwe Cw op te nemen. </w:t>
              </w:r>
              <w:r>
                <w:rPr>
                  <w:szCs w:val="22"/>
                </w:rPr>
                <w:t>Gelet op de snelle ontwikkeling van de Europese dimensie van het begrotingsbeleid is het wenselijk om in de toelichting nader in te gaan op deze ontwikkelingen en de gevolgen voor het Nederlandse begrotingsbeleid.</w:t>
              </w:r>
            </w:p>
            <w:p w:rsidR="00E02C8D" w:rsidP="00E02C8D" w:rsidRDefault="007D5C6E">
              <w:pPr>
                <w:rPr>
                  <w:szCs w:val="22"/>
                </w:rPr>
              </w:pPr>
            </w:p>
            <w:p w:rsidR="00E02C8D" w:rsidP="00641EE0" w:rsidRDefault="00E72390">
              <w:pPr>
                <w:rPr>
                  <w:szCs w:val="22"/>
                </w:rPr>
              </w:pPr>
              <w:r>
                <w:rPr>
                  <w:szCs w:val="22"/>
                </w:rPr>
                <w:t>Gelet op her voorgaande adviseert de Afdeling het voorstel aan te passen.</w:t>
              </w:r>
            </w:p>
            <w:p w:rsidR="00E02C8D" w:rsidP="00641EE0" w:rsidRDefault="007D5C6E">
              <w:pPr>
                <w:rPr>
                  <w:szCs w:val="22"/>
                </w:rPr>
              </w:pPr>
            </w:p>
            <w:p w:rsidR="00E02C8D" w:rsidP="00641EE0" w:rsidRDefault="00E72390">
              <w:r>
                <w:rPr>
                  <w:szCs w:val="22"/>
                </w:rPr>
                <w:lastRenderedPageBreak/>
                <w:t>d)</w:t>
              </w:r>
              <w:r>
                <w:rPr>
                  <w:szCs w:val="22"/>
                </w:rPr>
                <w:tab/>
              </w:r>
              <w:r w:rsidRPr="00884732">
                <w:rPr>
                  <w:i/>
                  <w:szCs w:val="22"/>
                </w:rPr>
                <w:t>Grondwettelijke taken en overige taken en bevoegdheden AR</w:t>
              </w:r>
            </w:p>
            <w:p w:rsidR="00E02C8D" w:rsidP="00641EE0" w:rsidRDefault="007D5C6E"/>
            <w:p w:rsidRPr="00E02C8D" w:rsidR="00641EE0" w:rsidP="00641EE0" w:rsidRDefault="00E72390">
              <w:r>
                <w:t xml:space="preserve">i. </w:t>
              </w:r>
              <w:r>
                <w:tab/>
                <w:t>In h</w:t>
              </w:r>
              <w:r w:rsidRPr="00E25B53">
                <w:t>oofdstuk 10, paragrafen 2 en 3</w:t>
              </w:r>
              <w:r>
                <w:t>, worden de bevoegdheden van de AR geregeld. Daarbij lopen de grondwettelijke en de overige taken en bevoegdheden door elkaar heen. D</w:t>
              </w:r>
              <w:r>
                <w:rPr>
                  <w:szCs w:val="22"/>
                </w:rPr>
                <w:t>it komt de toegankelijkheid van de Cw niet ten goede.</w:t>
              </w:r>
            </w:p>
            <w:p w:rsidR="00641EE0" w:rsidP="00641EE0" w:rsidRDefault="007D5C6E">
              <w:pPr>
                <w:rPr>
                  <w:szCs w:val="22"/>
                </w:rPr>
              </w:pPr>
            </w:p>
            <w:p w:rsidR="00641EE0" w:rsidP="00641EE0" w:rsidRDefault="00E72390">
              <w:r>
                <w:rPr>
                  <w:szCs w:val="22"/>
                </w:rPr>
                <w:t>Ingevolge artikel 76 van de Grondwet is de AR belast met het onderzoek van de ontvangsten en uitgaven van het Rijk. Artikel 78 van de Grondwet bepaalt dat de wet de inrichting, samenstelling en de bevoegdheid van de AR regelt en dat bij wet aan de AR ook andere taken kunnen worden opgedragen.</w:t>
              </w:r>
              <w:r>
                <w:t xml:space="preserve"> </w:t>
              </w:r>
              <w:r>
                <w:rPr>
                  <w:szCs w:val="22"/>
                </w:rPr>
                <w:t xml:space="preserve">In de Cw 2001 zijn de bevoegdheden van de AR nader geregeld. In paragraaf 2 van hoofdstuk VII van de Cw 2001, getiteld "Het </w:t>
              </w:r>
              <w:r>
                <w:t>rechtmatigheids- en doelmatigheidsonderzoek", is in de artikelen 82 tot en met 89 de controle door de AR van de ontvangsten en uitgaven van het Rijk nader geregeld. Deze valt uiteen in het onderzoek naar het door de ministers gevoerde financieel en materieel beheer, de ten behoeve van dat beheer bijgehouden administraties, de financiële informatie in de jaarverslagen, de departementale saldibalansen en de totstandkoming van de informatie over het gevoerde beleid en de bedrijfsvoering,</w:t>
              </w:r>
              <w:r>
                <w:rPr>
                  <w:rStyle w:val="Voetnootmarkering"/>
                </w:rPr>
                <w:footnoteReference w:id="10"/>
              </w:r>
              <w:r>
                <w:t xml:space="preserve"> het onderzoek naar de centrale administratie van de schatkist, het financieel jaarverslag en de saldibalans van het Rijk,</w:t>
              </w:r>
              <w:r>
                <w:rPr>
                  <w:rStyle w:val="Voetnootmarkering"/>
                </w:rPr>
                <w:footnoteReference w:id="11"/>
              </w:r>
              <w:r>
                <w:t xml:space="preserve"> het onderzoek naar de doeltreffendheid en doelmatigheid van het gevoerde beleid en de doelmatigheid van het financieel en materieel beheer en de daartoe bijgehouden administraties en de organisatie van het Rijk.</w:t>
              </w:r>
              <w:r>
                <w:rPr>
                  <w:rStyle w:val="Voetnootmarkering"/>
                </w:rPr>
                <w:footnoteReference w:id="12"/>
              </w:r>
              <w:r>
                <w:t xml:space="preserve"> De taak van de AR beperkt zich ingevolge deze bepalingen tot handelingen van het Rijk en zijn organen; daarbuiten heeft de AR ingevolge deze bepalingen geen taak. Het onderzoek van de AR bij het Rijk mondt uit in de verklaring van goedkeuring, of in een in de Cw 2001 uitgeschreven bezwarenprocedure.</w:t>
              </w:r>
            </w:p>
            <w:p w:rsidR="00641EE0" w:rsidP="00641EE0" w:rsidRDefault="007D5C6E"/>
            <w:p w:rsidR="00E02C8D" w:rsidP="00E02C8D" w:rsidRDefault="00E72390">
              <w:r>
                <w:t>In hoofdstuk VII, paragraaf 3, van de huidige wet zijn "De overige taken en bevoegdheden" van de AR geregeld. In deze paragraaf is onder meer vastgelegd dat de AR op verzoek van elk van beide kamers der Staten-Generaal bepaalde onderzoeken kan verrichten (artikel 90 Cw 2001). Deze bepaling is in de huidige vorm in 1992 (Stb. 350) in de destijds geldende Comptabiliteitswet 1976 opgenomen en heeft de mogelijkheid geopend dat de Staten-Generaal zich voor het instellen van zowel rechtmatigheidsonderzoek als doelmatigheidsonderzoek rechtstreeks tot de AR kunnen wenden zonder tussenkomst van de minister. Het onderzoek dat op grond van deze paragraaf kan worden gedaan, kan uitmonden in een rapport, maar kan ook tot mededelingen leiden die de AR in het algemene belang nodig oordeelt.</w:t>
              </w:r>
              <w:r>
                <w:rPr>
                  <w:rStyle w:val="Voetnootmarkering"/>
                </w:rPr>
                <w:footnoteReference w:id="13"/>
              </w:r>
            </w:p>
            <w:p w:rsidR="00E02C8D" w:rsidP="00E02C8D" w:rsidRDefault="007D5C6E"/>
            <w:p w:rsidR="00E02C8D" w:rsidP="00E02C8D" w:rsidRDefault="00E72390">
              <w:r>
                <w:t>Gelet op het verschil in karakter van de taken en de uitkomsten van het onderzoek is het wenselijk het onderscheid tussen de grondwettelijke taken van de AR en de overige taken van de AR in het voorstel duidelijk te onderscheiden. De huidige indeling in de Cw 2001 biedt hiervoor een model.</w:t>
              </w:r>
              <w:r>
                <w:rPr>
                  <w:vertAlign w:val="superscript"/>
                </w:rPr>
                <w:footnoteReference w:id="14"/>
              </w:r>
            </w:p>
            <w:p w:rsidR="00E02C8D" w:rsidP="00E02C8D" w:rsidRDefault="007D5C6E"/>
            <w:p w:rsidR="00E02C8D" w:rsidP="00E02C8D" w:rsidRDefault="00E72390">
              <w:r>
                <w:rPr>
                  <w:szCs w:val="22"/>
                </w:rPr>
                <w:lastRenderedPageBreak/>
                <w:t>ii.</w:t>
              </w:r>
              <w:r>
                <w:rPr>
                  <w:szCs w:val="22"/>
                </w:rPr>
                <w:tab/>
                <w:t xml:space="preserve">Gevolg van </w:t>
              </w:r>
              <w:r>
                <w:t>het in elkaar schuiven van grondwettelijke taken van de AR en de overige wettelijke taken is dat op andere punten verwarring dreigt. Zo lijkt a</w:t>
              </w:r>
              <w:r w:rsidRPr="008E2C61">
                <w:t>rtikel 10.30</w:t>
              </w:r>
              <w:r>
                <w:t xml:space="preserve"> te veronderstellen dat op een onderzoek altijd een rapport volgt, terwijl uit het vijfde lid, en de opzet van de navolgende artikel 10.31 en 10.32 volgt dat dit niet steeds het geval is.</w:t>
              </w:r>
            </w:p>
            <w:p w:rsidR="00E02C8D" w:rsidP="00E02C8D" w:rsidRDefault="007D5C6E"/>
            <w:p w:rsidR="00E02C8D" w:rsidP="00E02C8D" w:rsidRDefault="00E72390">
              <w:r>
                <w:t>Gelet hierop adviseert de Afdeling nauwer aan te sluiten bij de bestaande systematiek in de Cw 2001.</w:t>
              </w:r>
            </w:p>
            <w:p w:rsidR="00E02C8D" w:rsidP="00E02C8D" w:rsidRDefault="007D5C6E"/>
            <w:p w:rsidR="00E02C8D" w:rsidP="00641EE0" w:rsidRDefault="00E72390">
              <w:pPr>
                <w:rPr>
                  <w:szCs w:val="22"/>
                </w:rPr>
              </w:pPr>
              <w:r>
                <w:rPr>
                  <w:szCs w:val="22"/>
                </w:rPr>
                <w:t>e)</w:t>
              </w:r>
              <w:r>
                <w:rPr>
                  <w:szCs w:val="22"/>
                </w:rPr>
                <w:tab/>
                <w:t>Het</w:t>
              </w:r>
              <w:r w:rsidRPr="00CE70AA">
                <w:rPr>
                  <w:szCs w:val="22"/>
                </w:rPr>
                <w:t xml:space="preserve"> voorstel </w:t>
              </w:r>
              <w:r>
                <w:rPr>
                  <w:szCs w:val="22"/>
                </w:rPr>
                <w:t>bevat een aantal</w:t>
              </w:r>
              <w:r w:rsidRPr="00CE70AA">
                <w:rPr>
                  <w:szCs w:val="22"/>
                </w:rPr>
                <w:t xml:space="preserve"> on</w:t>
              </w:r>
              <w:r>
                <w:rPr>
                  <w:szCs w:val="22"/>
                </w:rPr>
                <w:t xml:space="preserve">duidelijkheden </w:t>
              </w:r>
              <w:r w:rsidRPr="00CE70AA">
                <w:rPr>
                  <w:szCs w:val="22"/>
                </w:rPr>
                <w:t>die afbreuk doen aan de</w:t>
              </w:r>
              <w:r>
                <w:rPr>
                  <w:szCs w:val="22"/>
                </w:rPr>
                <w:t xml:space="preserve"> rechtszekerheid en het streven om te komen tot een toegankelijke en inzichtelijke Cw</w:t>
              </w:r>
              <w:r w:rsidRPr="00CE70AA">
                <w:rPr>
                  <w:szCs w:val="22"/>
                </w:rPr>
                <w:t>.</w:t>
              </w:r>
            </w:p>
            <w:p w:rsidR="00E02C8D" w:rsidP="00641EE0" w:rsidRDefault="007D5C6E">
              <w:pPr>
                <w:rPr>
                  <w:szCs w:val="22"/>
                </w:rPr>
              </w:pPr>
            </w:p>
            <w:p w:rsidR="00E02C8D" w:rsidP="00E02C8D" w:rsidRDefault="00E72390">
              <w:r>
                <w:t>i.</w:t>
              </w:r>
              <w:r>
                <w:tab/>
                <w:t>Zo stelt de toelichting op artikel 3.3, tweede lid, dat onder ‘met terughoudendheid in uitvoering genomen’ wordt verstaan: doorgaans een/twaalfde deel van de jaarbegroting per maand uitgevoerd mag worden. Het ligt voor de hand een dergelijke belangrijke afwijking van het recht van autorisatie als uitgangspunt in de wet op te nemen en de toelichting op dit punt aan te passen.</w:t>
              </w:r>
            </w:p>
            <w:p w:rsidR="00E02C8D" w:rsidP="00E02C8D" w:rsidRDefault="007D5C6E"/>
            <w:p w:rsidR="00E02C8D" w:rsidP="00641EE0" w:rsidRDefault="00E72390">
              <w:r>
                <w:t>ii.</w:t>
              </w:r>
              <w:r>
                <w:tab/>
                <w:t>In artikel 2.13 wordt melding gemaakt van “externe financiële verplichtingen”, “externe garantieverplichtingen”, “externe schulden”. Uit de toelichting blijkt dat met “extern” in dit verband wordt bedoeld andere organisaties of organisatieonderdelen dan die waarvan de saldi in de betrokken saldibalans zijn opgenomen. Voor de duidelijkheid van de bepaling zou deze bedoeling in het artikel zelf tot uitdrukking moeten worden gebracht.</w:t>
              </w:r>
            </w:p>
            <w:p w:rsidR="00E02C8D" w:rsidP="00641EE0" w:rsidRDefault="007D5C6E"/>
            <w:p w:rsidR="00E02C8D" w:rsidP="00641EE0" w:rsidRDefault="00E72390">
              <w:r>
                <w:t>iii.</w:t>
              </w:r>
              <w:r>
                <w:tab/>
                <w:t>Niet duidelijk is wat in a</w:t>
              </w:r>
              <w:r w:rsidRPr="00147FC8">
                <w:t>rtikel 8.2</w:t>
              </w:r>
              <w:r>
                <w:t xml:space="preserve"> moet worden verstaan onder “derde partijen” en onder “bepaalde publiekrechtelijke voorschotten”. Daarmee leidt deze bepaling tot rechtsonzekerheid voor betrokkenen.</w:t>
              </w:r>
            </w:p>
            <w:p w:rsidR="00E02C8D" w:rsidP="00641EE0" w:rsidRDefault="007D5C6E"/>
            <w:p w:rsidR="00E02C8D" w:rsidP="00E02C8D" w:rsidRDefault="00E72390">
              <w:r>
                <w:t>iv.</w:t>
              </w:r>
              <w:r>
                <w:tab/>
                <w:t>Artikel 8.3, eerste lid, bepaalt dat de Minister van Financiën kan toestaan dat een rechtspersoon die publieke financiële middelen beheert met die financiële middelen deelneemt aan schatkistbankieren. Volgens de toelichting is de bedoeling dat dit op verzoek gebeurt. Dit blijkt evenwel niet uit de wettekst. Voorts is onduidelijk wat wordt bedoeld met “het beheren van publieke financiële middelen”. De vraag rijst of dat hetzelfde is als de zorg voor de financiële bezittingen en schulden.</w:t>
              </w:r>
              <w:r>
                <w:rPr>
                  <w:rStyle w:val="Voetnootmarkering"/>
                </w:rPr>
                <w:footnoteReference w:id="15"/>
              </w:r>
              <w:r>
                <w:t xml:space="preserve"> Deze bepaling behoeft daarom verduidelijking.</w:t>
              </w:r>
            </w:p>
            <w:p w:rsidR="00E02C8D" w:rsidP="00E02C8D" w:rsidRDefault="007D5C6E"/>
            <w:p w:rsidR="005C5C81" w:rsidP="00E02C8D" w:rsidRDefault="00E72390">
              <w:r>
                <w:t>v.</w:t>
              </w:r>
              <w:r>
                <w:tab/>
              </w:r>
              <w:r w:rsidRPr="007C403D">
                <w:t>Artikel 9.2</w:t>
              </w:r>
              <w:r>
                <w:t xml:space="preserve">, onderdeel a, regelt onder andere dat het oogmerk van het toezicht is om na te gaan of de organisatie de bijdrage beheert in overeenstemming met de voorwaarden die aan het beheer </w:t>
              </w:r>
              <w:r>
                <w:rPr>
                  <w:i/>
                </w:rPr>
                <w:t>en de controle</w:t>
              </w:r>
              <w:r>
                <w:t xml:space="preserve"> zijn gesteld. Wat in dit verband met “en de controle” wordt bedoeld is onduidelijk.</w:t>
              </w:r>
            </w:p>
            <w:p w:rsidR="00E02C8D" w:rsidP="00E02C8D" w:rsidRDefault="00E72390">
              <w:r>
                <w:t>De Afdeling adviseert dit begrip te verduidelijken en zo nodig het voorstel aan te passen.</w:t>
              </w:r>
            </w:p>
            <w:p w:rsidR="00E02C8D" w:rsidP="00E02C8D" w:rsidRDefault="007D5C6E"/>
            <w:p w:rsidR="00E02C8D" w:rsidP="00E02C8D" w:rsidRDefault="00E72390">
              <w:r>
                <w:t>vi.</w:t>
              </w:r>
              <w:r>
                <w:tab/>
                <w:t>A</w:t>
              </w:r>
              <w:r w:rsidRPr="007C403D">
                <w:t>rtikel 9.3</w:t>
              </w:r>
              <w:r>
                <w:t>, eerste lid, onder a, spreekt van “overige verantwoordingsinformatie”. Die terminologie is ruim en onbepaald. In het huidige artikel 43, tweede lid, Cw 2001 is bepaald dat jaarrekeningen, jaarverslagen en aan de jaarrekeningen en jaarverslagen toegevoegde overige gegevens worden overgelegd. Dat is duidelijker. Uit een oogpunt van rechtszekerheid verdient een dergelijke formulering aanbeveling.</w:t>
              </w:r>
            </w:p>
            <w:p w:rsidR="00E02C8D" w:rsidP="00E02C8D" w:rsidRDefault="007D5C6E"/>
            <w:p w:rsidR="00E02C8D" w:rsidP="00E02C8D" w:rsidRDefault="00E72390">
              <w:r>
                <w:t>Evenzo is onduidelijk wat in het eerste lid, onder d, wordt bedoeld met “prestaties”.</w:t>
              </w:r>
            </w:p>
            <w:p w:rsidR="00E02C8D" w:rsidP="00E02C8D" w:rsidRDefault="007D5C6E"/>
            <w:p w:rsidR="00E02C8D" w:rsidP="00E02C8D" w:rsidRDefault="00E72390">
              <w:r>
                <w:t>In het tweede lid wordt de term “goederen” gebruikt waar vermoedelijk de term “bescheiden” is bedoeld.</w:t>
              </w:r>
            </w:p>
            <w:p w:rsidR="00E02C8D" w:rsidP="00E02C8D" w:rsidRDefault="007D5C6E"/>
            <w:p w:rsidR="00E02C8D" w:rsidP="00641EE0" w:rsidRDefault="00E72390">
              <w:r>
                <w:rPr>
                  <w:i/>
                </w:rPr>
                <w:t>vii.</w:t>
              </w:r>
              <w:r>
                <w:rPr>
                  <w:i/>
                </w:rPr>
                <w:tab/>
              </w:r>
              <w:r>
                <w:t>A</w:t>
              </w:r>
              <w:r w:rsidRPr="007C403D">
                <w:t>rtikel 10.12</w:t>
              </w:r>
              <w:r>
                <w:t>, tweede lid, bepaalt dat de AR periodiek onderzoek doet. Niet duidelijk is wat onder “periodiek” wordt verstaan. In de artikelen 82, eerste lid, en 83, eerste lid, Cw 2001 staat dat jaarlijks onderzoek wordt gedaan. Is dat ook voor de toekomst de bedoeling? Dan ligt het voor de hand de term “jaarlijks” te handhaven.</w:t>
              </w:r>
            </w:p>
            <w:p w:rsidR="005C5C81" w:rsidP="00641EE0" w:rsidRDefault="00E72390">
              <w:r>
                <w:t>De Afdeling adviseert naar aanleiding van het voorgaande het voorstel aan te passen.</w:t>
              </w:r>
            </w:p>
            <w:p w:rsidR="00E02C8D" w:rsidP="00641EE0" w:rsidRDefault="007D5C6E"/>
            <w:p w:rsidR="00E02C8D" w:rsidP="00E02C8D" w:rsidRDefault="00E72390">
              <w:r>
                <w:t>f)</w:t>
              </w:r>
              <w:r>
                <w:tab/>
              </w:r>
              <w:r w:rsidRPr="005C5C81">
                <w:rPr>
                  <w:i/>
                </w:rPr>
                <w:t>Eindconclusie</w:t>
              </w:r>
            </w:p>
            <w:p w:rsidR="00E02C8D" w:rsidP="00E02C8D" w:rsidRDefault="00E72390">
              <w:r>
                <w:t>De Afdeling adviseert het voorstel en de toelichting nader te bezien in het licht van de rechtszekerheid en meer recht te doen aan de doelstelling om te komen tot een terminologisch en systematisch moderne en begrijpelijke opzet voor de Cw.</w:t>
              </w:r>
            </w:p>
            <w:p w:rsidR="00E02C8D" w:rsidP="00E02C8D" w:rsidRDefault="007D5C6E"/>
            <w:p w:rsidR="00E02C8D" w:rsidP="00641EE0" w:rsidRDefault="00E72390">
              <w:r>
                <w:t>3</w:t>
              </w:r>
              <w:r w:rsidRPr="00206EFE">
                <w:t>.</w:t>
              </w:r>
              <w:r>
                <w:rPr>
                  <w:i/>
                </w:rPr>
                <w:tab/>
              </w:r>
              <w:r>
                <w:rPr>
                  <w:u w:val="single"/>
                </w:rPr>
                <w:t>Bevoegdheden AR bij contractuele voorbehouden</w:t>
              </w:r>
            </w:p>
            <w:p w:rsidR="00E02C8D" w:rsidP="00641EE0" w:rsidRDefault="007D5C6E"/>
            <w:p w:rsidR="00E02C8D" w:rsidP="00641EE0" w:rsidRDefault="00E72390">
              <w:r>
                <w:t xml:space="preserve">Voorgesteld wordt de onderzoeksbevoegdheden van de AR inzake het toezicht op het beheer van publieke middelen door organisaties buiten het Rijk uit te breiden tot organisaties en natuurlijke personen die goederen of diensten leveren die met publieke middelen zijn bekostigd en waar de minister zich (contractueel) een bevoegdheid heeft voorbehouden. De uitbreiding van het interne toezicht en de aansluiting van externe onderzoeksbevoegdheden op de interne - uitgebreide - bevoegdheden van de minister betekent een aanzienlijke uitbreiding van de controlebevoegdheden van de interne en externe controle-instanties. Die aansluiting gaat eraan voorbij dat de minister zich bij een overeenkomst een onderzoeksbevoegdheid voorbehoudt. Hij kan bij de wederpartij onderzoek doen als </w:t>
              </w:r>
              <w:r w:rsidRPr="00266EE5">
                <w:rPr>
                  <w:i/>
                </w:rPr>
                <w:t>contractspartner</w:t>
              </w:r>
              <w:r>
                <w:t>. De voorgestelde onderzoeksbevoegdheid van de AR richt zich op de controle op de besteding van publieke middelen. De toekenning van bevoegdheden vereist dan ook in beide domeinen een zelfstandige motivering.</w:t>
              </w:r>
            </w:p>
            <w:p w:rsidR="00E02C8D" w:rsidP="00641EE0" w:rsidRDefault="007D5C6E"/>
            <w:p w:rsidR="00641EE0" w:rsidP="00641EE0" w:rsidRDefault="00E72390">
              <w:r>
                <w:t>Contractueel kan een minister bij de inkoop van producten of diensten zich een onderzoeksbevoegdheid voorbehouden. Het voorgestelde artikel 10.16, onder d, regelt dat in dat geval ook de AR een onderzoeksbevoegdheid heeft. Deze nieuwe bepaling heeft ver strekkende gevolgen.</w:t>
              </w:r>
              <w:r>
                <w:rPr>
                  <w:rStyle w:val="Voetnootmarkering"/>
                </w:rPr>
                <w:footnoteReference w:id="16"/>
              </w:r>
              <w:r>
                <w:t xml:space="preserve"> Het betreft immers potentieel de gehele inkoop bij derden door de rijksoverheid en door rechtspersonen met een wettelijke taak.</w:t>
              </w:r>
            </w:p>
            <w:p w:rsidR="00641EE0" w:rsidP="00641EE0" w:rsidRDefault="007D5C6E"/>
            <w:p w:rsidR="00641EE0" w:rsidP="00641EE0" w:rsidRDefault="00E72390">
              <w:r>
                <w:t>De Afdeling merkt op dat er een wezenlijk onderscheid bestaat tussen bekostiging of subsidiëring van private instellingen en de inkoop van goederen of diensten bij private instellingen. In eerdere advisering heeft de Afdeling erop gewezen dat het systeem van de comptabiliteitswetgeving is gebaseerd op scheiding van uitgaven van publieke en private aard.</w:t>
              </w:r>
              <w:r>
                <w:rPr>
                  <w:rStyle w:val="Voetnootmarkering"/>
                </w:rPr>
                <w:footnoteReference w:id="17"/>
              </w:r>
              <w:r>
                <w:t xml:space="preserve"> Wat de private sector betreft, is het geboden dat de eigen sfeer, dat wil </w:t>
              </w:r>
              <w:r>
                <w:lastRenderedPageBreak/>
                <w:t>zeggen de zelfstandigheid en het private karakter van instellingen die in de private sector werkzaam zijn, wordt gerespecteerd. De Cw 2001 vormt de weerslag van een zoektocht naar een evenwicht tussen het belang van het respecteren van de private sector enerzijds en het belang van de verantwoording en democratische controle op de besteding van collectieve middelen anderzijds. Met de voorgestelde uitbreiding wordt dit evenwicht verstoord. Aan de levering van goederen of diensten ligt – anders dan wanneer sprake is van bekostiging – een privaatrechtelijke overeenkomst ten grondslag op basis van gelijkheid tussen contractspartijen; het gaat om een prijs, niet om bekostiging. Dat sommige marktpartijen in sectoren werkzaam zijn waarin overheidsbeleid en collectieve middelen een belangrijke rol spelen (zoals de gezondheidszorg) maakt het wezenlijk andere karakter van deze transacties niet anders.</w:t>
              </w:r>
              <w:r w:rsidRPr="00182184">
                <w:t xml:space="preserve"> </w:t>
              </w:r>
              <w:r>
                <w:t>Bevoegdheden van het Rijk en van de AR hoeven dus niet per se parallel te lopen, maar vergen telkens weer een zelfstandige motivering.</w:t>
              </w:r>
            </w:p>
            <w:p w:rsidR="00E02C8D" w:rsidP="00641EE0" w:rsidRDefault="007D5C6E"/>
            <w:p w:rsidR="00641EE0" w:rsidP="00641EE0" w:rsidRDefault="00E72390">
              <w:r>
                <w:t xml:space="preserve">Artikel 10.17, eerste lid, onder b, laat zien tot welke situatie de voorgestelde uitbreiding van bevoegdheden leidt. Artikel 10.17 regelt de reikwijdte van het onderzoek door de AR. Ingevolge het eerste lid, onder b, is dit onderzoek ook gericht op het beheer van publieke middelen door de organisaties, natuurlijke personen en rechtspersonen. Er is evenwel geen sprake van beheer van publieke middelen door deze organisaties, maar slechts sprake van een betaalde prijs. Al kan het maken van een contractueel voorbehoud tot onderzoek in verschillende situaties aangewezen zijn, dat rechtvaardigt nog niet de voorgestelde uitbreiding van bevoegdheden van de AR na de aansluiting op de bevoegdheden van de minister. </w:t>
              </w:r>
            </w:p>
            <w:p w:rsidR="00641EE0" w:rsidP="00641EE0" w:rsidRDefault="00E72390">
              <w:r>
                <w:t xml:space="preserve"> </w:t>
              </w:r>
            </w:p>
            <w:p w:rsidR="00641EE0" w:rsidP="00641EE0" w:rsidRDefault="00E72390">
              <w:r>
                <w:t xml:space="preserve">Gelet op het vorenstaande adviseert de Afdeling af te zien van deze uitbreiding van de onderzoeksbevoegdheden. </w:t>
              </w:r>
            </w:p>
            <w:p w:rsidR="00641EE0" w:rsidP="00641EE0" w:rsidRDefault="007D5C6E"/>
            <w:p w:rsidR="00641EE0" w:rsidP="00641EE0" w:rsidRDefault="00E72390">
              <w:r>
                <w:t>4</w:t>
              </w:r>
              <w:r w:rsidRPr="00206EFE">
                <w:t>.</w:t>
              </w:r>
              <w:r>
                <w:rPr>
                  <w:i/>
                </w:rPr>
                <w:tab/>
              </w:r>
              <w:r>
                <w:rPr>
                  <w:u w:val="single"/>
                </w:rPr>
                <w:t xml:space="preserve">Uitbreiding toezichts- en onderzoeksbevoegdheden </w:t>
              </w:r>
              <w:r>
                <w:rPr>
                  <w:u w:val="single"/>
                </w:rPr>
                <w:br/>
              </w:r>
            </w:p>
            <w:p w:rsidR="00641EE0" w:rsidP="00641EE0" w:rsidRDefault="00E72390">
              <w:pPr>
                <w:rPr>
                  <w:szCs w:val="22"/>
                </w:rPr>
              </w:pPr>
              <w:r w:rsidRPr="00C4170B">
                <w:rPr>
                  <w:szCs w:val="22"/>
                </w:rPr>
                <w:t xml:space="preserve">Artikel 9.1 regelt de reikwijdte van het </w:t>
              </w:r>
              <w:r>
                <w:rPr>
                  <w:szCs w:val="22"/>
                </w:rPr>
                <w:t xml:space="preserve">toezicht van het Rijk op </w:t>
              </w:r>
              <w:r w:rsidRPr="00C4170B">
                <w:rPr>
                  <w:szCs w:val="22"/>
                </w:rPr>
                <w:t>het beheer van publieke financiële middelen</w:t>
              </w:r>
              <w:r>
                <w:rPr>
                  <w:szCs w:val="22"/>
                </w:rPr>
                <w:t xml:space="preserve"> door organisaties buiten het Rijk</w:t>
              </w:r>
              <w:r w:rsidRPr="00C4170B">
                <w:rPr>
                  <w:szCs w:val="22"/>
                </w:rPr>
                <w:t xml:space="preserve">. Dezelfde omschrijvingen zijn gebruikt in artikel 10.16, waar het gaat om de onderzoeksbevoegdheden van de AR. </w:t>
              </w:r>
              <w:r>
                <w:rPr>
                  <w:szCs w:val="22"/>
                </w:rPr>
                <w:t>Een aantal kernbegrippen is in het voorstel anders – en ruimer – geformuleerd dan in de huidige Cw 2001 het geval is.</w:t>
              </w:r>
            </w:p>
            <w:p w:rsidR="006E3B52" w:rsidP="00641EE0" w:rsidRDefault="007D5C6E">
              <w:pPr>
                <w:rPr>
                  <w:szCs w:val="22"/>
                </w:rPr>
              </w:pPr>
            </w:p>
            <w:p w:rsidR="006E3B52" w:rsidP="00641EE0" w:rsidRDefault="007D5C6E">
              <w:pPr>
                <w:rPr>
                  <w:szCs w:val="22"/>
                </w:rPr>
              </w:pPr>
            </w:p>
            <w:p w:rsidR="00641EE0" w:rsidP="00641EE0" w:rsidRDefault="007D5C6E">
              <w:pPr>
                <w:rPr>
                  <w:szCs w:val="22"/>
                </w:rPr>
              </w:pPr>
            </w:p>
            <w:p w:rsidRPr="00F2431C" w:rsidR="00641EE0" w:rsidP="00641EE0" w:rsidRDefault="00E72390">
              <w:pPr>
                <w:rPr>
                  <w:i/>
                  <w:szCs w:val="22"/>
                </w:rPr>
              </w:pPr>
              <w:r>
                <w:rPr>
                  <w:szCs w:val="22"/>
                </w:rPr>
                <w:t xml:space="preserve">- </w:t>
              </w:r>
              <w:r>
                <w:rPr>
                  <w:i/>
                  <w:szCs w:val="22"/>
                </w:rPr>
                <w:t>bijdrage</w:t>
              </w:r>
            </w:p>
            <w:p w:rsidR="00641EE0" w:rsidP="00641EE0" w:rsidRDefault="00E72390">
              <w:pPr>
                <w:rPr>
                  <w:szCs w:val="22"/>
                </w:rPr>
              </w:pPr>
              <w:r w:rsidRPr="00C4170B">
                <w:rPr>
                  <w:szCs w:val="22"/>
                </w:rPr>
                <w:t>Van belang is of een organisatie een “bijdrage” ten laste van de rijksbegroting ontvangt. Het begrip “bijdrage” is niet gedefinieerd, terwijl het voor het bepalen van de reikwijdte van het toezicht bepalend is. Uit de toelichting blijkt dat een ruime betekenis aan dit begrip moet worden toegekend, waarbij bijvoorbeeld ook moet worden gedacht aan fiscale bijdragen.</w:t>
              </w:r>
              <w:r>
                <w:rPr>
                  <w:rStyle w:val="Voetnootmarkering"/>
                  <w:szCs w:val="22"/>
                </w:rPr>
                <w:footnoteReference w:id="18"/>
              </w:r>
              <w:r w:rsidRPr="00C4170B">
                <w:rPr>
                  <w:szCs w:val="22"/>
                </w:rPr>
                <w:t xml:space="preserve"> Hiermee is sprake van een uitbreiding van toezichtsbevoegdheden</w:t>
              </w:r>
              <w:r>
                <w:rPr>
                  <w:szCs w:val="22"/>
                </w:rPr>
                <w:t>, waarvan de begrenzing vaag is</w:t>
              </w:r>
              <w:r w:rsidRPr="00C4170B">
                <w:rPr>
                  <w:szCs w:val="22"/>
                </w:rPr>
                <w:t>. De huidige bepaling</w:t>
              </w:r>
              <w:r>
                <w:rPr>
                  <w:szCs w:val="22"/>
                </w:rPr>
                <w:t xml:space="preserve"> </w:t>
              </w:r>
              <w:r w:rsidRPr="00C4170B">
                <w:rPr>
                  <w:szCs w:val="22"/>
                </w:rPr>
                <w:t xml:space="preserve">(artikel 43 Cw 2001) is duidelijker: “subsidie, lening of garantie” . </w:t>
              </w:r>
            </w:p>
            <w:p w:rsidR="00641EE0" w:rsidP="00641EE0" w:rsidRDefault="007D5C6E">
              <w:pPr>
                <w:rPr>
                  <w:szCs w:val="22"/>
                </w:rPr>
              </w:pPr>
            </w:p>
            <w:p w:rsidR="00641EE0" w:rsidP="00641EE0" w:rsidRDefault="00E72390">
              <w:pPr>
                <w:rPr>
                  <w:i/>
                  <w:szCs w:val="22"/>
                </w:rPr>
              </w:pPr>
              <w:r>
                <w:rPr>
                  <w:szCs w:val="22"/>
                </w:rPr>
                <w:t xml:space="preserve">- </w:t>
              </w:r>
              <w:r w:rsidRPr="00F2431C">
                <w:rPr>
                  <w:i/>
                  <w:szCs w:val="22"/>
                </w:rPr>
                <w:t>organisatie</w:t>
              </w:r>
            </w:p>
            <w:p w:rsidR="00641EE0" w:rsidP="00641EE0" w:rsidRDefault="00E72390">
              <w:pPr>
                <w:rPr>
                  <w:szCs w:val="22"/>
                </w:rPr>
              </w:pPr>
              <w:r w:rsidRPr="00C4170B">
                <w:rPr>
                  <w:szCs w:val="22"/>
                </w:rPr>
                <w:lastRenderedPageBreak/>
                <w:t xml:space="preserve">Dit geldt ook voor het begrip “organisaties” in artikel 9.1, dat ruimer en minder </w:t>
              </w:r>
              <w:r>
                <w:rPr>
                  <w:szCs w:val="22"/>
                </w:rPr>
                <w:t>duidelijk</w:t>
              </w:r>
              <w:r w:rsidRPr="00C4170B">
                <w:rPr>
                  <w:szCs w:val="22"/>
                </w:rPr>
                <w:t xml:space="preserve"> is omschreven dan de huidige bepalingen dienaangaande in </w:t>
              </w:r>
              <w:r>
                <w:rPr>
                  <w:szCs w:val="22"/>
                </w:rPr>
                <w:t xml:space="preserve">artikel 43, onderscheidenlijk 91 van </w:t>
              </w:r>
              <w:r w:rsidRPr="00C4170B">
                <w:rPr>
                  <w:szCs w:val="22"/>
                </w:rPr>
                <w:t xml:space="preserve">de Cw 2001 (rechtspersonen, commanditaire vennootschappen, vennootschappen onder firma en natuurlijke personen die een bedrijf of beroep uitoefenen). Ook voor de AR betekent dit een verruiming van de bevoegdheden en een vage </w:t>
              </w:r>
              <w:r>
                <w:rPr>
                  <w:szCs w:val="22"/>
                </w:rPr>
                <w:t>begrenzing daarvan,</w:t>
              </w:r>
              <w:r w:rsidRPr="00C4170B">
                <w:rPr>
                  <w:szCs w:val="22"/>
                </w:rPr>
                <w:t xml:space="preserve"> </w:t>
              </w:r>
              <w:r>
                <w:rPr>
                  <w:szCs w:val="22"/>
                </w:rPr>
                <w:t>terwijl</w:t>
              </w:r>
              <w:r w:rsidRPr="00C4170B">
                <w:rPr>
                  <w:szCs w:val="22"/>
                </w:rPr>
                <w:t xml:space="preserve"> in de huidige Cw 2001 een </w:t>
              </w:r>
              <w:r>
                <w:rPr>
                  <w:szCs w:val="22"/>
                </w:rPr>
                <w:t>duidelijke</w:t>
              </w:r>
              <w:r w:rsidRPr="00C4170B">
                <w:rPr>
                  <w:szCs w:val="22"/>
                </w:rPr>
                <w:t xml:space="preserve"> afbakening bestaat.</w:t>
              </w:r>
            </w:p>
            <w:p w:rsidR="00641EE0" w:rsidP="00641EE0" w:rsidRDefault="007D5C6E">
              <w:pPr>
                <w:rPr>
                  <w:szCs w:val="22"/>
                </w:rPr>
              </w:pPr>
            </w:p>
            <w:p w:rsidRPr="00F2431C" w:rsidR="00641EE0" w:rsidP="00641EE0" w:rsidRDefault="00E72390">
              <w:pPr>
                <w:rPr>
                  <w:i/>
                  <w:szCs w:val="22"/>
                </w:rPr>
              </w:pPr>
              <w:r>
                <w:rPr>
                  <w:szCs w:val="22"/>
                </w:rPr>
                <w:t xml:space="preserve">- </w:t>
              </w:r>
              <w:r>
                <w:rPr>
                  <w:i/>
                  <w:szCs w:val="22"/>
                </w:rPr>
                <w:t xml:space="preserve">natuurlijke personen </w:t>
              </w:r>
            </w:p>
            <w:p w:rsidR="00641EE0" w:rsidP="00641EE0" w:rsidRDefault="00E72390">
              <w:r>
                <w:rPr>
                  <w:szCs w:val="22"/>
                </w:rPr>
                <w:t>In dit verband wijst de Afdeling er voorts op dat i</w:t>
              </w:r>
              <w:r>
                <w:t xml:space="preserve">n het voorstel ook onderzoeksbevoegdheden bestaan ten aanzien van natuurlijke personen die een bedrijf of beroep uitoefenen en die een bijdrage ten laste van de rijksbegroting hebben ontvangen. In de huidige Cw 2001 bestaan die bevoegdheden ten aanzien van natuurlijke personen alleen waar het gaat om Europese subsidies. </w:t>
              </w:r>
            </w:p>
            <w:p w:rsidR="00641EE0" w:rsidP="00641EE0" w:rsidRDefault="007D5C6E"/>
            <w:p w:rsidR="00641EE0" w:rsidP="00641EE0" w:rsidRDefault="00E72390">
              <w:r>
                <w:t>De Afdeling acht de uit het vorenstaande voortvloeiende uitbreiding van bevoegdheden in hoge mate ongewenst. De begrenzing van de toezichts- en onderzoeksbevoegdheden in de Cw is gebaseerd op een evenwicht tussen het belang van een adequate controle enerzijds en het respecteren van de private sector anderzijds.</w:t>
              </w:r>
              <w:r>
                <w:rPr>
                  <w:rStyle w:val="Voetnootmarkering"/>
                </w:rPr>
                <w:footnoteReference w:id="19"/>
              </w:r>
              <w:r>
                <w:t xml:space="preserve"> De uitbreiding van bevoegdheden en de onduidelijke begrenzing van de voorgestelde bepalingen miskennen dit evenwicht. </w:t>
              </w:r>
            </w:p>
            <w:p w:rsidR="00641EE0" w:rsidP="00641EE0" w:rsidRDefault="00E72390">
              <w:r>
                <w:t xml:space="preserve">In dit verband acht de Afdeling in het bijzonder de uitbreiding van toezichts- en onderzoeksbevoegdheden in verband met verleende belastingkortingen onwenselijk. Daarbij komt dat de nieuwe bevoegdheden in verband met verleende belastingkortingen de toezichtsbevoegdheden van het Rijk en onderzoeksbevoegdheden van de AR aanzienlijk verruimen. Door de voornoemde uitbreiding worden in wezen toezichts- en onderzoeksbevoegdheden geïntroduceerd betreffende alle belastingplichtigen die een bedrijf of beroep uitoefenen. </w:t>
              </w:r>
            </w:p>
            <w:p w:rsidR="00641EE0" w:rsidP="00641EE0" w:rsidRDefault="007D5C6E"/>
            <w:p w:rsidR="00641EE0" w:rsidP="00641EE0" w:rsidRDefault="00E72390">
              <w:r>
                <w:t>De Afdeling adviseert af te zien van de voorgestelde uitbreiding van toezichts- en onderzoeksbevoegdheden.</w:t>
              </w:r>
            </w:p>
            <w:p w:rsidR="00641EE0" w:rsidP="00641EE0" w:rsidRDefault="007D5C6E"/>
            <w:p w:rsidRPr="009F5BAC" w:rsidR="00641EE0" w:rsidP="00641EE0" w:rsidRDefault="00E72390">
              <w:pPr>
                <w:rPr>
                  <w:u w:val="single"/>
                </w:rPr>
              </w:pPr>
              <w:r>
                <w:t>5.</w:t>
              </w:r>
              <w:r>
                <w:tab/>
              </w:r>
              <w:r>
                <w:rPr>
                  <w:u w:val="single"/>
                </w:rPr>
                <w:t xml:space="preserve">Specifieke vraag over de bevoegdheden van de Algemene Rekenkamer bij </w:t>
              </w:r>
              <w:r w:rsidRPr="008047D4">
                <w:tab/>
              </w:r>
              <w:r>
                <w:rPr>
                  <w:u w:val="single"/>
                </w:rPr>
                <w:t>staatsdeelnemingen</w:t>
              </w:r>
            </w:p>
            <w:p w:rsidR="00641EE0" w:rsidP="00641EE0" w:rsidRDefault="007D5C6E"/>
            <w:p w:rsidR="00641EE0" w:rsidP="00641EE0" w:rsidRDefault="00E72390">
              <w:r>
                <w:t xml:space="preserve">De adviesaanvraag vraagt expliciet aandacht voor de bevoegdheden van de AR bij staatsdeelnemingen. Voorts wordt aandacht gevraagd voor de problematiek van dochterondernemingen. </w:t>
              </w:r>
            </w:p>
            <w:p w:rsidR="00641EE0" w:rsidP="00641EE0" w:rsidRDefault="00E72390">
              <w:r>
                <w:t xml:space="preserve">De AR kan de stukken inzien waar de Staat (als aandeelhouder) over beschikt. Bij een deelneming van meer dan 5% kunnen door tussenkomst van de Minister documenten worden opgevraagd bij de deelneming. Bij een staatsdeelneming van meer dan 95% kan de AR vervolgens ook rechtstreeks onderzoek doen bij de desbetreffende onderneming. De AR is niet bevoegd onderzoek te doen bij dochterondernemingen. </w:t>
              </w:r>
            </w:p>
            <w:p w:rsidR="00641EE0" w:rsidP="00641EE0" w:rsidRDefault="00E72390">
              <w:r>
                <w:rPr>
                  <w:sz w:val="20"/>
                  <w:szCs w:val="20"/>
                </w:rPr>
                <w:br/>
              </w:r>
              <w:r>
                <w:t>Zoals in de adviesaanvraag wordt vermeld, heeft de Afdeling over de bevoegdheden van de AR ten aanzien van staatsdeelnemingen in 2011 voorlichting gegeven.</w:t>
              </w:r>
              <w:r>
                <w:rPr>
                  <w:rStyle w:val="Voetnootmarkering"/>
                </w:rPr>
                <w:footnoteReference w:id="20"/>
              </w:r>
              <w:r>
                <w:t xml:space="preserve"> </w:t>
              </w:r>
              <w:r>
                <w:lastRenderedPageBreak/>
                <w:t xml:space="preserve">Daarbij was in het bijzonder aan de orde de verhouding tussen de Cw 2001 op dit punt en het vennootschapsrecht, dat de gelijkheid van aandeelhouders tot uitgangspunt heeft. De voorlichting kwam er kort gezegd op neer dat tussen deze twee regelgevingscomplexen spanning bestaat. Enerzijds is er het belang van een adequate controle op de besteding van collectieve middelen, anderzijds het belang van het respecteren van de private sector, en – in het bijzonder bij staatsdeelnemingen – de gelijkheid tussen aandeelhouders. Door te kiezen voor een percentage van 95% wordt deze spanning beperkt en is een redelijk evenwicht gevonden tussen de belangen die worden gediend met het onderzoek door de AR op grond van de Cw 2001 enerzijds en de inbreuk op de privaatrechtelijke verhoudingen, in het bijzonder de belangen van andere aandeelhouders anderzijds (de gelijkheid tussen aandeelhouders, geregeld in de artikelen 92 en 201 van Boek 2 van het Burgerlijk Wetboek). </w:t>
              </w:r>
            </w:p>
            <w:p w:rsidR="00641EE0" w:rsidP="00641EE0" w:rsidRDefault="007D5C6E"/>
            <w:p w:rsidR="00641EE0" w:rsidP="00641EE0" w:rsidRDefault="00E72390">
              <w:r>
                <w:t>Het voorstel wijzigt de bevoegdheden van de AR op dit punt niet. De AR heeft deze kwestie in het commentaar op het onderhavige wetsvoorstel aan de orde gesteld. De AR wijst daarbij op de situatie bij gemeenten en provincies, waar de gemeentelijke en provinciale rekenkamers de bevoegdheid hebben om rechtstreeks bij de desbetreffende onderneming onderzoek te doen, bij een deelneming van meer dan 50%.</w:t>
              </w:r>
              <w:r>
                <w:rPr>
                  <w:rStyle w:val="Voetnootmarkering"/>
                </w:rPr>
                <w:footnoteReference w:id="21"/>
              </w:r>
              <w:r>
                <w:t xml:space="preserve"> </w:t>
              </w:r>
            </w:p>
            <w:p w:rsidR="00E02C8D" w:rsidP="00641EE0" w:rsidRDefault="007D5C6E"/>
            <w:p w:rsidR="00641EE0" w:rsidP="00641EE0" w:rsidRDefault="00E72390">
              <w:r>
                <w:t>De hierboven gesignaleerde spanning zou worden vergroot indien het percentage zou worden verlaagd naar 50%. In de eerder genoemde voorlichting heeft de Afdeling naar voren gebracht dat er al onderzoek kan worden gedaan aan de hand van de stukken die het ministerie heeft, en er kunnen in vrijwel alle gevallen door tussenkomst van de minister nadere inlichtingen worden ingewonnen. Voorts is van wezenlijk belang dat niet het functioneren van de desbetreffende onderneming als zodanig object is van het onderzoek door de AR, maar de verantwoording van het beleid van de bevoegde minister ten aanzien van de deelneming.</w:t>
              </w:r>
              <w:r>
                <w:rPr>
                  <w:rStyle w:val="Voetnootmarkering"/>
                </w:rPr>
                <w:footnoteReference w:id="22"/>
              </w:r>
              <w:r>
                <w:t xml:space="preserve"> </w:t>
              </w:r>
            </w:p>
            <w:p w:rsidR="00641EE0" w:rsidP="00641EE0" w:rsidRDefault="007D5C6E"/>
            <w:p w:rsidR="00641EE0" w:rsidP="00641EE0" w:rsidRDefault="00E72390">
              <w:r>
                <w:t>Gelet op het vorenstaande ziet de Afdeling geen aanleiding om terug te komen op hetgeen zij heeft opgemerkt in de genoemde voorlichting uit 2011. Aangezien het voorstel aansluit bij de hierboven genoemde voorlichting, behoeft het voorstel geen aanpassing.</w:t>
              </w:r>
            </w:p>
            <w:p w:rsidR="00641EE0" w:rsidP="00641EE0" w:rsidRDefault="007D5C6E"/>
            <w:p w:rsidR="00641EE0" w:rsidP="00641EE0" w:rsidRDefault="00E72390">
              <w:r>
                <w:t>6.</w:t>
              </w:r>
              <w:r>
                <w:tab/>
              </w:r>
              <w:r w:rsidRPr="00AF3EE7">
                <w:rPr>
                  <w:u w:val="single"/>
                </w:rPr>
                <w:t>Leeftijdsontslag</w:t>
              </w:r>
              <w:r>
                <w:rPr>
                  <w:u w:val="single"/>
                </w:rPr>
                <w:t xml:space="preserve"> leden AR</w:t>
              </w:r>
            </w:p>
            <w:p w:rsidR="00641EE0" w:rsidP="00641EE0" w:rsidRDefault="007D5C6E"/>
            <w:p w:rsidR="00641EE0" w:rsidP="00641EE0" w:rsidRDefault="00E72390">
              <w:r>
                <w:t xml:space="preserve">In artikel 10, vijfde lid, wordt met betrekking tot leden van de AR bepaald dat hen ontslag wordt verleend bij het bereiken van de leeftijd van zeventig jaar. Deze leeftijdsgrens wordt in de toelichting gemotiveerd met een verwijzing naar de bestaande regeling en de leeftijdsgrens die voor andere Hoge Colleges van Staat geldt. De wens om bij voor het leven benoemde functionarissen een leeftijdsgrens vast te stellen bij het bereiken waarvan hen ontslag wordt verleend, is gerechtvaardigd. Bij de motivering van de keuze van de leeftijd waarbij dit het geval is, kan evenwel niet meer volstaan worden met een verwijzing naar de bestaande wet zonder acht te slaan op de omstandigheid dat sinds in 2014 voor alle rijksambtenaren het leeftijdsontslag is afgeschaft ook als zij de leeftijd van zeventig jaren bereiken. Het voorstel om het </w:t>
              </w:r>
              <w:r>
                <w:lastRenderedPageBreak/>
                <w:t xml:space="preserve">leeftijdsontslag bij het bereiken van de leeftijd van zeventig jaren voor leden van de AR te handhaven behoeft dan ook nadere toelichting. </w:t>
              </w:r>
            </w:p>
            <w:p w:rsidR="00641EE0" w:rsidP="00641EE0" w:rsidRDefault="007D5C6E"/>
            <w:p w:rsidR="00641EE0" w:rsidP="00641EE0" w:rsidRDefault="00E72390">
              <w:r>
                <w:t xml:space="preserve">De Afdeling adviseert om de toelichting op dit punt aan te vullen. </w:t>
              </w:r>
            </w:p>
            <w:p w:rsidR="00641EE0" w:rsidP="00641EE0" w:rsidRDefault="007D5C6E"/>
            <w:p w:rsidRPr="00034781" w:rsidR="00641EE0" w:rsidP="00641EE0" w:rsidRDefault="00E72390">
              <w:pPr>
                <w:rPr>
                  <w:u w:val="single"/>
                </w:rPr>
              </w:pPr>
              <w:r>
                <w:t>7.</w:t>
              </w:r>
              <w:r>
                <w:tab/>
              </w:r>
              <w:r w:rsidRPr="00034781">
                <w:rPr>
                  <w:u w:val="single"/>
                </w:rPr>
                <w:t>Overige opmerkingen</w:t>
              </w:r>
            </w:p>
            <w:p w:rsidR="00641EE0" w:rsidP="00641EE0" w:rsidRDefault="007D5C6E"/>
            <w:p w:rsidRPr="00CC5D95" w:rsidR="00641EE0" w:rsidP="00641EE0" w:rsidRDefault="00E72390">
              <w:pPr>
                <w:rPr>
                  <w:szCs w:val="22"/>
                </w:rPr>
              </w:pPr>
              <w:r>
                <w:rPr>
                  <w:szCs w:val="22"/>
                </w:rPr>
                <w:t xml:space="preserve">Het </w:t>
              </w:r>
              <w:r w:rsidRPr="00CE70AA">
                <w:rPr>
                  <w:szCs w:val="22"/>
                </w:rPr>
                <w:t xml:space="preserve">voorstel </w:t>
              </w:r>
              <w:r>
                <w:rPr>
                  <w:szCs w:val="22"/>
                </w:rPr>
                <w:t>bevat een aantal</w:t>
              </w:r>
              <w:r w:rsidRPr="00CE70AA">
                <w:rPr>
                  <w:szCs w:val="22"/>
                </w:rPr>
                <w:t xml:space="preserve"> onvolkomenheden die </w:t>
              </w:r>
              <w:r>
                <w:rPr>
                  <w:szCs w:val="22"/>
                </w:rPr>
                <w:t>voor een</w:t>
              </w:r>
              <w:r w:rsidRPr="00CE70AA">
                <w:rPr>
                  <w:szCs w:val="22"/>
                </w:rPr>
                <w:t xml:space="preserve"> </w:t>
              </w:r>
              <w:r>
                <w:rPr>
                  <w:szCs w:val="22"/>
                </w:rPr>
                <w:t xml:space="preserve">deel </w:t>
              </w:r>
              <w:r w:rsidRPr="00CE70AA">
                <w:rPr>
                  <w:szCs w:val="22"/>
                </w:rPr>
                <w:t>van technisch</w:t>
              </w:r>
              <w:r>
                <w:rPr>
                  <w:szCs w:val="22"/>
                </w:rPr>
                <w:t>e</w:t>
              </w:r>
              <w:r w:rsidRPr="00CE70AA">
                <w:rPr>
                  <w:szCs w:val="22"/>
                </w:rPr>
                <w:t xml:space="preserve"> aard</w:t>
              </w:r>
              <w:r>
                <w:rPr>
                  <w:szCs w:val="22"/>
                </w:rPr>
                <w:t xml:space="preserve"> zijn maar ook </w:t>
              </w:r>
              <w:r w:rsidRPr="00CE70AA">
                <w:rPr>
                  <w:szCs w:val="22"/>
                </w:rPr>
                <w:t>inhoudelijk van aard</w:t>
              </w:r>
              <w:r>
                <w:rPr>
                  <w:szCs w:val="22"/>
                </w:rPr>
                <w:t xml:space="preserve"> zijn. </w:t>
              </w:r>
              <w:r>
                <w:t xml:space="preserve">Het gaat hierbij om een niet limitatieve, maar indicatieve opsomming van opmerkingen die onderstrepen dat het voorstel in deze vorm nog niet rijp is voor indiening bij de Tweede Kamer. </w:t>
              </w:r>
            </w:p>
            <w:p w:rsidR="00641EE0" w:rsidP="00641EE0" w:rsidRDefault="007D5C6E"/>
            <w:p w:rsidR="00F63E8D" w:rsidP="00F63E8D" w:rsidRDefault="00E72390">
              <w:pPr>
                <w:rPr>
                  <w:i/>
                </w:rPr>
              </w:pPr>
              <w:r>
                <w:t xml:space="preserve">a. </w:t>
              </w:r>
              <w:r w:rsidRPr="003A1170">
                <w:rPr>
                  <w:i/>
                </w:rPr>
                <w:t>Wetgevingstechnische opmerkingen</w:t>
              </w:r>
            </w:p>
            <w:p w:rsidR="00F63E8D" w:rsidP="00F63E8D" w:rsidRDefault="007D5C6E">
              <w:pPr>
                <w:rPr>
                  <w:i/>
                </w:rPr>
              </w:pPr>
            </w:p>
            <w:p w:rsidR="00F63E8D" w:rsidP="00F63E8D" w:rsidRDefault="00E72390">
              <w:pPr>
                <w:rPr>
                  <w:i/>
                </w:rPr>
              </w:pPr>
              <w:r>
                <w:t>i.</w:t>
              </w:r>
              <w:r>
                <w:tab/>
              </w:r>
              <w:r w:rsidRPr="003A1170">
                <w:t>Artikel 1.2</w:t>
              </w:r>
              <w:r>
                <w:rPr>
                  <w:i/>
                </w:rPr>
                <w:t xml:space="preserve"> </w:t>
              </w:r>
              <w:r>
                <w:t>beoogt voor verschillende situaties één voorhangprocedure te regelen, maar gevolg is dat ongelijksoortige voorhangprocedures, met ongelijksoortige consequenties in één bepaling worden bijeengebracht. Gelet op de ongelijksoortigheid van de regelingen waarvoor die procedure moet gelden, brengt artikel 1.2 niet de beoogde vereenvoudiging. Ook moet betwijfeld worden of de onderdelen b en c van artikel 1.2 vaak relevant of wenselijk zullen zijn in combinatie met onderdeel a.</w:t>
              </w:r>
            </w:p>
            <w:p w:rsidR="00F63E8D" w:rsidP="00F63E8D" w:rsidRDefault="007D5C6E">
              <w:pPr>
                <w:rPr>
                  <w:i/>
                </w:rPr>
              </w:pPr>
            </w:p>
            <w:p w:rsidR="00F63E8D" w:rsidP="00F63E8D" w:rsidRDefault="00E72390">
              <w:pPr>
                <w:rPr>
                  <w:i/>
                </w:rPr>
              </w:pPr>
              <w:r>
                <w:rPr>
                  <w:szCs w:val="22"/>
                </w:rPr>
                <w:t>ii.</w:t>
              </w:r>
              <w:r>
                <w:rPr>
                  <w:szCs w:val="22"/>
                </w:rPr>
                <w:tab/>
                <w:t>In artikel 2.2, tweede lid, is bepaald, dat indien een voorstel van wet tot het instellen van een begrotingsfonds door of vanwege de Koning wordt ingediend, het voorstel van wet mede door Onze Minister van Financiën wordt ondertekend. R</w:t>
              </w:r>
              <w:r w:rsidRPr="00D35F14">
                <w:rPr>
                  <w:szCs w:val="22"/>
                </w:rPr>
                <w:t>egeringsvoorstellen van wet worden ingediend door of vanwege de Koning</w:t>
              </w:r>
              <w:r>
                <w:rPr>
                  <w:szCs w:val="22"/>
                </w:rPr>
                <w:t xml:space="preserve"> en niet ondertekend door een minister. </w:t>
              </w:r>
            </w:p>
            <w:p w:rsidR="00F63E8D" w:rsidP="00F63E8D" w:rsidRDefault="007D5C6E">
              <w:pPr>
                <w:rPr>
                  <w:i/>
                </w:rPr>
              </w:pPr>
            </w:p>
            <w:p w:rsidR="003045C8" w:rsidP="003045C8" w:rsidRDefault="00E72390">
              <w:pPr>
                <w:rPr>
                  <w:i/>
                </w:rPr>
              </w:pPr>
              <w:r>
                <w:t>iii.</w:t>
              </w:r>
              <w:r>
                <w:tab/>
              </w:r>
              <w:r w:rsidRPr="003A1170">
                <w:t>Artikel 2.2</w:t>
              </w:r>
              <w:r>
                <w:t xml:space="preserve">, </w:t>
              </w:r>
              <w:r w:rsidRPr="00034781">
                <w:t>vijfde tot en met zevende lid</w:t>
              </w:r>
              <w:r>
                <w:t>,</w:t>
              </w:r>
              <w:r w:rsidRPr="00034781">
                <w:t xml:space="preserve"> </w:t>
              </w:r>
              <w:r>
                <w:t>regelt het tijdelijk buiten werking stellen van het Fonds economische structuurversterking.</w:t>
              </w:r>
              <w:r w:rsidRPr="00034781">
                <w:t xml:space="preserve"> </w:t>
              </w:r>
              <w:r>
                <w:t xml:space="preserve">Deze “tijdelijke” situatie duurt inmiddels al sinds 2011. De Afdeling heeft hierover eerder opgemerkt dat nu </w:t>
              </w:r>
              <w:r w:rsidRPr="00034781">
                <w:t>de regels over de ontvangsten en uitgaven van het fonds in de Wet Fonds economische structuurversterking zijn opgenomen, het tijdelijk op non-actief plaatsen van het fonds ook in die wet thuis</w:t>
              </w:r>
              <w:r>
                <w:t>hoort</w:t>
              </w:r>
              <w:r w:rsidRPr="00034781">
                <w:t>.</w:t>
              </w:r>
              <w:r w:rsidRPr="00034781">
                <w:rPr>
                  <w:vertAlign w:val="superscript"/>
                </w:rPr>
                <w:footnoteReference w:id="23"/>
              </w:r>
              <w:r w:rsidRPr="00034781">
                <w:t xml:space="preserve"> </w:t>
              </w:r>
              <w:r>
                <w:t>Ordentelijke besluitvorming over begrotingen brengt mee dat een knoop wordt doorgehakt over de toekomst van het fonds en dat de Wet Fonds economische structuurversterking daarmee in overeenstemming wordt gebracht, alsmede dat besluitvorming plaatsvindt over de bestemming van de desbetreffende middelen.</w:t>
              </w:r>
            </w:p>
            <w:p w:rsidR="003045C8" w:rsidP="003045C8" w:rsidRDefault="007D5C6E">
              <w:pPr>
                <w:rPr>
                  <w:i/>
                </w:rPr>
              </w:pPr>
            </w:p>
            <w:p w:rsidR="003045C8" w:rsidP="003045C8" w:rsidRDefault="00E72390">
              <w:r>
                <w:t>iv.</w:t>
              </w:r>
              <w:r>
                <w:tab/>
                <w:t>De toelichting bij artikel 2.3 vermeldt dat een programmaminister ook kan worden belast met de leiding van een agentschap. Dat is evenwel niet mogelijk omdat een agentschap een organisatieonderdeel is van een ministerie of college. Artikel 2.3 geeft alleen de mogelijkheid om budgetten (ontvangsten en uitgaven) af te zonderen. De toelichting dient te worden aangepast.</w:t>
              </w:r>
            </w:p>
            <w:p w:rsidR="003045C8" w:rsidP="003045C8" w:rsidRDefault="007D5C6E"/>
            <w:p w:rsidR="003045C8" w:rsidP="003045C8" w:rsidRDefault="00E72390">
              <w:r>
                <w:t>vii.</w:t>
              </w:r>
              <w:r>
                <w:tab/>
              </w:r>
              <w:r w:rsidRPr="00177777">
                <w:t>Artikel 2.4</w:t>
              </w:r>
              <w:r>
                <w:t xml:space="preserve">, tweede lid, is geformuleerd als afwijking van het eerste lid, maar betreft geen afwijking. Abusievelijk is daarbij voorts voorgesteld dat de begrotingsstaten van een departement en de colleges waarvoor een minister </w:t>
              </w:r>
              <w:r>
                <w:lastRenderedPageBreak/>
                <w:t>verantwoordelijk is, kunnen worden samengevoegd. Het dient evenwel niet te gaan om de samenvoeging van de begrotingsstaten, maar om de vaststelling van verschillende begrotingsstaten in één wet. Artikel 3.1, tweede lid, voorziet daar al in. Artikel 2.4, tweede lid, kan dan ook worden geschrapt. Dat noopt ook tot aanpassing van artikel 2.11, derde lid.</w:t>
              </w:r>
            </w:p>
            <w:p w:rsidR="003045C8" w:rsidP="003045C8" w:rsidRDefault="007D5C6E"/>
            <w:p w:rsidR="003045C8" w:rsidP="003045C8" w:rsidRDefault="00E72390">
              <w:r>
                <w:t>v.</w:t>
              </w:r>
              <w:r>
                <w:tab/>
              </w:r>
              <w:r w:rsidRPr="003A1170">
                <w:t>Artikel 2.27</w:t>
              </w:r>
              <w:r>
                <w:t>, eerste lid, bepaalt ten onrechte dat een agentschap een eigen begrotingsstaat heeft. Een agentschap is geen begrotingsfonds of een college, maar een onderdeel van een departement of college. In de huidige systematiek wordt de begroting van een agentschap dan ook opgenomen in een aparte staat bij de begrotingsstaat van het departement waaronder het agentschap ressorteert. De term “begrotingsstaat” dient dan ook te worden vervangen door “staat”. Voorts dient te worden bepaald dat deze staat wordt opgenomen bij de begrotingsstaat van het departement waaronder het agentschap ressorteert. Het derde lid dient hierop te worden afgestemd.</w:t>
              </w:r>
            </w:p>
            <w:p w:rsidR="003045C8" w:rsidP="003045C8" w:rsidRDefault="007D5C6E"/>
            <w:p w:rsidR="003045C8" w:rsidP="003045C8" w:rsidRDefault="00E72390">
              <w:r>
                <w:t>vi.</w:t>
              </w:r>
              <w:r>
                <w:tab/>
                <w:t>Voor artikel 2.28 (verantwoordingsstaat) geldt het vorenstaande overeenkomstig.</w:t>
              </w:r>
            </w:p>
            <w:p w:rsidR="003045C8" w:rsidP="003045C8" w:rsidRDefault="007D5C6E"/>
            <w:p w:rsidR="003045C8" w:rsidP="003045C8" w:rsidRDefault="00E72390">
              <w:r>
                <w:t>b.</w:t>
              </w:r>
              <w:r>
                <w:tab/>
              </w:r>
              <w:r w:rsidRPr="00177777">
                <w:rPr>
                  <w:i/>
                </w:rPr>
                <w:t xml:space="preserve">Afbakening gedelegeerde bevoegdheden </w:t>
              </w:r>
              <w:r>
                <w:br/>
                <w:t>In het voorstel wordt op diverse plaatsen de nadere invulling van verplichtingen overgelaten aan de Minister van Financiën. Bij gebrek aan een nadere afbakening van deze bevoegdheid of precisering van de criteria aan de hand waarvan zij kan worden uitgeoefend, leidt dit een onbepaalde of zeer ruime delegatie van bevoegdheden.</w:t>
              </w:r>
            </w:p>
            <w:p w:rsidR="003045C8" w:rsidP="003045C8" w:rsidRDefault="007D5C6E"/>
            <w:p w:rsidR="003045C8" w:rsidP="003045C8" w:rsidRDefault="00E72390">
              <w:r>
                <w:t>i.</w:t>
              </w:r>
              <w:r>
                <w:tab/>
                <w:t>Volgens artikel 2.13, tweede lid, kan de minister categorieën financiële verplichtingen aanwijzen die niet in de saldibalans worden opgenomen. Uit de toelichting blijkt dat er in de praktijk behoefte bestaat aan deze (nieuwe) bevoegdheid. In het artikel zelf wordt niet aangeduid om welke categorieën financiële verplichtingen het gaat. Daarmee is de bevoegdheid van de minister zeer ruim om zonder de Staten-Generaal te bepalen hoe de inrichting van het totaal saldioverzicht eruit komt te zien en is er ook geen inhoudelijk criterium om te bepalen of een bepaalde categorie verplichting al dan niet in de saldibalans dient te worden opgenomen.</w:t>
              </w:r>
            </w:p>
            <w:p w:rsidR="003045C8" w:rsidP="003045C8" w:rsidRDefault="007D5C6E"/>
            <w:p w:rsidR="003045C8" w:rsidP="003045C8" w:rsidRDefault="00E72390">
              <w:pPr>
                <w:rPr>
                  <w:i/>
                </w:rPr>
              </w:pPr>
              <w:r>
                <w:t>De Afdeling adviseert om de bepaling aan te passen en de bevoegdheid van de minister helder af te bakenen.</w:t>
              </w:r>
            </w:p>
            <w:p w:rsidR="003045C8" w:rsidP="003045C8" w:rsidRDefault="007D5C6E">
              <w:pPr>
                <w:rPr>
                  <w:i/>
                </w:rPr>
              </w:pPr>
            </w:p>
            <w:p w:rsidR="003045C8" w:rsidP="003045C8" w:rsidRDefault="00E72390">
              <w:r>
                <w:t>ii.</w:t>
              </w:r>
              <w:r>
                <w:tab/>
                <w:t>Ingevolge a</w:t>
              </w:r>
              <w:r w:rsidRPr="00FD2080">
                <w:t>rtikel 8.1</w:t>
              </w:r>
              <w:r>
                <w:t xml:space="preserve"> geschiedt de aanwijzing van rechtspersonen met een wettelijke taak waarvoor schatkistbankieren geldt niet meer bij algemene maatregel van bestuur, maar bij besluit van de Minister van Financiën. De criteria voor aanwijzing zijn daarbij niet helder (“ten behoeve van een doelmatiger of een risicoarm liquidemiddelenbeheer”). Ook de uitzonderingen hierop in het tweede lid zijn onduidelijk, niet in de laatste plaats door het gebruik van onbepaalde begrippen (“een bij of krachtens de wet geregelde taak met voornamelijk een marktkarakter”, “een maatschappelijke functie waaraan een relatief beperkte publieke neventaak is toegevoegd”, “het bijzondere karakter van zijn wettelijke taak daartoe aanleiding geeft”). Het derde lid biedt, in weerwil van het tweede lid, de mogelijkheid om een rechtspersoon met een wettelijke taak aan te wijzen indien het deelnemen aan schatkistbankieren “om een bijzondere reden zinvol is”. Ook hier is onduidelijk wat daarmee wordt bedoeld. Het vierde lid verruimt de mogelijkheid tot aanwijzen van </w:t>
              </w:r>
              <w:r>
                <w:lastRenderedPageBreak/>
                <w:t>rechtspersonen, namelijk tot “rechtspersonen met een publieke taak”. Wat hieronder moet worden verstaan en wat het onderscheid is met “rechtspersonen met een wettelijke taak” wordt uit de wettekst niet duidelijk.</w:t>
              </w:r>
            </w:p>
            <w:p w:rsidR="003045C8" w:rsidP="003045C8" w:rsidRDefault="007D5C6E"/>
            <w:p w:rsidR="003045C8" w:rsidP="003045C8" w:rsidRDefault="00E72390">
              <w:r>
                <w:t>Dit artikel geeft in de voorgestelde opzet onvoldoende inhoudelijke criteria die gelden voor de aanwijzing tot verplicht schatkistbankieren, terwijl deze verplichting voor de desbetreffende partijen, die niet tot de rijksoverheid behoren, ingrijpend kunnen zijn. Dit klemt te meer omdat de aanwijzing een beschikking is die voor beroep vatbaar is en dus tot procedures kan leiden en vermeden moet worden dat dit geschiedt als gevolg van onduidelijkheid.</w:t>
              </w:r>
            </w:p>
            <w:p w:rsidR="003045C8" w:rsidP="003045C8" w:rsidRDefault="007D5C6E"/>
            <w:p w:rsidR="003045C8" w:rsidP="003045C8" w:rsidRDefault="00E72390">
              <w:pPr>
                <w:rPr>
                  <w:i/>
                </w:rPr>
              </w:pPr>
              <w:r>
                <w:t>iii.</w:t>
              </w:r>
              <w:r>
                <w:tab/>
              </w:r>
              <w:r w:rsidRPr="009C62E0">
                <w:t>Artikel 8.6</w:t>
              </w:r>
              <w:r>
                <w:t xml:space="preserve"> bepaalt dat rechtspersonen met een wettelijke taak die niet verplicht zijn tot schatkistbankieren, verplicht kunnen worden hun liquide middelen uit te zetten in de vorm van producten die voldoen aan door de Minister van Financiën te stellen eisen. Deze bepaling bevat geen inhoudelijke criteria aan de hand waarvan kan worden beoordeeld of een rechtspersoon wel of niet zou moeten worden aangewezen en voldoet daarmee niet aan de eis van rechtszekerheid. Daarbij is niet duidelijk hoe dit artikel zich verhoudt tot artikel 8.3 betreffende vrijwillig schatkistbankieren. De Afdeling adviseert dit te verduidelijken.</w:t>
              </w:r>
            </w:p>
            <w:p w:rsidR="003045C8" w:rsidP="003045C8" w:rsidRDefault="007D5C6E">
              <w:pPr>
                <w:rPr>
                  <w:i/>
                </w:rPr>
              </w:pPr>
            </w:p>
            <w:p w:rsidR="003045C8" w:rsidP="003045C8" w:rsidRDefault="00E72390">
              <w:r>
                <w:rPr>
                  <w:i/>
                </w:rPr>
                <w:t>iv.</w:t>
              </w:r>
              <w:r>
                <w:rPr>
                  <w:i/>
                </w:rPr>
                <w:tab/>
              </w:r>
              <w:r w:rsidRPr="009C62E0">
                <w:t>Artikel 8.7</w:t>
              </w:r>
              <w:r>
                <w:t>, eerste lid, bevat een verbod op “inlenen van financiële middelen” voor – kort gezegd – rechtspersonen met een wettelijke taak die moeten schatkistbankieren of die moeten voldoen aan voorwaarden voor prudent liquidemiddelenbeheer. Het tweede lid breidt het verbod van het eerste lid uit tot alle rechtspersonen met een wettelijke taak die niet al onder het eerste lid vallen. Per saldo komt dit neer op een verbod voor alle rechtspersonen met een wettelijke taak; het onderscheid tussen het eerste en het tweede lid lijkt derhalve overbodig. Tegelijk ontbreekt de precisering dat het verbod alleen geldt voor de “publieke taken” van de rechtspersoon (zoals dat is geregeld in artikel 8.1, vijfde lid en artikel 8.6, derde lid).</w:t>
              </w:r>
            </w:p>
            <w:p w:rsidR="003045C8" w:rsidP="003045C8" w:rsidRDefault="007D5C6E"/>
            <w:p w:rsidR="003045C8" w:rsidP="00641EE0" w:rsidRDefault="00E72390">
              <w:pPr>
                <w:rPr>
                  <w:i/>
                </w:rPr>
              </w:pPr>
              <w:r>
                <w:t>De Afdeling adviseert om de bepaling op de genoemde punten te verduidelijken.</w:t>
              </w:r>
            </w:p>
            <w:p w:rsidR="003045C8" w:rsidP="00641EE0" w:rsidRDefault="007D5C6E">
              <w:pPr>
                <w:rPr>
                  <w:i/>
                </w:rPr>
              </w:pPr>
            </w:p>
            <w:p w:rsidR="003045C8" w:rsidP="003045C8" w:rsidRDefault="00E72390">
              <w:pPr>
                <w:rPr>
                  <w:i/>
                </w:rPr>
              </w:pPr>
              <w:r>
                <w:t>c.</w:t>
              </w:r>
              <w:r>
                <w:tab/>
              </w:r>
              <w:r w:rsidRPr="009C62E0">
                <w:rPr>
                  <w:i/>
                </w:rPr>
                <w:t>Reikwijdte en overgangsrecht</w:t>
              </w:r>
            </w:p>
            <w:p w:rsidR="003045C8" w:rsidP="003045C8" w:rsidRDefault="00E72390">
              <w:pPr>
                <w:rPr>
                  <w:i/>
                </w:rPr>
              </w:pPr>
              <w:r>
                <w:t>Ten slotte behoeven de reikwijdte en het overgangsrecht nadere precisering.</w:t>
              </w:r>
            </w:p>
            <w:p w:rsidR="003045C8" w:rsidP="003045C8" w:rsidRDefault="007D5C6E">
              <w:pPr>
                <w:rPr>
                  <w:i/>
                </w:rPr>
              </w:pPr>
            </w:p>
            <w:p w:rsidR="003045C8" w:rsidP="003045C8" w:rsidRDefault="00E72390">
              <w:pPr>
                <w:rPr>
                  <w:i/>
                </w:rPr>
              </w:pPr>
              <w:r>
                <w:t>i.</w:t>
              </w:r>
              <w:r>
                <w:tab/>
                <w:t>Het voorstel is niet duidelijk over de territoriale reikwijdte ervan. Artikel 13.1 lijkt – gelezen in samenhang met de toelichting bij dat artikel – te willen regelen dat de Cw 201X ook van toepassing zal zijn ten aanzien van Bonaire, Sint Eustatius en Saba (BES). Indien het geval is, verdient het de voorkeur dat uitdrukkelijk te bepalen. Dit roept dan echter de vraag op naar de vermelding van de BES in artikel 10.22. Die vermelding lijkt onevenwichtig, omdat wel de samenwerking met de rekenkamers van de BES, maar niet met de gemeentelijke rekenkamers wordt genoemd. Het verdient aanbeveling in het voorstel duidelijker tot uitdrukking te brengen welke territoriale reikwijdte wordt beoogd.</w:t>
              </w:r>
            </w:p>
            <w:p w:rsidR="003045C8" w:rsidP="003045C8" w:rsidRDefault="007D5C6E">
              <w:pPr>
                <w:rPr>
                  <w:i/>
                </w:rPr>
              </w:pPr>
            </w:p>
            <w:p w:rsidR="003045C8" w:rsidP="00641EE0" w:rsidRDefault="00E72390">
              <w:r>
                <w:t>ii.</w:t>
              </w:r>
              <w:r>
                <w:tab/>
                <w:t xml:space="preserve">De regeling van het overgangsrecht is nog onvolledig. </w:t>
              </w:r>
              <w:r w:rsidRPr="00C2004B">
                <w:t>Artikel 13.3</w:t>
              </w:r>
              <w:r>
                <w:t xml:space="preserve"> voorziet alleen in het doorlopen van begrotingen volgens de oude regels, maar niet in andere zaken, zoals de aanwijzing van agentschappen, organisaties die verplicht zijn tot </w:t>
              </w:r>
              <w:r>
                <w:lastRenderedPageBreak/>
                <w:t>schatkistbankieren,</w:t>
              </w:r>
              <w:r>
                <w:rPr>
                  <w:rStyle w:val="Voetnootmarkering"/>
                </w:rPr>
                <w:footnoteReference w:id="24"/>
              </w:r>
              <w:r>
                <w:t xml:space="preserve"> bevoegdheden AR en dergelijke. Het aanvullen van het overgangsrecht lijkt geboden.</w:t>
              </w:r>
            </w:p>
            <w:p w:rsidR="003045C8" w:rsidP="00641EE0" w:rsidRDefault="007D5C6E"/>
            <w:p w:rsidRPr="00F40AFF" w:rsidR="00EE1278" w:rsidP="00641EE0" w:rsidRDefault="00E72390">
              <w:r>
                <w:t>iii.</w:t>
              </w:r>
              <w:r>
                <w:tab/>
                <w:t xml:space="preserve">In </w:t>
              </w:r>
              <w:r w:rsidRPr="009C62E0">
                <w:t>Artikel 10.5</w:t>
              </w:r>
              <w:r>
                <w:t xml:space="preserve">, tweede lid, wordt onder andere verwezen naar artikel 46c, onder b en c, 46ca, 46d van de Wet rechtspositie rechterlijke ambtenaren. Dit betreft (onderdelen) van artikelen die worden gewijzigd of geïntroduceerd in het wetsvoorstel Wijziging van de Wet rechtspositie rechterlijke ambtenaren en enige andere wetten in verband met de uitbreiding van de mogelijkheden om ten aanzien van voor het leven benoemde rechterlijke ambtenaren disciplinaire </w:t>
              </w:r>
              <w:r>
                <w:rPr>
                  <w:szCs w:val="22"/>
                </w:rPr>
                <w:t>maatregelen op te leggen en tevens andere maatregelen te treffen</w:t>
              </w:r>
              <w:r>
                <w:t>.</w:t>
              </w:r>
              <w:r>
                <w:rPr>
                  <w:rStyle w:val="Voetnootmarkering"/>
                </w:rPr>
                <w:footnoteReference w:id="25"/>
              </w:r>
              <w:r>
                <w:t xml:space="preserve"> Dit wetsvoorstel is in behandeling bij de Tweede Kamer. Het verdient aanbeveling te voorzien in een bepaling waarin is geregeld wat rechtens te gelden heeft indien de genoemde bepalingen niet of later dan de hier voorgestelde bepalingen in werking treden. </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E72390">
              <w:r>
                <w:t>8.</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3C5B41" w:rsidRDefault="00E72390">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9"/>
              <w:headerReference w:type="default" r:id="rId10"/>
              <w:footerReference w:type="first" r:id="rId11"/>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text/>
            </w:sdtPr>
            <w:sdtContent>
              <w:r>
                <w:t>W06.15.0076</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B5084C" w:rsidP="00B5084C" w:rsidRDefault="00E72390">
              <w:pPr>
                <w:numPr>
                  <w:ilvl w:val="0"/>
                  <w:numId w:val="1"/>
                </w:numPr>
              </w:pPr>
              <w:r>
                <w:t>In artikel 1.1 in de definitie van financieel beheer onder d “de financiële bezittingen” vervangen door: het beheer van de financiële bezittingen.</w:t>
              </w:r>
            </w:p>
            <w:p w:rsidR="00B5084C" w:rsidP="00B5084C" w:rsidRDefault="00E72390">
              <w:pPr>
                <w:numPr>
                  <w:ilvl w:val="0"/>
                  <w:numId w:val="1"/>
                </w:numPr>
              </w:pPr>
              <w:r>
                <w:t>In artikel 1.2 aan het slot van onderdeel b toevoegen: of.</w:t>
              </w:r>
            </w:p>
            <w:p w:rsidR="00B5084C" w:rsidP="00B5084C" w:rsidRDefault="00E72390">
              <w:pPr>
                <w:numPr>
                  <w:ilvl w:val="0"/>
                  <w:numId w:val="1"/>
                </w:numPr>
              </w:pPr>
              <w:r>
                <w:t>In artikel 2.3, eerste lid, verduidelijken wat met de term “budgetten” wordt bedoeld, dan wel deze term vervangen door: ontvangsten en uitgaven.</w:t>
              </w:r>
            </w:p>
            <w:p w:rsidR="00B5084C" w:rsidP="00B5084C" w:rsidRDefault="00E72390">
              <w:pPr>
                <w:numPr>
                  <w:ilvl w:val="0"/>
                  <w:numId w:val="1"/>
                </w:numPr>
              </w:pPr>
              <w:r>
                <w:t>In artikel 2.5, onderdelen b, c en d, telkens “het bedrag” vervangen door: het geraamde bedrag.</w:t>
              </w:r>
            </w:p>
            <w:p w:rsidR="00B5084C" w:rsidP="00B5084C" w:rsidRDefault="00E72390">
              <w:pPr>
                <w:numPr>
                  <w:ilvl w:val="0"/>
                  <w:numId w:val="1"/>
                </w:numPr>
              </w:pPr>
              <w:r>
                <w:t>In artikel 2.5 verduidelijken wat wordt bedoeld met “een indicatie van het programma of het apparaat”.</w:t>
              </w:r>
            </w:p>
            <w:p w:rsidR="00B5084C" w:rsidP="00B5084C" w:rsidRDefault="00E72390">
              <w:pPr>
                <w:numPr>
                  <w:ilvl w:val="0"/>
                  <w:numId w:val="1"/>
                </w:numPr>
              </w:pPr>
              <w:r w:rsidRPr="00086B8B">
                <w:t xml:space="preserve">In de artikelen 2.9, 5.6, eerste en derde lid, 5.7, eerste lid, aanhef, en tweede lid, onderdeel c, 5.9, 5.13, tweede lid, onderdeel c, 10.16, eerste lid, onderdeel d en f, 10.18, onderdeel a, 10.28, eerste en tweede lid, 10.35, eerste lid, onderdeel b, </w:t>
              </w:r>
              <w:r>
                <w:t xml:space="preserve">12.5, </w:t>
              </w:r>
              <w:r w:rsidRPr="00086B8B">
                <w:t>“staat” vervangen door: Staat.</w:t>
              </w:r>
            </w:p>
            <w:p w:rsidR="00B5084C" w:rsidP="00B5084C" w:rsidRDefault="00E72390">
              <w:pPr>
                <w:numPr>
                  <w:ilvl w:val="0"/>
                  <w:numId w:val="1"/>
                </w:numPr>
              </w:pPr>
              <w:r w:rsidRPr="00B5084C">
                <w:rPr>
                  <w:szCs w:val="22"/>
                </w:rPr>
                <w:t xml:space="preserve">In artikel 2.10, derde en vierde lid, verduidelijken wat bedoeld wordt met de aanpassing van het budgettaire totaalbeeld. </w:t>
              </w:r>
              <w:r w:rsidRPr="00B5084C">
                <w:rPr>
                  <w:sz w:val="20"/>
                  <w:szCs w:val="20"/>
                </w:rPr>
                <w:br/>
              </w:r>
              <w:r>
                <w:t>- Aan het slot van artikel 2.10, tweede lid, onderdeel b, de punt vervangen door een puntkomma.</w:t>
              </w:r>
            </w:p>
            <w:p w:rsidR="00B5084C" w:rsidP="00B5084C" w:rsidRDefault="00E72390">
              <w:pPr>
                <w:numPr>
                  <w:ilvl w:val="0"/>
                  <w:numId w:val="1"/>
                </w:numPr>
              </w:pPr>
              <w:r>
                <w:t xml:space="preserve">Artikel 3.2, tweede (derde) lid, vervangen door: 3. De Miljoenennota, bedoeld in artikel 2.10, wordt gelijktijdig ingediend met de wetsvoorstellen tot vaststelling van de begrotingsstaten, bedoeld in het eerste lid. </w:t>
              </w:r>
            </w:p>
            <w:p w:rsidR="00B5084C" w:rsidP="00B5084C" w:rsidRDefault="00E72390">
              <w:pPr>
                <w:numPr>
                  <w:ilvl w:val="0"/>
                  <w:numId w:val="1"/>
                </w:numPr>
              </w:pPr>
              <w:r>
                <w:t>In de artikelen 3.3, tweede en derde lid, en 3.4, vierde en vijfde lid, telkens “niet in werking is getreden” vervangen door: niet tot wet is verheven en in werking is getreden.</w:t>
              </w:r>
            </w:p>
            <w:p w:rsidR="00B5084C" w:rsidP="00B5084C" w:rsidRDefault="00E72390">
              <w:pPr>
                <w:numPr>
                  <w:ilvl w:val="0"/>
                  <w:numId w:val="1"/>
                </w:numPr>
              </w:pPr>
              <w:r>
                <w:t>In artikel 4.5, tweede lid, onder b, de betekenis van “financieelbeheershandelingen” verduidelijken.</w:t>
              </w:r>
            </w:p>
            <w:p w:rsidR="00B5084C" w:rsidP="00B5084C" w:rsidRDefault="00E72390">
              <w:pPr>
                <w:numPr>
                  <w:ilvl w:val="0"/>
                  <w:numId w:val="1"/>
                </w:numPr>
              </w:pPr>
              <w:r>
                <w:t>In artikel 4.5, derde lid, “regelgeving bedoeld in” vervangen door: nadere regels als bedoeld”.</w:t>
              </w:r>
            </w:p>
            <w:p w:rsidR="00B5084C" w:rsidP="00B5084C" w:rsidRDefault="00E72390">
              <w:pPr>
                <w:numPr>
                  <w:ilvl w:val="0"/>
                  <w:numId w:val="1"/>
                </w:numPr>
              </w:pPr>
              <w:r>
                <w:t xml:space="preserve">Artikel 4.9, onderdeel a, schrappen nu evident is, dat informatie die naar de Tweede Kamer wordt gezonden relevant is. </w:t>
              </w:r>
            </w:p>
            <w:p w:rsidR="00B5084C" w:rsidP="00B5084C" w:rsidRDefault="00E72390">
              <w:pPr>
                <w:numPr>
                  <w:ilvl w:val="0"/>
                  <w:numId w:val="1"/>
                </w:numPr>
              </w:pPr>
              <w:r>
                <w:t>In artikel 5.2, derde lid “moet worden verstrekt” vervangen door: wordt verstrekt. Zie aanwijzing 53 van de Aanwijzingen voor de regelgeving).</w:t>
              </w:r>
            </w:p>
            <w:p w:rsidR="00B5084C" w:rsidP="00B5084C" w:rsidRDefault="00E72390">
              <w:pPr>
                <w:numPr>
                  <w:ilvl w:val="0"/>
                  <w:numId w:val="1"/>
                </w:numPr>
              </w:pPr>
              <w:r>
                <w:t>In artikel 5.4, eerste lid, “onderscheidenlijk” vervangen door: en voor die van.</w:t>
              </w:r>
            </w:p>
            <w:p w:rsidR="00B5084C" w:rsidP="00B5084C" w:rsidRDefault="00E72390">
              <w:pPr>
                <w:numPr>
                  <w:ilvl w:val="0"/>
                  <w:numId w:val="1"/>
                </w:numPr>
              </w:pPr>
              <w:r>
                <w:t>In artikel 5.4, tweede lid, “de begroting” vervangen door “de begrotingen”, en “onderscheidenlijk” vervangen door “,”.</w:t>
              </w:r>
            </w:p>
            <w:p w:rsidR="00B5084C" w:rsidP="00B5084C" w:rsidRDefault="00E72390">
              <w:pPr>
                <w:numPr>
                  <w:ilvl w:val="0"/>
                  <w:numId w:val="1"/>
                </w:numPr>
              </w:pPr>
              <w:r>
                <w:t xml:space="preserve">In artikel 5.5, derde lid, “in de memorie van toelichting bij het voorstel van wet” schrappen. </w:t>
              </w:r>
            </w:p>
            <w:p w:rsidR="00B5084C" w:rsidP="00B5084C" w:rsidRDefault="00E72390">
              <w:pPr>
                <w:numPr>
                  <w:ilvl w:val="0"/>
                  <w:numId w:val="1"/>
                </w:numPr>
              </w:pPr>
              <w:r>
                <w:t xml:space="preserve">In artikel 5.11, derde lid, onderdeel a, “activiteiten,” vervangen door: </w:t>
              </w:r>
              <w:r w:rsidRPr="004D76EE">
                <w:t>activiteiten;.</w:t>
              </w:r>
            </w:p>
            <w:p w:rsidR="00B5084C" w:rsidP="00B5084C" w:rsidRDefault="00E72390">
              <w:pPr>
                <w:numPr>
                  <w:ilvl w:val="0"/>
                  <w:numId w:val="1"/>
                </w:numPr>
              </w:pPr>
              <w:r w:rsidRPr="004D76EE">
                <w:t xml:space="preserve">Verduidelijken of </w:t>
              </w:r>
              <w:r>
                <w:t xml:space="preserve">het voorstel </w:t>
              </w:r>
              <w:r w:rsidRPr="00B5084C">
                <w:rPr>
                  <w:color w:val="000000"/>
                  <w:szCs w:val="22"/>
                </w:rPr>
                <w:t>mede van toepassing is op de BES-eilanden</w:t>
              </w:r>
              <w:r w:rsidRPr="004D76EE">
                <w:t xml:space="preserve"> en in samenhang daarmee in artikel 5.12 “met betrekking tot het Rijk” nader bezien en in artikel 5.13, eerste tot en met derde lid, telkens “voor</w:t>
              </w:r>
              <w:r>
                <w:t xml:space="preserve"> het Rijk” nader bezien.</w:t>
              </w:r>
            </w:p>
            <w:p w:rsidR="00B5084C" w:rsidP="00B5084C" w:rsidRDefault="00E72390">
              <w:pPr>
                <w:numPr>
                  <w:ilvl w:val="0"/>
                  <w:numId w:val="1"/>
                </w:numPr>
              </w:pPr>
              <w:r>
                <w:t>Artikel 5.14, tweede lid, formuleren in lijn het bestaande artikel 12, tweede lid, Cw 2001.</w:t>
              </w:r>
            </w:p>
            <w:p w:rsidR="00B5084C" w:rsidP="00B5084C" w:rsidRDefault="00E72390">
              <w:pPr>
                <w:numPr>
                  <w:ilvl w:val="0"/>
                  <w:numId w:val="1"/>
                </w:numPr>
              </w:pPr>
              <w:r>
                <w:t>In artikel 6.1, telkens “dienst” vervangen door: dienstonderdeel.</w:t>
              </w:r>
            </w:p>
            <w:p w:rsidR="00B5084C" w:rsidP="00B5084C" w:rsidRDefault="00E72390">
              <w:pPr>
                <w:numPr>
                  <w:ilvl w:val="0"/>
                  <w:numId w:val="1"/>
                </w:numPr>
              </w:pPr>
              <w:r>
                <w:lastRenderedPageBreak/>
                <w:t>In artikel 7.2, eerste lid, onder c, de betekenis van “van de totstandkoming” verduidelijken en zo nodig de wettekst aanpassen.</w:t>
              </w:r>
            </w:p>
            <w:p w:rsidR="00B5084C" w:rsidP="00B5084C" w:rsidRDefault="00E72390">
              <w:pPr>
                <w:numPr>
                  <w:ilvl w:val="0"/>
                  <w:numId w:val="1"/>
                </w:numPr>
              </w:pPr>
              <w:r>
                <w:t xml:space="preserve">In artikel </w:t>
              </w:r>
              <w:r w:rsidRPr="00AF3857">
                <w:t>7.3</w:t>
              </w:r>
              <w:r>
                <w:t>, zevende lid, is de toevoeging “in afwijking van het derde lid” overbodig. Het zevende lid bevat een toevoeging op het derde lid.</w:t>
              </w:r>
            </w:p>
            <w:p w:rsidR="00B5084C" w:rsidP="00B5084C" w:rsidRDefault="00E72390">
              <w:pPr>
                <w:numPr>
                  <w:ilvl w:val="0"/>
                  <w:numId w:val="1"/>
                </w:numPr>
              </w:pPr>
              <w:r>
                <w:t>In artikel 7.4, vierde lid, “haar” vervangen door: hun.</w:t>
              </w:r>
            </w:p>
            <w:p w:rsidR="00B5084C" w:rsidP="00B5084C" w:rsidRDefault="00E72390">
              <w:pPr>
                <w:numPr>
                  <w:ilvl w:val="0"/>
                  <w:numId w:val="1"/>
                </w:numPr>
              </w:pPr>
              <w:r>
                <w:t>In artikel 8.1, tweede lid, onderdeel e, na de puntkomma toevoegen: of. In het achtste lid, de verhouding tot de Algemene wet bestuursrecht verduidelijken.</w:t>
              </w:r>
            </w:p>
            <w:p w:rsidR="00B5084C" w:rsidP="00B5084C" w:rsidRDefault="00E72390">
              <w:pPr>
                <w:numPr>
                  <w:ilvl w:val="0"/>
                  <w:numId w:val="1"/>
                </w:numPr>
              </w:pPr>
              <w:r>
                <w:t>In artikel 8.5, eerste lid, “een rechtspersoon waaraan het op grond van artikel 8.3, eerste of tweede lid is toegestaan deel te nemen aan schatkistbankieren” in overeenstemming brengen met de tekst van artikel 8.3, eerste en tweede lid, nu daar niet alleen de formulering “toestaan” wordt gebruikt, maar ook “aanwijzen”.</w:t>
              </w:r>
            </w:p>
            <w:p w:rsidR="00B5084C" w:rsidP="00B5084C" w:rsidRDefault="00E72390">
              <w:pPr>
                <w:numPr>
                  <w:ilvl w:val="0"/>
                  <w:numId w:val="1"/>
                </w:numPr>
              </w:pPr>
              <w:r>
                <w:t>In artikel 8.7, eerste lid, verduidelijken wat wordt bedoeld met “inlenen van financiële middelen”.</w:t>
              </w:r>
            </w:p>
            <w:p w:rsidR="00B5084C" w:rsidP="00B5084C" w:rsidRDefault="00E72390">
              <w:pPr>
                <w:numPr>
                  <w:ilvl w:val="0"/>
                  <w:numId w:val="1"/>
                </w:numPr>
              </w:pPr>
              <w:r>
                <w:t>Aan het einde van artikel 9.3, eerste lid, onderdeel c, een puntkomma toevoegen.</w:t>
              </w:r>
            </w:p>
            <w:p w:rsidR="00B5084C" w:rsidP="00B5084C" w:rsidRDefault="00E72390">
              <w:pPr>
                <w:numPr>
                  <w:ilvl w:val="0"/>
                  <w:numId w:val="1"/>
                </w:numPr>
              </w:pPr>
              <w:r>
                <w:t>In artikel 9.3, derde lid, “bevoegd een onderzoek in te stellen indien een derde partij” vervangen door: bevoegd bij een derde onderzoek in te stellen indien die derde.</w:t>
              </w:r>
            </w:p>
            <w:p w:rsidR="00B5084C" w:rsidP="00B5084C" w:rsidRDefault="00E72390">
              <w:pPr>
                <w:numPr>
                  <w:ilvl w:val="0"/>
                  <w:numId w:val="1"/>
                </w:numPr>
              </w:pPr>
              <w:r>
                <w:t>In artikel 9.3, vijfde en zesde lid, telkens “eerste en tweede lid” vervangen door: eerste tot en met derde lid.</w:t>
              </w:r>
            </w:p>
            <w:p w:rsidR="00B5084C" w:rsidP="00B5084C" w:rsidRDefault="00E72390">
              <w:pPr>
                <w:numPr>
                  <w:ilvl w:val="0"/>
                  <w:numId w:val="1"/>
                </w:numPr>
              </w:pPr>
              <w:r>
                <w:t>In artikel 9.6, onder b, verduidelijken wat wordt bedoeld met “de controle van” wordt bedoeld en zo nodig dit artikel aanpassen.</w:t>
              </w:r>
            </w:p>
            <w:p w:rsidR="00B5084C" w:rsidP="00B5084C" w:rsidRDefault="00E72390">
              <w:pPr>
                <w:numPr>
                  <w:ilvl w:val="0"/>
                  <w:numId w:val="1"/>
                </w:numPr>
              </w:pPr>
              <w:r>
                <w:t>In artikel 9.7, eerste en tweede lid, telkens “Onze betrokken Minister” vervangen door “Onze Minister die het aangaat” en “waarvoor het verantwoordelijk is” schrappen.</w:t>
              </w:r>
            </w:p>
            <w:p w:rsidR="00B5084C" w:rsidP="00B5084C" w:rsidRDefault="00E72390">
              <w:pPr>
                <w:numPr>
                  <w:ilvl w:val="0"/>
                  <w:numId w:val="1"/>
                </w:numPr>
              </w:pPr>
              <w:r>
                <w:t>In artikel 9.7, derde lid, “Onze betrokken Minister” vervangen door”: Onze Minister die het aangaat.</w:t>
              </w:r>
            </w:p>
            <w:p w:rsidR="00B5084C" w:rsidP="00B5084C" w:rsidRDefault="00E72390">
              <w:pPr>
                <w:numPr>
                  <w:ilvl w:val="0"/>
                  <w:numId w:val="1"/>
                </w:numPr>
              </w:pPr>
              <w:r>
                <w:t>In artikel 10.1, eerste lid, “en in overeenstemming met Onze Minister van Financiën” schrappen.</w:t>
              </w:r>
            </w:p>
            <w:p w:rsidR="00B5084C" w:rsidP="00B5084C" w:rsidRDefault="00E72390">
              <w:pPr>
                <w:numPr>
                  <w:ilvl w:val="0"/>
                  <w:numId w:val="1"/>
                </w:numPr>
              </w:pPr>
              <w:r>
                <w:t>In artikel 10.2, tweede lid, na “afwezigheid” invoegen: of ontstentenis.</w:t>
              </w:r>
            </w:p>
            <w:p w:rsidR="00B5084C" w:rsidP="00B5084C" w:rsidRDefault="00E72390">
              <w:pPr>
                <w:numPr>
                  <w:ilvl w:val="0"/>
                  <w:numId w:val="1"/>
                </w:numPr>
              </w:pPr>
              <w:r>
                <w:t>In artikel 10.3, eerste lid, “worden” vervangen door: wordt.</w:t>
              </w:r>
            </w:p>
            <w:p w:rsidR="00B5084C" w:rsidP="00B5084C" w:rsidRDefault="00E72390">
              <w:pPr>
                <w:numPr>
                  <w:ilvl w:val="0"/>
                  <w:numId w:val="1"/>
                </w:numPr>
              </w:pPr>
              <w:r>
                <w:t>In artikel 10.16, eerste lid, aanhef, “bij” vervangen door: ten aanzien van.</w:t>
              </w:r>
            </w:p>
            <w:p w:rsidR="00B5084C" w:rsidP="00B5084C" w:rsidRDefault="00E72390">
              <w:pPr>
                <w:numPr>
                  <w:ilvl w:val="0"/>
                  <w:numId w:val="1"/>
                </w:numPr>
              </w:pPr>
              <w:r>
                <w:t>In artikel 10.17, eerste lid, na “Het onderzoek bij” invoegen: de.</w:t>
              </w:r>
            </w:p>
            <w:p w:rsidR="00B5084C" w:rsidP="00B5084C" w:rsidRDefault="00E72390">
              <w:pPr>
                <w:numPr>
                  <w:ilvl w:val="0"/>
                  <w:numId w:val="1"/>
                </w:numPr>
              </w:pPr>
              <w:r>
                <w:t>In artikel 10.28, eerste lid, “bij” vervangen door: ten aanzien van.</w:t>
              </w:r>
            </w:p>
            <w:p w:rsidR="00B5084C" w:rsidP="00B5084C" w:rsidRDefault="00E72390">
              <w:pPr>
                <w:numPr>
                  <w:ilvl w:val="0"/>
                  <w:numId w:val="1"/>
                </w:numPr>
              </w:pPr>
              <w:r>
                <w:t>In artikel 10.30, vijfde lid, “deelt aan” vervangen door “verstrekt” en “mee” schrappen.</w:t>
              </w:r>
            </w:p>
            <w:p w:rsidR="00B5084C" w:rsidP="00B5084C" w:rsidRDefault="00E72390">
              <w:pPr>
                <w:numPr>
                  <w:ilvl w:val="0"/>
                  <w:numId w:val="1"/>
                </w:numPr>
              </w:pPr>
              <w:r w:rsidRPr="00B62A47">
                <w:t xml:space="preserve">In Artikel 12.1 </w:t>
              </w:r>
              <w:r>
                <w:t>wordt een wijziging aangebracht in de Algemene wet bijzondere ziektekosten, deze wet is inmiddels vervallen.</w:t>
              </w:r>
            </w:p>
            <w:p w:rsidR="00B5084C" w:rsidP="00B5084C" w:rsidRDefault="00E72390">
              <w:pPr>
                <w:numPr>
                  <w:ilvl w:val="0"/>
                  <w:numId w:val="1"/>
                </w:numPr>
              </w:pPr>
              <w:r>
                <w:t>In artikel 12.2, tweede lid, “van de Comptabiliteitswet 2001: 201X” vervangen door: van de Comptabiliteitswet 201X.</w:t>
              </w:r>
            </w:p>
            <w:p w:rsidR="00E70C71" w:rsidP="00B5084C" w:rsidRDefault="00E72390">
              <w:pPr>
                <w:numPr>
                  <w:ilvl w:val="0"/>
                  <w:numId w:val="1"/>
                </w:numPr>
              </w:pPr>
              <w:r>
                <w:t>In artikel 12.17, onderdeel c, onder 1, “vervalt” vervangen door: vervallen.</w:t>
              </w:r>
            </w:p>
          </w:sdtContent>
        </w:sdt>
        <w:p w:rsidR="00C50D4F" w:rsidP="005841EA" w:rsidRDefault="00F72BB4">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613" w:rsidRDefault="00E72390" w:rsidP="005B3E03">
      <w:r>
        <w:separator/>
      </w:r>
    </w:p>
  </w:endnote>
  <w:endnote w:type="continuationSeparator" w:id="0">
    <w:p w:rsidR="00EC7613" w:rsidRDefault="00E72390" w:rsidP="005B3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F72BB4">
    <w:pPr>
      <w:pStyle w:val="Voettekst"/>
    </w:pPr>
    <w:r>
      <w:rPr>
        <w:noProof/>
        <w:lang w:val="nl-NL" w:eastAsia="nl-NL"/>
      </w:rPr>
      <w:pict>
        <v:shapetype id="_x0000_t202" coordsize="21600,21600" o:spt="202" path="m,l,21600r21600,l21600,xe">
          <v:stroke joinstyle="miter"/>
          <v:path gradientshapeok="t" o:connecttype="rect"/>
        </v:shapetype>
        <v:shape id="Text Box 5" o:spid="_x0000_s2457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613" w:rsidRDefault="00E72390" w:rsidP="005B3E03">
      <w:r>
        <w:separator/>
      </w:r>
    </w:p>
  </w:footnote>
  <w:footnote w:type="continuationSeparator" w:id="0">
    <w:p w:rsidR="00EC7613" w:rsidRDefault="00E72390" w:rsidP="005B3E03">
      <w:r>
        <w:continuationSeparator/>
      </w:r>
    </w:p>
  </w:footnote>
  <w:footnote w:id="1">
    <w:p w:rsidR="00641EE0" w:rsidRDefault="00E72390" w:rsidP="00641EE0">
      <w:pPr>
        <w:pStyle w:val="Voetnoottekst"/>
      </w:pPr>
      <w:r>
        <w:rPr>
          <w:rStyle w:val="Voetnootmarkering"/>
        </w:rPr>
        <w:footnoteRef/>
      </w:r>
      <w:r>
        <w:tab/>
        <w:t xml:space="preserve">Kamerstukken II 2005/06, 29 949, nr. 55. </w:t>
      </w:r>
    </w:p>
  </w:footnote>
  <w:footnote w:id="2">
    <w:p w:rsidR="00641EE0" w:rsidRDefault="00E72390" w:rsidP="00641EE0">
      <w:pPr>
        <w:pStyle w:val="Voetnoottekst"/>
      </w:pPr>
      <w:r>
        <w:rPr>
          <w:rStyle w:val="Voetnootmarkering"/>
        </w:rPr>
        <w:footnoteRef/>
      </w:r>
      <w:r>
        <w:tab/>
        <w:t>Kamerstukken II 2012/13, 33 670, nr. 1.</w:t>
      </w:r>
    </w:p>
  </w:footnote>
  <w:footnote w:id="3">
    <w:p w:rsidR="00641EE0" w:rsidRDefault="00E72390" w:rsidP="00641EE0">
      <w:pPr>
        <w:pStyle w:val="Voetnoottekst"/>
      </w:pPr>
      <w:r>
        <w:rPr>
          <w:rStyle w:val="Voetnootmarkering"/>
        </w:rPr>
        <w:footnoteRef/>
      </w:r>
      <w:r>
        <w:tab/>
      </w:r>
      <w:r w:rsidRPr="00E124EF">
        <w:t>Kamerstukken II</w:t>
      </w:r>
      <w:r>
        <w:t xml:space="preserve"> 2012/13, 33 670, nr. 1.</w:t>
      </w:r>
      <w:r w:rsidRPr="00D93A96">
        <w:t xml:space="preserve"> </w:t>
      </w:r>
    </w:p>
  </w:footnote>
  <w:footnote w:id="4">
    <w:p w:rsidR="00641EE0" w:rsidRDefault="00E72390" w:rsidP="00641EE0">
      <w:pPr>
        <w:pStyle w:val="Voetnoottekst"/>
      </w:pPr>
      <w:r>
        <w:rPr>
          <w:rStyle w:val="Voetnootmarkering"/>
        </w:rPr>
        <w:footnoteRef/>
      </w:r>
      <w:r>
        <w:tab/>
        <w:t>Kamerstukken II 2012/13, 33 670, nr. 2. Zie eveneens de bijlage bij Kamerstukken II 2014/15, 33 670, nr. 11, blz. 28 en 29.</w:t>
      </w:r>
    </w:p>
  </w:footnote>
  <w:footnote w:id="5">
    <w:p w:rsidR="00641EE0" w:rsidRDefault="00E72390" w:rsidP="00641EE0">
      <w:pPr>
        <w:pStyle w:val="Voetnoottekst"/>
      </w:pPr>
      <w:r>
        <w:rPr>
          <w:rStyle w:val="Voetnootmarkering"/>
        </w:rPr>
        <w:footnoteRef/>
      </w:r>
      <w:r>
        <w:tab/>
        <w:t>Kamerstukken II 2012/13, 33 670, nrs. 8 en 9.</w:t>
      </w:r>
    </w:p>
  </w:footnote>
  <w:footnote w:id="6">
    <w:p w:rsidR="00641EE0" w:rsidRDefault="00E72390" w:rsidP="00641EE0">
      <w:pPr>
        <w:pStyle w:val="Voetnoottekst"/>
      </w:pPr>
      <w:r>
        <w:rPr>
          <w:rStyle w:val="Voetnootmarkering"/>
        </w:rPr>
        <w:footnoteRef/>
      </w:r>
      <w:r>
        <w:tab/>
        <w:t>Toelichting, paragraaf 1.2.</w:t>
      </w:r>
    </w:p>
  </w:footnote>
  <w:footnote w:id="7">
    <w:p w:rsidR="00641EE0" w:rsidRDefault="00E72390" w:rsidP="00641EE0">
      <w:pPr>
        <w:pStyle w:val="Voetnoottekst"/>
      </w:pPr>
      <w:r>
        <w:rPr>
          <w:rStyle w:val="Voetnootmarkering"/>
        </w:rPr>
        <w:footnoteRef/>
      </w:r>
      <w:r>
        <w:tab/>
        <w:t xml:space="preserve">Het betreft regels over de inrichting van de departementen, zoals de positie van de directies Financieel Economische Zaken (FEZ) op de departementen en de accountantsdienst(en) van het Rijk en procedures tussen de departementen onderling in verband met de coördinerende en controlerende rol van het Ministerie van Financiën wat betreft financiële aspecten van gevoerd beleid. </w:t>
      </w:r>
    </w:p>
  </w:footnote>
  <w:footnote w:id="8">
    <w:p w:rsidR="00641EE0" w:rsidRDefault="00E72390" w:rsidP="00641EE0">
      <w:pPr>
        <w:pStyle w:val="Voetnoottekst"/>
      </w:pPr>
      <w:r>
        <w:rPr>
          <w:rStyle w:val="Voetnootmarkering"/>
        </w:rPr>
        <w:footnoteRef/>
      </w:r>
      <w:r>
        <w:tab/>
        <w:t>Toelichting, paragraaf 1.2.</w:t>
      </w:r>
    </w:p>
  </w:footnote>
  <w:footnote w:id="9">
    <w:p w:rsidR="00641EE0" w:rsidRDefault="00E72390" w:rsidP="00641EE0">
      <w:pPr>
        <w:pStyle w:val="Voetnoottekst"/>
      </w:pPr>
      <w:r>
        <w:rPr>
          <w:rStyle w:val="Voetnootmarkering"/>
        </w:rPr>
        <w:footnoteRef/>
      </w:r>
      <w:r>
        <w:tab/>
        <w:t xml:space="preserve">De gebeurtenissen in april 2012 over het opstellen van het stabiliteitsprogramma zijn hiervan een illustratie. </w:t>
      </w:r>
    </w:p>
  </w:footnote>
  <w:footnote w:id="10">
    <w:p w:rsidR="00303AB5" w:rsidRDefault="00E72390">
      <w:pPr>
        <w:pStyle w:val="Voetnoottekst"/>
      </w:pPr>
      <w:r>
        <w:rPr>
          <w:rStyle w:val="Voetnootmarkering"/>
        </w:rPr>
        <w:footnoteRef/>
      </w:r>
      <w:r>
        <w:t xml:space="preserve"> </w:t>
      </w:r>
      <w:r>
        <w:tab/>
        <w:t>A</w:t>
      </w:r>
      <w:r w:rsidRPr="00303AB5">
        <w:t>rtikel 82, eerste lid, Cw 2001</w:t>
      </w:r>
      <w:r>
        <w:t>.</w:t>
      </w:r>
    </w:p>
  </w:footnote>
  <w:footnote w:id="11">
    <w:p w:rsidR="00303AB5" w:rsidRDefault="00E72390">
      <w:pPr>
        <w:pStyle w:val="Voetnoottekst"/>
      </w:pPr>
      <w:r>
        <w:rPr>
          <w:rStyle w:val="Voetnootmarkering"/>
        </w:rPr>
        <w:footnoteRef/>
      </w:r>
      <w:r>
        <w:t xml:space="preserve"> </w:t>
      </w:r>
      <w:r>
        <w:tab/>
        <w:t>A</w:t>
      </w:r>
      <w:r w:rsidRPr="00303AB5">
        <w:t>rtikel 83, eerste lid, Cw 2001</w:t>
      </w:r>
      <w:r>
        <w:t>.</w:t>
      </w:r>
    </w:p>
  </w:footnote>
  <w:footnote w:id="12">
    <w:p w:rsidR="00303AB5" w:rsidRDefault="00E72390">
      <w:pPr>
        <w:pStyle w:val="Voetnoottekst"/>
      </w:pPr>
      <w:r>
        <w:rPr>
          <w:rStyle w:val="Voetnootmarkering"/>
        </w:rPr>
        <w:footnoteRef/>
      </w:r>
      <w:r>
        <w:t xml:space="preserve"> </w:t>
      </w:r>
      <w:r>
        <w:tab/>
        <w:t>A</w:t>
      </w:r>
      <w:r w:rsidRPr="00303AB5">
        <w:t>rtikel 85 Cw 2001</w:t>
      </w:r>
      <w:r>
        <w:t>.</w:t>
      </w:r>
    </w:p>
  </w:footnote>
  <w:footnote w:id="13">
    <w:p w:rsidR="00303AB5" w:rsidRDefault="00E72390">
      <w:pPr>
        <w:pStyle w:val="Voetnoottekst"/>
      </w:pPr>
      <w:r>
        <w:rPr>
          <w:rStyle w:val="Voetnootmarkering"/>
        </w:rPr>
        <w:footnoteRef/>
      </w:r>
      <w:r>
        <w:t xml:space="preserve"> </w:t>
      </w:r>
      <w:r>
        <w:tab/>
        <w:t>A</w:t>
      </w:r>
      <w:r w:rsidRPr="00303AB5">
        <w:t>rtikel 91, dertiende en veertiende lid, Cw 2001</w:t>
      </w:r>
      <w:r>
        <w:t>.</w:t>
      </w:r>
    </w:p>
  </w:footnote>
  <w:footnote w:id="14">
    <w:p w:rsidR="00641EE0" w:rsidRDefault="00E72390" w:rsidP="00641EE0">
      <w:pPr>
        <w:pStyle w:val="Voetnoottekst"/>
      </w:pPr>
      <w:r>
        <w:rPr>
          <w:rStyle w:val="Voetnootmarkering"/>
        </w:rPr>
        <w:footnoteRef/>
      </w:r>
      <w:r>
        <w:tab/>
        <w:t>Overigens zijn hier wel verbeteringen aangebracht. Belangrijke verbetering is dat de overige taken en bevoegdheden (de artikelen 90 tot en met 92 Cw 2001) in het voorstel nader bepaald zijn, doordat nu is voorzien in de formulering van reikwijdtebepalingen (bepaling van datgene waar het onderzoek op is gericht).</w:t>
      </w:r>
    </w:p>
  </w:footnote>
  <w:footnote w:id="15">
    <w:p w:rsidR="00303AB5" w:rsidRDefault="00E72390">
      <w:pPr>
        <w:pStyle w:val="Voetnoottekst"/>
      </w:pPr>
      <w:r>
        <w:rPr>
          <w:rStyle w:val="Voetnootmarkering"/>
        </w:rPr>
        <w:footnoteRef/>
      </w:r>
      <w:r>
        <w:t xml:space="preserve"> </w:t>
      </w:r>
      <w:r>
        <w:tab/>
        <w:t>A</w:t>
      </w:r>
      <w:r w:rsidRPr="00303AB5">
        <w:t>rt</w:t>
      </w:r>
      <w:r>
        <w:t>ikel</w:t>
      </w:r>
      <w:r w:rsidRPr="00303AB5">
        <w:t xml:space="preserve"> 1.1, definitie van “financieel beheer”</w:t>
      </w:r>
      <w:r>
        <w:t>.</w:t>
      </w:r>
    </w:p>
  </w:footnote>
  <w:footnote w:id="16">
    <w:p w:rsidR="00641EE0" w:rsidRDefault="00E72390" w:rsidP="00641EE0">
      <w:pPr>
        <w:pStyle w:val="Voetnoottekst"/>
      </w:pPr>
      <w:r>
        <w:rPr>
          <w:rStyle w:val="Voetnootmarkering"/>
        </w:rPr>
        <w:footnoteRef/>
      </w:r>
      <w:r>
        <w:tab/>
        <w:t>De toelichting bij dit onderdeel vermeldt, dat de onderzoeksbevoegdheid van de AR alleen geldt voor zover de Minister zich een controlerecht heeft voorbehouden. Die beperking (“voor zover”) is niet opgenomen in de wettekst. Voorts heeft dit onderdeel het over organisaties die goederen of diensten leveren en daarvoor met publieke middelen worden bekostigd. Het zijn evenwel niet de organisaties die worden bekostigd (zoals bij onderwijsinstellingen) maar het gaat er – blijkens de toelichting – om dat de inkoop door de overheid met publieke middelen wordt bekostigd.</w:t>
      </w:r>
    </w:p>
  </w:footnote>
  <w:footnote w:id="17">
    <w:p w:rsidR="00641EE0" w:rsidRDefault="00E72390" w:rsidP="00641EE0">
      <w:pPr>
        <w:pStyle w:val="Voetnoottekst"/>
      </w:pPr>
      <w:r>
        <w:rPr>
          <w:rStyle w:val="Voetnootmarkering"/>
        </w:rPr>
        <w:footnoteRef/>
      </w:r>
      <w:r>
        <w:tab/>
        <w:t xml:space="preserve">Laatstelijk voorlichting van de Afdeling advisering van de Raad van State d.d. 21 april 2011 (W06.11.0037/III), Stcrt. 2012, nr. 26086. </w:t>
      </w:r>
    </w:p>
  </w:footnote>
  <w:footnote w:id="18">
    <w:p w:rsidR="00641EE0" w:rsidRDefault="00E72390" w:rsidP="00641EE0">
      <w:pPr>
        <w:pStyle w:val="Voetnoottekst"/>
      </w:pPr>
      <w:r>
        <w:rPr>
          <w:rStyle w:val="Voetnootmarkering"/>
        </w:rPr>
        <w:footnoteRef/>
      </w:r>
      <w:r>
        <w:tab/>
        <w:t>Dit kan worden afgeleid uit de toelichting bij artikel 10.16 (bevoegdheden AR). Daar wordt expliciet vermeld dat onder “een bijdrage ten laste van de rijksbegroting” ook belastingkortingen met een bepaald beleidsdoel moeten worden begrepen.</w:t>
      </w:r>
    </w:p>
  </w:footnote>
  <w:footnote w:id="19">
    <w:p w:rsidR="00641EE0" w:rsidRDefault="00E72390" w:rsidP="00641EE0">
      <w:pPr>
        <w:pStyle w:val="Voetnoottekst"/>
      </w:pPr>
      <w:r>
        <w:rPr>
          <w:rStyle w:val="Voetnootmarkering"/>
        </w:rPr>
        <w:footnoteRef/>
      </w:r>
      <w:r>
        <w:tab/>
        <w:t>Zie hierover onder andere Kamerstukken II 1995/96, 24 456, nr. 3 en de voorlichting van 21 april 2011 (W06.11.0037/III), Stcrt. 2012, nr. 26086.</w:t>
      </w:r>
    </w:p>
  </w:footnote>
  <w:footnote w:id="20">
    <w:p w:rsidR="00641EE0" w:rsidRDefault="00E72390" w:rsidP="00641EE0">
      <w:pPr>
        <w:pStyle w:val="Voetnoottekst"/>
      </w:pPr>
      <w:r>
        <w:rPr>
          <w:rStyle w:val="Voetnootmarkering"/>
        </w:rPr>
        <w:footnoteRef/>
      </w:r>
      <w:r>
        <w:tab/>
        <w:t>Voorlichting van de Afdeling advisering van de Raad van State d.d. 21 april 2011 (W06.11.0037/III), Stcrt. 2012, 26086.</w:t>
      </w:r>
    </w:p>
  </w:footnote>
  <w:footnote w:id="21">
    <w:p w:rsidR="003045C8" w:rsidRDefault="00E72390">
      <w:pPr>
        <w:pStyle w:val="Voetnoottekst"/>
      </w:pPr>
      <w:r>
        <w:rPr>
          <w:rStyle w:val="Voetnootmarkering"/>
        </w:rPr>
        <w:footnoteRef/>
      </w:r>
      <w:r>
        <w:t xml:space="preserve"> </w:t>
      </w:r>
      <w:r>
        <w:tab/>
        <w:t>A</w:t>
      </w:r>
      <w:r w:rsidRPr="003045C8">
        <w:t>rtikel 184 van de Gemeentewet en artikel 185 van de Provinciewet</w:t>
      </w:r>
      <w:r>
        <w:t>.</w:t>
      </w:r>
    </w:p>
  </w:footnote>
  <w:footnote w:id="22">
    <w:p w:rsidR="00641EE0" w:rsidRDefault="00E72390" w:rsidP="00641EE0">
      <w:pPr>
        <w:pStyle w:val="Voetnoottekst"/>
      </w:pPr>
      <w:r>
        <w:rPr>
          <w:rStyle w:val="Voetnootmarkering"/>
        </w:rPr>
        <w:footnoteRef/>
      </w:r>
      <w:r>
        <w:tab/>
        <w:t xml:space="preserve">Dit uitgangspunt is overigens in het voorstel voor het eerst expliciet in de wet opgenomen in de artikelen 10.17 en 10.18. </w:t>
      </w:r>
    </w:p>
  </w:footnote>
  <w:footnote w:id="23">
    <w:p w:rsidR="00641EE0" w:rsidRDefault="00E72390" w:rsidP="00641EE0">
      <w:pPr>
        <w:pStyle w:val="Voetnoottekst"/>
      </w:pPr>
      <w:r>
        <w:rPr>
          <w:rStyle w:val="Voetnootmarkering"/>
        </w:rPr>
        <w:footnoteRef/>
      </w:r>
      <w:r>
        <w:t xml:space="preserve"> Zie het advies 21 april 2011 (W06.11.0092/III) inzake het voorstel van wet tot wijziging van de Comptabiliteitswet 2001 in verband met de wijziging van een aantal begrotingen en enkele technische aanpassingen. </w:t>
      </w:r>
    </w:p>
  </w:footnote>
  <w:footnote w:id="24">
    <w:p w:rsidR="00641EE0" w:rsidRDefault="00E72390" w:rsidP="00641EE0">
      <w:pPr>
        <w:pStyle w:val="Voetnoottekst"/>
      </w:pPr>
      <w:r>
        <w:rPr>
          <w:rStyle w:val="Voetnootmarkering"/>
        </w:rPr>
        <w:footnoteRef/>
      </w:r>
      <w:r>
        <w:t xml:space="preserve"> Toelichting bij artikel 10.16 (bevoegdheden AR).</w:t>
      </w:r>
    </w:p>
  </w:footnote>
  <w:footnote w:id="25">
    <w:p w:rsidR="003045C8" w:rsidRDefault="00E72390">
      <w:pPr>
        <w:pStyle w:val="Voetnoottekst"/>
      </w:pPr>
      <w:r>
        <w:rPr>
          <w:rStyle w:val="Voetnootmarkering"/>
        </w:rPr>
        <w:footnoteRef/>
      </w:r>
      <w:r>
        <w:t xml:space="preserve"> </w:t>
      </w:r>
      <w:r>
        <w:tab/>
      </w:r>
      <w:r w:rsidRPr="003045C8">
        <w:t>Kamerstukken II 2013/14, 33 861, nr. 2</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F72BB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7D5C6E">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F72BB4">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7D5C6E">
      <w:rPr>
        <w:rStyle w:val="Paginanummer"/>
        <w:noProof/>
      </w:rPr>
      <w:t>16</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F72BB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7D5C6E">
      <w:rPr>
        <w:rStyle w:val="Paginanummer"/>
        <w:noProof/>
      </w:rPr>
      <w:t>II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stylePaneFormatFilter w:val="3F01"/>
  <w:documentProtection w:edit="forms" w:enforcement="0"/>
  <w:defaultTabStop w:val="708"/>
  <w:hyphenationZone w:val="425"/>
  <w:characterSpacingControl w:val="doNotCompress"/>
  <w:hdrShapeDefaults>
    <o:shapedefaults v:ext="edit" spidmax="24579"/>
    <o:shapelayout v:ext="edit">
      <o:idmap v:ext="edit" data="24"/>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5B41"/>
    <w:rsid w:val="003C7608"/>
    <w:rsid w:val="00411DBC"/>
    <w:rsid w:val="00554D49"/>
    <w:rsid w:val="005841EA"/>
    <w:rsid w:val="005E41CC"/>
    <w:rsid w:val="00635836"/>
    <w:rsid w:val="00636D17"/>
    <w:rsid w:val="00687984"/>
    <w:rsid w:val="006C5E3C"/>
    <w:rsid w:val="006D53BA"/>
    <w:rsid w:val="007009C5"/>
    <w:rsid w:val="00743072"/>
    <w:rsid w:val="00796479"/>
    <w:rsid w:val="007D5C6E"/>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08DC"/>
    <w:rsid w:val="00CE4655"/>
    <w:rsid w:val="00D2526B"/>
    <w:rsid w:val="00D92754"/>
    <w:rsid w:val="00DB6AF4"/>
    <w:rsid w:val="00DE4E42"/>
    <w:rsid w:val="00E4090A"/>
    <w:rsid w:val="00E72390"/>
    <w:rsid w:val="00F374C1"/>
    <w:rsid w:val="00F72BB4"/>
    <w:rsid w:val="00F9529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rsid w:val="00333C36"/>
    <w:rPr>
      <w:vertAlign w:val="superscript"/>
    </w:rPr>
  </w:style>
  <w:style w:type="character" w:styleId="Verwijzingopmerking">
    <w:name w:val="annotation reference"/>
    <w:basedOn w:val="Standaardalinea-lettertype"/>
    <w:rsid w:val="0031565C"/>
    <w:rPr>
      <w:sz w:val="16"/>
      <w:szCs w:val="16"/>
    </w:rPr>
  </w:style>
  <w:style w:type="paragraph" w:styleId="Tekstopmerking">
    <w:name w:val="annotation text"/>
    <w:basedOn w:val="Standaard"/>
    <w:link w:val="TekstopmerkingChar"/>
    <w:rsid w:val="0031565C"/>
    <w:rPr>
      <w:sz w:val="20"/>
      <w:szCs w:val="20"/>
    </w:rPr>
  </w:style>
  <w:style w:type="character" w:customStyle="1" w:styleId="TekstopmerkingChar">
    <w:name w:val="Tekst opmerking Char"/>
    <w:basedOn w:val="Standaardalinea-lettertype"/>
    <w:link w:val="Tekstopmerking"/>
    <w:rsid w:val="0031565C"/>
    <w:rPr>
      <w:rFonts w:ascii="Univers" w:hAnsi="Univers"/>
    </w:rPr>
  </w:style>
  <w:style w:type="paragraph" w:styleId="Onderwerpvanopmerking">
    <w:name w:val="annotation subject"/>
    <w:basedOn w:val="Tekstopmerking"/>
    <w:next w:val="Tekstopmerking"/>
    <w:link w:val="OnderwerpvanopmerkingChar"/>
    <w:rsid w:val="0031565C"/>
    <w:rPr>
      <w:b/>
      <w:bCs/>
    </w:rPr>
  </w:style>
  <w:style w:type="character" w:customStyle="1" w:styleId="OnderwerpvanopmerkingChar">
    <w:name w:val="Onderwerp van opmerking Char"/>
    <w:basedOn w:val="TekstopmerkingChar"/>
    <w:link w:val="Onderwerpvanopmerking"/>
    <w:rsid w:val="0031565C"/>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DE4261"/>
    <w:rPr>
      <w:rFonts w:ascii="Univers" w:hAnsi="Univers"/>
      <w:sz w:val="22"/>
      <w:szCs w:val="24"/>
    </w:rPr>
  </w:style>
  <w:style w:type="character" w:styleId="Intensievebenadrukking">
    <w:name w:val="Intense Emphasis"/>
    <w:basedOn w:val="Standaardalinea-lettertype"/>
    <w:uiPriority w:val="21"/>
    <w:qFormat/>
    <w:rsid w:val="00266EE5"/>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2B7D8A"/>
    <w:pPr>
      <w:tabs>
        <w:tab w:val="left" w:pos="227"/>
      </w:tabs>
      <w:ind w:left="227" w:hanging="227"/>
    </w:pPr>
    <w:rPr>
      <w:sz w:val="18"/>
      <w:szCs w:val="20"/>
    </w:rPr>
  </w:style>
  <w:style w:type="character" w:customStyle="1" w:styleId="VoetnoottekstChar">
    <w:name w:val="Voetnoottekst Char"/>
    <w:link w:val="Voetnoottekst"/>
    <w:rsid w:val="002B7D8A"/>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02F56"/>
    <w:rsid w:val="00025DF2"/>
    <w:rsid w:val="000264B0"/>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42D7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2F5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7763</ap:Words>
  <ap:Characters>43685</ap:Characters>
  <ap:DocSecurity>0</ap:DocSecurity>
  <ap:Lines>364</ap:Lines>
  <ap:Paragraphs>102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2015-12-17T15:12:00.0000000Z</lastPrinted>
  <dcterms:created xsi:type="dcterms:W3CDTF">2016-03-09T13:56:00.0000000Z</dcterms:created>
  <dcterms:modified xsi:type="dcterms:W3CDTF">2016-03-09T13:56:00.0000000Z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0x0101001ADE390DCEA8AE4A8D319B2F8AABF194</vt:lpwstr>
  </property>
</Properties>
</file>