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F43A1B" w:rsidRDefault="00544FEF">
      <w:pPr>
        <w:pStyle w:val="PlatteTekst"/>
      </w:pPr>
      <w:r>
        <w:rPr>
          <w:noProof/>
          <w:lang w:eastAsia="nl-NL"/>
        </w:rPr>
        <mc:AlternateContent>
          <mc:Choice Requires="wps">
            <w:drawing>
              <wp:anchor distT="0" distB="0" distL="114300" distR="114300" simplePos="0" relativeHeight="251658240" behindDoc="0" locked="0" layoutInCell="1" allowOverlap="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A1B" w:rsidRDefault="00E7424E">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F43A1B" w:rsidRDefault="00E7424E">
                      <w:pPr>
                        <w:pStyle w:val="Huisstijl-Markering"/>
                        <w:ind w:right="533"/>
                      </w:pPr>
                      <w:r>
                        <w:t>INTERN GEBRUIK</w:t>
                      </w:r>
                    </w:p>
                  </w:txbxContent>
                </v:textbox>
                <w10:wrap anchory="page"/>
              </v:shape>
            </w:pict>
          </mc:Fallback>
        </mc:AlternateContent>
      </w:r>
    </w:p>
    <w:p w:rsidR="00F43A1B" w:rsidRDefault="00F43A1B">
      <w:pPr>
        <w:pStyle w:val="PlatteTekst"/>
        <w:sectPr w:rsidR="00F43A1B">
          <w:footerReference w:type="default" r:id="rId10"/>
          <w:type w:val="continuous"/>
          <w:pgSz w:w="11907" w:h="16840" w:code="9"/>
          <w:pgMar w:top="-2410" w:right="1361" w:bottom="1418" w:left="2211" w:header="2370" w:footer="992" w:gutter="0"/>
          <w:cols w:space="708"/>
          <w:docGrid w:type="lines" w:linePitch="284"/>
        </w:sectPr>
      </w:pPr>
    </w:p>
    <w:p w:rsidR="00F43A1B" w:rsidRDefault="00544FEF">
      <w:pPr>
        <w:rPr>
          <w:szCs w:val="17"/>
        </w:rPr>
      </w:pPr>
      <w:r>
        <w:rPr>
          <w:noProof/>
          <w:lang w:eastAsia="nl-NL"/>
        </w:rPr>
        <w:lastRenderedPageBreak/>
        <mc:AlternateContent>
          <mc:Choice Requires="wps">
            <w:drawing>
              <wp:anchor distT="0" distB="269875" distL="114300" distR="114300" simplePos="0" relativeHeight="251659264" behindDoc="0" locked="0" layoutInCell="1" allowOverlap="1">
                <wp:simplePos x="0" y="0"/>
                <wp:positionH relativeFrom="page">
                  <wp:posOffset>607060</wp:posOffset>
                </wp:positionH>
                <wp:positionV relativeFrom="page">
                  <wp:posOffset>2085975</wp:posOffset>
                </wp:positionV>
                <wp:extent cx="6170930" cy="1712595"/>
                <wp:effectExtent l="0" t="0" r="3810" b="190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1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F43A1B">
                              <w:trPr>
                                <w:trHeight w:val="62"/>
                              </w:trPr>
                              <w:tc>
                                <w:tcPr>
                                  <w:tcW w:w="1263" w:type="dxa"/>
                                </w:tcPr>
                                <w:p w:rsidR="00F43A1B" w:rsidRDefault="00F43A1B">
                                  <w:pPr>
                                    <w:pStyle w:val="Huisstijl-Agendatitel"/>
                                    <w:shd w:val="clear" w:color="auto" w:fill="auto"/>
                                    <w:tabs>
                                      <w:tab w:val="right" w:pos="1264"/>
                                      <w:tab w:val="right" w:pos="1344"/>
                                    </w:tabs>
                                    <w:ind w:left="0" w:firstLine="0"/>
                                  </w:pPr>
                                </w:p>
                              </w:tc>
                              <w:tc>
                                <w:tcPr>
                                  <w:tcW w:w="4686" w:type="dxa"/>
                                </w:tcPr>
                                <w:p w:rsidR="00F43A1B" w:rsidRDefault="00F43A1B">
                                  <w:pPr>
                                    <w:pStyle w:val="Huisstijl-Agendatitel"/>
                                    <w:shd w:val="clear" w:color="auto" w:fill="auto"/>
                                    <w:tabs>
                                      <w:tab w:val="right" w:pos="1264"/>
                                      <w:tab w:val="right" w:pos="1344"/>
                                    </w:tabs>
                                    <w:ind w:left="0" w:firstLine="0"/>
                                  </w:pP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W1vet"/>
                                  </w:pPr>
                                  <w:r>
                                    <w:rPr>
                                      <w:szCs w:val="13"/>
                                    </w:rPr>
                                    <w:t>Bureau Onderzoek en Rijksuitgaven</w:t>
                                  </w:r>
                                </w:p>
                                <w:p w:rsidR="00F43A1B" w:rsidRDefault="00F43A1B">
                                  <w:pPr>
                                    <w:pStyle w:val="Huisstijl-Afzendgegevens"/>
                                  </w:pPr>
                                </w:p>
                                <w:p w:rsidR="00F43A1B" w:rsidRDefault="00544FEF">
                                  <w:pPr>
                                    <w:pStyle w:val="Huisstijl-Afzendgegevens"/>
                                  </w:pPr>
                                  <w:r>
                                    <w:rPr>
                                      <w:szCs w:val="13"/>
                                    </w:rPr>
                                    <w:t xml:space="preserve"> M. Harpe</w:t>
                                  </w:r>
                                </w:p>
                              </w:tc>
                            </w:tr>
                            <w:tr w:rsidR="00F43A1B">
                              <w:trPr>
                                <w:trHeight w:val="91" w:hRule="exact"/>
                              </w:trPr>
                              <w:tc>
                                <w:tcPr>
                                  <w:tcW w:w="5949" w:type="dxa"/>
                                  <w:gridSpan w:val="2"/>
                                </w:tcPr>
                                <w:p w:rsidR="00F43A1B" w:rsidRDefault="00F43A1B">
                                  <w:pPr>
                                    <w:pStyle w:val="Huisstijl-Notitiegegevens"/>
                                    <w:rPr>
                                      <w:sz w:val="9"/>
                                      <w:szCs w:val="9"/>
                                    </w:rPr>
                                  </w:pPr>
                                </w:p>
                              </w:tc>
                              <w:tc>
                                <w:tcPr>
                                  <w:tcW w:w="425" w:type="dxa"/>
                                </w:tcPr>
                                <w:p w:rsidR="00F43A1B" w:rsidRDefault="00F43A1B">
                                  <w:pPr>
                                    <w:pStyle w:val="Huisstijl-Agendatitel"/>
                                    <w:shd w:val="clear" w:color="auto" w:fill="auto"/>
                                    <w:tabs>
                                      <w:tab w:val="right" w:pos="1264"/>
                                      <w:tab w:val="right" w:pos="1344"/>
                                    </w:tabs>
                                    <w:ind w:left="0" w:firstLine="0"/>
                                    <w:rPr>
                                      <w:sz w:val="9"/>
                                      <w:szCs w:val="9"/>
                                    </w:rPr>
                                  </w:pPr>
                                </w:p>
                              </w:tc>
                              <w:tc>
                                <w:tcPr>
                                  <w:tcW w:w="3203" w:type="dxa"/>
                                </w:tcPr>
                                <w:p w:rsidR="00F43A1B" w:rsidRDefault="00F43A1B">
                                  <w:pPr>
                                    <w:pStyle w:val="Huisstijl-Afzendgegevens"/>
                                    <w:ind w:right="260"/>
                                    <w:jc w:val="center"/>
                                    <w:rPr>
                                      <w:szCs w:val="13"/>
                                    </w:rPr>
                                  </w:pPr>
                                </w:p>
                              </w:tc>
                            </w:tr>
                            <w:tr w:rsidR="00F43A1B">
                              <w:trPr>
                                <w:trHeight w:val="1610"/>
                              </w:trPr>
                              <w:tc>
                                <w:tcPr>
                                  <w:tcW w:w="5949" w:type="dxa"/>
                                  <w:gridSpan w:val="2"/>
                                </w:tcPr>
                                <w:p w:rsidR="00F43A1B" w:rsidRDefault="00544FEF">
                                  <w:pPr>
                                    <w:pStyle w:val="Huisstijl-Notitiegegevens"/>
                                  </w:pPr>
                                  <w:r>
                                    <w:tab/>
                                    <w:t>aan</w:t>
                                  </w:r>
                                  <w:r>
                                    <w:tab/>
                                    <w:t>commissie voor EZ</w:t>
                                  </w:r>
                                </w:p>
                                <w:p w:rsidR="00F43A1B" w:rsidRDefault="00544FEF">
                                  <w:pPr>
                                    <w:pStyle w:val="Huisstijl-Notitiegegevens"/>
                                  </w:pPr>
                                  <w:r>
                                    <w:tab/>
                                    <w:t>van</w:t>
                                  </w:r>
                                  <w:r>
                                    <w:tab/>
                                    <w:t>Rapporteurs</w:t>
                                  </w:r>
                                  <w:r w:rsidR="00340F0F">
                                    <w:t xml:space="preserve"> Groot project</w:t>
                                  </w:r>
                                  <w:r>
                                    <w:t xml:space="preserve"> EHS</w:t>
                                  </w:r>
                                </w:p>
                                <w:p w:rsidR="00F43A1B" w:rsidRDefault="00F43A1B">
                                  <w:pPr>
                                    <w:pStyle w:val="Huisstijl-Notitiegegevens"/>
                                  </w:pPr>
                                </w:p>
                                <w:p w:rsidR="00F43A1B" w:rsidRDefault="00F43A1B">
                                  <w:pPr>
                                    <w:pStyle w:val="Huisstijl-Notitiegegevens"/>
                                  </w:pPr>
                                </w:p>
                                <w:p w:rsidR="00F43A1B" w:rsidRDefault="00544FEF">
                                  <w:pPr>
                                    <w:pStyle w:val="Huisstijl-Notitiegegevens"/>
                                  </w:pPr>
                                  <w:r>
                                    <w:tab/>
                                    <w:t>datum</w:t>
                                  </w:r>
                                  <w:r>
                                    <w:tab/>
                                  </w:r>
                                  <w:sdt>
                                    <w:sdtPr>
                                      <w:alias w:val="Memo Datum"/>
                                      <w:tag w:val="Memo_Datum"/>
                                      <w:id w:val="-1535572123"/>
                                      <w:dataBinding w:prefixMappings="xmlns:dg='http://docgen.org/date' " w:xpath="/dg:DocgenData[1]/dg:Memo_Datum[1]" w:storeItemID="{50D99521-AE42-41EF-8AB2-D9264BCDCAEF}"/>
                                      <w:date w:fullDate="2016-02-15T00:00:00Z">
                                        <w:dateFormat w:val="d MMMM YYYY"/>
                                        <w:lid w:val="nl-NL"/>
                                        <w:storeMappedDataAs w:val="dateTime"/>
                                        <w:calendar w:val="gregorian"/>
                                      </w:date>
                                    </w:sdtPr>
                                    <w:sdtEndPr/>
                                    <w:sdtContent>
                                      <w:r w:rsidR="00743807">
                                        <w:t>15 februari</w:t>
                                      </w:r>
                                      <w:r w:rsidR="00A70A26">
                                        <w:t xml:space="preserve"> 2016</w:t>
                                      </w:r>
                                    </w:sdtContent>
                                  </w:sdt>
                                </w:p>
                                <w:p w:rsidR="00F43A1B" w:rsidRDefault="00544FEF">
                                  <w:pPr>
                                    <w:pStyle w:val="Huisstijl-Notitiegegevens"/>
                                    <w:ind w:left="1269" w:hanging="1269"/>
                                  </w:pPr>
                                  <w:r>
                                    <w:tab/>
                                    <w:t>onderwerp</w:t>
                                  </w:r>
                                  <w:r>
                                    <w:tab/>
                                    <w:t>Groot project</w:t>
                                  </w:r>
                                  <w:r w:rsidR="00BE0E5B">
                                    <w:t xml:space="preserve"> </w:t>
                                  </w:r>
                                  <w:r>
                                    <w:t>EHS</w:t>
                                  </w:r>
                                </w:p>
                                <w:p w:rsidR="00F43A1B" w:rsidRDefault="00544FEF">
                                  <w:pPr>
                                    <w:pStyle w:val="Huisstijl-Notitiegegevens"/>
                                  </w:pPr>
                                  <w:r>
                                    <w:tab/>
                                    <w:t>te betrekken bij</w:t>
                                  </w:r>
                                  <w:r>
                                    <w:tab/>
                                  </w:r>
                                  <w:r w:rsidR="00340F0F">
                                    <w:t>Procedurevergadering EZ</w:t>
                                  </w:r>
                                  <w:r w:rsidR="00F06347">
                                    <w:t xml:space="preserve"> op 8 maart</w:t>
                                  </w:r>
                                  <w:r w:rsidR="00340F0F">
                                    <w:t xml:space="preserve"> 2016</w:t>
                                  </w:r>
                                  <w:r w:rsidRPr="00F06347">
                                    <w:t xml:space="preserve"> en AO </w:t>
                                  </w:r>
                                  <w:r w:rsidR="00340F0F">
                                    <w:t>EHS/Natuurnetwerk Nederland</w:t>
                                  </w:r>
                                  <w:r w:rsidR="00F06347">
                                    <w:t xml:space="preserve"> op 23 maart</w:t>
                                  </w:r>
                                  <w:r w:rsidR="00340F0F">
                                    <w:t xml:space="preserve"> 2016</w:t>
                                  </w:r>
                                </w:p>
                                <w:p w:rsidR="00F43A1B" w:rsidRDefault="00544FEF">
                                  <w:pPr>
                                    <w:pStyle w:val="Huisstijl-Notitiegegevens"/>
                                  </w:pPr>
                                  <w:r>
                                    <w:tab/>
                                    <w:t>nummer</w:t>
                                  </w:r>
                                  <w:r>
                                    <w:tab/>
                                    <w:t>16-BOR-N-013</w:t>
                                  </w: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
                                    <w:rPr>
                                      <w:szCs w:val="13"/>
                                    </w:rPr>
                                  </w:pPr>
                                  <w:proofErr w:type="gramStart"/>
                                  <w:r>
                                    <w:rPr>
                                      <w:szCs w:val="13"/>
                                    </w:rPr>
                                    <w:t xml:space="preserve">T  </w:t>
                                  </w:r>
                                  <w:proofErr w:type="gramEnd"/>
                                  <w:r>
                                    <w:rPr>
                                      <w:szCs w:val="13"/>
                                    </w:rPr>
                                    <w:t>070 318 2031</w:t>
                                  </w:r>
                                </w:p>
                                <w:p w:rsidR="00F43A1B" w:rsidRDefault="00F43A1B">
                                  <w:pPr>
                                    <w:pStyle w:val="Huisstijl-Afzendgegevens"/>
                                    <w:tabs>
                                      <w:tab w:val="clear" w:pos="170"/>
                                    </w:tabs>
                                    <w:rPr>
                                      <w:szCs w:val="13"/>
                                    </w:rPr>
                                  </w:pPr>
                                </w:p>
                                <w:p w:rsidR="00F43A1B" w:rsidRDefault="00544FEF">
                                  <w:pPr>
                                    <w:pStyle w:val="Huisstijl-Afzendgegevens"/>
                                    <w:rPr>
                                      <w:szCs w:val="13"/>
                                    </w:rPr>
                                  </w:pPr>
                                  <w:proofErr w:type="gramStart"/>
                                  <w:r>
                                    <w:rPr>
                                      <w:szCs w:val="13"/>
                                    </w:rPr>
                                    <w:t xml:space="preserve">E  </w:t>
                                  </w:r>
                                  <w:proofErr w:type="gramEnd"/>
                                  <w:r>
                                    <w:rPr>
                                      <w:szCs w:val="13"/>
                                    </w:rPr>
                                    <w:t>m.harpe@tweedekamer.nl</w:t>
                                  </w:r>
                                </w:p>
                              </w:tc>
                            </w:tr>
                          </w:tbl>
                          <w:p w:rsidR="00F43A1B" w:rsidRDefault="00F43A1B">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8pt;margin-top:164.25pt;width:485.9pt;height:134.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F43A1B">
                        <w:trPr>
                          <w:trHeight w:val="62"/>
                        </w:trPr>
                        <w:tc>
                          <w:tcPr>
                            <w:tcW w:w="1263" w:type="dxa"/>
                          </w:tcPr>
                          <w:p w:rsidR="00F43A1B" w:rsidRDefault="00F43A1B">
                            <w:pPr>
                              <w:pStyle w:val="Huisstijl-Agendatitel"/>
                              <w:shd w:val="clear" w:color="auto" w:fill="auto"/>
                              <w:tabs>
                                <w:tab w:val="right" w:pos="1264"/>
                                <w:tab w:val="right" w:pos="1344"/>
                              </w:tabs>
                              <w:ind w:left="0" w:firstLine="0"/>
                            </w:pPr>
                          </w:p>
                        </w:tc>
                        <w:tc>
                          <w:tcPr>
                            <w:tcW w:w="4686" w:type="dxa"/>
                          </w:tcPr>
                          <w:p w:rsidR="00F43A1B" w:rsidRDefault="00F43A1B">
                            <w:pPr>
                              <w:pStyle w:val="Huisstijl-Agendatitel"/>
                              <w:shd w:val="clear" w:color="auto" w:fill="auto"/>
                              <w:tabs>
                                <w:tab w:val="right" w:pos="1264"/>
                                <w:tab w:val="right" w:pos="1344"/>
                              </w:tabs>
                              <w:ind w:left="0" w:firstLine="0"/>
                            </w:pP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W1vet"/>
                            </w:pPr>
                            <w:r>
                              <w:rPr>
                                <w:szCs w:val="13"/>
                              </w:rPr>
                              <w:t>Bureau Onderzoek en Rijksuitgaven</w:t>
                            </w:r>
                          </w:p>
                          <w:p w:rsidR="00F43A1B" w:rsidRDefault="00F43A1B">
                            <w:pPr>
                              <w:pStyle w:val="Huisstijl-Afzendgegevens"/>
                            </w:pPr>
                          </w:p>
                          <w:p w:rsidR="00F43A1B" w:rsidRDefault="00544FEF">
                            <w:pPr>
                              <w:pStyle w:val="Huisstijl-Afzendgegevens"/>
                            </w:pPr>
                            <w:r>
                              <w:rPr>
                                <w:szCs w:val="13"/>
                              </w:rPr>
                              <w:t xml:space="preserve"> M. Harpe</w:t>
                            </w:r>
                          </w:p>
                        </w:tc>
                      </w:tr>
                      <w:tr w:rsidR="00F43A1B">
                        <w:trPr>
                          <w:trHeight w:val="91" w:hRule="exact"/>
                        </w:trPr>
                        <w:tc>
                          <w:tcPr>
                            <w:tcW w:w="5949" w:type="dxa"/>
                            <w:gridSpan w:val="2"/>
                          </w:tcPr>
                          <w:p w:rsidR="00F43A1B" w:rsidRDefault="00F43A1B">
                            <w:pPr>
                              <w:pStyle w:val="Huisstijl-Notitiegegevens"/>
                              <w:rPr>
                                <w:sz w:val="9"/>
                                <w:szCs w:val="9"/>
                              </w:rPr>
                            </w:pPr>
                          </w:p>
                        </w:tc>
                        <w:tc>
                          <w:tcPr>
                            <w:tcW w:w="425" w:type="dxa"/>
                          </w:tcPr>
                          <w:p w:rsidR="00F43A1B" w:rsidRDefault="00F43A1B">
                            <w:pPr>
                              <w:pStyle w:val="Huisstijl-Agendatitel"/>
                              <w:shd w:val="clear" w:color="auto" w:fill="auto"/>
                              <w:tabs>
                                <w:tab w:val="right" w:pos="1264"/>
                                <w:tab w:val="right" w:pos="1344"/>
                              </w:tabs>
                              <w:ind w:left="0" w:firstLine="0"/>
                              <w:rPr>
                                <w:sz w:val="9"/>
                                <w:szCs w:val="9"/>
                              </w:rPr>
                            </w:pPr>
                          </w:p>
                        </w:tc>
                        <w:tc>
                          <w:tcPr>
                            <w:tcW w:w="3203" w:type="dxa"/>
                          </w:tcPr>
                          <w:p w:rsidR="00F43A1B" w:rsidRDefault="00F43A1B">
                            <w:pPr>
                              <w:pStyle w:val="Huisstijl-Afzendgegevens"/>
                              <w:ind w:right="260"/>
                              <w:jc w:val="center"/>
                              <w:rPr>
                                <w:szCs w:val="13"/>
                              </w:rPr>
                            </w:pPr>
                          </w:p>
                        </w:tc>
                      </w:tr>
                      <w:tr w:rsidR="00F43A1B">
                        <w:trPr>
                          <w:trHeight w:val="1610"/>
                        </w:trPr>
                        <w:tc>
                          <w:tcPr>
                            <w:tcW w:w="5949" w:type="dxa"/>
                            <w:gridSpan w:val="2"/>
                          </w:tcPr>
                          <w:p w:rsidR="00F43A1B" w:rsidRDefault="00544FEF">
                            <w:pPr>
                              <w:pStyle w:val="Huisstijl-Notitiegegevens"/>
                            </w:pPr>
                            <w:r>
                              <w:tab/>
                              <w:t>aan</w:t>
                            </w:r>
                            <w:r>
                              <w:tab/>
                              <w:t>commissie voor EZ</w:t>
                            </w:r>
                          </w:p>
                          <w:p w:rsidR="00F43A1B" w:rsidRDefault="00544FEF">
                            <w:pPr>
                              <w:pStyle w:val="Huisstijl-Notitiegegevens"/>
                            </w:pPr>
                            <w:r>
                              <w:tab/>
                              <w:t>van</w:t>
                            </w:r>
                            <w:r>
                              <w:tab/>
                              <w:t>Rapporteurs</w:t>
                            </w:r>
                            <w:r w:rsidR="00340F0F">
                              <w:t xml:space="preserve"> Groot project</w:t>
                            </w:r>
                            <w:r>
                              <w:t xml:space="preserve"> EHS</w:t>
                            </w:r>
                          </w:p>
                          <w:p w:rsidR="00F43A1B" w:rsidRDefault="00F43A1B">
                            <w:pPr>
                              <w:pStyle w:val="Huisstijl-Notitiegegevens"/>
                            </w:pPr>
                          </w:p>
                          <w:p w:rsidR="00F43A1B" w:rsidRDefault="00F43A1B">
                            <w:pPr>
                              <w:pStyle w:val="Huisstijl-Notitiegegevens"/>
                            </w:pPr>
                          </w:p>
                          <w:p w:rsidR="00F43A1B" w:rsidRDefault="00544FEF">
                            <w:pPr>
                              <w:pStyle w:val="Huisstijl-Notitiegegevens"/>
                            </w:pPr>
                            <w:r>
                              <w:tab/>
                              <w:t>datum</w:t>
                            </w:r>
                            <w:r>
                              <w:tab/>
                            </w:r>
                            <w:sdt>
                              <w:sdtPr>
                                <w:alias w:val="Memo Datum"/>
                                <w:tag w:val="Memo_Datum"/>
                                <w:id w:val="-1535572123"/>
                                <w:dataBinding w:prefixMappings="xmlns:dg='http://docgen.org/date' " w:xpath="/dg:DocgenData[1]/dg:Memo_Datum[1]" w:storeItemID="{50D99521-AE42-41EF-8AB2-D9264BCDCAEF}"/>
                                <w:date w:fullDate="2016-02-15T00:00:00Z">
                                  <w:dateFormat w:val="d MMMM YYYY"/>
                                  <w:lid w:val="nl-NL"/>
                                  <w:storeMappedDataAs w:val="dateTime"/>
                                  <w:calendar w:val="gregorian"/>
                                </w:date>
                              </w:sdtPr>
                              <w:sdtEndPr/>
                              <w:sdtContent>
                                <w:r w:rsidR="00743807">
                                  <w:t>15 februari</w:t>
                                </w:r>
                                <w:r w:rsidR="00A70A26">
                                  <w:t xml:space="preserve"> 2016</w:t>
                                </w:r>
                              </w:sdtContent>
                            </w:sdt>
                          </w:p>
                          <w:p w:rsidR="00F43A1B" w:rsidRDefault="00544FEF">
                            <w:pPr>
                              <w:pStyle w:val="Huisstijl-Notitiegegevens"/>
                              <w:ind w:left="1269" w:hanging="1269"/>
                            </w:pPr>
                            <w:r>
                              <w:tab/>
                              <w:t>onderwerp</w:t>
                            </w:r>
                            <w:r>
                              <w:tab/>
                              <w:t>Groot project</w:t>
                            </w:r>
                            <w:r w:rsidR="00BE0E5B">
                              <w:t xml:space="preserve"> </w:t>
                            </w:r>
                            <w:r>
                              <w:t>EHS</w:t>
                            </w:r>
                          </w:p>
                          <w:p w:rsidR="00F43A1B" w:rsidRDefault="00544FEF">
                            <w:pPr>
                              <w:pStyle w:val="Huisstijl-Notitiegegevens"/>
                            </w:pPr>
                            <w:r>
                              <w:tab/>
                              <w:t>te betrekken bij</w:t>
                            </w:r>
                            <w:r>
                              <w:tab/>
                            </w:r>
                            <w:r w:rsidR="00340F0F">
                              <w:t>Procedurevergadering EZ</w:t>
                            </w:r>
                            <w:r w:rsidR="00F06347">
                              <w:t xml:space="preserve"> op 8 maart</w:t>
                            </w:r>
                            <w:r w:rsidR="00340F0F">
                              <w:t xml:space="preserve"> 2016</w:t>
                            </w:r>
                            <w:r w:rsidRPr="00F06347">
                              <w:t xml:space="preserve"> en AO </w:t>
                            </w:r>
                            <w:r w:rsidR="00340F0F">
                              <w:t>EHS/Natuurnetwerk Nederland</w:t>
                            </w:r>
                            <w:r w:rsidR="00F06347">
                              <w:t xml:space="preserve"> op 23 maart</w:t>
                            </w:r>
                            <w:r w:rsidR="00340F0F">
                              <w:t xml:space="preserve"> 2016</w:t>
                            </w:r>
                          </w:p>
                          <w:p w:rsidR="00F43A1B" w:rsidRDefault="00544FEF">
                            <w:pPr>
                              <w:pStyle w:val="Huisstijl-Notitiegegevens"/>
                            </w:pPr>
                            <w:r>
                              <w:tab/>
                              <w:t>nummer</w:t>
                            </w:r>
                            <w:r>
                              <w:tab/>
                              <w:t>16-BOR-N-013</w:t>
                            </w:r>
                          </w:p>
                        </w:tc>
                        <w:tc>
                          <w:tcPr>
                            <w:tcW w:w="425" w:type="dxa"/>
                          </w:tcPr>
                          <w:p w:rsidR="00F43A1B" w:rsidRDefault="00F43A1B">
                            <w:pPr>
                              <w:pStyle w:val="Huisstijl-Agendatitel"/>
                              <w:shd w:val="clear" w:color="auto" w:fill="auto"/>
                              <w:tabs>
                                <w:tab w:val="right" w:pos="1264"/>
                                <w:tab w:val="right" w:pos="1344"/>
                              </w:tabs>
                              <w:ind w:left="0" w:firstLine="0"/>
                            </w:pPr>
                          </w:p>
                        </w:tc>
                        <w:tc>
                          <w:tcPr>
                            <w:tcW w:w="3203" w:type="dxa"/>
                          </w:tcPr>
                          <w:p w:rsidR="00F43A1B" w:rsidRDefault="00544FEF">
                            <w:pPr>
                              <w:pStyle w:val="Huisstijl-Afzendgegevens"/>
                              <w:rPr>
                                <w:szCs w:val="13"/>
                              </w:rPr>
                            </w:pPr>
                            <w:proofErr w:type="gramStart"/>
                            <w:r>
                              <w:rPr>
                                <w:szCs w:val="13"/>
                              </w:rPr>
                              <w:t xml:space="preserve">T  </w:t>
                            </w:r>
                            <w:proofErr w:type="gramEnd"/>
                            <w:r>
                              <w:rPr>
                                <w:szCs w:val="13"/>
                              </w:rPr>
                              <w:t>070 318 2031</w:t>
                            </w:r>
                          </w:p>
                          <w:p w:rsidR="00F43A1B" w:rsidRDefault="00F43A1B">
                            <w:pPr>
                              <w:pStyle w:val="Huisstijl-Afzendgegevens"/>
                              <w:tabs>
                                <w:tab w:val="clear" w:pos="170"/>
                              </w:tabs>
                              <w:rPr>
                                <w:szCs w:val="13"/>
                              </w:rPr>
                            </w:pPr>
                          </w:p>
                          <w:p w:rsidR="00F43A1B" w:rsidRDefault="00544FEF">
                            <w:pPr>
                              <w:pStyle w:val="Huisstijl-Afzendgegevens"/>
                              <w:rPr>
                                <w:szCs w:val="13"/>
                              </w:rPr>
                            </w:pPr>
                            <w:proofErr w:type="gramStart"/>
                            <w:r>
                              <w:rPr>
                                <w:szCs w:val="13"/>
                              </w:rPr>
                              <w:t xml:space="preserve">E  </w:t>
                            </w:r>
                            <w:proofErr w:type="gramEnd"/>
                            <w:r>
                              <w:rPr>
                                <w:szCs w:val="13"/>
                              </w:rPr>
                              <w:t>m.harpe@tweedekamer.nl</w:t>
                            </w:r>
                          </w:p>
                        </w:tc>
                      </w:tr>
                    </w:tbl>
                    <w:p w:rsidR="00F43A1B" w:rsidRDefault="00F43A1B">
                      <w:pPr>
                        <w:pStyle w:val="Huisstijl-Notitiegegevens"/>
                        <w:ind w:left="0" w:firstLine="0"/>
                      </w:pPr>
                    </w:p>
                  </w:txbxContent>
                </v:textbox>
                <w10:wrap type="topAndBottom" anchorx="page" anchory="page"/>
              </v:shape>
            </w:pict>
          </mc:Fallback>
        </mc:AlternateContent>
      </w:r>
    </w:p>
    <w:p w:rsidRPr="00F25150" w:rsidR="00F25150" w:rsidP="009309A0" w:rsidRDefault="00544FEF">
      <w:pPr>
        <w:pStyle w:val="Kop-Huisstijl"/>
      </w:pPr>
      <w:r>
        <w:t>Inleiding</w:t>
      </w:r>
    </w:p>
    <w:p w:rsidR="00340F0F" w:rsidP="00BE0E5B" w:rsidRDefault="00C6145B">
      <w:r>
        <w:t xml:space="preserve">Op 18 december 2015 heeft de staatssecretaris voor Economische Zaken (EZ) de </w:t>
      </w:r>
      <w:r w:rsidR="00340F0F">
        <w:t xml:space="preserve">eerste voortgangsrapportage over de uitvoering van het Natuurpact, </w:t>
      </w:r>
      <w:r>
        <w:t>“Natuur in de provincie: één jaar Natuurpact in uitvoering”</w:t>
      </w:r>
      <w:r w:rsidR="00340F0F">
        <w:t>,</w:t>
      </w:r>
      <w:r>
        <w:t xml:space="preserve"> naar de Kamer gestuurd.</w:t>
      </w:r>
      <w:r w:rsidR="000F07A5">
        <w:rPr>
          <w:rStyle w:val="Voetnootmarkering"/>
        </w:rPr>
        <w:footnoteReference w:id="1"/>
      </w:r>
      <w:r>
        <w:t xml:space="preserve"> In deze rapportage </w:t>
      </w:r>
      <w:r w:rsidR="00BF7BF0">
        <w:t xml:space="preserve">van het Interprovinciaal Overleg (IPO) </w:t>
      </w:r>
      <w:r>
        <w:t>beschrijven de provincies de resultaten die zij in de jaren 2011 t/m 2014 hebben behaald</w:t>
      </w:r>
      <w:r w:rsidR="000262E7">
        <w:t>, onder meer</w:t>
      </w:r>
      <w:r>
        <w:t xml:space="preserve"> ten aanzien van de verwerving, </w:t>
      </w:r>
      <w:r w:rsidR="006629AE">
        <w:t xml:space="preserve">de </w:t>
      </w:r>
      <w:r>
        <w:t xml:space="preserve">inrichting en </w:t>
      </w:r>
      <w:r w:rsidR="006629AE">
        <w:t xml:space="preserve">het </w:t>
      </w:r>
      <w:r>
        <w:t>beheer van het Natuurnetwerk Nederland</w:t>
      </w:r>
      <w:r w:rsidR="00905C0A">
        <w:t xml:space="preserve"> (NNN)</w:t>
      </w:r>
      <w:r>
        <w:t>, de opvolger van de Ecologische Hoofdstructuur (EHS).</w:t>
      </w:r>
      <w:r w:rsidR="00D3404C">
        <w:t xml:space="preserve"> </w:t>
      </w:r>
    </w:p>
    <w:p w:rsidR="00340F0F" w:rsidP="00BE0E5B" w:rsidRDefault="00340F0F"/>
    <w:p w:rsidRPr="00E62111" w:rsidR="00066B32" w:rsidP="00BE0E5B" w:rsidRDefault="000262E7">
      <w:r>
        <w:t>I</w:t>
      </w:r>
      <w:r w:rsidR="006208CE">
        <w:t xml:space="preserve">n de procedurevergadering van 12 januari 2016 </w:t>
      </w:r>
      <w:r>
        <w:t xml:space="preserve">heeft de commissie </w:t>
      </w:r>
      <w:r w:rsidR="006208CE">
        <w:t xml:space="preserve">EZ </w:t>
      </w:r>
      <w:r>
        <w:t>besloten d</w:t>
      </w:r>
      <w:r w:rsidR="00D3404C">
        <w:t xml:space="preserve">e </w:t>
      </w:r>
      <w:r w:rsidR="00B6396D">
        <w:t xml:space="preserve">eerste </w:t>
      </w:r>
      <w:r w:rsidR="00BF7BF0">
        <w:t>IPO-</w:t>
      </w:r>
      <w:r w:rsidR="00D3404C">
        <w:t xml:space="preserve">rapportage </w:t>
      </w:r>
      <w:r>
        <w:t xml:space="preserve">te agenderen </w:t>
      </w:r>
      <w:r w:rsidR="00D3404C">
        <w:t xml:space="preserve">voor </w:t>
      </w:r>
      <w:r>
        <w:t>het</w:t>
      </w:r>
      <w:r w:rsidR="00D3404C">
        <w:t xml:space="preserve"> Algemeen Overleg </w:t>
      </w:r>
      <w:r w:rsidRPr="00F06347" w:rsidR="00D3404C">
        <w:t>Natuur</w:t>
      </w:r>
      <w:r w:rsidR="00F06347">
        <w:t xml:space="preserve">beleid en </w:t>
      </w:r>
      <w:r w:rsidRPr="00E62111" w:rsidR="00F06347">
        <w:t>EHS/N</w:t>
      </w:r>
      <w:r w:rsidRPr="00E62111" w:rsidR="00F45EDC">
        <w:t>atuurnetwerk Nederland</w:t>
      </w:r>
      <w:r w:rsidRPr="00E62111" w:rsidR="00D3404C">
        <w:t xml:space="preserve"> op 23 maart</w:t>
      </w:r>
      <w:r w:rsidRPr="00E62111" w:rsidR="00340F0F">
        <w:t xml:space="preserve"> 2016</w:t>
      </w:r>
      <w:r w:rsidRPr="00E62111">
        <w:t xml:space="preserve">. </w:t>
      </w:r>
      <w:r w:rsidRPr="00E62111" w:rsidR="00F45EDC">
        <w:t>In de procedurevergadering van 9 februari 2016 is besloten om een apart AO</w:t>
      </w:r>
      <w:r w:rsidRPr="00E62111" w:rsidR="00F45EDC">
        <w:rPr>
          <w:sz w:val="17"/>
          <w:szCs w:val="17"/>
        </w:rPr>
        <w:t xml:space="preserve"> over EHS/Natuurnetwerk Nederland te voeren</w:t>
      </w:r>
      <w:r w:rsidR="00E62111">
        <w:rPr>
          <w:sz w:val="17"/>
          <w:szCs w:val="17"/>
        </w:rPr>
        <w:t>.</w:t>
      </w:r>
      <w:r w:rsidRPr="00E62111" w:rsidR="00F45EDC">
        <w:rPr>
          <w:sz w:val="17"/>
          <w:szCs w:val="17"/>
        </w:rPr>
        <w:t xml:space="preserve"> </w:t>
      </w:r>
      <w:r w:rsidR="00E62111">
        <w:rPr>
          <w:sz w:val="17"/>
          <w:szCs w:val="17"/>
        </w:rPr>
        <w:t>D</w:t>
      </w:r>
      <w:r w:rsidRPr="00E62111" w:rsidR="00F45EDC">
        <w:rPr>
          <w:sz w:val="17"/>
          <w:szCs w:val="17"/>
        </w:rPr>
        <w:t xml:space="preserve">it AO vindt plaats op 23 maart 2016 van 10:00 tot 12:30 uur. </w:t>
      </w:r>
    </w:p>
    <w:p w:rsidR="00AB5CB2" w:rsidP="00BE0E5B" w:rsidRDefault="00066B32">
      <w:pPr>
        <w:rPr>
          <w:szCs w:val="18"/>
        </w:rPr>
      </w:pPr>
      <w:r w:rsidRPr="00AB5CB2">
        <w:rPr>
          <w:szCs w:val="18"/>
        </w:rPr>
        <w:t xml:space="preserve">Afgesproken is dat de leden Ziengs en Van Veldhoven tijdens het AO hun rol vervullen ten aanzien van het rapporteurschap Groot project EHS. </w:t>
      </w:r>
      <w:r w:rsidR="00AB5CB2">
        <w:rPr>
          <w:szCs w:val="18"/>
        </w:rPr>
        <w:t xml:space="preserve">Zij krijgen </w:t>
      </w:r>
      <w:r w:rsidRPr="00E62111" w:rsidR="00AB5CB2">
        <w:rPr>
          <w:szCs w:val="18"/>
        </w:rPr>
        <w:t xml:space="preserve">de gelegenheid om </w:t>
      </w:r>
      <w:r w:rsidR="00AB5CB2">
        <w:rPr>
          <w:szCs w:val="18"/>
        </w:rPr>
        <w:t xml:space="preserve">aan het begin van het AO </w:t>
      </w:r>
      <w:r w:rsidRPr="00E62111" w:rsidR="00AB5CB2">
        <w:rPr>
          <w:szCs w:val="18"/>
        </w:rPr>
        <w:t xml:space="preserve">de staatssecretaris namens de commissie te </w:t>
      </w:r>
      <w:proofErr w:type="gramStart"/>
      <w:r w:rsidRPr="00E62111" w:rsidR="00AB5CB2">
        <w:rPr>
          <w:szCs w:val="18"/>
        </w:rPr>
        <w:t>bevragen</w:t>
      </w:r>
      <w:proofErr w:type="gramEnd"/>
      <w:r w:rsidRPr="00E62111" w:rsidR="00AB5CB2">
        <w:rPr>
          <w:szCs w:val="18"/>
        </w:rPr>
        <w:t xml:space="preserve">. Daarna begint de eerst termijn van het reguliere </w:t>
      </w:r>
      <w:r w:rsidR="00AB5CB2">
        <w:rPr>
          <w:szCs w:val="18"/>
        </w:rPr>
        <w:t xml:space="preserve">AO EHS/Natuurnetwerk Nederland. </w:t>
      </w:r>
    </w:p>
    <w:p w:rsidR="00AB5CB2" w:rsidP="00BE0E5B" w:rsidRDefault="00AB5CB2">
      <w:pPr>
        <w:rPr>
          <w:szCs w:val="18"/>
        </w:rPr>
      </w:pPr>
    </w:p>
    <w:p w:rsidR="004A249A" w:rsidP="00BE0E5B" w:rsidRDefault="00066B32">
      <w:r w:rsidRPr="00AB5CB2">
        <w:rPr>
          <w:szCs w:val="18"/>
        </w:rPr>
        <w:t>In</w:t>
      </w:r>
      <w:r>
        <w:t xml:space="preserve"> deze notitie beschrijven </w:t>
      </w:r>
      <w:r w:rsidR="00AB5CB2">
        <w:t xml:space="preserve">de rapporteurs </w:t>
      </w:r>
      <w:r w:rsidR="0005424B">
        <w:t>achtereenvolgens hun conclusie</w:t>
      </w:r>
      <w:r w:rsidR="00F57CFB">
        <w:t>s</w:t>
      </w:r>
      <w:r w:rsidR="0005424B">
        <w:t xml:space="preserve"> op basis van de voorliggende stukken, hun voorstel aan de commissie EZ hoe verder om te gaan met het Groot </w:t>
      </w:r>
      <w:r w:rsidR="00466D28">
        <w:t>p</w:t>
      </w:r>
      <w:r w:rsidR="0005424B">
        <w:t xml:space="preserve">roject EHS en hun voorstel voor </w:t>
      </w:r>
      <w:r w:rsidR="00E6491F">
        <w:t>h</w:t>
      </w:r>
      <w:r w:rsidR="00F57CFB">
        <w:t>un</w:t>
      </w:r>
      <w:r w:rsidR="0005424B">
        <w:t xml:space="preserve"> inbreng in het AO. Onder het kopje Nadere Toelichting </w:t>
      </w:r>
      <w:r w:rsidR="00F57CFB">
        <w:t xml:space="preserve">treft u een nadere onderbouwing. </w:t>
      </w:r>
    </w:p>
    <w:p w:rsidR="001B7332" w:rsidP="00BE0E5B" w:rsidRDefault="001B7332"/>
    <w:p w:rsidR="001B7332" w:rsidP="001B7332" w:rsidRDefault="001B7332">
      <w:pPr>
        <w:pStyle w:val="Kop-Huisstijl"/>
      </w:pPr>
      <w:r>
        <w:t>Conclusie</w:t>
      </w:r>
      <w:r w:rsidR="0012477B">
        <w:t>s</w:t>
      </w:r>
      <w:r>
        <w:t xml:space="preserve"> van de rapporteurs</w:t>
      </w:r>
    </w:p>
    <w:p w:rsidR="004D4359" w:rsidP="00666100" w:rsidRDefault="004D4359">
      <w:pPr>
        <w:pStyle w:val="Lijstalinea"/>
        <w:numPr>
          <w:ilvl w:val="0"/>
          <w:numId w:val="42"/>
        </w:numPr>
      </w:pPr>
      <w:r>
        <w:t>De rapporteurs concluderen dat een eenduidige, samen</w:t>
      </w:r>
      <w:r w:rsidR="00E6491F">
        <w:t xml:space="preserve">hangende monitoringssystematiek </w:t>
      </w:r>
      <w:r>
        <w:t xml:space="preserve">op dit moment nog niet bestaat. Dat roept de vraag op hoe de </w:t>
      </w:r>
      <w:r>
        <w:lastRenderedPageBreak/>
        <w:t>cijfers over de verwerving, inrichting en beheer van gronden binnen het NNN uit de IPO-rapportage tot stand zijn gekomen, en hoe betrouwbaar deze cijfers zijn.</w:t>
      </w:r>
    </w:p>
    <w:p w:rsidR="0012477B" w:rsidP="00666100" w:rsidRDefault="00666100">
      <w:pPr>
        <w:pStyle w:val="Lijstalinea"/>
        <w:numPr>
          <w:ilvl w:val="0"/>
          <w:numId w:val="42"/>
        </w:numPr>
      </w:pPr>
      <w:r w:rsidRPr="00ED5527">
        <w:t xml:space="preserve">De rapporteurs </w:t>
      </w:r>
      <w:r w:rsidR="00DB60CE">
        <w:t>concluderen dat</w:t>
      </w:r>
      <w:r>
        <w:t xml:space="preserve"> niet duidelijk</w:t>
      </w:r>
      <w:r w:rsidR="00DB60CE">
        <w:t xml:space="preserve"> is</w:t>
      </w:r>
      <w:r>
        <w:t xml:space="preserve"> in hoeverre </w:t>
      </w:r>
      <w:r w:rsidRPr="00ED5527">
        <w:t>de cijfers uit de IPO-rapportage over het NNN te vergelijken zijn met de cijfers uit voorgaande rapportages over de EHS.</w:t>
      </w:r>
    </w:p>
    <w:p w:rsidR="008F6B2F" w:rsidP="00666100" w:rsidRDefault="00DB60CE">
      <w:pPr>
        <w:pStyle w:val="Lijstalinea"/>
        <w:numPr>
          <w:ilvl w:val="0"/>
          <w:numId w:val="42"/>
        </w:numPr>
      </w:pPr>
      <w:r>
        <w:t xml:space="preserve">De rapporteurs concluderen dat nog niet zeker is of de Kamer, met alle verschillende rapportages over </w:t>
      </w:r>
      <w:r w:rsidR="001B0063">
        <w:t xml:space="preserve">(de uitvoering van het) </w:t>
      </w:r>
      <w:r>
        <w:t>natuur</w:t>
      </w:r>
      <w:r w:rsidR="001B0063">
        <w:t>(beleid)</w:t>
      </w:r>
      <w:r>
        <w:t xml:space="preserve"> die periodiek verschijnen, voldoende informatie zal ontvangen om invulling te kunnen geven aan haar controlerende taken.</w:t>
      </w:r>
    </w:p>
    <w:p w:rsidR="00C84BA6" w:rsidP="00ED3776" w:rsidRDefault="00C84BA6"/>
    <w:p w:rsidR="00ED3776" w:rsidP="00ED3776" w:rsidRDefault="00ED3776">
      <w:pPr>
        <w:pStyle w:val="Kop-Huisstijl"/>
      </w:pPr>
      <w:r>
        <w:t>Voorstel van de rapporteurs aan de commissie EZ</w:t>
      </w:r>
    </w:p>
    <w:p w:rsidRPr="008360F5" w:rsidR="008360F5" w:rsidP="008360F5" w:rsidRDefault="008360F5">
      <w:r>
        <w:t>De rapporteurs stellen de commissie EZ voor om:</w:t>
      </w:r>
    </w:p>
    <w:p w:rsidR="00473F31" w:rsidP="00473F31" w:rsidRDefault="00473F31">
      <w:pPr>
        <w:pStyle w:val="Lijstalinea"/>
        <w:numPr>
          <w:ilvl w:val="0"/>
          <w:numId w:val="43"/>
        </w:numPr>
      </w:pPr>
      <w:r>
        <w:t xml:space="preserve">in het AO </w:t>
      </w:r>
      <w:r w:rsidR="00466D28">
        <w:t xml:space="preserve">EHS/Natuurnetwerk Nederland </w:t>
      </w:r>
      <w:r>
        <w:t>de staatssecretaris te vragen de onduidelijkheden in de IPO-rapportage</w:t>
      </w:r>
      <w:r w:rsidR="00E97085">
        <w:t xml:space="preserve"> en zijn brief</w:t>
      </w:r>
      <w:r>
        <w:t xml:space="preserve"> nader toe te lichten (zie ook de voorgestelde vragen aan de staatssecretaris</w:t>
      </w:r>
      <w:r w:rsidR="002E2A0B">
        <w:t>, omkaderd en cursief weergegeven,</w:t>
      </w:r>
      <w:r>
        <w:t xml:space="preserve"> in paragraaf 2</w:t>
      </w:r>
      <w:r w:rsidR="00E97085">
        <w:t xml:space="preserve"> en 3</w:t>
      </w:r>
      <w:r>
        <w:t>);</w:t>
      </w:r>
    </w:p>
    <w:p w:rsidR="00473F31" w:rsidP="00473F31" w:rsidRDefault="00473F31">
      <w:pPr>
        <w:pStyle w:val="Lijstalinea"/>
        <w:numPr>
          <w:ilvl w:val="0"/>
          <w:numId w:val="43"/>
        </w:numPr>
      </w:pPr>
      <w:r>
        <w:t>na het AO</w:t>
      </w:r>
      <w:r w:rsidR="00466D28">
        <w:t xml:space="preserve"> EHS/Natuurnetwerk Nederland</w:t>
      </w:r>
      <w:r>
        <w:t>, op basis van de antwoorden van de staatssecretaris en na ontvangst van de toegezegde eenduidige monitoringssystematiek en overzichtskaart van het NNN</w:t>
      </w:r>
      <w:r w:rsidR="008360F5">
        <w:t xml:space="preserve"> (te ontvangen voor de zomer)</w:t>
      </w:r>
      <w:r>
        <w:t xml:space="preserve">, de procedure ter beëindiging van de Groot projectstatus van de EHS in gang te zetten. </w:t>
      </w:r>
      <w:r w:rsidRPr="001E4ABA">
        <w:t xml:space="preserve">Daarmee komt naar de mening van de rapporteurs ook een einde aan de verplichting voor de staatssecretaris om de Kamer jaarlijks een voortgangsrapportage EHS toe te sturen, en kan tegemoet worden gekomen aan het verzoek van de staatssecretaris – opgenomen in zijn aanbiedingsbrief bij de </w:t>
      </w:r>
      <w:r>
        <w:t>IPO-</w:t>
      </w:r>
      <w:r w:rsidRPr="001E4ABA">
        <w:t xml:space="preserve">rapportage, om af te zien van verdere rapportages in het kader van het Groot </w:t>
      </w:r>
      <w:r>
        <w:t>p</w:t>
      </w:r>
      <w:r w:rsidR="008360F5">
        <w:t>roject EHS;</w:t>
      </w:r>
    </w:p>
    <w:p w:rsidR="00473F31" w:rsidP="00473F31" w:rsidRDefault="00473F31">
      <w:pPr>
        <w:pStyle w:val="Lijstalinea"/>
        <w:numPr>
          <w:ilvl w:val="0"/>
          <w:numId w:val="43"/>
        </w:numPr>
      </w:pPr>
      <w:r>
        <w:t>de staatssecretaris in het AO</w:t>
      </w:r>
      <w:r w:rsidR="00466D28">
        <w:t xml:space="preserve"> EHS/Natuurnetwerk Nederland</w:t>
      </w:r>
      <w:r>
        <w:t xml:space="preserve"> van dit voornemen van de commissie EZ op de hoogte te stellen</w:t>
      </w:r>
      <w:r w:rsidR="008360F5">
        <w:t>;</w:t>
      </w:r>
    </w:p>
    <w:p w:rsidR="008360F5" w:rsidP="008360F5" w:rsidRDefault="00E62111">
      <w:pPr>
        <w:pStyle w:val="Lijstalinea"/>
        <w:numPr>
          <w:ilvl w:val="0"/>
          <w:numId w:val="43"/>
        </w:numPr>
        <w:rPr>
          <w:lang w:eastAsia="zh-CN" w:bidi="hi-IN"/>
        </w:rPr>
      </w:pPr>
      <w:r>
        <w:rPr>
          <w:lang w:eastAsia="zh-CN" w:bidi="hi-IN"/>
        </w:rPr>
        <w:t>e</w:t>
      </w:r>
      <w:r w:rsidR="008360F5">
        <w:rPr>
          <w:lang w:eastAsia="zh-CN" w:bidi="hi-IN"/>
        </w:rPr>
        <w:t>en rapporteur Natuur te benoemen, die onder meer de informatiepositie van de Kamer op het dossier Natuur kan bewaken en kan beoordelen of de Kamer voldoende informatie ontvangt om haar controlerende taken in te kunnen vullen.</w:t>
      </w:r>
    </w:p>
    <w:p w:rsidR="00ED3776" w:rsidP="00ED3776" w:rsidRDefault="00ED3776"/>
    <w:p w:rsidR="006A5841" w:rsidP="00AC1068" w:rsidRDefault="006A5841"/>
    <w:p w:rsidRPr="00C941E0" w:rsidR="004A249A" w:rsidP="00C941E0" w:rsidRDefault="004A249A">
      <w:pPr>
        <w:ind w:left="720"/>
        <w:rPr>
          <w:b/>
          <w:szCs w:val="17"/>
          <w:highlight w:val="yellow"/>
        </w:rPr>
      </w:pPr>
    </w:p>
    <w:p w:rsidR="004A249A" w:rsidP="004A249A" w:rsidRDefault="004A249A">
      <w:pPr>
        <w:pStyle w:val="Lijstalinea"/>
      </w:pPr>
    </w:p>
    <w:p w:rsidRPr="004A249A" w:rsidR="00473F94" w:rsidP="004A249A" w:rsidRDefault="00473F94">
      <w:pPr>
        <w:pStyle w:val="Lijstalinea"/>
        <w:numPr>
          <w:ilvl w:val="0"/>
          <w:numId w:val="36"/>
        </w:numPr>
        <w:rPr>
          <w:b/>
          <w:szCs w:val="17"/>
        </w:rPr>
      </w:pPr>
      <w:r>
        <w:br w:type="page"/>
      </w:r>
    </w:p>
    <w:p w:rsidR="00F43A1B" w:rsidRDefault="00544FEF">
      <w:pPr>
        <w:pStyle w:val="Kop-Huisstijl"/>
      </w:pPr>
      <w:r>
        <w:lastRenderedPageBreak/>
        <w:t>Nadere toelichting</w:t>
      </w:r>
    </w:p>
    <w:p w:rsidR="000262E7" w:rsidP="000262E7" w:rsidRDefault="000465F1">
      <w:pPr>
        <w:pStyle w:val="Paragraaf-Huisstijl"/>
      </w:pPr>
      <w:r>
        <w:t>Inleiding en achtergrond</w:t>
      </w:r>
    </w:p>
    <w:p w:rsidRPr="008A448E" w:rsidR="008A448E" w:rsidP="00F35878" w:rsidRDefault="008A448E">
      <w:pPr>
        <w:rPr>
          <w:i/>
          <w:lang w:eastAsia="zh-CN" w:bidi="hi-IN"/>
        </w:rPr>
      </w:pPr>
      <w:r w:rsidRPr="008A448E">
        <w:rPr>
          <w:i/>
          <w:lang w:eastAsia="zh-CN" w:bidi="hi-IN"/>
        </w:rPr>
        <w:t>Decentralisatie natuurbeleid</w:t>
      </w:r>
    </w:p>
    <w:p w:rsidR="00F35878" w:rsidP="00F35878" w:rsidRDefault="00F35878">
      <w:pPr>
        <w:rPr>
          <w:lang w:eastAsia="zh-CN" w:bidi="hi-IN"/>
        </w:rPr>
      </w:pPr>
      <w:r>
        <w:rPr>
          <w:lang w:eastAsia="zh-CN" w:bidi="hi-IN"/>
        </w:rPr>
        <w:t xml:space="preserve">De afgelopen jaren heeft het Groot project Ecologische Hoofdstructuur (EHS) in het teken gestaan van de decentralisatie van het natuurbeleid. De EHS, een belangrijk instrument van dit beleid, is overgeheveld naar de provincies. Daarmee is de democratische controle op de EHS, en haar opvolger het Natuurnetwerk Nederland (NNN) een zaak geworden tussen Gedeputeerde en Provinciale Staten. De Tweede Kamer wil, onder meer vanwege de verantwoordelijkheid van het rijk voor het behalen van internationale en Europese doelstellingen, goed geïnformeerd worden over de </w:t>
      </w:r>
      <w:r w:rsidR="008A448E">
        <w:rPr>
          <w:lang w:eastAsia="zh-CN" w:bidi="hi-IN"/>
        </w:rPr>
        <w:t xml:space="preserve">voortgang van het natuurbeleid. </w:t>
      </w:r>
    </w:p>
    <w:p w:rsidR="008A448E" w:rsidP="00F35878" w:rsidRDefault="008A448E">
      <w:pPr>
        <w:rPr>
          <w:lang w:eastAsia="zh-CN" w:bidi="hi-IN"/>
        </w:rPr>
      </w:pPr>
    </w:p>
    <w:p w:rsidRPr="008A448E" w:rsidR="008A448E" w:rsidP="00F35878" w:rsidRDefault="008A448E">
      <w:pPr>
        <w:rPr>
          <w:i/>
          <w:lang w:eastAsia="zh-CN" w:bidi="hi-IN"/>
        </w:rPr>
      </w:pPr>
      <w:r w:rsidRPr="008A448E">
        <w:rPr>
          <w:i/>
          <w:lang w:eastAsia="zh-CN" w:bidi="hi-IN"/>
        </w:rPr>
        <w:t>Nieuwe monitoringssystematiek</w:t>
      </w:r>
      <w:r w:rsidR="00B0607F">
        <w:rPr>
          <w:i/>
          <w:lang w:eastAsia="zh-CN" w:bidi="hi-IN"/>
        </w:rPr>
        <w:t xml:space="preserve"> voorwaarde om te stoppen met Groot project </w:t>
      </w:r>
    </w:p>
    <w:p w:rsidR="00F237DD" w:rsidP="00F237DD" w:rsidRDefault="00F35878">
      <w:pPr>
        <w:rPr>
          <w:lang w:eastAsia="zh-CN" w:bidi="hi-IN"/>
        </w:rPr>
      </w:pPr>
      <w:proofErr w:type="gramStart"/>
      <w:r>
        <w:rPr>
          <w:lang w:eastAsia="zh-CN" w:bidi="hi-IN"/>
        </w:rPr>
        <w:t>De staatssecretaris</w:t>
      </w:r>
      <w:r w:rsidR="008F50BF">
        <w:rPr>
          <w:lang w:eastAsia="zh-CN" w:bidi="hi-IN"/>
        </w:rPr>
        <w:t xml:space="preserve"> heeft in een brief van 1 november 2012 aangegeven dat een nieuwe monitoringssystematiek medio mei 2013 gereed zou zijn.</w:t>
      </w:r>
      <w:proofErr w:type="gramEnd"/>
      <w:r w:rsidR="008F50BF">
        <w:rPr>
          <w:rStyle w:val="Voetnootmarkering"/>
          <w:lang w:eastAsia="zh-CN" w:bidi="hi-IN"/>
        </w:rPr>
        <w:footnoteReference w:id="2"/>
      </w:r>
      <w:r w:rsidR="008F50BF">
        <w:rPr>
          <w:lang w:eastAsia="zh-CN" w:bidi="hi-IN"/>
        </w:rPr>
        <w:t xml:space="preserve"> </w:t>
      </w:r>
      <w:r w:rsidR="00F237DD">
        <w:rPr>
          <w:lang w:eastAsia="zh-CN" w:bidi="hi-IN"/>
        </w:rPr>
        <w:t>Dit bleek echter niet het geval.</w:t>
      </w:r>
      <w:r w:rsidR="00F237DD">
        <w:rPr>
          <w:rStyle w:val="Voetnootmarkering"/>
          <w:lang w:eastAsia="zh-CN" w:bidi="hi-IN"/>
        </w:rPr>
        <w:footnoteReference w:id="3"/>
      </w:r>
    </w:p>
    <w:p w:rsidR="00584140" w:rsidP="005F58AC" w:rsidRDefault="008F50BF">
      <w:pPr>
        <w:rPr>
          <w:lang w:eastAsia="zh-CN" w:bidi="hi-IN"/>
        </w:rPr>
      </w:pPr>
      <w:r>
        <w:rPr>
          <w:lang w:eastAsia="zh-CN" w:bidi="hi-IN"/>
        </w:rPr>
        <w:t xml:space="preserve">Vervolgens heeft de staatssecretaris in </w:t>
      </w:r>
      <w:r w:rsidR="003D0930">
        <w:rPr>
          <w:lang w:eastAsia="zh-CN" w:bidi="hi-IN"/>
        </w:rPr>
        <w:t>de brief ‘Evaluatie en monitoring Natuurpact</w:t>
      </w:r>
      <w:r w:rsidR="00E62111">
        <w:rPr>
          <w:lang w:eastAsia="zh-CN" w:bidi="hi-IN"/>
        </w:rPr>
        <w:t>'</w:t>
      </w:r>
      <w:r w:rsidR="003D0930">
        <w:rPr>
          <w:lang w:eastAsia="zh-CN" w:bidi="hi-IN"/>
        </w:rPr>
        <w:t xml:space="preserve"> van </w:t>
      </w:r>
    </w:p>
    <w:p w:rsidR="007B777B" w:rsidP="005F58AC" w:rsidRDefault="003D0930">
      <w:pPr>
        <w:rPr>
          <w:lang w:eastAsia="zh-CN" w:bidi="hi-IN"/>
        </w:rPr>
      </w:pPr>
      <w:r>
        <w:rPr>
          <w:lang w:eastAsia="zh-CN" w:bidi="hi-IN"/>
        </w:rPr>
        <w:t>6 november 2013</w:t>
      </w:r>
      <w:r>
        <w:rPr>
          <w:rStyle w:val="Voetnootmarkering"/>
          <w:lang w:eastAsia="zh-CN" w:bidi="hi-IN"/>
        </w:rPr>
        <w:footnoteReference w:id="4"/>
      </w:r>
      <w:r w:rsidR="00F35878">
        <w:rPr>
          <w:lang w:eastAsia="zh-CN" w:bidi="hi-IN"/>
        </w:rPr>
        <w:t xml:space="preserve"> aangegeven te willen stoppen met de jaarlijkse voortgangrapportages over de EHS</w:t>
      </w:r>
      <w:r w:rsidR="008F50BF">
        <w:rPr>
          <w:lang w:eastAsia="zh-CN" w:bidi="hi-IN"/>
        </w:rPr>
        <w:t xml:space="preserve">. </w:t>
      </w:r>
      <w:r w:rsidR="00F237DD">
        <w:rPr>
          <w:lang w:eastAsia="zh-CN" w:bidi="hi-IN"/>
        </w:rPr>
        <w:t>D</w:t>
      </w:r>
      <w:r w:rsidR="00F35878">
        <w:rPr>
          <w:lang w:eastAsia="zh-CN" w:bidi="hi-IN"/>
        </w:rPr>
        <w:t xml:space="preserve">e commissie EZ heeft de staatssecretaris er vervolgens op gewezen dat zij, vanwege de Groot </w:t>
      </w:r>
      <w:r w:rsidR="002802EC">
        <w:rPr>
          <w:lang w:eastAsia="zh-CN" w:bidi="hi-IN"/>
        </w:rPr>
        <w:t>projectstatus, niet eenzijdig ko</w:t>
      </w:r>
      <w:r w:rsidR="00F35878">
        <w:rPr>
          <w:lang w:eastAsia="zh-CN" w:bidi="hi-IN"/>
        </w:rPr>
        <w:t>n stoppen met de voortgangsrapportages EHS.</w:t>
      </w:r>
      <w:r w:rsidR="002802EC">
        <w:rPr>
          <w:lang w:eastAsia="zh-CN" w:bidi="hi-IN"/>
        </w:rPr>
        <w:t xml:space="preserve"> </w:t>
      </w:r>
    </w:p>
    <w:p w:rsidR="007B777B" w:rsidP="005F58AC" w:rsidRDefault="007B777B">
      <w:pPr>
        <w:rPr>
          <w:lang w:eastAsia="zh-CN" w:bidi="hi-IN"/>
        </w:rPr>
      </w:pPr>
    </w:p>
    <w:p w:rsidR="007B777B" w:rsidP="005F58AC" w:rsidRDefault="005F58AC">
      <w:r>
        <w:rPr>
          <w:lang w:eastAsia="zh-CN" w:bidi="hi-IN"/>
        </w:rPr>
        <w:t>I</w:t>
      </w:r>
      <w:r w:rsidRPr="001E4ABA">
        <w:t xml:space="preserve">n </w:t>
      </w:r>
      <w:r w:rsidR="005D4C9A">
        <w:t>de</w:t>
      </w:r>
      <w:r w:rsidRPr="001E4ABA">
        <w:t xml:space="preserve"> procedurevergadering van 3 juni 2014 </w:t>
      </w:r>
      <w:r>
        <w:t xml:space="preserve">heeft de commissie EZ </w:t>
      </w:r>
      <w:r w:rsidRPr="001E4ABA">
        <w:t>besloten om pas een besluit over de Groot projectstatus EHS te nemen</w:t>
      </w:r>
      <w:r>
        <w:t xml:space="preserve"> als</w:t>
      </w:r>
      <w:r w:rsidRPr="001E4ABA">
        <w:t xml:space="preserve"> de staatssecretaris duidelijkheid had gegeven over</w:t>
      </w:r>
      <w:r w:rsidR="007B777B">
        <w:t>:</w:t>
      </w:r>
    </w:p>
    <w:p w:rsidR="007B777B" w:rsidP="00822F53" w:rsidRDefault="007B777B">
      <w:pPr>
        <w:pStyle w:val="Lijstalinea"/>
        <w:numPr>
          <w:ilvl w:val="0"/>
          <w:numId w:val="44"/>
        </w:numPr>
        <w:rPr>
          <w:lang w:eastAsia="zh-CN" w:bidi="hi-IN"/>
        </w:rPr>
      </w:pPr>
      <w:r>
        <w:t>de evaluatie van het Natuurpact</w:t>
      </w:r>
      <w:r w:rsidR="00822F53">
        <w:t>,</w:t>
      </w:r>
      <w:r w:rsidRPr="001E4ABA">
        <w:t xml:space="preserve"> </w:t>
      </w:r>
      <w:r w:rsidR="00144274">
        <w:t>en</w:t>
      </w:r>
      <w:r>
        <w:t>;</w:t>
      </w:r>
    </w:p>
    <w:p w:rsidR="005F58AC" w:rsidP="00822F53" w:rsidRDefault="007B777B">
      <w:pPr>
        <w:pStyle w:val="Lijstalinea"/>
        <w:numPr>
          <w:ilvl w:val="0"/>
          <w:numId w:val="44"/>
        </w:numPr>
        <w:rPr>
          <w:lang w:eastAsia="zh-CN" w:bidi="hi-IN"/>
        </w:rPr>
      </w:pPr>
      <w:r w:rsidRPr="001E4ABA">
        <w:t>de (nieuwe opzet van de) voo</w:t>
      </w:r>
      <w:r>
        <w:t>rt</w:t>
      </w:r>
      <w:r>
        <w:softHyphen/>
        <w:t>gangsrapportages</w:t>
      </w:r>
      <w:r w:rsidR="00007948">
        <w:t xml:space="preserve">. </w:t>
      </w:r>
    </w:p>
    <w:p w:rsidR="008A448E" w:rsidP="00F35878" w:rsidRDefault="008A448E">
      <w:pPr>
        <w:rPr>
          <w:lang w:eastAsia="zh-CN" w:bidi="hi-IN"/>
        </w:rPr>
      </w:pPr>
    </w:p>
    <w:p w:rsidRPr="008A448E" w:rsidR="008A448E" w:rsidP="00F35878" w:rsidRDefault="007B777B">
      <w:pPr>
        <w:rPr>
          <w:i/>
          <w:lang w:eastAsia="zh-CN" w:bidi="hi-IN"/>
        </w:rPr>
      </w:pPr>
      <w:r>
        <w:rPr>
          <w:i/>
          <w:lang w:eastAsia="zh-CN" w:bidi="hi-IN"/>
        </w:rPr>
        <w:t xml:space="preserve">Ad a. </w:t>
      </w:r>
      <w:r w:rsidRPr="008A448E" w:rsidR="008A448E">
        <w:rPr>
          <w:i/>
          <w:lang w:eastAsia="zh-CN" w:bidi="hi-IN"/>
        </w:rPr>
        <w:t>Opzet evaluatie helder, maar nog geen inzicht in jaarlijkse voortgang</w:t>
      </w:r>
    </w:p>
    <w:p w:rsidR="007B777B" w:rsidP="00007948" w:rsidRDefault="005D4C9A">
      <w:pPr>
        <w:rPr>
          <w:lang w:eastAsia="zh-CN" w:bidi="hi-IN"/>
        </w:rPr>
      </w:pPr>
      <w:r>
        <w:rPr>
          <w:lang w:eastAsia="zh-CN" w:bidi="hi-IN"/>
        </w:rPr>
        <w:t>D</w:t>
      </w:r>
      <w:r w:rsidR="00F35878">
        <w:rPr>
          <w:lang w:eastAsia="zh-CN" w:bidi="hi-IN"/>
        </w:rPr>
        <w:t xml:space="preserve">e Kamer </w:t>
      </w:r>
      <w:r>
        <w:rPr>
          <w:lang w:eastAsia="zh-CN" w:bidi="hi-IN"/>
        </w:rPr>
        <w:t xml:space="preserve">heeft </w:t>
      </w:r>
      <w:r w:rsidR="00F35878">
        <w:rPr>
          <w:lang w:eastAsia="zh-CN" w:bidi="hi-IN"/>
        </w:rPr>
        <w:t>twee voortgangsrapportages (</w:t>
      </w:r>
      <w:proofErr w:type="spellStart"/>
      <w:r w:rsidR="00F35878">
        <w:rPr>
          <w:lang w:eastAsia="zh-CN" w:bidi="hi-IN"/>
        </w:rPr>
        <w:t>VGR’s</w:t>
      </w:r>
      <w:proofErr w:type="spellEnd"/>
      <w:r w:rsidR="00F35878">
        <w:rPr>
          <w:lang w:eastAsia="zh-CN" w:bidi="hi-IN"/>
        </w:rPr>
        <w:t xml:space="preserve">) </w:t>
      </w:r>
      <w:r w:rsidR="005F58AC">
        <w:rPr>
          <w:lang w:eastAsia="zh-CN" w:bidi="hi-IN"/>
        </w:rPr>
        <w:t xml:space="preserve">in het kader van het Groot project EHS </w:t>
      </w:r>
      <w:r w:rsidR="00F35878">
        <w:rPr>
          <w:lang w:eastAsia="zh-CN" w:bidi="hi-IN"/>
        </w:rPr>
        <w:t>ontvangen</w:t>
      </w:r>
      <w:r>
        <w:rPr>
          <w:lang w:eastAsia="zh-CN" w:bidi="hi-IN"/>
        </w:rPr>
        <w:t xml:space="preserve"> die nog niet behandeld zijn</w:t>
      </w:r>
      <w:r w:rsidR="00F35878">
        <w:rPr>
          <w:lang w:eastAsia="zh-CN" w:bidi="hi-IN"/>
        </w:rPr>
        <w:t xml:space="preserve">: de zesde VGR </w:t>
      </w:r>
      <w:r w:rsidR="00F45EDC">
        <w:rPr>
          <w:lang w:eastAsia="zh-CN" w:bidi="hi-IN"/>
        </w:rPr>
        <w:t>op 6</w:t>
      </w:r>
      <w:r w:rsidR="00F35878">
        <w:rPr>
          <w:lang w:eastAsia="zh-CN" w:bidi="hi-IN"/>
        </w:rPr>
        <w:t xml:space="preserve"> november 2013 (over het jaar 2012) en de zevende VGR </w:t>
      </w:r>
      <w:r w:rsidR="00F45EDC">
        <w:rPr>
          <w:lang w:eastAsia="zh-CN" w:bidi="hi-IN"/>
        </w:rPr>
        <w:t>op 24</w:t>
      </w:r>
      <w:r w:rsidR="00F35878">
        <w:rPr>
          <w:lang w:eastAsia="zh-CN" w:bidi="hi-IN"/>
        </w:rPr>
        <w:t xml:space="preserve"> maart 2015 (over het jaar 2013). </w:t>
      </w:r>
      <w:r w:rsidR="00007948">
        <w:rPr>
          <w:lang w:eastAsia="zh-CN" w:bidi="hi-IN"/>
        </w:rPr>
        <w:t>Bij deze laatste VGR was ook de opzet van de evaluatie</w:t>
      </w:r>
      <w:r w:rsidR="00B0607F">
        <w:rPr>
          <w:lang w:eastAsia="zh-CN" w:bidi="hi-IN"/>
        </w:rPr>
        <w:t xml:space="preserve">, </w:t>
      </w:r>
      <w:proofErr w:type="gramStart"/>
      <w:r w:rsidR="00B0607F">
        <w:rPr>
          <w:lang w:eastAsia="zh-CN" w:bidi="hi-IN"/>
        </w:rPr>
        <w:t>oftewel</w:t>
      </w:r>
      <w:proofErr w:type="gramEnd"/>
      <w:r w:rsidR="00B0607F">
        <w:rPr>
          <w:lang w:eastAsia="zh-CN" w:bidi="hi-IN"/>
        </w:rPr>
        <w:t xml:space="preserve"> het evaluatiekader,</w:t>
      </w:r>
      <w:r w:rsidR="00007948">
        <w:rPr>
          <w:lang w:eastAsia="zh-CN" w:bidi="hi-IN"/>
        </w:rPr>
        <w:t xml:space="preserve"> van het Natuurpact gevoegd. </w:t>
      </w:r>
      <w:r w:rsidR="00CD71FF">
        <w:rPr>
          <w:lang w:eastAsia="zh-CN" w:bidi="hi-IN"/>
        </w:rPr>
        <w:t xml:space="preserve">De behandeling van </w:t>
      </w:r>
      <w:r w:rsidR="00007948">
        <w:rPr>
          <w:lang w:eastAsia="zh-CN" w:bidi="hi-IN"/>
        </w:rPr>
        <w:t xml:space="preserve">deze stukken </w:t>
      </w:r>
      <w:r w:rsidR="00CD71FF">
        <w:rPr>
          <w:lang w:eastAsia="zh-CN" w:bidi="hi-IN"/>
        </w:rPr>
        <w:t>stond oorsp</w:t>
      </w:r>
      <w:r w:rsidR="00F3124A">
        <w:rPr>
          <w:lang w:eastAsia="zh-CN" w:bidi="hi-IN"/>
        </w:rPr>
        <w:t>ronkelijk gepland voor een AO op 24</w:t>
      </w:r>
      <w:r w:rsidR="00CD71FF">
        <w:rPr>
          <w:lang w:eastAsia="zh-CN" w:bidi="hi-IN"/>
        </w:rPr>
        <w:t xml:space="preserve"> september 2015. </w:t>
      </w:r>
    </w:p>
    <w:p w:rsidR="007B777B" w:rsidP="00007948" w:rsidRDefault="007B777B">
      <w:pPr>
        <w:rPr>
          <w:lang w:eastAsia="zh-CN" w:bidi="hi-IN"/>
        </w:rPr>
      </w:pPr>
    </w:p>
    <w:p w:rsidR="00007948" w:rsidP="00007948" w:rsidRDefault="00F3124A">
      <w:pPr>
        <w:rPr>
          <w:lang w:eastAsia="zh-CN" w:bidi="hi-IN"/>
        </w:rPr>
      </w:pPr>
      <w:r>
        <w:rPr>
          <w:lang w:eastAsia="zh-CN" w:bidi="hi-IN"/>
        </w:rPr>
        <w:t xml:space="preserve">Op verzoek van de rapporteurs zijn </w:t>
      </w:r>
      <w:r w:rsidR="00144274">
        <w:rPr>
          <w:lang w:eastAsia="zh-CN" w:bidi="hi-IN"/>
        </w:rPr>
        <w:t>alle</w:t>
      </w:r>
      <w:r>
        <w:rPr>
          <w:lang w:eastAsia="zh-CN" w:bidi="hi-IN"/>
        </w:rPr>
        <w:t xml:space="preserve"> stukken over de EHS van de agenda afgevoerd om op een later moment te behandelen. </w:t>
      </w:r>
      <w:r w:rsidR="005300AC">
        <w:rPr>
          <w:lang w:eastAsia="zh-CN" w:bidi="hi-IN"/>
        </w:rPr>
        <w:t>Een r</w:t>
      </w:r>
      <w:r>
        <w:rPr>
          <w:lang w:eastAsia="zh-CN" w:bidi="hi-IN"/>
        </w:rPr>
        <w:t xml:space="preserve">eden </w:t>
      </w:r>
      <w:r w:rsidR="005300AC">
        <w:rPr>
          <w:lang w:eastAsia="zh-CN" w:bidi="hi-IN"/>
        </w:rPr>
        <w:t xml:space="preserve">hiervoor </w:t>
      </w:r>
      <w:r>
        <w:rPr>
          <w:lang w:eastAsia="zh-CN" w:bidi="hi-IN"/>
        </w:rPr>
        <w:t xml:space="preserve">was de </w:t>
      </w:r>
      <w:r w:rsidR="002802EC">
        <w:rPr>
          <w:lang w:eastAsia="zh-CN" w:bidi="hi-IN"/>
        </w:rPr>
        <w:t>nog bestaande on</w:t>
      </w:r>
      <w:r>
        <w:rPr>
          <w:lang w:eastAsia="zh-CN" w:bidi="hi-IN"/>
        </w:rPr>
        <w:t>duidelijkheid over de opzet en inhoud van de nieuwe jaarlijkse voortgangs</w:t>
      </w:r>
      <w:r w:rsidR="002802EC">
        <w:rPr>
          <w:lang w:eastAsia="zh-CN" w:bidi="hi-IN"/>
        </w:rPr>
        <w:t xml:space="preserve">rapportages </w:t>
      </w:r>
      <w:r w:rsidR="002802EC">
        <w:rPr>
          <w:lang w:eastAsia="zh-CN" w:bidi="hi-IN"/>
        </w:rPr>
        <w:lastRenderedPageBreak/>
        <w:t xml:space="preserve">over het Natuurpact. </w:t>
      </w:r>
      <w:r w:rsidR="00007948">
        <w:rPr>
          <w:lang w:eastAsia="zh-CN" w:bidi="hi-IN"/>
        </w:rPr>
        <w:t>De rapporteurs hadden in een notitie</w:t>
      </w:r>
      <w:r w:rsidR="00007948">
        <w:rPr>
          <w:rStyle w:val="Voetnootmarkering"/>
          <w:lang w:eastAsia="zh-CN" w:bidi="hi-IN"/>
        </w:rPr>
        <w:footnoteReference w:id="5"/>
      </w:r>
      <w:r w:rsidR="00007948">
        <w:rPr>
          <w:lang w:eastAsia="zh-CN" w:bidi="hi-IN"/>
        </w:rPr>
        <w:t xml:space="preserve"> aan de commissie EZ op 17 april 2015 geschreven dat zij van mening waren dat het evaluatiekader van het Natuurpact een goede basis biedt om eens in de drie jaar de voortgang van het natuurbeleid te kunnen volgen. Echter, de staatssecretaris had nog onvoldoende duidelijkheid gegeven over de opzet en inhoud van de nieuwe jaarlijkse voortgangsrapportages over het Natuurpact.</w:t>
      </w:r>
    </w:p>
    <w:p w:rsidR="00B0607F" w:rsidP="00F35878" w:rsidRDefault="00B0607F">
      <w:pPr>
        <w:rPr>
          <w:i/>
          <w:lang w:eastAsia="zh-CN" w:bidi="hi-IN"/>
        </w:rPr>
      </w:pPr>
    </w:p>
    <w:p w:rsidRPr="003567CF" w:rsidR="008A448E" w:rsidP="00F35878" w:rsidRDefault="007B777B">
      <w:pPr>
        <w:rPr>
          <w:i/>
          <w:lang w:eastAsia="zh-CN" w:bidi="hi-IN"/>
        </w:rPr>
      </w:pPr>
      <w:r>
        <w:rPr>
          <w:i/>
          <w:lang w:eastAsia="zh-CN" w:bidi="hi-IN"/>
        </w:rPr>
        <w:t xml:space="preserve">Ad b. </w:t>
      </w:r>
      <w:r w:rsidR="00AA2949">
        <w:rPr>
          <w:i/>
          <w:lang w:eastAsia="zh-CN" w:bidi="hi-IN"/>
        </w:rPr>
        <w:t>E</w:t>
      </w:r>
      <w:r w:rsidRPr="003567CF" w:rsidR="003567CF">
        <w:rPr>
          <w:i/>
          <w:lang w:eastAsia="zh-CN" w:bidi="hi-IN"/>
        </w:rPr>
        <w:t xml:space="preserve">erste </w:t>
      </w:r>
      <w:r w:rsidR="00921828">
        <w:rPr>
          <w:i/>
          <w:lang w:eastAsia="zh-CN" w:bidi="hi-IN"/>
        </w:rPr>
        <w:t>jaarlijkse voortgangsrapportage Natuurpact</w:t>
      </w:r>
    </w:p>
    <w:p w:rsidR="00FF78D5" w:rsidP="00F35878" w:rsidRDefault="00D23CEE">
      <w:r>
        <w:rPr>
          <w:lang w:eastAsia="zh-CN" w:bidi="hi-IN"/>
        </w:rPr>
        <w:t>De Kamer heeft op 18 december 2015 de eerste nieuwe jaarlijkse voortgangsrapportage over het Natuurpact ontvangen.</w:t>
      </w:r>
      <w:r>
        <w:rPr>
          <w:rStyle w:val="Voetnootmarkering"/>
        </w:rPr>
        <w:footnoteReference w:id="6"/>
      </w:r>
      <w:r>
        <w:rPr>
          <w:lang w:eastAsia="zh-CN" w:bidi="hi-IN"/>
        </w:rPr>
        <w:t xml:space="preserve"> In de rapportage</w:t>
      </w:r>
      <w:r>
        <w:t xml:space="preserve"> </w:t>
      </w:r>
      <w:r w:rsidR="00E6491F">
        <w:t>‘</w:t>
      </w:r>
      <w:r>
        <w:t>Natuur in de provincie: éé</w:t>
      </w:r>
      <w:r w:rsidR="00E6491F">
        <w:t>n jaar Natuurpact in uitvoering’</w:t>
      </w:r>
      <w:r>
        <w:t xml:space="preserve"> van het Interprovinciaal Overleg (IPO) beschrijven de provincies de resultaten die zij in de jaren 2011 t/m 2014 hebben behaald, onder meer ten aanzien van de verwerving, de inrichting en het beheer van het Natuurnetwerk Nederland (NNN), de opvolger van de Ecologische Hoofdstructuur (EHS).</w:t>
      </w:r>
      <w:r w:rsidR="008A448E">
        <w:t xml:space="preserve"> Daarmee lijkt aan de twee voorwaarden te zijn voldaan die de commissie EZ had gesteld om een besluit te kunnen nemen </w:t>
      </w:r>
      <w:r w:rsidR="003567CF">
        <w:t>over de</w:t>
      </w:r>
      <w:r w:rsidR="00466D28">
        <w:t xml:space="preserve"> beëindiging van de</w:t>
      </w:r>
      <w:r w:rsidR="006F38D1">
        <w:t xml:space="preserve"> </w:t>
      </w:r>
      <w:r w:rsidR="003567CF">
        <w:t>Groot projectstatus van de EHS. In het hiernavolgende</w:t>
      </w:r>
      <w:r w:rsidR="00862F44">
        <w:t xml:space="preserve"> beschrijven de rapporteurs op welke punten nog onduidelijkheid bestaat.</w:t>
      </w:r>
      <w:r w:rsidR="00AA2949">
        <w:t xml:space="preserve"> </w:t>
      </w:r>
    </w:p>
    <w:p w:rsidR="00584140" w:rsidP="00F35878" w:rsidRDefault="00584140">
      <w:pPr>
        <w:rPr>
          <w:lang w:eastAsia="zh-CN" w:bidi="hi-IN"/>
        </w:rPr>
      </w:pPr>
    </w:p>
    <w:p w:rsidR="00862F44" w:rsidP="00862F44" w:rsidRDefault="00862F44">
      <w:pPr>
        <w:pStyle w:val="Paragraaf-Huisstijl"/>
      </w:pPr>
      <w:r>
        <w:t>IPO-rapportage ‘Natuur in de provincie’</w:t>
      </w:r>
    </w:p>
    <w:p w:rsidRPr="00ED5527" w:rsidR="00862F44" w:rsidP="00862F44" w:rsidRDefault="00862F44">
      <w:r>
        <w:t xml:space="preserve">Met zijn brief van 18 december 2015 heeft de staatssecretaris de IPO-rapportage ‘Natuur in de provincie’ aan de Kamer aangeboden. </w:t>
      </w:r>
      <w:r w:rsidRPr="00ED5527">
        <w:t>De rapporteurs constateren dat de IPO-rapportage niet gebaseerd is op de oude</w:t>
      </w:r>
      <w:r>
        <w:t xml:space="preserve"> systematiek van de</w:t>
      </w:r>
      <w:r w:rsidRPr="00ED5527">
        <w:t xml:space="preserve"> Natuurmeting op Kaart (NOK), maar op een </w:t>
      </w:r>
      <w:r>
        <w:t xml:space="preserve">voor de Kamer onbekende </w:t>
      </w:r>
      <w:r w:rsidRPr="00ED5527">
        <w:t>systematiek.</w:t>
      </w:r>
      <w:r>
        <w:t xml:space="preserve"> Het is daardoor niet duidelijk in hoeverre </w:t>
      </w:r>
      <w:r w:rsidRPr="00ED5527">
        <w:t>de cijfers uit de IPO-rapportage over het NNN te vergelijken zijn met de cijfers uit voorgaande rapportages over de EHS</w:t>
      </w:r>
      <w:r w:rsidR="00055EC7">
        <w:t>, en hoe betrouwbaar de cijfers zijn.</w:t>
      </w:r>
      <w:r>
        <w:t xml:space="preserve"> </w:t>
      </w:r>
    </w:p>
    <w:p w:rsidRPr="00ED5527" w:rsidR="00862F44" w:rsidP="00862F44" w:rsidRDefault="00862F44"/>
    <w:p w:rsidRPr="002B45C5" w:rsidR="00862F44" w:rsidP="00862F44" w:rsidRDefault="00862F44">
      <w:pPr>
        <w:rPr>
          <w:i/>
          <w:szCs w:val="18"/>
        </w:rPr>
      </w:pPr>
      <w:r>
        <w:rPr>
          <w:i/>
          <w:szCs w:val="18"/>
        </w:rPr>
        <w:t>Nieuw m</w:t>
      </w:r>
      <w:r w:rsidRPr="002B45C5">
        <w:rPr>
          <w:i/>
          <w:szCs w:val="18"/>
        </w:rPr>
        <w:t>onitoringssysteem</w:t>
      </w:r>
      <w:r w:rsidR="00646263">
        <w:rPr>
          <w:i/>
          <w:szCs w:val="18"/>
        </w:rPr>
        <w:t xml:space="preserve"> in de maak</w:t>
      </w:r>
    </w:p>
    <w:p w:rsidR="00584140" w:rsidP="00862F44" w:rsidRDefault="00862F44">
      <w:r>
        <w:t xml:space="preserve">De jaarlijkse voortgangsrapportages EHS van het ministerie van EZ in het kader van het Groot project waren tot en met de zevende VGR gebaseerd op de systematiek Natuurmeting op Kaart (NOK). Deze systematiek was in 2007 in het leven geroepen bij de invoering van het Investeringsbudget Landelijk Gebied (ILG), vanuit de behoefte om de afspraken tussen provincies en rijk over de ontwikkeling van de EHS te kunnen volgen. Met de decentralisatie van het natuurbeleid is de systematiek van de NOK komen te vervallen. </w:t>
      </w:r>
    </w:p>
    <w:p w:rsidR="00584140" w:rsidRDefault="00584140">
      <w:r>
        <w:br w:type="page"/>
      </w:r>
    </w:p>
    <w:p w:rsidR="00862F44" w:rsidP="00862F44" w:rsidRDefault="00862F44">
      <w:r>
        <w:lastRenderedPageBreak/>
        <w:t>Op het internet-</w:t>
      </w:r>
      <w:r w:rsidRPr="00DC51B9">
        <w:t>Port</w:t>
      </w:r>
      <w:r>
        <w:t>aal Natuur en Landschap</w:t>
      </w:r>
      <w:r>
        <w:rPr>
          <w:rStyle w:val="Voetnootmarkering"/>
        </w:rPr>
        <w:footnoteReference w:id="7"/>
      </w:r>
      <w:r>
        <w:t xml:space="preserve"> staat vermeld dat de NOK wordt vervangen door “een robuuste werkwijze die aansluit op het door provincies ontwikkelde Informatiemodel Natuur (</w:t>
      </w:r>
      <w:proofErr w:type="spellStart"/>
      <w:r>
        <w:t>IMNa</w:t>
      </w:r>
      <w:proofErr w:type="spellEnd"/>
      <w:r>
        <w:t>). Een en ander kan leiden tot aanpassingen in terminologie om de systematiek toekomstbestendiger te maken.”</w:t>
      </w:r>
      <w:r>
        <w:rPr>
          <w:rStyle w:val="Voetnootmarkering"/>
        </w:rPr>
        <w:footnoteReference w:id="8"/>
      </w:r>
      <w:r>
        <w:t xml:space="preserve"> </w:t>
      </w:r>
    </w:p>
    <w:p w:rsidR="00862F44" w:rsidP="00862F44" w:rsidRDefault="00862F44"/>
    <w:p w:rsidR="00646263" w:rsidP="00862F44" w:rsidRDefault="00862F44">
      <w:r w:rsidRPr="00646263">
        <w:t xml:space="preserve">Zowel het IPO als de staatssecretaris melden dat provincies en rijk nog werken aan </w:t>
      </w:r>
      <w:r w:rsidRPr="00646263" w:rsidR="00646263">
        <w:t>een eenduidige, samenhangende</w:t>
      </w:r>
      <w:r w:rsidRPr="00646263">
        <w:t xml:space="preserve"> monitoringssystematiek.</w:t>
      </w:r>
      <w:r w:rsidR="00646263">
        <w:t xml:space="preserve"> D</w:t>
      </w:r>
      <w:r>
        <w:t xml:space="preserve">e staatssecretaris </w:t>
      </w:r>
      <w:r w:rsidR="00646263">
        <w:t xml:space="preserve">schrijft </w:t>
      </w:r>
      <w:r>
        <w:t>hierover in zijn brief van 18 december 2015 dat hij met de provincies in overleg zal gaan om te komen tot een eenduidige systematiek voor het bepalen van de verworven hectares Natuurnetwerk, de uitkomsten daarvan zal opnemen in een o</w:t>
      </w:r>
      <w:r w:rsidR="00864976">
        <w:t>verzichtskaart, en de Kamer daar</w:t>
      </w:r>
      <w:r>
        <w:t xml:space="preserve">over voor de zomer van 2016 zal informeren. </w:t>
      </w:r>
    </w:p>
    <w:p w:rsidR="00864976" w:rsidP="00862F44" w:rsidRDefault="00864976"/>
    <w:p w:rsidR="00862F44" w:rsidP="00862F44" w:rsidRDefault="00862F44">
      <w:r>
        <w:t xml:space="preserve">De rapporteurs </w:t>
      </w:r>
      <w:r w:rsidR="00864976">
        <w:t>concluderen</w:t>
      </w:r>
      <w:r w:rsidR="00646263">
        <w:t xml:space="preserve"> dat</w:t>
      </w:r>
      <w:r>
        <w:t xml:space="preserve"> een eenduidige systematiek op dit moment nog niet bestaat. Dat roept wel de vraag op hoe de cijfers over de verwerving, inrichting en beheer van gronden binnen het NNN uit de IPO-rapportage tot stand zijn gekomen</w:t>
      </w:r>
      <w:r w:rsidR="00AB3197">
        <w:t>, en hoe betrouwbaar deze cijfers zijn.</w:t>
      </w:r>
      <w:r>
        <w:t xml:space="preserve"> Een kwalitatieve toelichting van het IPO op de totstandkoming van de cijfers ontbreekt, evenals een bronvermelding. Op</w:t>
      </w:r>
      <w:r w:rsidRPr="00422D9B">
        <w:t xml:space="preserve"> </w:t>
      </w:r>
      <w:r>
        <w:t>pagina 18 is we</w:t>
      </w:r>
      <w:r w:rsidR="00DE794E">
        <w:t>l een overzichtskaart opgenomen</w:t>
      </w:r>
      <w:r>
        <w:t xml:space="preserve"> waarin de verworven en ingerichte gronden in de periode 1/1/</w:t>
      </w:r>
      <w:r w:rsidR="00B6396D">
        <w:t>20</w:t>
      </w:r>
      <w:r>
        <w:t>11 tot 1/1/</w:t>
      </w:r>
      <w:r w:rsidR="00B6396D">
        <w:t>20</w:t>
      </w:r>
      <w:r>
        <w:t xml:space="preserve">15 staan weergegeven. Als bron staan het Kadaster en het Centraal Bureau voor de Statistiek vermeld. Het is echter niet duidelijk op basis van welke gegevens deze instanties de overzichtskaart hebben opgesteld. </w:t>
      </w:r>
    </w:p>
    <w:p w:rsidR="00862F44" w:rsidP="00862F44" w:rsidRDefault="00862F44"/>
    <w:tbl>
      <w:tblPr>
        <w:tblStyle w:val="Tabelraster"/>
        <w:tblW w:w="0" w:type="auto"/>
        <w:tblLook w:val="04A0" w:firstRow="1" w:lastRow="0" w:firstColumn="1" w:lastColumn="0" w:noHBand="0" w:noVBand="1"/>
      </w:tblPr>
      <w:tblGrid>
        <w:gridCol w:w="8475"/>
      </w:tblGrid>
      <w:tr w:rsidR="00822F53" w:rsidTr="00822F53">
        <w:tc>
          <w:tcPr>
            <w:tcW w:w="8475" w:type="dxa"/>
          </w:tcPr>
          <w:p w:rsidRPr="00822F53" w:rsidR="00822F53" w:rsidP="00862F44" w:rsidRDefault="00822F53">
            <w:pPr>
              <w:pStyle w:val="Lijstalinea"/>
              <w:numPr>
                <w:ilvl w:val="0"/>
                <w:numId w:val="33"/>
              </w:numPr>
              <w:rPr>
                <w:i/>
              </w:rPr>
            </w:pPr>
            <w:r>
              <w:rPr>
                <w:i/>
              </w:rPr>
              <w:t xml:space="preserve">Als er op dit moment nog geen eenduidige monitoringssystematiek bestaat, waar zijn de cijfers uit de IPO-rapportage dan op gebaseerd? Hoe betrouwbaar zijn deze cijfers? </w:t>
            </w:r>
          </w:p>
        </w:tc>
      </w:tr>
    </w:tbl>
    <w:p w:rsidR="00822F53" w:rsidP="00862F44" w:rsidRDefault="00822F53"/>
    <w:p w:rsidR="00862F44" w:rsidP="00862F44" w:rsidRDefault="000A3E85">
      <w:r>
        <w:t>De totstandkoming van een eenduidige monitoringssystematiek blijkt een bijzonder lastig</w:t>
      </w:r>
      <w:r w:rsidR="004D228E">
        <w:t xml:space="preserve"> en langdurig proces</w:t>
      </w:r>
      <w:r>
        <w:t>. De staatssecretaris had</w:t>
      </w:r>
      <w:r w:rsidR="004D228E">
        <w:t xml:space="preserve"> </w:t>
      </w:r>
      <w:r w:rsidR="00DF3B33">
        <w:t>in zijn brief van 1 november 2012</w:t>
      </w:r>
      <w:r w:rsidR="00DF3B33">
        <w:rPr>
          <w:rStyle w:val="Voetnootmarkering"/>
        </w:rPr>
        <w:footnoteReference w:id="9"/>
      </w:r>
      <w:r w:rsidR="00DF3B33">
        <w:t xml:space="preserve"> </w:t>
      </w:r>
      <w:r w:rsidR="004D228E">
        <w:t>toegezegd</w:t>
      </w:r>
      <w:r w:rsidR="00B6396D">
        <w:t xml:space="preserve"> </w:t>
      </w:r>
      <w:r w:rsidR="004D228E">
        <w:t>dat deze systematiek er medio mei 2013 zou liggen</w:t>
      </w:r>
      <w:r w:rsidR="00C80A89">
        <w:t xml:space="preserve">, maar kondigt nu aan dat dit medio (zomer) 2016 zal worden. Het Comité van Toezicht had hier al min of meer voor gewaarschuwd. In de </w:t>
      </w:r>
      <w:r w:rsidRPr="000A3E85" w:rsidR="00862F44">
        <w:t>zevende rapportage en tevens eindevaluatie</w:t>
      </w:r>
      <w:r w:rsidR="00862F44">
        <w:t xml:space="preserve"> van 16 december 2014 vraagt het Comité van Toezicht aandacht voor de informatiehuishouding van de ontwikkeling van het landelijk gebied en de natuur in het bijzonder.</w:t>
      </w:r>
      <w:r w:rsidR="00862F44">
        <w:rPr>
          <w:rStyle w:val="Voetnootmarkering"/>
        </w:rPr>
        <w:footnoteReference w:id="10"/>
      </w:r>
      <w:r w:rsidR="00862F44">
        <w:t xml:space="preserve"> Het Comité constateer</w:t>
      </w:r>
      <w:r w:rsidR="00E85D01">
        <w:t>t</w:t>
      </w:r>
      <w:r w:rsidR="00862F44">
        <w:t xml:space="preserve"> dat de organisatie van een betrouwbare, effectieve en efficiënte informatievoorziening voor gebiedsinrichting vele jaren in beslag heeft genomen, en bij het beëindigen van het ILG in 2011 nog niet was voltooid. Voor alle betrokkenen is het uitermate moeilijk gebleken gezamenlijke definities van alle aspecten van gebieds- en </w:t>
      </w:r>
      <w:r w:rsidR="00862F44">
        <w:lastRenderedPageBreak/>
        <w:t>natuurontwikkeling tot stand te brengen en te handhaven, aldus het Comité.</w:t>
      </w:r>
      <w:r w:rsidR="00487933">
        <w:t xml:space="preserve"> Het Comité heeft daarom het advies gegeven een nationale gegevensautoriteit in te stellen voor het landelijk gebied. Het is niet duidelijk </w:t>
      </w:r>
      <w:r w:rsidR="001543FF">
        <w:t xml:space="preserve">of, en zo ja, </w:t>
      </w:r>
      <w:r w:rsidR="00487933">
        <w:t>op welke wijze</w:t>
      </w:r>
      <w:r w:rsidR="001543FF">
        <w:t>,</w:t>
      </w:r>
      <w:r w:rsidR="00487933">
        <w:t xml:space="preserve"> de staatssecretaris </w:t>
      </w:r>
      <w:r w:rsidR="00D7333D">
        <w:t>en provincies dit advies hebben</w:t>
      </w:r>
      <w:r w:rsidR="001543FF">
        <w:t xml:space="preserve"> opgevolgd</w:t>
      </w:r>
      <w:r w:rsidR="00822F53">
        <w:t>.</w:t>
      </w:r>
    </w:p>
    <w:p w:rsidR="00862F44" w:rsidP="00862F44" w:rsidRDefault="00862F44"/>
    <w:tbl>
      <w:tblPr>
        <w:tblStyle w:val="Tabelraster"/>
        <w:tblW w:w="0" w:type="auto"/>
        <w:tblLook w:val="04A0" w:firstRow="1" w:lastRow="0" w:firstColumn="1" w:lastColumn="0" w:noHBand="0" w:noVBand="1"/>
      </w:tblPr>
      <w:tblGrid>
        <w:gridCol w:w="8475"/>
      </w:tblGrid>
      <w:tr w:rsidR="00822F53" w:rsidTr="00822F53">
        <w:tc>
          <w:tcPr>
            <w:tcW w:w="8475" w:type="dxa"/>
          </w:tcPr>
          <w:p w:rsidRPr="00822F53" w:rsidR="00822F53" w:rsidP="00862F44" w:rsidRDefault="00822F53">
            <w:pPr>
              <w:pStyle w:val="Lijstalinea"/>
              <w:numPr>
                <w:ilvl w:val="0"/>
                <w:numId w:val="33"/>
              </w:numPr>
              <w:rPr>
                <w:i/>
              </w:rPr>
            </w:pPr>
            <w:r>
              <w:rPr>
                <w:i/>
              </w:rPr>
              <w:t>Kan de staatssecretaris toelichten waarom het zo lang duurt om een eenduidige, samenhangende monitoringssystematiek op te stellen? Op welke wijze wordt het advies van het Comité van Toezicht om een nationale gegevensautoriteit voor het landelijk gebied in te stellen, opgevolgd?</w:t>
            </w:r>
          </w:p>
        </w:tc>
      </w:tr>
    </w:tbl>
    <w:p w:rsidR="00822F53" w:rsidP="00862F44" w:rsidRDefault="00822F53"/>
    <w:p w:rsidRPr="00233838" w:rsidR="00862F44" w:rsidP="00862F44" w:rsidRDefault="00862F44">
      <w:pPr>
        <w:rPr>
          <w:i/>
        </w:rPr>
      </w:pPr>
      <w:r>
        <w:rPr>
          <w:i/>
        </w:rPr>
        <w:t>Vergelijking NNN met EHS wel of niet mogelijk?</w:t>
      </w:r>
    </w:p>
    <w:p w:rsidR="00862F44" w:rsidP="00862F44" w:rsidRDefault="00862F44">
      <w:r>
        <w:t xml:space="preserve">Het is niet duidelijk in hoeverre </w:t>
      </w:r>
      <w:r w:rsidRPr="000263CB">
        <w:t xml:space="preserve">de cijfers uit de </w:t>
      </w:r>
      <w:r w:rsidR="00B6396D">
        <w:t xml:space="preserve">eerste </w:t>
      </w:r>
      <w:r w:rsidRPr="000263CB">
        <w:t>IPO-rapportage over het Natuurnetwerk te vergelijken zijn met de cijfers u</w:t>
      </w:r>
      <w:r>
        <w:t xml:space="preserve">it de voortgangsrapportages EHS. De IPO-rapportage bevat cijfers op een hoger aggregatieniveau dan de NOK, waardoor niet achterhaald kan worden hoe de cijfers exact zijn samengesteld. Hoewel het lijkt alsof alleen de terminologie is aangepast – NNN in plaats van EHS – is </w:t>
      </w:r>
      <w:r w:rsidR="00881472">
        <w:t xml:space="preserve">niet </w:t>
      </w:r>
      <w:r>
        <w:t xml:space="preserve">duidelijk of de definitie van het begrip hetzelfde is gebleven. Valt onder het NNN dezelfde soort ha natuur als onder de EHS, en kan de voortgang van de ha natuur ‘in beheer’, ‘ingericht’ en ‘verworven’ in 2014 vergeleken worden met voorgaande jaren? </w:t>
      </w:r>
    </w:p>
    <w:p w:rsidR="00864976" w:rsidP="00862F44" w:rsidRDefault="00864976"/>
    <w:p w:rsidR="00864976" w:rsidP="00862F44" w:rsidRDefault="00864976">
      <w:r>
        <w:t>In de IPO-rapportage word</w:t>
      </w:r>
      <w:r w:rsidR="00510BD0">
        <w:t>en ook cijfers gepresenteerd over</w:t>
      </w:r>
      <w:r>
        <w:t xml:space="preserve"> het totaal aantal ha verworven, ingericht en in beheer in de jaren 2011 t/m 2013. Het BOR heeft deze aantallen vergeleken met de cijfers uit de voortgangsrapportages EHS </w:t>
      </w:r>
      <w:r w:rsidR="00510BD0">
        <w:t xml:space="preserve">van de jaren </w:t>
      </w:r>
      <w:r>
        <w:t xml:space="preserve">2011, 2012 en 2013. </w:t>
      </w:r>
      <w:r w:rsidR="00510BD0">
        <w:t>De cijfers komen niet overeen.</w:t>
      </w:r>
    </w:p>
    <w:p w:rsidR="002B3F01" w:rsidP="002B3F01" w:rsidRDefault="002B3F01"/>
    <w:tbl>
      <w:tblPr>
        <w:tblStyle w:val="Tabelraster"/>
        <w:tblW w:w="0" w:type="auto"/>
        <w:tblLook w:val="04A0" w:firstRow="1" w:lastRow="0" w:firstColumn="1" w:lastColumn="0" w:noHBand="0" w:noVBand="1"/>
      </w:tblPr>
      <w:tblGrid>
        <w:gridCol w:w="8475"/>
      </w:tblGrid>
      <w:tr w:rsidR="002B3F01" w:rsidTr="008A5AEC">
        <w:tc>
          <w:tcPr>
            <w:tcW w:w="8475" w:type="dxa"/>
          </w:tcPr>
          <w:p w:rsidRPr="002B3F01" w:rsidR="002B3F01" w:rsidP="008A5AEC" w:rsidRDefault="002B3F01">
            <w:pPr>
              <w:pStyle w:val="Lijstalinea"/>
              <w:numPr>
                <w:ilvl w:val="0"/>
                <w:numId w:val="33"/>
              </w:numPr>
              <w:rPr>
                <w:i/>
              </w:rPr>
            </w:pPr>
            <w:r w:rsidRPr="004A058D">
              <w:rPr>
                <w:i/>
              </w:rPr>
              <w:t>Kan de staatssecretaris toelichten in hoeverre de cijfers uit de IPO-rapportage over het Natuurnetwerk te vergelijken zijn met de cijfers uit de voortgangsrapportages EHS?</w:t>
            </w:r>
            <w:r>
              <w:rPr>
                <w:i/>
              </w:rPr>
              <w:t xml:space="preserve"> Het gaat hierbij om de categorieën ‘verworven’, ‘ingericht’, en ‘in beheer’. </w:t>
            </w:r>
          </w:p>
        </w:tc>
      </w:tr>
    </w:tbl>
    <w:p w:rsidR="002B3F01" w:rsidP="002B3F01" w:rsidRDefault="002B3F01"/>
    <w:p w:rsidR="00862F44" w:rsidP="00862F44" w:rsidRDefault="00862F44">
      <w:r>
        <w:t xml:space="preserve">In tabel 1 is de voortgang vanaf 2011 tot en met 2014 weergegeven, waarbij het - zoals hierboven toegelicht - niet duidelijk is of de gehanteerde begrippen in 2014 hetzelfde betekenen als in de jaren daarvoor. Het lijkt erop dat in 2014 een forse toename van het totaal aantal ha natuur in beheer heeft plaatsgevonden. Echter, de IPO-rapportage licht de cijfers met betrekking tot ‘in beheer’ niet toe ten opzichte van voorgaande jaren. </w:t>
      </w:r>
    </w:p>
    <w:p w:rsidR="00862F44" w:rsidP="00862F44" w:rsidRDefault="00862F44">
      <w:pPr>
        <w:rPr>
          <w:b/>
        </w:rPr>
      </w:pPr>
    </w:p>
    <w:p w:rsidR="00584140" w:rsidRDefault="00584140">
      <w:pPr>
        <w:rPr>
          <w:b/>
        </w:rPr>
      </w:pPr>
      <w:r>
        <w:rPr>
          <w:b/>
        </w:rPr>
        <w:br w:type="page"/>
      </w:r>
    </w:p>
    <w:p w:rsidRPr="00A02048" w:rsidR="00862F44" w:rsidP="00862F44" w:rsidRDefault="00862F44">
      <w:pPr>
        <w:rPr>
          <w:b/>
        </w:rPr>
      </w:pPr>
      <w:r w:rsidRPr="00A02048">
        <w:rPr>
          <w:b/>
        </w:rPr>
        <w:lastRenderedPageBreak/>
        <w:t>Tabel 1 Verwerving, inrichting en beheer EHS/NNN</w:t>
      </w:r>
    </w:p>
    <w:tbl>
      <w:tblPr>
        <w:tblStyle w:val="Tabelraster"/>
        <w:tblW w:w="9498" w:type="dxa"/>
        <w:tblInd w:w="-1026" w:type="dxa"/>
        <w:tblLayout w:type="fixed"/>
        <w:tblLook w:val="04A0" w:firstRow="1" w:lastRow="0" w:firstColumn="1" w:lastColumn="0" w:noHBand="0" w:noVBand="1"/>
      </w:tblPr>
      <w:tblGrid>
        <w:gridCol w:w="1701"/>
        <w:gridCol w:w="1701"/>
        <w:gridCol w:w="1985"/>
        <w:gridCol w:w="1984"/>
        <w:gridCol w:w="2127"/>
      </w:tblGrid>
      <w:tr w:rsidR="00862F44" w:rsidTr="00630353">
        <w:tc>
          <w:tcPr>
            <w:tcW w:w="1701" w:type="dxa"/>
          </w:tcPr>
          <w:p w:rsidRPr="001C6491" w:rsidR="00862F44" w:rsidP="00630353" w:rsidRDefault="00862F44">
            <w:pPr>
              <w:rPr>
                <w:b/>
                <w:i/>
                <w:sz w:val="16"/>
                <w:szCs w:val="16"/>
              </w:rPr>
            </w:pPr>
          </w:p>
        </w:tc>
        <w:tc>
          <w:tcPr>
            <w:tcW w:w="1701" w:type="dxa"/>
          </w:tcPr>
          <w:p w:rsidRPr="001C6491" w:rsidR="00862F44" w:rsidP="00630353" w:rsidRDefault="00862F44">
            <w:pPr>
              <w:rPr>
                <w:b/>
                <w:i/>
                <w:sz w:val="16"/>
                <w:szCs w:val="16"/>
              </w:rPr>
            </w:pPr>
            <w:r>
              <w:rPr>
                <w:b/>
                <w:i/>
                <w:sz w:val="16"/>
                <w:szCs w:val="16"/>
              </w:rPr>
              <w:t>Vijfde VGR EHS</w:t>
            </w:r>
          </w:p>
        </w:tc>
        <w:tc>
          <w:tcPr>
            <w:tcW w:w="1985" w:type="dxa"/>
          </w:tcPr>
          <w:p w:rsidRPr="001C6491" w:rsidR="00862F44" w:rsidP="00630353" w:rsidRDefault="00862F44">
            <w:pPr>
              <w:rPr>
                <w:b/>
                <w:i/>
                <w:sz w:val="16"/>
                <w:szCs w:val="16"/>
              </w:rPr>
            </w:pPr>
            <w:r w:rsidRPr="001C6491">
              <w:rPr>
                <w:b/>
                <w:i/>
                <w:sz w:val="16"/>
                <w:szCs w:val="16"/>
              </w:rPr>
              <w:t>Zesde VGR</w:t>
            </w:r>
            <w:r>
              <w:rPr>
                <w:b/>
                <w:i/>
                <w:sz w:val="16"/>
                <w:szCs w:val="16"/>
              </w:rPr>
              <w:t xml:space="preserve"> EHS</w:t>
            </w:r>
          </w:p>
        </w:tc>
        <w:tc>
          <w:tcPr>
            <w:tcW w:w="1984" w:type="dxa"/>
            <w:tcBorders>
              <w:right w:val="single" w:color="auto" w:sz="18" w:space="0"/>
            </w:tcBorders>
          </w:tcPr>
          <w:p w:rsidRPr="001C6491" w:rsidR="00862F44" w:rsidP="00630353" w:rsidRDefault="00862F44">
            <w:pPr>
              <w:rPr>
                <w:b/>
                <w:i/>
                <w:sz w:val="16"/>
                <w:szCs w:val="16"/>
              </w:rPr>
            </w:pPr>
            <w:r w:rsidRPr="001C6491">
              <w:rPr>
                <w:b/>
                <w:i/>
                <w:sz w:val="16"/>
                <w:szCs w:val="16"/>
              </w:rPr>
              <w:t>Zevende VGR</w:t>
            </w:r>
            <w:r>
              <w:rPr>
                <w:b/>
                <w:i/>
                <w:sz w:val="16"/>
                <w:szCs w:val="16"/>
              </w:rPr>
              <w:t xml:space="preserve"> EHS</w:t>
            </w:r>
          </w:p>
        </w:tc>
        <w:tc>
          <w:tcPr>
            <w:tcW w:w="2127" w:type="dxa"/>
            <w:tcBorders>
              <w:left w:val="single" w:color="auto" w:sz="18" w:space="0"/>
            </w:tcBorders>
          </w:tcPr>
          <w:p w:rsidRPr="001C6491" w:rsidR="00862F44" w:rsidP="00630353" w:rsidRDefault="00862F44">
            <w:pPr>
              <w:rPr>
                <w:b/>
                <w:i/>
                <w:sz w:val="16"/>
                <w:szCs w:val="16"/>
              </w:rPr>
            </w:pPr>
            <w:r w:rsidRPr="001C6491">
              <w:rPr>
                <w:b/>
                <w:i/>
                <w:sz w:val="16"/>
                <w:szCs w:val="16"/>
              </w:rPr>
              <w:t>IPO</w:t>
            </w:r>
            <w:r>
              <w:rPr>
                <w:b/>
                <w:i/>
                <w:sz w:val="16"/>
                <w:szCs w:val="16"/>
              </w:rPr>
              <w:t>-</w:t>
            </w:r>
            <w:r w:rsidRPr="001C6491">
              <w:rPr>
                <w:b/>
                <w:i/>
                <w:sz w:val="16"/>
                <w:szCs w:val="16"/>
              </w:rPr>
              <w:t>rapportage</w:t>
            </w:r>
            <w:r>
              <w:rPr>
                <w:b/>
                <w:i/>
                <w:sz w:val="16"/>
                <w:szCs w:val="16"/>
              </w:rPr>
              <w:t xml:space="preserve"> NNN</w:t>
            </w:r>
          </w:p>
        </w:tc>
      </w:tr>
      <w:tr w:rsidR="00862F44" w:rsidTr="00630353">
        <w:tc>
          <w:tcPr>
            <w:tcW w:w="1701" w:type="dxa"/>
          </w:tcPr>
          <w:p w:rsidRPr="001C6491" w:rsidR="00862F44" w:rsidP="00630353" w:rsidRDefault="00862F44">
            <w:pPr>
              <w:rPr>
                <w:b/>
                <w:i/>
                <w:sz w:val="16"/>
                <w:szCs w:val="16"/>
              </w:rPr>
            </w:pPr>
          </w:p>
        </w:tc>
        <w:tc>
          <w:tcPr>
            <w:tcW w:w="1701" w:type="dxa"/>
          </w:tcPr>
          <w:p w:rsidR="00862F44" w:rsidP="00630353" w:rsidRDefault="00862F44">
            <w:pPr>
              <w:rPr>
                <w:i/>
                <w:sz w:val="16"/>
                <w:szCs w:val="16"/>
              </w:rPr>
            </w:pPr>
          </w:p>
          <w:p w:rsidRPr="006B6290" w:rsidR="00862F44" w:rsidP="00630353" w:rsidRDefault="00862F44">
            <w:pPr>
              <w:rPr>
                <w:i/>
                <w:sz w:val="16"/>
                <w:szCs w:val="16"/>
              </w:rPr>
            </w:pPr>
            <w:r>
              <w:rPr>
                <w:i/>
                <w:sz w:val="16"/>
                <w:szCs w:val="16"/>
              </w:rPr>
              <w:t>In 2011:</w:t>
            </w:r>
          </w:p>
        </w:tc>
        <w:tc>
          <w:tcPr>
            <w:tcW w:w="1985" w:type="dxa"/>
          </w:tcPr>
          <w:p w:rsidRPr="006B6290" w:rsidR="00862F44" w:rsidP="00630353" w:rsidRDefault="00862F44">
            <w:pPr>
              <w:rPr>
                <w:i/>
                <w:sz w:val="16"/>
                <w:szCs w:val="16"/>
              </w:rPr>
            </w:pPr>
          </w:p>
          <w:p w:rsidRPr="006B6290" w:rsidR="00862F44" w:rsidP="00630353" w:rsidRDefault="00862F44">
            <w:pPr>
              <w:rPr>
                <w:i/>
                <w:sz w:val="16"/>
                <w:szCs w:val="16"/>
              </w:rPr>
            </w:pPr>
            <w:r>
              <w:rPr>
                <w:i/>
                <w:sz w:val="16"/>
                <w:szCs w:val="16"/>
              </w:rPr>
              <w:t xml:space="preserve">In </w:t>
            </w:r>
            <w:r w:rsidRPr="006B6290">
              <w:rPr>
                <w:i/>
                <w:sz w:val="16"/>
                <w:szCs w:val="16"/>
              </w:rPr>
              <w:t>2012:</w:t>
            </w:r>
          </w:p>
        </w:tc>
        <w:tc>
          <w:tcPr>
            <w:tcW w:w="1984" w:type="dxa"/>
            <w:tcBorders>
              <w:righ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In 2013:</w:t>
            </w:r>
          </w:p>
        </w:tc>
        <w:tc>
          <w:tcPr>
            <w:tcW w:w="2127" w:type="dxa"/>
            <w:tcBorders>
              <w:lef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In 2014:</w:t>
            </w:r>
          </w:p>
        </w:tc>
      </w:tr>
      <w:tr w:rsidR="00862F44" w:rsidTr="00630353">
        <w:tc>
          <w:tcPr>
            <w:tcW w:w="1701" w:type="dxa"/>
          </w:tcPr>
          <w:p w:rsidRPr="001C6491" w:rsidR="00862F44" w:rsidP="00630353" w:rsidRDefault="00862F44">
            <w:pPr>
              <w:rPr>
                <w:b/>
                <w:i/>
                <w:sz w:val="16"/>
                <w:szCs w:val="16"/>
              </w:rPr>
            </w:pPr>
          </w:p>
          <w:p w:rsidRPr="001C6491" w:rsidR="00862F44" w:rsidP="00630353" w:rsidRDefault="00862F44">
            <w:pPr>
              <w:rPr>
                <w:b/>
                <w:i/>
                <w:sz w:val="16"/>
                <w:szCs w:val="16"/>
              </w:rPr>
            </w:pPr>
            <w:r w:rsidRPr="001C6491">
              <w:rPr>
                <w:b/>
                <w:i/>
                <w:sz w:val="16"/>
                <w:szCs w:val="16"/>
              </w:rPr>
              <w:t>In beheer</w:t>
            </w:r>
          </w:p>
          <w:p w:rsidRPr="001C6491" w:rsidR="00862F44" w:rsidP="00630353" w:rsidRDefault="00862F44">
            <w:pPr>
              <w:rPr>
                <w:b/>
                <w:i/>
                <w:sz w:val="16"/>
                <w:szCs w:val="16"/>
              </w:rPr>
            </w:pPr>
          </w:p>
        </w:tc>
        <w:tc>
          <w:tcPr>
            <w:tcW w:w="1701" w:type="dxa"/>
          </w:tcPr>
          <w:p w:rsidR="00862F44" w:rsidP="00630353" w:rsidRDefault="00862F44">
            <w:pPr>
              <w:rPr>
                <w:i/>
                <w:sz w:val="16"/>
                <w:szCs w:val="16"/>
              </w:rPr>
            </w:pPr>
          </w:p>
          <w:p w:rsidR="00862F44" w:rsidP="00630353" w:rsidRDefault="00862F44">
            <w:pPr>
              <w:rPr>
                <w:i/>
                <w:sz w:val="16"/>
                <w:szCs w:val="16"/>
              </w:rPr>
            </w:pPr>
            <w:r>
              <w:rPr>
                <w:i/>
                <w:sz w:val="16"/>
                <w:szCs w:val="16"/>
              </w:rPr>
              <w:t>+ 7.619</w:t>
            </w:r>
          </w:p>
        </w:tc>
        <w:tc>
          <w:tcPr>
            <w:tcW w:w="1985" w:type="dxa"/>
          </w:tcPr>
          <w:p w:rsidR="00862F44" w:rsidP="00630353" w:rsidRDefault="00862F44">
            <w:pPr>
              <w:rPr>
                <w:i/>
                <w:sz w:val="16"/>
                <w:szCs w:val="16"/>
              </w:rPr>
            </w:pPr>
          </w:p>
          <w:p w:rsidRPr="006B6290" w:rsidR="00862F44" w:rsidP="00630353" w:rsidRDefault="00862F44">
            <w:pPr>
              <w:rPr>
                <w:i/>
                <w:sz w:val="16"/>
                <w:szCs w:val="16"/>
              </w:rPr>
            </w:pPr>
            <w:r>
              <w:rPr>
                <w:i/>
                <w:sz w:val="16"/>
                <w:szCs w:val="16"/>
              </w:rPr>
              <w:t>- 29.545*</w:t>
            </w:r>
          </w:p>
        </w:tc>
        <w:tc>
          <w:tcPr>
            <w:tcW w:w="1984" w:type="dxa"/>
            <w:tcBorders>
              <w:righ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- 1.384**</w:t>
            </w:r>
          </w:p>
        </w:tc>
        <w:tc>
          <w:tcPr>
            <w:tcW w:w="2127" w:type="dxa"/>
            <w:tcBorders>
              <w:lef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+ 37.234 ***</w:t>
            </w:r>
          </w:p>
        </w:tc>
      </w:tr>
      <w:tr w:rsidR="00862F44" w:rsidTr="00630353">
        <w:tc>
          <w:tcPr>
            <w:tcW w:w="1701" w:type="dxa"/>
          </w:tcPr>
          <w:p w:rsidRPr="006E440B" w:rsidR="00862F44" w:rsidP="00630353" w:rsidRDefault="00862F44">
            <w:pPr>
              <w:rPr>
                <w:i/>
                <w:sz w:val="16"/>
                <w:szCs w:val="16"/>
              </w:rPr>
            </w:pPr>
            <w:r w:rsidRPr="006E440B">
              <w:rPr>
                <w:i/>
                <w:sz w:val="16"/>
                <w:szCs w:val="16"/>
              </w:rPr>
              <w:t>Totaal in beheer</w:t>
            </w:r>
            <w:r>
              <w:rPr>
                <w:i/>
                <w:sz w:val="16"/>
                <w:szCs w:val="16"/>
              </w:rPr>
              <w:t xml:space="preserve"> einde van het jaar:</w:t>
            </w:r>
          </w:p>
        </w:tc>
        <w:tc>
          <w:tcPr>
            <w:tcW w:w="1701" w:type="dxa"/>
          </w:tcPr>
          <w:p w:rsidR="00862F44" w:rsidP="00630353" w:rsidRDefault="00862F44">
            <w:pPr>
              <w:rPr>
                <w:i/>
                <w:sz w:val="16"/>
                <w:szCs w:val="16"/>
              </w:rPr>
            </w:pPr>
          </w:p>
          <w:p w:rsidR="00862F44" w:rsidP="00630353" w:rsidRDefault="00862F44">
            <w:pPr>
              <w:rPr>
                <w:i/>
                <w:sz w:val="16"/>
                <w:szCs w:val="16"/>
              </w:rPr>
            </w:pPr>
            <w:r>
              <w:rPr>
                <w:i/>
                <w:sz w:val="16"/>
                <w:szCs w:val="16"/>
              </w:rPr>
              <w:t>577.035</w:t>
            </w:r>
          </w:p>
        </w:tc>
        <w:tc>
          <w:tcPr>
            <w:tcW w:w="1985" w:type="dxa"/>
          </w:tcPr>
          <w:p w:rsidR="00862F44" w:rsidP="00630353" w:rsidRDefault="00862F44">
            <w:pPr>
              <w:rPr>
                <w:i/>
                <w:sz w:val="16"/>
                <w:szCs w:val="16"/>
              </w:rPr>
            </w:pPr>
          </w:p>
          <w:p w:rsidR="00862F44" w:rsidP="00630353" w:rsidRDefault="00862F44">
            <w:pPr>
              <w:rPr>
                <w:i/>
                <w:sz w:val="16"/>
                <w:szCs w:val="16"/>
              </w:rPr>
            </w:pPr>
            <w:r>
              <w:rPr>
                <w:i/>
                <w:sz w:val="16"/>
                <w:szCs w:val="16"/>
              </w:rPr>
              <w:t>547.490</w:t>
            </w:r>
          </w:p>
        </w:tc>
        <w:tc>
          <w:tcPr>
            <w:tcW w:w="1984" w:type="dxa"/>
            <w:tcBorders>
              <w:right w:val="single" w:color="auto" w:sz="18" w:space="0"/>
            </w:tcBorders>
          </w:tcPr>
          <w:p w:rsidR="00862F44" w:rsidP="00630353" w:rsidRDefault="00862F44">
            <w:pPr>
              <w:rPr>
                <w:i/>
                <w:sz w:val="16"/>
                <w:szCs w:val="16"/>
              </w:rPr>
            </w:pPr>
          </w:p>
          <w:p w:rsidR="00862F44" w:rsidP="00630353" w:rsidRDefault="00862F44">
            <w:pPr>
              <w:rPr>
                <w:i/>
                <w:sz w:val="16"/>
                <w:szCs w:val="16"/>
              </w:rPr>
            </w:pPr>
            <w:r>
              <w:rPr>
                <w:i/>
                <w:sz w:val="16"/>
                <w:szCs w:val="16"/>
              </w:rPr>
              <w:t>546.106</w:t>
            </w:r>
          </w:p>
        </w:tc>
        <w:tc>
          <w:tcPr>
            <w:tcW w:w="2127" w:type="dxa"/>
            <w:tcBorders>
              <w:left w:val="single" w:color="auto" w:sz="18" w:space="0"/>
            </w:tcBorders>
          </w:tcPr>
          <w:p w:rsidR="00862F44" w:rsidP="00630353" w:rsidRDefault="00862F44">
            <w:pPr>
              <w:rPr>
                <w:i/>
                <w:sz w:val="16"/>
                <w:szCs w:val="16"/>
              </w:rPr>
            </w:pPr>
          </w:p>
          <w:p w:rsidR="00862F44" w:rsidP="00630353" w:rsidRDefault="00862F44">
            <w:pPr>
              <w:rPr>
                <w:i/>
                <w:sz w:val="16"/>
                <w:szCs w:val="16"/>
              </w:rPr>
            </w:pPr>
            <w:r>
              <w:rPr>
                <w:i/>
                <w:sz w:val="16"/>
                <w:szCs w:val="16"/>
              </w:rPr>
              <w:t>583.340</w:t>
            </w:r>
          </w:p>
        </w:tc>
      </w:tr>
      <w:tr w:rsidR="00862F44" w:rsidTr="00630353">
        <w:tc>
          <w:tcPr>
            <w:tcW w:w="1701" w:type="dxa"/>
          </w:tcPr>
          <w:p w:rsidRPr="001C6491" w:rsidR="00862F44" w:rsidP="00630353" w:rsidRDefault="00862F44">
            <w:pPr>
              <w:rPr>
                <w:b/>
                <w:i/>
                <w:sz w:val="16"/>
                <w:szCs w:val="16"/>
              </w:rPr>
            </w:pPr>
          </w:p>
          <w:p w:rsidRPr="001C6491" w:rsidR="00862F44" w:rsidP="00630353" w:rsidRDefault="00862F44">
            <w:pPr>
              <w:rPr>
                <w:b/>
                <w:i/>
                <w:sz w:val="16"/>
                <w:szCs w:val="16"/>
              </w:rPr>
            </w:pPr>
            <w:r w:rsidRPr="001C6491">
              <w:rPr>
                <w:b/>
                <w:i/>
                <w:sz w:val="16"/>
                <w:szCs w:val="16"/>
              </w:rPr>
              <w:t>Ingericht</w:t>
            </w:r>
          </w:p>
          <w:p w:rsidRPr="001C6491" w:rsidR="00862F44" w:rsidP="00630353" w:rsidRDefault="00862F44">
            <w:pPr>
              <w:rPr>
                <w:b/>
                <w:i/>
                <w:sz w:val="16"/>
                <w:szCs w:val="16"/>
              </w:rPr>
            </w:pPr>
          </w:p>
        </w:tc>
        <w:tc>
          <w:tcPr>
            <w:tcW w:w="1701" w:type="dxa"/>
          </w:tcPr>
          <w:p w:rsidR="00862F44" w:rsidP="00630353" w:rsidRDefault="00862F44">
            <w:pPr>
              <w:rPr>
                <w:i/>
                <w:sz w:val="16"/>
                <w:szCs w:val="16"/>
              </w:rPr>
            </w:pPr>
          </w:p>
          <w:p w:rsidR="00862F44" w:rsidP="00630353" w:rsidRDefault="00862F44">
            <w:pPr>
              <w:rPr>
                <w:i/>
                <w:sz w:val="16"/>
                <w:szCs w:val="16"/>
              </w:rPr>
            </w:pPr>
            <w:r>
              <w:rPr>
                <w:i/>
                <w:sz w:val="16"/>
                <w:szCs w:val="16"/>
              </w:rPr>
              <w:t>+ 6.748</w:t>
            </w:r>
          </w:p>
        </w:tc>
        <w:tc>
          <w:tcPr>
            <w:tcW w:w="1985" w:type="dxa"/>
          </w:tcPr>
          <w:p w:rsidR="00862F44" w:rsidP="00630353" w:rsidRDefault="00862F44">
            <w:pPr>
              <w:rPr>
                <w:i/>
                <w:sz w:val="16"/>
                <w:szCs w:val="16"/>
              </w:rPr>
            </w:pPr>
          </w:p>
          <w:p w:rsidRPr="006B6290" w:rsidR="00862F44" w:rsidP="00630353" w:rsidRDefault="00862F44">
            <w:pPr>
              <w:rPr>
                <w:i/>
                <w:sz w:val="16"/>
                <w:szCs w:val="16"/>
              </w:rPr>
            </w:pPr>
            <w:r>
              <w:rPr>
                <w:i/>
                <w:sz w:val="16"/>
                <w:szCs w:val="16"/>
              </w:rPr>
              <w:t>+ 5.172</w:t>
            </w:r>
          </w:p>
        </w:tc>
        <w:tc>
          <w:tcPr>
            <w:tcW w:w="1984" w:type="dxa"/>
            <w:tcBorders>
              <w:righ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+ 3.719</w:t>
            </w:r>
          </w:p>
        </w:tc>
        <w:tc>
          <w:tcPr>
            <w:tcW w:w="2127" w:type="dxa"/>
            <w:tcBorders>
              <w:lef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+ 8.436</w:t>
            </w:r>
          </w:p>
        </w:tc>
      </w:tr>
      <w:tr w:rsidR="00862F44" w:rsidTr="00630353">
        <w:tc>
          <w:tcPr>
            <w:tcW w:w="1701" w:type="dxa"/>
          </w:tcPr>
          <w:p w:rsidRPr="001C6491" w:rsidR="00862F44" w:rsidP="00630353" w:rsidRDefault="00862F44">
            <w:pPr>
              <w:rPr>
                <w:b/>
                <w:i/>
                <w:sz w:val="16"/>
                <w:szCs w:val="16"/>
              </w:rPr>
            </w:pPr>
          </w:p>
          <w:p w:rsidRPr="001C6491" w:rsidR="00862F44" w:rsidP="00630353" w:rsidRDefault="00862F44">
            <w:pPr>
              <w:rPr>
                <w:b/>
                <w:i/>
                <w:sz w:val="16"/>
                <w:szCs w:val="16"/>
              </w:rPr>
            </w:pPr>
            <w:r w:rsidRPr="001C6491">
              <w:rPr>
                <w:b/>
                <w:i/>
                <w:sz w:val="16"/>
                <w:szCs w:val="16"/>
              </w:rPr>
              <w:t>Verworven</w:t>
            </w:r>
          </w:p>
          <w:p w:rsidRPr="001C6491" w:rsidR="00862F44" w:rsidP="00630353" w:rsidRDefault="00862F44">
            <w:pPr>
              <w:rPr>
                <w:b/>
                <w:i/>
                <w:sz w:val="16"/>
                <w:szCs w:val="16"/>
              </w:rPr>
            </w:pPr>
          </w:p>
        </w:tc>
        <w:tc>
          <w:tcPr>
            <w:tcW w:w="1701" w:type="dxa"/>
          </w:tcPr>
          <w:p w:rsidR="00862F44" w:rsidP="00630353" w:rsidRDefault="00862F44">
            <w:pPr>
              <w:rPr>
                <w:i/>
                <w:sz w:val="16"/>
                <w:szCs w:val="16"/>
              </w:rPr>
            </w:pPr>
          </w:p>
          <w:p w:rsidR="00862F44" w:rsidP="00630353" w:rsidRDefault="00862F44">
            <w:pPr>
              <w:rPr>
                <w:i/>
                <w:sz w:val="16"/>
                <w:szCs w:val="16"/>
              </w:rPr>
            </w:pPr>
            <w:r>
              <w:rPr>
                <w:i/>
                <w:sz w:val="16"/>
                <w:szCs w:val="16"/>
              </w:rPr>
              <w:t>+ 2.601</w:t>
            </w:r>
          </w:p>
        </w:tc>
        <w:tc>
          <w:tcPr>
            <w:tcW w:w="1985" w:type="dxa"/>
          </w:tcPr>
          <w:p w:rsidR="00862F44" w:rsidP="00630353" w:rsidRDefault="00862F44">
            <w:pPr>
              <w:rPr>
                <w:i/>
                <w:sz w:val="16"/>
                <w:szCs w:val="16"/>
              </w:rPr>
            </w:pPr>
          </w:p>
          <w:p w:rsidRPr="006B6290" w:rsidR="00862F44" w:rsidP="00630353" w:rsidRDefault="00862F44">
            <w:pPr>
              <w:rPr>
                <w:i/>
                <w:sz w:val="16"/>
                <w:szCs w:val="16"/>
              </w:rPr>
            </w:pPr>
            <w:r>
              <w:rPr>
                <w:i/>
                <w:sz w:val="16"/>
                <w:szCs w:val="16"/>
              </w:rPr>
              <w:t>+ 4.093</w:t>
            </w:r>
          </w:p>
        </w:tc>
        <w:tc>
          <w:tcPr>
            <w:tcW w:w="1984" w:type="dxa"/>
            <w:tcBorders>
              <w:righ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- 2.294</w:t>
            </w:r>
          </w:p>
        </w:tc>
        <w:tc>
          <w:tcPr>
            <w:tcW w:w="2127" w:type="dxa"/>
            <w:tcBorders>
              <w:left w:val="single" w:color="auto" w:sz="18" w:space="0"/>
            </w:tcBorders>
          </w:tcPr>
          <w:p w:rsidR="00862F44" w:rsidP="00630353" w:rsidRDefault="00862F44">
            <w:pPr>
              <w:rPr>
                <w:i/>
                <w:sz w:val="16"/>
                <w:szCs w:val="16"/>
              </w:rPr>
            </w:pPr>
          </w:p>
          <w:p w:rsidRPr="006B6290" w:rsidR="00862F44" w:rsidP="00630353" w:rsidRDefault="00862F44">
            <w:pPr>
              <w:rPr>
                <w:i/>
                <w:sz w:val="16"/>
                <w:szCs w:val="16"/>
              </w:rPr>
            </w:pPr>
            <w:r>
              <w:rPr>
                <w:i/>
                <w:sz w:val="16"/>
                <w:szCs w:val="16"/>
              </w:rPr>
              <w:t>+ 2.282</w:t>
            </w:r>
          </w:p>
        </w:tc>
      </w:tr>
    </w:tbl>
    <w:p w:rsidR="00862F44" w:rsidP="00862F44" w:rsidRDefault="00862F44">
      <w:pPr>
        <w:jc w:val="both"/>
        <w:rPr>
          <w:rFonts w:cs="RijksoverheidSerif"/>
          <w:color w:val="000000"/>
          <w:sz w:val="13"/>
          <w:szCs w:val="13"/>
        </w:rPr>
      </w:pPr>
      <w:r w:rsidRPr="001C6491">
        <w:rPr>
          <w:i/>
          <w:sz w:val="13"/>
          <w:szCs w:val="13"/>
        </w:rPr>
        <w:t xml:space="preserve">* </w:t>
      </w:r>
      <w:r w:rsidRPr="001C6491">
        <w:rPr>
          <w:rFonts w:cs="RijksoverheidSerif"/>
          <w:color w:val="000000"/>
          <w:sz w:val="13"/>
          <w:szCs w:val="13"/>
        </w:rPr>
        <w:t>Als gevolg van een correctie is 29.000 ha agrarisch natuur</w:t>
      </w:r>
      <w:r w:rsidRPr="001C6491">
        <w:rPr>
          <w:rFonts w:cs="RijksoverheidSerif"/>
          <w:color w:val="000000"/>
          <w:sz w:val="13"/>
          <w:szCs w:val="13"/>
        </w:rPr>
        <w:softHyphen/>
        <w:t xml:space="preserve">beheer verschoven van binnen de EHS naar buiten de EHS. </w:t>
      </w:r>
    </w:p>
    <w:p w:rsidR="00862F44" w:rsidP="00862F44" w:rsidRDefault="00862F44">
      <w:pPr>
        <w:jc w:val="both"/>
        <w:rPr>
          <w:rFonts w:cs="RijksoverheidSerif"/>
          <w:color w:val="000000"/>
          <w:sz w:val="13"/>
          <w:szCs w:val="13"/>
        </w:rPr>
      </w:pPr>
      <w:r>
        <w:rPr>
          <w:rFonts w:cs="RijksoverheidSerif"/>
          <w:color w:val="000000"/>
          <w:sz w:val="13"/>
          <w:szCs w:val="13"/>
        </w:rPr>
        <w:t>** Afname als gevolg van de herijking EHS door provincies.</w:t>
      </w:r>
    </w:p>
    <w:p w:rsidR="00862F44" w:rsidP="00862F44" w:rsidRDefault="00862F44">
      <w:pPr>
        <w:jc w:val="both"/>
        <w:rPr>
          <w:rFonts w:cs="RijksoverheidSerif"/>
          <w:color w:val="000000"/>
          <w:sz w:val="13"/>
          <w:szCs w:val="13"/>
        </w:rPr>
      </w:pPr>
      <w:r>
        <w:rPr>
          <w:rFonts w:cs="RijksoverheidSerif"/>
          <w:color w:val="000000"/>
          <w:sz w:val="13"/>
          <w:szCs w:val="13"/>
        </w:rPr>
        <w:t xml:space="preserve">*** De IPO-rapportage geeft alleen het totale cijfer van het aantal ha in beheer, en geen informatie over de toename van het aantal ha in beheer in het jaar 2014. Het aantal van 37.234 ha is de uitkomst van het totaal aantal ha in 2014 minus het totaal aantal ha in 2013 (583.340 - 546.106). </w:t>
      </w:r>
    </w:p>
    <w:p w:rsidR="002B3F01" w:rsidP="00862F44" w:rsidRDefault="002B3F01"/>
    <w:tbl>
      <w:tblPr>
        <w:tblStyle w:val="Tabelraster"/>
        <w:tblW w:w="0" w:type="auto"/>
        <w:tblLook w:val="04A0" w:firstRow="1" w:lastRow="0" w:firstColumn="1" w:lastColumn="0" w:noHBand="0" w:noVBand="1"/>
      </w:tblPr>
      <w:tblGrid>
        <w:gridCol w:w="8475"/>
      </w:tblGrid>
      <w:tr w:rsidR="001728C1" w:rsidTr="001728C1">
        <w:tc>
          <w:tcPr>
            <w:tcW w:w="8475" w:type="dxa"/>
          </w:tcPr>
          <w:p w:rsidRPr="001728C1" w:rsidR="001728C1" w:rsidP="00862F44" w:rsidRDefault="001728C1">
            <w:pPr>
              <w:pStyle w:val="Lijstalinea"/>
              <w:numPr>
                <w:ilvl w:val="0"/>
                <w:numId w:val="33"/>
              </w:numPr>
              <w:rPr>
                <w:i/>
              </w:rPr>
            </w:pPr>
            <w:r>
              <w:rPr>
                <w:i/>
              </w:rPr>
              <w:t>Kan de staatssecretaris de toename van het aantal hectares ‘in beheer’ in 2014 ten opzichte van 2013 verklaren? Als de cijfers uit de IPO-rapportage (op hoofdlijnen) vergeleken kunnen worden met de cijfers uit de zevende voortgangsrapportage EHS, gaat het om een toename van ruim 37.000 hectares.</w:t>
            </w:r>
          </w:p>
        </w:tc>
      </w:tr>
    </w:tbl>
    <w:p w:rsidR="001728C1" w:rsidP="00862F44" w:rsidRDefault="001728C1"/>
    <w:p w:rsidRPr="002262B2" w:rsidR="00862F44" w:rsidP="00862F44" w:rsidRDefault="00862F44">
      <w:pPr>
        <w:rPr>
          <w:i/>
        </w:rPr>
      </w:pPr>
      <w:r w:rsidRPr="002262B2">
        <w:rPr>
          <w:i/>
        </w:rPr>
        <w:t>Conclusie ten aanzien van voortgang</w:t>
      </w:r>
    </w:p>
    <w:p w:rsidRPr="00680A5C" w:rsidR="00862F44" w:rsidP="00862F44" w:rsidRDefault="00862F44">
      <w:r>
        <w:t xml:space="preserve">De provincies stellen in de IPO-rapportage dat het doel om in de periode 2011 tot en met 2027 minimaal 80.000 hectare nieuwe natuur in te richten als onderdeel van het </w:t>
      </w:r>
      <w:r w:rsidRPr="00680A5C">
        <w:t xml:space="preserve">NNN </w:t>
      </w:r>
      <w:r w:rsidRPr="00576F1E">
        <w:rPr>
          <w:i/>
        </w:rPr>
        <w:t>op schema ligt</w:t>
      </w:r>
      <w:r w:rsidRPr="00680A5C">
        <w:t>. De</w:t>
      </w:r>
      <w:r>
        <w:t xml:space="preserve"> staatssecretaris concludeert in zijn aanbiedingsbrief bij de rapportage dat de inrichting </w:t>
      </w:r>
      <w:r w:rsidRPr="00576F1E">
        <w:rPr>
          <w:i/>
        </w:rPr>
        <w:t>voorloopt op het schema</w:t>
      </w:r>
      <w:r w:rsidRPr="00680A5C">
        <w:t>.</w:t>
      </w:r>
      <w:r>
        <w:t xml:space="preserve"> Het is niet duidelijk waarom de provincies en de staatssecretaris tot verschillende conclusies komen. </w:t>
      </w:r>
    </w:p>
    <w:p w:rsidR="00862F44" w:rsidP="00862F44" w:rsidRDefault="00862F44"/>
    <w:tbl>
      <w:tblPr>
        <w:tblStyle w:val="Tabelraster"/>
        <w:tblW w:w="0" w:type="auto"/>
        <w:tblLook w:val="04A0" w:firstRow="1" w:lastRow="0" w:firstColumn="1" w:lastColumn="0" w:noHBand="0" w:noVBand="1"/>
      </w:tblPr>
      <w:tblGrid>
        <w:gridCol w:w="8475"/>
      </w:tblGrid>
      <w:tr w:rsidR="00862F44" w:rsidTr="00630353">
        <w:tc>
          <w:tcPr>
            <w:tcW w:w="8475" w:type="dxa"/>
          </w:tcPr>
          <w:p w:rsidRPr="004A058D" w:rsidR="00862F44" w:rsidP="00630353" w:rsidRDefault="00862F44">
            <w:pPr>
              <w:pStyle w:val="Lijstalinea"/>
              <w:numPr>
                <w:ilvl w:val="0"/>
                <w:numId w:val="33"/>
              </w:numPr>
              <w:rPr>
                <w:i/>
              </w:rPr>
            </w:pPr>
            <w:r>
              <w:rPr>
                <w:i/>
              </w:rPr>
              <w:t>Kan de staatssecretaris toelichten waarom hij vindt dat de inrichting van het Natuurnetwerk ‘voorloopt op schema’, terwijl de provincies stellen dat zij ‘op schema’ liggen?</w:t>
            </w:r>
          </w:p>
        </w:tc>
      </w:tr>
    </w:tbl>
    <w:p w:rsidR="00862F44" w:rsidP="00862F44" w:rsidRDefault="00862F44">
      <w:pPr>
        <w:rPr>
          <w:sz w:val="13"/>
          <w:szCs w:val="13"/>
        </w:rPr>
      </w:pPr>
    </w:p>
    <w:p w:rsidR="00FF78D5" w:rsidP="00FF78D5" w:rsidRDefault="00FF78D5">
      <w:pPr>
        <w:pStyle w:val="Paragraaf-Huisstijl"/>
      </w:pPr>
      <w:r>
        <w:t>Informatiepositie van de Kamer</w:t>
      </w:r>
    </w:p>
    <w:p w:rsidR="00956036" w:rsidP="00F35878" w:rsidRDefault="0033715D">
      <w:pPr>
        <w:rPr>
          <w:lang w:eastAsia="zh-CN" w:bidi="hi-IN"/>
        </w:rPr>
      </w:pPr>
      <w:r>
        <w:rPr>
          <w:lang w:eastAsia="zh-CN" w:bidi="hi-IN"/>
        </w:rPr>
        <w:t>D</w:t>
      </w:r>
      <w:r w:rsidR="00CC0149">
        <w:rPr>
          <w:lang w:eastAsia="zh-CN" w:bidi="hi-IN"/>
        </w:rPr>
        <w:t>e Kamer</w:t>
      </w:r>
      <w:r>
        <w:rPr>
          <w:lang w:eastAsia="zh-CN" w:bidi="hi-IN"/>
        </w:rPr>
        <w:t xml:space="preserve"> wil</w:t>
      </w:r>
      <w:r w:rsidR="00CC0149">
        <w:rPr>
          <w:lang w:eastAsia="zh-CN" w:bidi="hi-IN"/>
        </w:rPr>
        <w:t xml:space="preserve">, onder meer vanwege de verantwoordelijkheid van het rijk voor het behalen van internationale en Europese doelstellingen, goed geïnformeerd worden over de voortgang van het natuurbeleid. </w:t>
      </w:r>
      <w:r w:rsidR="00204AC8">
        <w:rPr>
          <w:lang w:eastAsia="zh-CN" w:bidi="hi-IN"/>
        </w:rPr>
        <w:t xml:space="preserve">Uit de brief van de staatssecretaris van 18 december 2015 blijkt dat </w:t>
      </w:r>
      <w:r w:rsidR="00FC04A4">
        <w:rPr>
          <w:lang w:eastAsia="zh-CN" w:bidi="hi-IN"/>
        </w:rPr>
        <w:t xml:space="preserve">de Kamer via verschillende rapportages inzicht </w:t>
      </w:r>
      <w:r w:rsidR="00204AC8">
        <w:rPr>
          <w:lang w:eastAsia="zh-CN" w:bidi="hi-IN"/>
        </w:rPr>
        <w:t>zal worden</w:t>
      </w:r>
      <w:r w:rsidR="00FC04A4">
        <w:rPr>
          <w:lang w:eastAsia="zh-CN" w:bidi="hi-IN"/>
        </w:rPr>
        <w:t xml:space="preserve"> geboden in </w:t>
      </w:r>
      <w:r w:rsidR="005333EF">
        <w:rPr>
          <w:lang w:eastAsia="zh-CN" w:bidi="hi-IN"/>
        </w:rPr>
        <w:t>de uitvoering en resultaten van het</w:t>
      </w:r>
      <w:r w:rsidR="00FC04A4">
        <w:rPr>
          <w:lang w:eastAsia="zh-CN" w:bidi="hi-IN"/>
        </w:rPr>
        <w:t xml:space="preserve"> natuurbeleid.</w:t>
      </w:r>
      <w:r w:rsidR="00204AC8">
        <w:rPr>
          <w:lang w:eastAsia="zh-CN" w:bidi="hi-IN"/>
        </w:rPr>
        <w:t xml:space="preserve"> De staatssecretaris is van mening dat deze rapportages “[…] gezamenlijk zorgen voor een adequaat beeld van de voortgang en de uitvoering van het natuurbeleid, passend binnen de gedecentraliseerde bevoegdheden van het natuurbeleid.” </w:t>
      </w:r>
    </w:p>
    <w:p w:rsidR="00A358AF" w:rsidP="00F35878" w:rsidRDefault="00204AC8">
      <w:pPr>
        <w:rPr>
          <w:lang w:eastAsia="zh-CN" w:bidi="hi-IN"/>
        </w:rPr>
      </w:pPr>
      <w:r>
        <w:rPr>
          <w:lang w:eastAsia="zh-CN" w:bidi="hi-IN"/>
        </w:rPr>
        <w:lastRenderedPageBreak/>
        <w:t xml:space="preserve">De rapporteurs concluderen dat dit, gezien de </w:t>
      </w:r>
      <w:r w:rsidR="001D719B">
        <w:rPr>
          <w:lang w:eastAsia="zh-CN" w:bidi="hi-IN"/>
        </w:rPr>
        <w:t xml:space="preserve">huidige </w:t>
      </w:r>
      <w:r>
        <w:rPr>
          <w:lang w:eastAsia="zh-CN" w:bidi="hi-IN"/>
        </w:rPr>
        <w:t xml:space="preserve">beschikbare </w:t>
      </w:r>
      <w:r w:rsidR="0033715D">
        <w:rPr>
          <w:lang w:eastAsia="zh-CN" w:bidi="hi-IN"/>
        </w:rPr>
        <w:t>informatie</w:t>
      </w:r>
      <w:r>
        <w:rPr>
          <w:lang w:eastAsia="zh-CN" w:bidi="hi-IN"/>
        </w:rPr>
        <w:t xml:space="preserve"> </w:t>
      </w:r>
      <w:r w:rsidR="001D719B">
        <w:rPr>
          <w:lang w:eastAsia="zh-CN" w:bidi="hi-IN"/>
        </w:rPr>
        <w:t xml:space="preserve">over onder meer de inhoud van </w:t>
      </w:r>
      <w:r>
        <w:rPr>
          <w:lang w:eastAsia="zh-CN" w:bidi="hi-IN"/>
        </w:rPr>
        <w:t xml:space="preserve">deze </w:t>
      </w:r>
      <w:r w:rsidR="005E41AC">
        <w:rPr>
          <w:lang w:eastAsia="zh-CN" w:bidi="hi-IN"/>
        </w:rPr>
        <w:t>(</w:t>
      </w:r>
      <w:r>
        <w:rPr>
          <w:lang w:eastAsia="zh-CN" w:bidi="hi-IN"/>
        </w:rPr>
        <w:t>toekomstige) rapportages, nog niet met zekerheid valt te zeggen.</w:t>
      </w:r>
      <w:r w:rsidR="00A358AF">
        <w:rPr>
          <w:lang w:eastAsia="zh-CN" w:bidi="hi-IN"/>
        </w:rPr>
        <w:t xml:space="preserve"> Mede daarom stellen de rapporteurs aan de commissie EZ voor om een rapporteur Natuur te benoemen, die onder meer de informatiepositie van de Kamer op het dossier Natuur kan bewaken</w:t>
      </w:r>
      <w:r w:rsidR="00956036">
        <w:rPr>
          <w:lang w:eastAsia="zh-CN" w:bidi="hi-IN"/>
        </w:rPr>
        <w:t xml:space="preserve"> en kan beoordelen of de Kamer voldoende informatie ontvangt om haar controlerende taken in te </w:t>
      </w:r>
      <w:r w:rsidR="004D0418">
        <w:rPr>
          <w:lang w:eastAsia="zh-CN" w:bidi="hi-IN"/>
        </w:rPr>
        <w:t xml:space="preserve">kunnen </w:t>
      </w:r>
      <w:r w:rsidR="00956036">
        <w:rPr>
          <w:lang w:eastAsia="zh-CN" w:bidi="hi-IN"/>
        </w:rPr>
        <w:t xml:space="preserve">vullen. </w:t>
      </w:r>
    </w:p>
    <w:p w:rsidR="00956036" w:rsidP="00F35878" w:rsidRDefault="00956036">
      <w:pPr>
        <w:rPr>
          <w:lang w:eastAsia="zh-CN" w:bidi="hi-IN"/>
        </w:rPr>
      </w:pPr>
    </w:p>
    <w:p w:rsidR="00204AC8" w:rsidP="00F35878" w:rsidRDefault="00204AC8">
      <w:pPr>
        <w:rPr>
          <w:lang w:eastAsia="zh-CN" w:bidi="hi-IN"/>
        </w:rPr>
      </w:pPr>
      <w:r>
        <w:rPr>
          <w:lang w:eastAsia="zh-CN" w:bidi="hi-IN"/>
        </w:rPr>
        <w:t>Hieronder volgt een bespreking van de verschillende rapportages</w:t>
      </w:r>
      <w:r w:rsidR="00507B03">
        <w:rPr>
          <w:lang w:eastAsia="zh-CN" w:bidi="hi-IN"/>
        </w:rPr>
        <w:t xml:space="preserve">, inclusief </w:t>
      </w:r>
      <w:r w:rsidR="00E27B24">
        <w:rPr>
          <w:lang w:eastAsia="zh-CN" w:bidi="hi-IN"/>
        </w:rPr>
        <w:t>de</w:t>
      </w:r>
      <w:r>
        <w:rPr>
          <w:lang w:eastAsia="zh-CN" w:bidi="hi-IN"/>
        </w:rPr>
        <w:t xml:space="preserve"> aspecten die nog niet duidelijk zijn.</w:t>
      </w:r>
    </w:p>
    <w:p w:rsidR="00204AC8" w:rsidP="00F35878" w:rsidRDefault="00204AC8">
      <w:pPr>
        <w:rPr>
          <w:lang w:eastAsia="zh-CN" w:bidi="hi-IN"/>
        </w:rPr>
      </w:pPr>
    </w:p>
    <w:p w:rsidR="009320F8" w:rsidP="00F35878" w:rsidRDefault="009320F8">
      <w:pPr>
        <w:rPr>
          <w:i/>
          <w:lang w:eastAsia="zh-CN" w:bidi="hi-IN"/>
        </w:rPr>
      </w:pPr>
      <w:r>
        <w:rPr>
          <w:i/>
          <w:lang w:eastAsia="zh-CN" w:bidi="hi-IN"/>
        </w:rPr>
        <w:t>Voortgangsrapportage Natuurpact door het IPO (jaarlijks)</w:t>
      </w:r>
    </w:p>
    <w:p w:rsidRPr="009320F8" w:rsidR="009320F8" w:rsidP="00F35878" w:rsidRDefault="009320F8">
      <w:pPr>
        <w:rPr>
          <w:lang w:eastAsia="zh-CN" w:bidi="hi-IN"/>
        </w:rPr>
      </w:pPr>
      <w:r>
        <w:rPr>
          <w:lang w:eastAsia="zh-CN" w:bidi="hi-IN"/>
        </w:rPr>
        <w:t xml:space="preserve">Het IPO zal jaarlijks een voortgangsrapportage uitbrengen over de uitvoering van het Natuurpact. De nu voorliggende eerste rapportage gaat vooral over het aantal ingerichte hectares. In de volgende rapportage zal ook gerapporteerd worden over de kwaliteit van de natuur. De onduidelijkheden in de eerste IPO-rapportage zijn in paragraaf 2 besproken. </w:t>
      </w:r>
    </w:p>
    <w:p w:rsidR="009320F8" w:rsidP="00F35878" w:rsidRDefault="009320F8">
      <w:pPr>
        <w:rPr>
          <w:i/>
          <w:lang w:eastAsia="zh-CN" w:bidi="hi-IN"/>
        </w:rPr>
      </w:pPr>
    </w:p>
    <w:p w:rsidRPr="00FF78D5" w:rsidR="00FF78D5" w:rsidP="00F35878" w:rsidRDefault="00FF78D5">
      <w:pPr>
        <w:rPr>
          <w:i/>
          <w:lang w:eastAsia="zh-CN" w:bidi="hi-IN"/>
        </w:rPr>
      </w:pPr>
      <w:r w:rsidRPr="00FF78D5">
        <w:rPr>
          <w:i/>
          <w:lang w:eastAsia="zh-CN" w:bidi="hi-IN"/>
        </w:rPr>
        <w:t>Evaluatie van het Natuurpact door het PBL</w:t>
      </w:r>
      <w:r w:rsidR="00B6396D">
        <w:rPr>
          <w:i/>
          <w:lang w:eastAsia="zh-CN" w:bidi="hi-IN"/>
        </w:rPr>
        <w:t xml:space="preserve"> (eenmaal per drie jaar) </w:t>
      </w:r>
    </w:p>
    <w:p w:rsidR="000E7489" w:rsidP="00F35878" w:rsidRDefault="00FF78D5">
      <w:pPr>
        <w:rPr>
          <w:lang w:eastAsia="zh-CN" w:bidi="hi-IN"/>
        </w:rPr>
      </w:pPr>
      <w:r>
        <w:rPr>
          <w:lang w:eastAsia="zh-CN" w:bidi="hi-IN"/>
        </w:rPr>
        <w:t xml:space="preserve">Op </w:t>
      </w:r>
      <w:r w:rsidR="00B6737D">
        <w:rPr>
          <w:lang w:eastAsia="zh-CN" w:bidi="hi-IN"/>
        </w:rPr>
        <w:t>24 maart 2015</w:t>
      </w:r>
      <w:r>
        <w:rPr>
          <w:lang w:eastAsia="zh-CN" w:bidi="hi-IN"/>
        </w:rPr>
        <w:t xml:space="preserve"> heeft de staatssecretaris het evaluatiekader van het Natuurpact naar de Kamer gestuurd.</w:t>
      </w:r>
      <w:r>
        <w:rPr>
          <w:rStyle w:val="Voetnootmarkering"/>
          <w:lang w:eastAsia="zh-CN" w:bidi="hi-IN"/>
        </w:rPr>
        <w:footnoteReference w:id="11"/>
      </w:r>
      <w:r>
        <w:rPr>
          <w:lang w:eastAsia="zh-CN" w:bidi="hi-IN"/>
        </w:rPr>
        <w:t xml:space="preserve"> Het Planbureau voor de Leefomgeving (PBL) zal aan de hand van dit kader eens in de drie jaar de voortgang van het natuurbeleid evalueren. De eerste meting staat gepland voor 2016. Het PBL schrijft dat voor deze rapportage een ex post-beoordeling van de effectiviteit en efficiëntie van het gehele gevoerde natuurbeleid niet haalbaar zal zijn gezien het prille stadium van de beleidsuitvoering. De nadruk zal daarom liggen op een analyse van de provinciale beleidsstrategieën, de samenhang tussen beleidsstrategieën en ambities en een eerste ex ante-inschatting van de potentie van dit beleid. Voor de biodiversiteitsambitie is het volgens het PBL wel mogelijk de voortgang te evalueren. Het PBL zal de belangr</w:t>
      </w:r>
      <w:r w:rsidR="000E7489">
        <w:rPr>
          <w:lang w:eastAsia="zh-CN" w:bidi="hi-IN"/>
        </w:rPr>
        <w:t xml:space="preserve">ijkste provinciale beleidsstrategieën voor het bereiken van de biodiversiteitsdoelen onderzoeken op effectiviteit en efficiëntie (inclusief de uitvoeringskosten. Het gaat dan vooral om: </w:t>
      </w:r>
    </w:p>
    <w:p w:rsidR="00FF78D5" w:rsidP="00655605" w:rsidRDefault="000E7489">
      <w:pPr>
        <w:pStyle w:val="Lijstalinea"/>
        <w:numPr>
          <w:ilvl w:val="0"/>
          <w:numId w:val="40"/>
        </w:numPr>
        <w:rPr>
          <w:lang w:eastAsia="zh-CN" w:bidi="hi-IN"/>
        </w:rPr>
      </w:pPr>
      <w:r>
        <w:rPr>
          <w:lang w:eastAsia="zh-CN" w:bidi="hi-IN"/>
        </w:rPr>
        <w:t>het realiseren van het Natuurnetwerk;</w:t>
      </w:r>
    </w:p>
    <w:p w:rsidR="000E7489" w:rsidP="000E7489" w:rsidRDefault="000E7489">
      <w:pPr>
        <w:pStyle w:val="Lijstalinea"/>
        <w:numPr>
          <w:ilvl w:val="0"/>
          <w:numId w:val="40"/>
        </w:numPr>
        <w:rPr>
          <w:lang w:eastAsia="zh-CN" w:bidi="hi-IN"/>
        </w:rPr>
      </w:pPr>
      <w:r>
        <w:rPr>
          <w:lang w:eastAsia="zh-CN" w:bidi="hi-IN"/>
        </w:rPr>
        <w:t>het agrarisch natuurbeheer;</w:t>
      </w:r>
    </w:p>
    <w:p w:rsidR="000E7489" w:rsidP="000E7489" w:rsidRDefault="000E7489">
      <w:pPr>
        <w:pStyle w:val="Lijstalinea"/>
        <w:numPr>
          <w:ilvl w:val="0"/>
          <w:numId w:val="40"/>
        </w:numPr>
        <w:rPr>
          <w:lang w:eastAsia="zh-CN" w:bidi="hi-IN"/>
        </w:rPr>
      </w:pPr>
      <w:r>
        <w:rPr>
          <w:lang w:eastAsia="zh-CN" w:bidi="hi-IN"/>
        </w:rPr>
        <w:t>het waterbeleid in het kader van de PAS.</w:t>
      </w:r>
    </w:p>
    <w:p w:rsidR="00FF78D5" w:rsidP="00F35878" w:rsidRDefault="00655605">
      <w:pPr>
        <w:rPr>
          <w:lang w:eastAsia="zh-CN" w:bidi="hi-IN"/>
        </w:rPr>
      </w:pPr>
      <w:r>
        <w:rPr>
          <w:lang w:eastAsia="zh-CN" w:bidi="hi-IN"/>
        </w:rPr>
        <w:t>Hierbij zal het PBL ook kijken naar de mate waarin de (financiële) kaders van het Rijk de effectiviteit en efficiëntie van de provinciale beleidsstrategieën beïnvloeden.</w:t>
      </w:r>
    </w:p>
    <w:p w:rsidR="00B6737D" w:rsidP="00F35878" w:rsidRDefault="00B6737D">
      <w:pPr>
        <w:rPr>
          <w:lang w:eastAsia="zh-CN" w:bidi="hi-IN"/>
        </w:rPr>
      </w:pPr>
    </w:p>
    <w:p w:rsidR="005C37B4" w:rsidP="00B6737D" w:rsidRDefault="00B6737D">
      <w:pPr>
        <w:rPr>
          <w:lang w:eastAsia="zh-CN" w:bidi="hi-IN"/>
        </w:rPr>
      </w:pPr>
      <w:r w:rsidRPr="005C37B4">
        <w:rPr>
          <w:lang w:eastAsia="zh-CN" w:bidi="hi-IN"/>
        </w:rPr>
        <w:t>De rapporteurs hadden in een notitie</w:t>
      </w:r>
      <w:r w:rsidRPr="005C37B4">
        <w:rPr>
          <w:rStyle w:val="Voetnootmarkering"/>
          <w:lang w:eastAsia="zh-CN" w:bidi="hi-IN"/>
        </w:rPr>
        <w:footnoteReference w:id="12"/>
      </w:r>
      <w:r w:rsidRPr="005C37B4">
        <w:rPr>
          <w:lang w:eastAsia="zh-CN" w:bidi="hi-IN"/>
        </w:rPr>
        <w:t xml:space="preserve"> aan de commissie EZ op 17 april 2015 </w:t>
      </w:r>
      <w:proofErr w:type="gramStart"/>
      <w:r w:rsidRPr="005C37B4">
        <w:rPr>
          <w:lang w:eastAsia="zh-CN" w:bidi="hi-IN"/>
        </w:rPr>
        <w:t>reeds</w:t>
      </w:r>
      <w:proofErr w:type="gramEnd"/>
      <w:r w:rsidRPr="005C37B4">
        <w:rPr>
          <w:lang w:eastAsia="zh-CN" w:bidi="hi-IN"/>
        </w:rPr>
        <w:t xml:space="preserve"> geconstateerd dat zij van mening waren dat het evaluatiekader van het Natuurpact</w:t>
      </w:r>
      <w:r w:rsidRPr="005C37B4">
        <w:rPr>
          <w:rStyle w:val="Voetnootmarkering"/>
          <w:lang w:eastAsia="zh-CN" w:bidi="hi-IN"/>
        </w:rPr>
        <w:footnoteReference w:id="13"/>
      </w:r>
      <w:r w:rsidRPr="005C37B4">
        <w:rPr>
          <w:lang w:eastAsia="zh-CN" w:bidi="hi-IN"/>
        </w:rPr>
        <w:t xml:space="preserve"> een goede basis biedt om eens in de drie jaar de voortgang van het natuurbeleid te kunnen beoordelen.</w:t>
      </w:r>
    </w:p>
    <w:p w:rsidR="005C37B4" w:rsidP="00B6737D" w:rsidRDefault="005C37B4">
      <w:pPr>
        <w:rPr>
          <w:lang w:eastAsia="zh-CN" w:bidi="hi-IN"/>
        </w:rPr>
      </w:pPr>
    </w:p>
    <w:p w:rsidR="00CB0366" w:rsidP="00B6737D" w:rsidRDefault="005C37B4">
      <w:pPr>
        <w:rPr>
          <w:lang w:eastAsia="zh-CN" w:bidi="hi-IN"/>
        </w:rPr>
      </w:pPr>
      <w:r>
        <w:rPr>
          <w:lang w:eastAsia="zh-CN" w:bidi="hi-IN"/>
        </w:rPr>
        <w:lastRenderedPageBreak/>
        <w:t>De staatssecretaris schrijft in zijn brief van 18 december 2015 dat hij de eerste evaluatie van het Natuurpact eind 2016 naar de Kamer zal sturen.</w:t>
      </w:r>
    </w:p>
    <w:p w:rsidR="00423AAE" w:rsidP="00B6737D" w:rsidRDefault="00423AAE">
      <w:pPr>
        <w:rPr>
          <w:i/>
          <w:lang w:eastAsia="zh-CN" w:bidi="hi-IN"/>
        </w:rPr>
      </w:pPr>
    </w:p>
    <w:p w:rsidRPr="00FC04A4" w:rsidR="00B6737D" w:rsidP="00B6737D" w:rsidRDefault="00FC04A4">
      <w:pPr>
        <w:rPr>
          <w:i/>
          <w:lang w:eastAsia="zh-CN" w:bidi="hi-IN"/>
        </w:rPr>
      </w:pPr>
      <w:r w:rsidRPr="00FC04A4">
        <w:rPr>
          <w:i/>
          <w:lang w:eastAsia="zh-CN" w:bidi="hi-IN"/>
        </w:rPr>
        <w:t>Natuurverkenning door het PBL</w:t>
      </w:r>
      <w:r w:rsidRPr="00FC04A4" w:rsidR="00B6737D">
        <w:rPr>
          <w:i/>
          <w:lang w:eastAsia="zh-CN" w:bidi="hi-IN"/>
        </w:rPr>
        <w:t xml:space="preserve"> </w:t>
      </w:r>
      <w:r w:rsidR="00B6396D">
        <w:rPr>
          <w:i/>
          <w:lang w:eastAsia="zh-CN" w:bidi="hi-IN"/>
        </w:rPr>
        <w:t>(eenmaal per vier jaar)</w:t>
      </w:r>
    </w:p>
    <w:p w:rsidR="00953785" w:rsidP="009413CA" w:rsidRDefault="00423AAE">
      <w:pPr>
        <w:rPr>
          <w:lang w:eastAsia="nl-NL"/>
        </w:rPr>
      </w:pPr>
      <w:r>
        <w:t>Het PBL heeft als taak om eenmaal per vier jaar een Natuurverkenning uit te brengen. Het uiteindelijke doel hiervan is de rijksoverheid te voorzien van de juiste informatie over meerjarige trends in bos, natuur en landschap in beleidsmatige en maatschappelijke context.</w:t>
      </w:r>
      <w:r>
        <w:rPr>
          <w:lang w:eastAsia="zh-CN" w:bidi="hi-IN"/>
        </w:rPr>
        <w:t xml:space="preserve"> </w:t>
      </w:r>
      <w:r w:rsidR="009413CA">
        <w:t xml:space="preserve">Op 26 januari </w:t>
      </w:r>
      <w:r w:rsidRPr="009413CA" w:rsidR="001470E0">
        <w:t>2012</w:t>
      </w:r>
      <w:r w:rsidR="009413CA">
        <w:t xml:space="preserve"> heeft het PBL de Natuurverkenning 2010-2040 aan de Kamer aangeboden.</w:t>
      </w:r>
      <w:r w:rsidR="009413CA">
        <w:rPr>
          <w:rStyle w:val="Voetnootmarkering"/>
        </w:rPr>
        <w:footnoteReference w:id="14"/>
      </w:r>
      <w:r w:rsidR="009413CA">
        <w:t xml:space="preserve"> </w:t>
      </w:r>
      <w:r w:rsidR="009413CA">
        <w:rPr>
          <w:lang w:eastAsia="nl-NL"/>
        </w:rPr>
        <w:t xml:space="preserve">In deze Natuurverkenning heeft het PBL ideeën aangedragen voor een nieuwe visie op natuur en natuurbeleid. </w:t>
      </w:r>
    </w:p>
    <w:p w:rsidR="00E45F4C" w:rsidP="009413CA" w:rsidRDefault="00E45F4C">
      <w:pPr>
        <w:rPr>
          <w:lang w:eastAsia="nl-NL"/>
        </w:rPr>
      </w:pPr>
    </w:p>
    <w:p w:rsidR="00B6737D" w:rsidP="009413CA" w:rsidRDefault="00722884">
      <w:pPr>
        <w:rPr>
          <w:lang w:eastAsia="nl-NL"/>
        </w:rPr>
      </w:pPr>
      <w:r>
        <w:rPr>
          <w:lang w:eastAsia="nl-NL"/>
        </w:rPr>
        <w:t>Het is niet duidelijk</w:t>
      </w:r>
      <w:r w:rsidR="009413CA">
        <w:rPr>
          <w:lang w:eastAsia="nl-NL"/>
        </w:rPr>
        <w:t xml:space="preserve"> </w:t>
      </w:r>
      <w:r w:rsidR="00423AAE">
        <w:rPr>
          <w:lang w:eastAsia="nl-NL"/>
        </w:rPr>
        <w:t xml:space="preserve">waar de </w:t>
      </w:r>
      <w:r w:rsidR="00953785">
        <w:rPr>
          <w:lang w:eastAsia="nl-NL"/>
        </w:rPr>
        <w:t xml:space="preserve">volgende </w:t>
      </w:r>
      <w:r w:rsidR="00423AAE">
        <w:rPr>
          <w:lang w:eastAsia="nl-NL"/>
        </w:rPr>
        <w:t xml:space="preserve">Natuurverkenning </w:t>
      </w:r>
      <w:r w:rsidR="00953785">
        <w:rPr>
          <w:lang w:eastAsia="nl-NL"/>
        </w:rPr>
        <w:t xml:space="preserve">zich op zal richten, en </w:t>
      </w:r>
      <w:r w:rsidR="00E45F4C">
        <w:rPr>
          <w:lang w:eastAsia="nl-NL"/>
        </w:rPr>
        <w:t xml:space="preserve">in welke maand van </w:t>
      </w:r>
      <w:r w:rsidR="001C3289">
        <w:rPr>
          <w:lang w:eastAsia="nl-NL"/>
        </w:rPr>
        <w:t>het</w:t>
      </w:r>
      <w:r w:rsidR="00E45F4C">
        <w:rPr>
          <w:lang w:eastAsia="nl-NL"/>
        </w:rPr>
        <w:t xml:space="preserve"> jaar</w:t>
      </w:r>
      <w:r w:rsidR="001C3289">
        <w:rPr>
          <w:lang w:eastAsia="nl-NL"/>
        </w:rPr>
        <w:t xml:space="preserve"> 2016</w:t>
      </w:r>
      <w:r w:rsidR="00E45F4C">
        <w:rPr>
          <w:lang w:eastAsia="nl-NL"/>
        </w:rPr>
        <w:t xml:space="preserve"> de verkenning</w:t>
      </w:r>
      <w:r w:rsidR="00953785">
        <w:rPr>
          <w:lang w:eastAsia="nl-NL"/>
        </w:rPr>
        <w:t xml:space="preserve"> </w:t>
      </w:r>
      <w:r w:rsidR="001C3289">
        <w:rPr>
          <w:lang w:eastAsia="nl-NL"/>
        </w:rPr>
        <w:t xml:space="preserve">zal </w:t>
      </w:r>
      <w:r w:rsidR="00953785">
        <w:rPr>
          <w:lang w:eastAsia="nl-NL"/>
        </w:rPr>
        <w:t>verschijnen.</w:t>
      </w:r>
    </w:p>
    <w:p w:rsidR="009320F8" w:rsidP="009413CA" w:rsidRDefault="009320F8">
      <w:pPr>
        <w:rPr>
          <w:i/>
          <w:lang w:eastAsia="nl-NL"/>
        </w:rPr>
      </w:pPr>
    </w:p>
    <w:p w:rsidRPr="00423AAE" w:rsidR="00423AAE" w:rsidP="009413CA" w:rsidRDefault="00423AAE">
      <w:pPr>
        <w:rPr>
          <w:i/>
          <w:lang w:eastAsia="zh-CN" w:bidi="hi-IN"/>
        </w:rPr>
      </w:pPr>
      <w:r>
        <w:rPr>
          <w:i/>
          <w:lang w:eastAsia="nl-NL"/>
        </w:rPr>
        <w:t>Balans van</w:t>
      </w:r>
      <w:r w:rsidRPr="00423AAE">
        <w:rPr>
          <w:i/>
          <w:lang w:eastAsia="nl-NL"/>
        </w:rPr>
        <w:t xml:space="preserve"> de Leefomgeving door het PBL</w:t>
      </w:r>
      <w:r w:rsidR="00B6396D">
        <w:rPr>
          <w:i/>
          <w:lang w:eastAsia="nl-NL"/>
        </w:rPr>
        <w:t xml:space="preserve"> (eenmaal in de twee jaar)</w:t>
      </w:r>
    </w:p>
    <w:p w:rsidRPr="00423AAE" w:rsidR="00423AAE" w:rsidP="00423AAE" w:rsidRDefault="00423AAE">
      <w:pPr>
        <w:rPr>
          <w:lang w:eastAsia="nl-NL"/>
        </w:rPr>
      </w:pPr>
      <w:r w:rsidRPr="00423AAE">
        <w:rPr>
          <w:lang w:eastAsia="nl-NL"/>
        </w:rPr>
        <w:t xml:space="preserve">Het PBL evalueert </w:t>
      </w:r>
      <w:r>
        <w:rPr>
          <w:lang w:eastAsia="nl-NL"/>
        </w:rPr>
        <w:t xml:space="preserve">eenmaal in de twee jaar </w:t>
      </w:r>
      <w:r w:rsidRPr="00423AAE">
        <w:rPr>
          <w:lang w:eastAsia="nl-NL"/>
        </w:rPr>
        <w:t xml:space="preserve">in de Balans van de Leefomgeving het rijksbeleid voor milieu, natuur en ruimte. De Balans geeft parlement, kabinet en de samenleving een feitelijk </w:t>
      </w:r>
      <w:proofErr w:type="gramStart"/>
      <w:r w:rsidRPr="00423AAE">
        <w:rPr>
          <w:lang w:eastAsia="nl-NL"/>
        </w:rPr>
        <w:t>onderbouwd</w:t>
      </w:r>
      <w:proofErr w:type="gramEnd"/>
      <w:r w:rsidRPr="00423AAE">
        <w:rPr>
          <w:lang w:eastAsia="nl-NL"/>
        </w:rPr>
        <w:t xml:space="preserve"> inzicht in de huidige kwaliteit van de fysieke leefomgeving. Het is de tweejaarlijkse peilstok van het PBL die aangeeft in hoeverre de door de overheid ten doel gestelde leefomgevingskwaliteit tijdig wordt bereikt. Daar waar beleidsdoelen niet worden gehaald, geeft het PBL mogelijke verklaringen waarom dit zo is.</w:t>
      </w:r>
    </w:p>
    <w:p w:rsidR="00B6737D" w:rsidP="00423AAE" w:rsidRDefault="00B6737D"/>
    <w:p w:rsidRPr="009413CA" w:rsidR="004958EB" w:rsidP="00423AAE" w:rsidRDefault="004958EB">
      <w:r>
        <w:t xml:space="preserve">De laatste Balans van de Leefomgeving is in 2014 </w:t>
      </w:r>
      <w:r w:rsidR="00E45F4C">
        <w:t>gepubliceerd</w:t>
      </w:r>
      <w:r w:rsidR="005E41AC">
        <w:t>, wat zou betekenen dat de eerstvolgende in 2016 zal verschijnen.</w:t>
      </w:r>
      <w:r w:rsidR="009C473A">
        <w:t xml:space="preserve"> De commissie I&amp;M heeft het </w:t>
      </w:r>
      <w:proofErr w:type="gramStart"/>
      <w:r w:rsidR="009C473A">
        <w:t>voortouw</w:t>
      </w:r>
      <w:proofErr w:type="gramEnd"/>
      <w:r w:rsidR="009C473A">
        <w:t xml:space="preserve"> bij deze publicaties. De commissie EZ is volgcommissie.</w:t>
      </w:r>
    </w:p>
    <w:p w:rsidR="00B6737D" w:rsidP="00F35878" w:rsidRDefault="00B6737D">
      <w:pPr>
        <w:rPr>
          <w:lang w:eastAsia="zh-CN" w:bidi="hi-IN"/>
        </w:rPr>
      </w:pPr>
    </w:p>
    <w:p w:rsidRPr="00230D8D" w:rsidR="00B6737D" w:rsidP="00F35878" w:rsidRDefault="00230D8D">
      <w:pPr>
        <w:rPr>
          <w:i/>
          <w:lang w:eastAsia="zh-CN" w:bidi="hi-IN"/>
        </w:rPr>
      </w:pPr>
      <w:r w:rsidRPr="00230D8D">
        <w:rPr>
          <w:i/>
          <w:lang w:eastAsia="zh-CN" w:bidi="hi-IN"/>
        </w:rPr>
        <w:t>Rapportages in Europees verband</w:t>
      </w:r>
    </w:p>
    <w:p w:rsidR="00AD4363" w:rsidP="00F35878" w:rsidRDefault="00230D8D">
      <w:pPr>
        <w:rPr>
          <w:lang w:eastAsia="zh-CN" w:bidi="hi-IN"/>
        </w:rPr>
      </w:pPr>
      <w:r>
        <w:rPr>
          <w:lang w:eastAsia="zh-CN" w:bidi="hi-IN"/>
        </w:rPr>
        <w:t xml:space="preserve">De staatssecretaris meldt in zijn brief van </w:t>
      </w:r>
      <w:r w:rsidR="00AD4363">
        <w:rPr>
          <w:lang w:eastAsia="zh-CN" w:bidi="hi-IN"/>
        </w:rPr>
        <w:t xml:space="preserve">18 december 2015 dat “[…] er rapportages in Europees verband worden opgesteld, zoals over de staat van de instandhouding van natuurlijke </w:t>
      </w:r>
      <w:proofErr w:type="spellStart"/>
      <w:r w:rsidR="00AD4363">
        <w:rPr>
          <w:lang w:eastAsia="zh-CN" w:bidi="hi-IN"/>
        </w:rPr>
        <w:t>habitats</w:t>
      </w:r>
      <w:proofErr w:type="spellEnd"/>
      <w:r w:rsidR="00AD4363">
        <w:rPr>
          <w:lang w:eastAsia="zh-CN" w:bidi="hi-IN"/>
        </w:rPr>
        <w:t xml:space="preserve"> en soorten.” Het is niet duidelijk naar welke rapportages de staatssecretaris precies verwijst</w:t>
      </w:r>
      <w:r w:rsidR="001C3289">
        <w:rPr>
          <w:lang w:eastAsia="zh-CN" w:bidi="hi-IN"/>
        </w:rPr>
        <w:t>, wanneer deze worden gepubliceerd, en op welke wijze de commissie EZ daar kennis van kan nemen.</w:t>
      </w:r>
    </w:p>
    <w:p w:rsidR="00B6737D" w:rsidP="00F35878" w:rsidRDefault="00B6737D">
      <w:pPr>
        <w:rPr>
          <w:lang w:eastAsia="zh-CN" w:bidi="hi-IN"/>
        </w:rPr>
      </w:pPr>
    </w:p>
    <w:tbl>
      <w:tblPr>
        <w:tblStyle w:val="Tabelraster"/>
        <w:tblW w:w="0" w:type="auto"/>
        <w:tblLook w:val="04A0" w:firstRow="1" w:lastRow="0" w:firstColumn="1" w:lastColumn="0" w:noHBand="0" w:noVBand="1"/>
      </w:tblPr>
      <w:tblGrid>
        <w:gridCol w:w="8475"/>
      </w:tblGrid>
      <w:tr w:rsidR="008E07D2" w:rsidTr="008E07D2">
        <w:tc>
          <w:tcPr>
            <w:tcW w:w="8475" w:type="dxa"/>
          </w:tcPr>
          <w:p w:rsidRPr="008E07D2" w:rsidR="008E07D2" w:rsidP="007B777B" w:rsidRDefault="008E07D2">
            <w:pPr>
              <w:rPr>
                <w:i/>
                <w:lang w:eastAsia="zh-CN" w:bidi="hi-IN"/>
              </w:rPr>
            </w:pPr>
            <w:r w:rsidRPr="008E07D2">
              <w:rPr>
                <w:i/>
                <w:lang w:eastAsia="zh-CN" w:bidi="hi-IN"/>
              </w:rPr>
              <w:t xml:space="preserve">- Kan de staatssecretaris </w:t>
            </w:r>
            <w:r>
              <w:rPr>
                <w:i/>
                <w:lang w:eastAsia="zh-CN" w:bidi="hi-IN"/>
              </w:rPr>
              <w:t xml:space="preserve">in een helder overzicht weergeven wanneer welke natuurrapportages – ook die in Europees verband – voor de Kamer beschikbaar komen, en hoe deze zich tot elkaar verhouden? </w:t>
            </w:r>
          </w:p>
        </w:tc>
      </w:tr>
    </w:tbl>
    <w:p w:rsidR="008E07D2" w:rsidP="00F35878" w:rsidRDefault="008E07D2">
      <w:pPr>
        <w:rPr>
          <w:lang w:eastAsia="zh-CN" w:bidi="hi-IN"/>
        </w:rPr>
      </w:pPr>
    </w:p>
    <w:p w:rsidR="00584140" w:rsidRDefault="00584140">
      <w:pPr>
        <w:rPr>
          <w:rFonts w:cs="Lohit Hindi"/>
          <w:b/>
          <w:kern w:val="3"/>
          <w:szCs w:val="24"/>
          <w:lang w:eastAsia="zh-CN" w:bidi="hi-IN"/>
        </w:rPr>
      </w:pPr>
      <w:r>
        <w:br w:type="page"/>
      </w:r>
    </w:p>
    <w:p w:rsidR="00A13218" w:rsidP="00A13218" w:rsidRDefault="005C7D6D">
      <w:pPr>
        <w:pStyle w:val="Paragraaf-Huisstijl"/>
      </w:pPr>
      <w:r>
        <w:lastRenderedPageBreak/>
        <w:t xml:space="preserve">Beëindiging </w:t>
      </w:r>
      <w:r w:rsidR="00A13218">
        <w:t xml:space="preserve">Groot </w:t>
      </w:r>
      <w:r>
        <w:t>p</w:t>
      </w:r>
      <w:r w:rsidR="00A13218">
        <w:t>roject</w:t>
      </w:r>
      <w:r>
        <w:t>status</w:t>
      </w:r>
      <w:r w:rsidR="00A13218">
        <w:t xml:space="preserve"> EHS</w:t>
      </w:r>
    </w:p>
    <w:p w:rsidR="001C6F5E" w:rsidP="00A13218" w:rsidRDefault="00A13218">
      <w:r w:rsidRPr="001E4ABA">
        <w:t xml:space="preserve">De commissie EZ had in haar procedurevergadering van 3 juni 2014 besloten om pas een besluit over de Groot projectstatus EHS te nemen, als de staatssecretaris duidelijkheid had gegeven over de (nieuwe opzet van de) </w:t>
      </w:r>
      <w:r w:rsidR="00266930">
        <w:t xml:space="preserve">jaarlijkse </w:t>
      </w:r>
      <w:r w:rsidRPr="001E4ABA">
        <w:t>voort</w:t>
      </w:r>
      <w:r w:rsidRPr="001E4ABA">
        <w:softHyphen/>
        <w:t xml:space="preserve">gangsrapportage en </w:t>
      </w:r>
      <w:r w:rsidR="00266930">
        <w:t xml:space="preserve">driejaarlijkse </w:t>
      </w:r>
      <w:r w:rsidRPr="001E4ABA">
        <w:t xml:space="preserve">evaluatie van het Natuurpact. </w:t>
      </w:r>
      <w:r w:rsidR="00266930">
        <w:t>Het eval</w:t>
      </w:r>
      <w:r w:rsidR="00CE330C">
        <w:t>uatiekader van het N</w:t>
      </w:r>
      <w:r w:rsidR="00266930">
        <w:t>a</w:t>
      </w:r>
      <w:r w:rsidR="00CE330C">
        <w:t xml:space="preserve">tuurpact is op 24 maart 2015 naar de Kamer gestuurd; op 18 december 2015 heeft de Kamer de eerste voortgangsrapportage ontvangen. </w:t>
      </w:r>
      <w:r w:rsidR="001C6F5E">
        <w:t xml:space="preserve">De rapporteurs concluderen dat, hoewel het IPO nu een eerste voortgangsrapportage over het Natuurpact heeft opgesteld, deze rapportage nog aan duidelijkheid te wensen overlaat. </w:t>
      </w:r>
    </w:p>
    <w:p w:rsidR="001C6F5E" w:rsidP="00A13218" w:rsidRDefault="001C6F5E"/>
    <w:p w:rsidR="001C6F5E" w:rsidP="00A13218" w:rsidRDefault="001C6F5E">
      <w:r>
        <w:t>De rapporteurs stellen de commissie EZ voor om:</w:t>
      </w:r>
    </w:p>
    <w:p w:rsidR="00201670" w:rsidP="00201670" w:rsidRDefault="001C6F5E">
      <w:pPr>
        <w:pStyle w:val="Lijstalinea"/>
        <w:numPr>
          <w:ilvl w:val="0"/>
          <w:numId w:val="41"/>
        </w:numPr>
      </w:pPr>
      <w:r>
        <w:t xml:space="preserve">in het AO </w:t>
      </w:r>
      <w:r w:rsidR="00266930">
        <w:t xml:space="preserve">EHS/Natuurnetwerk Nederland </w:t>
      </w:r>
      <w:r>
        <w:t xml:space="preserve">de staatssecretaris te vragen om de onduidelijkheden </w:t>
      </w:r>
      <w:r w:rsidR="00A71784">
        <w:t xml:space="preserve">in de IPO-rapportage </w:t>
      </w:r>
      <w:r>
        <w:t>nader toe te lichten</w:t>
      </w:r>
      <w:r w:rsidR="00A71784">
        <w:t xml:space="preserve"> (zie ook de voorgestelde vragen aan de staatssecretaris in paragraaf 2)</w:t>
      </w:r>
      <w:r>
        <w:t>;</w:t>
      </w:r>
    </w:p>
    <w:p w:rsidRPr="001E4ABA" w:rsidR="00201670" w:rsidP="00201670" w:rsidRDefault="00A71784">
      <w:pPr>
        <w:pStyle w:val="Lijstalinea"/>
        <w:numPr>
          <w:ilvl w:val="0"/>
          <w:numId w:val="41"/>
        </w:numPr>
      </w:pPr>
      <w:r>
        <w:t>na het AO</w:t>
      </w:r>
      <w:r w:rsidR="00266930">
        <w:t xml:space="preserve"> EHS/Natuurnetwerk Nederland</w:t>
      </w:r>
      <w:r>
        <w:t xml:space="preserve">, op basis van de antwoorden van de staatssecretaris en na ontvangst van de toegezegde eenduidige monitoringssystematiek en overzichtskaart van het NNN, de procedure ter beëindiging van de Groot projectstatus van de EHS in gang te zetten. </w:t>
      </w:r>
      <w:r w:rsidRPr="001E4ABA" w:rsidR="00201670">
        <w:t xml:space="preserve">Daarmee komt naar de mening van de rapporteurs ook een einde aan de verplichting voor de staatssecretaris om de Kamer jaarlijks een voortgangsrapportage EHS toe te sturen, en kan tegemoet worden gekomen aan het verzoek van de staatssecretaris – opgenomen in zijn aanbiedingsbrief bij de </w:t>
      </w:r>
      <w:r w:rsidR="00201670">
        <w:t>IPO-</w:t>
      </w:r>
      <w:r w:rsidRPr="001E4ABA" w:rsidR="00201670">
        <w:t xml:space="preserve">rapportage, om af te zien van verdere rapportages in het kader van het Groot </w:t>
      </w:r>
      <w:r w:rsidR="00201670">
        <w:t>p</w:t>
      </w:r>
      <w:r w:rsidRPr="001E4ABA" w:rsidR="00201670">
        <w:t>roject EHS.</w:t>
      </w:r>
    </w:p>
    <w:p w:rsidR="00A71784" w:rsidP="00201670" w:rsidRDefault="00A71784">
      <w:pPr>
        <w:pStyle w:val="Lijstalinea"/>
        <w:numPr>
          <w:ilvl w:val="0"/>
          <w:numId w:val="41"/>
        </w:numPr>
      </w:pPr>
      <w:r>
        <w:t>de staatssecretaris in het AO</w:t>
      </w:r>
      <w:r w:rsidR="00266930">
        <w:t xml:space="preserve"> </w:t>
      </w:r>
      <w:r w:rsidR="003F4015">
        <w:t>EHS/</w:t>
      </w:r>
      <w:r w:rsidR="00266930">
        <w:t xml:space="preserve">Natuurnetwerk Nederland </w:t>
      </w:r>
      <w:r>
        <w:t>van dit voornemen van de commi</w:t>
      </w:r>
      <w:r w:rsidR="00201670">
        <w:t>ssie EZ op de hoogte te stellen.</w:t>
      </w:r>
    </w:p>
    <w:p w:rsidR="00266930" w:rsidP="00266930" w:rsidRDefault="00266930">
      <w:pPr>
        <w:pStyle w:val="Lijstalinea"/>
        <w:numPr>
          <w:ilvl w:val="0"/>
          <w:numId w:val="41"/>
        </w:numPr>
        <w:rPr>
          <w:lang w:eastAsia="zh-CN" w:bidi="hi-IN"/>
        </w:rPr>
      </w:pPr>
      <w:r>
        <w:rPr>
          <w:lang w:eastAsia="zh-CN" w:bidi="hi-IN"/>
        </w:rPr>
        <w:t xml:space="preserve">een rapporteur Natuur te benoemen, die onder meer de informatiepositie van de Kamer op het dossier Natuur kan bewaken en kan beoordelen of de Kamer voldoende informatie ontvangt om haar controlerende taken in te kunnen vullen. </w:t>
      </w:r>
    </w:p>
    <w:p w:rsidR="00201670" w:rsidP="00201670" w:rsidRDefault="00201670">
      <w:pPr>
        <w:ind w:left="360"/>
      </w:pPr>
    </w:p>
    <w:p w:rsidR="00116CE9" w:rsidRDefault="00201670">
      <w:pPr>
        <w:rPr>
          <w:szCs w:val="18"/>
        </w:rPr>
      </w:pPr>
      <w:r>
        <w:t xml:space="preserve">De rapporteurs zullen na </w:t>
      </w:r>
      <w:r w:rsidR="00CE330C">
        <w:t xml:space="preserve">het AO EHS/Natuurnetwerk Nederland en na </w:t>
      </w:r>
      <w:r>
        <w:t xml:space="preserve">ontvangst van de stukken van de staatssecretaris </w:t>
      </w:r>
      <w:r w:rsidR="00CE330C">
        <w:t>in een procedurevergadering het</w:t>
      </w:r>
      <w:r>
        <w:t xml:space="preserve"> voorstel doen om – conform artikel 15 van de Regeling Grote Projecten – de staatssecretaris per brief te verzoeken de eindevaluatie van het Groot project EHS op te stellen als bedoeld in artikel 16 van de Regeling Grote Projecten (zie box 1 voor de volledige procedure).</w:t>
      </w:r>
      <w:r w:rsidR="0009574E">
        <w:t xml:space="preserve"> De rapporteurs stellen voor dat, indien daartoe behoefte bestaat, de commissie EZ in deze brief ook specifieke wensen ten aanzien van de opzet, vraagstelling en</w:t>
      </w:r>
      <w:r w:rsidR="00D87483">
        <w:t>/of</w:t>
      </w:r>
      <w:r w:rsidR="0009574E">
        <w:t xml:space="preserve"> reikwijdte van de </w:t>
      </w:r>
      <w:r w:rsidR="00CE330C">
        <w:t>eind</w:t>
      </w:r>
      <w:r w:rsidR="0009574E">
        <w:t>evaluatie</w:t>
      </w:r>
      <w:r w:rsidR="00D87483">
        <w:t xml:space="preserve"> </w:t>
      </w:r>
      <w:r w:rsidRPr="00CE330C" w:rsidR="00D87483">
        <w:rPr>
          <w:szCs w:val="18"/>
        </w:rPr>
        <w:t>opneemt.</w:t>
      </w:r>
      <w:r w:rsidRPr="00116CE9" w:rsidR="00CE330C">
        <w:rPr>
          <w:szCs w:val="18"/>
        </w:rPr>
        <w:t xml:space="preserve"> </w:t>
      </w:r>
    </w:p>
    <w:p w:rsidR="004224AE" w:rsidRDefault="00CE330C">
      <w:pPr>
        <w:rPr>
          <w:szCs w:val="18"/>
        </w:rPr>
      </w:pPr>
      <w:r w:rsidRPr="00116CE9">
        <w:rPr>
          <w:szCs w:val="18"/>
        </w:rPr>
        <w:t xml:space="preserve">De eindevaluatie wordt </w:t>
      </w:r>
      <w:r w:rsidR="00116CE9">
        <w:rPr>
          <w:szCs w:val="18"/>
        </w:rPr>
        <w:t xml:space="preserve">vervolgens </w:t>
      </w:r>
      <w:r>
        <w:rPr>
          <w:szCs w:val="18"/>
        </w:rPr>
        <w:t xml:space="preserve">na ontvangst </w:t>
      </w:r>
      <w:r w:rsidRPr="00116CE9">
        <w:rPr>
          <w:szCs w:val="18"/>
        </w:rPr>
        <w:t xml:space="preserve">besproken in een overleg tussen de commissie en de </w:t>
      </w:r>
      <w:r>
        <w:rPr>
          <w:szCs w:val="18"/>
        </w:rPr>
        <w:t>staatssecretaris</w:t>
      </w:r>
      <w:r w:rsidRPr="00116CE9">
        <w:rPr>
          <w:szCs w:val="18"/>
        </w:rPr>
        <w:t>. Na behandeling van de eindevaluatie kan de commissie</w:t>
      </w:r>
      <w:r w:rsidR="00116CE9">
        <w:rPr>
          <w:szCs w:val="18"/>
        </w:rPr>
        <w:t xml:space="preserve"> EZ</w:t>
      </w:r>
      <w:r w:rsidRPr="00116CE9">
        <w:rPr>
          <w:szCs w:val="18"/>
        </w:rPr>
        <w:t xml:space="preserve"> een voorstel aan de Kamer doen tot beëindiging van de Groot projectstatus. </w:t>
      </w:r>
      <w:r w:rsidR="00116CE9">
        <w:rPr>
          <w:szCs w:val="18"/>
        </w:rPr>
        <w:t>Voordat de commissie aan de Kamer een dergelijk voorstel doet</w:t>
      </w:r>
      <w:r>
        <w:rPr>
          <w:szCs w:val="18"/>
        </w:rPr>
        <w:t xml:space="preserve">, vraagt zij advies aan de commissie </w:t>
      </w:r>
      <w:r>
        <w:rPr>
          <w:szCs w:val="18"/>
        </w:rPr>
        <w:lastRenderedPageBreak/>
        <w:t xml:space="preserve">voor de Rijksuitgaven, waarna het voorstel tot beëindiging van de Groot projectstatus samen met het advies aan de Voorzitter wordt gestuurd. </w:t>
      </w:r>
    </w:p>
    <w:p w:rsidR="00116CE9" w:rsidRDefault="00116CE9"/>
    <w:tbl>
      <w:tblPr>
        <w:tblStyle w:val="Tabelraster"/>
        <w:tblW w:w="0" w:type="auto"/>
        <w:tblLook w:val="04A0" w:firstRow="1" w:lastRow="0" w:firstColumn="1" w:lastColumn="0" w:noHBand="0" w:noVBand="1"/>
      </w:tblPr>
      <w:tblGrid>
        <w:gridCol w:w="8475"/>
      </w:tblGrid>
      <w:tr w:rsidR="00A13218" w:rsidTr="00011F65">
        <w:tc>
          <w:tcPr>
            <w:tcW w:w="8475" w:type="dxa"/>
            <w:shd w:val="clear" w:color="auto" w:fill="D9D9D9" w:themeFill="background1" w:themeFillShade="D9"/>
          </w:tcPr>
          <w:p w:rsidRPr="002B3889" w:rsidR="00A13218" w:rsidP="00011F65" w:rsidRDefault="00A13218">
            <w:pPr>
              <w:rPr>
                <w:b/>
                <w:sz w:val="14"/>
                <w:szCs w:val="14"/>
              </w:rPr>
            </w:pPr>
            <w:r w:rsidRPr="002B3889">
              <w:rPr>
                <w:b/>
                <w:sz w:val="14"/>
                <w:szCs w:val="14"/>
              </w:rPr>
              <w:t>Box 1 Regeling Grote Projecten: Hoofdstuk VI. Beëindiging grootprojectstatus</w:t>
            </w:r>
          </w:p>
          <w:p w:rsidRPr="002B3889" w:rsidR="00A13218" w:rsidP="00011F65" w:rsidRDefault="00A13218">
            <w:pPr>
              <w:rPr>
                <w:sz w:val="14"/>
                <w:szCs w:val="14"/>
              </w:rPr>
            </w:pPr>
          </w:p>
          <w:p w:rsidRPr="002B3889" w:rsidR="00A13218" w:rsidP="00011F65" w:rsidRDefault="00A13218">
            <w:pPr>
              <w:rPr>
                <w:b/>
                <w:sz w:val="14"/>
                <w:szCs w:val="14"/>
              </w:rPr>
            </w:pPr>
            <w:bookmarkStart w:name="opmerking_1782243" w:id="1"/>
            <w:bookmarkStart w:name="HoofdstukVI_Artikel15" w:id="2"/>
            <w:bookmarkEnd w:id="1"/>
            <w:bookmarkEnd w:id="2"/>
            <w:r w:rsidRPr="002B3889">
              <w:rPr>
                <w:b/>
                <w:sz w:val="14"/>
                <w:szCs w:val="14"/>
              </w:rPr>
              <w:t>Artikel 15. Verzoek om eindevaluatie</w:t>
            </w:r>
          </w:p>
          <w:p w:rsidRPr="002B3889" w:rsidR="00A13218" w:rsidP="00011F65" w:rsidRDefault="00A13218">
            <w:pPr>
              <w:rPr>
                <w:sz w:val="14"/>
                <w:szCs w:val="14"/>
              </w:rPr>
            </w:pPr>
            <w:bookmarkStart w:name="opmerking_1782336" w:id="3"/>
            <w:bookmarkStart w:name="HoofdstukVI_Artikel15_Tekst" w:id="4"/>
            <w:bookmarkEnd w:id="3"/>
            <w:bookmarkEnd w:id="4"/>
            <w:r w:rsidRPr="002B3889">
              <w:rPr>
                <w:sz w:val="14"/>
                <w:szCs w:val="14"/>
              </w:rPr>
              <w:t>1. Indien de commissie van mening is dat het groot project als beëindigd kan worden beschouwd, verzoekt zij de minister de eindevaluatie op te stellen.</w:t>
            </w:r>
          </w:p>
          <w:p w:rsidRPr="002B3889" w:rsidR="00A13218" w:rsidP="00011F65" w:rsidRDefault="00A13218">
            <w:pPr>
              <w:rPr>
                <w:sz w:val="14"/>
                <w:szCs w:val="14"/>
              </w:rPr>
            </w:pPr>
            <w:r w:rsidRPr="002B3889">
              <w:rPr>
                <w:sz w:val="14"/>
                <w:szCs w:val="14"/>
              </w:rPr>
              <w:t>2. Bij het opstellen van een eindevaluatie worden de in artikel 16 genoemde aanwijzingen gevolgd.</w:t>
            </w:r>
          </w:p>
          <w:p w:rsidRPr="002B3889" w:rsidR="00A13218" w:rsidP="00011F65" w:rsidRDefault="00A13218">
            <w:pPr>
              <w:rPr>
                <w:b/>
                <w:sz w:val="14"/>
                <w:szCs w:val="14"/>
              </w:rPr>
            </w:pPr>
            <w:bookmarkStart w:name="opmerking_1782143" w:id="5"/>
            <w:bookmarkStart w:name="HoofdstukVI_Artikel16" w:id="6"/>
            <w:bookmarkEnd w:id="5"/>
            <w:bookmarkEnd w:id="6"/>
            <w:r w:rsidRPr="002B3889">
              <w:rPr>
                <w:b/>
                <w:sz w:val="14"/>
                <w:szCs w:val="14"/>
              </w:rPr>
              <w:t>Artikel 16. Aanwijzingen voor de eindevaluatie</w:t>
            </w:r>
          </w:p>
          <w:p w:rsidRPr="002B3889" w:rsidR="00A13218" w:rsidP="00011F65" w:rsidRDefault="00A13218">
            <w:pPr>
              <w:rPr>
                <w:sz w:val="14"/>
                <w:szCs w:val="14"/>
              </w:rPr>
            </w:pPr>
            <w:bookmarkStart w:name="opmerking_1782324" w:id="7"/>
            <w:bookmarkStart w:name="HoofdstukVI_Artikel16_Tekst" w:id="8"/>
            <w:bookmarkEnd w:id="7"/>
            <w:bookmarkEnd w:id="8"/>
            <w:r w:rsidRPr="002B3889">
              <w:rPr>
                <w:sz w:val="14"/>
                <w:szCs w:val="14"/>
              </w:rPr>
              <w:t>De eindevaluatie van een groot project omvat in ieder geval:</w:t>
            </w:r>
          </w:p>
          <w:p w:rsidRPr="002B3889" w:rsidR="00A13218" w:rsidP="00011F65" w:rsidRDefault="00A13218">
            <w:pPr>
              <w:rPr>
                <w:sz w:val="14"/>
                <w:szCs w:val="14"/>
              </w:rPr>
            </w:pPr>
            <w:r w:rsidRPr="002B3889">
              <w:rPr>
                <w:sz w:val="14"/>
                <w:szCs w:val="14"/>
              </w:rPr>
              <w:t>a. informatie over de vraag in welke mate de oorspronkelijke doelstellingen van het project zijn verwezenlijkt;</w:t>
            </w:r>
          </w:p>
          <w:p w:rsidRPr="002B3889" w:rsidR="00A13218" w:rsidP="00011F65" w:rsidRDefault="00A13218">
            <w:pPr>
              <w:rPr>
                <w:sz w:val="14"/>
                <w:szCs w:val="14"/>
              </w:rPr>
            </w:pPr>
            <w:r w:rsidRPr="002B3889">
              <w:rPr>
                <w:sz w:val="14"/>
                <w:szCs w:val="14"/>
              </w:rPr>
              <w:t>b. informatie over de vraag welke activiteiten daarvoor zijn verricht;</w:t>
            </w:r>
          </w:p>
          <w:p w:rsidRPr="002B3889" w:rsidR="00A13218" w:rsidP="00011F65" w:rsidRDefault="00A13218">
            <w:pPr>
              <w:rPr>
                <w:sz w:val="14"/>
                <w:szCs w:val="14"/>
              </w:rPr>
            </w:pPr>
            <w:r w:rsidRPr="002B3889">
              <w:rPr>
                <w:sz w:val="14"/>
                <w:szCs w:val="14"/>
              </w:rPr>
              <w:t>c. informatie over de vraag wat de kosten zijn geweest van het groot project;</w:t>
            </w:r>
          </w:p>
          <w:p w:rsidRPr="002B3889" w:rsidR="00A13218" w:rsidP="00011F65" w:rsidRDefault="00A13218">
            <w:pPr>
              <w:rPr>
                <w:sz w:val="14"/>
                <w:szCs w:val="14"/>
              </w:rPr>
            </w:pPr>
            <w:r w:rsidRPr="002B3889">
              <w:rPr>
                <w:sz w:val="14"/>
                <w:szCs w:val="14"/>
              </w:rPr>
              <w:t>d. informatie over de vraag in hoeverre de oorspronkelijke projectraming en projectplanning zijn gerealiseerd;</w:t>
            </w:r>
          </w:p>
          <w:p w:rsidRPr="002B3889" w:rsidR="00A13218" w:rsidP="00011F65" w:rsidRDefault="00A13218">
            <w:pPr>
              <w:rPr>
                <w:sz w:val="14"/>
                <w:szCs w:val="14"/>
              </w:rPr>
            </w:pPr>
            <w:r w:rsidRPr="002B3889">
              <w:rPr>
                <w:sz w:val="14"/>
                <w:szCs w:val="14"/>
              </w:rPr>
              <w:t xml:space="preserve">e. informatie over de wijze waarop risico’s zijn onderkend en beheerst, </w:t>
            </w:r>
            <w:proofErr w:type="gramStart"/>
            <w:r w:rsidRPr="002B3889">
              <w:rPr>
                <w:sz w:val="14"/>
                <w:szCs w:val="14"/>
              </w:rPr>
              <w:t>alsmede</w:t>
            </w:r>
            <w:proofErr w:type="gramEnd"/>
            <w:r w:rsidRPr="002B3889">
              <w:rPr>
                <w:sz w:val="14"/>
                <w:szCs w:val="14"/>
              </w:rPr>
              <w:t xml:space="preserve"> een beschrijving van de (financiële) gevolgen van risico’s die zich gedurende het project hebben gemanifesteerd;</w:t>
            </w:r>
          </w:p>
          <w:p w:rsidRPr="002B3889" w:rsidR="00A13218" w:rsidP="00011F65" w:rsidRDefault="00A13218">
            <w:pPr>
              <w:rPr>
                <w:sz w:val="14"/>
                <w:szCs w:val="14"/>
              </w:rPr>
            </w:pPr>
            <w:r w:rsidRPr="002B3889">
              <w:rPr>
                <w:sz w:val="14"/>
                <w:szCs w:val="14"/>
              </w:rPr>
              <w:t>f. informatie over de wijze waarop het project is beheerst en beheerd en informatie over hoe de projectorganisatie heeft gefunctioneerd;</w:t>
            </w:r>
          </w:p>
          <w:p w:rsidRPr="002B3889" w:rsidR="00A13218" w:rsidP="00011F65" w:rsidRDefault="00A13218">
            <w:pPr>
              <w:rPr>
                <w:sz w:val="14"/>
                <w:szCs w:val="14"/>
              </w:rPr>
            </w:pPr>
            <w:proofErr w:type="gramStart"/>
            <w:r w:rsidRPr="002B3889">
              <w:rPr>
                <w:sz w:val="14"/>
                <w:szCs w:val="14"/>
              </w:rPr>
              <w:t xml:space="preserve">g. indien van toepassing: informatie over het verloop van de publiek-private samenwerking, de private </w:t>
            </w:r>
            <w:proofErr w:type="spellStart"/>
            <w:r w:rsidRPr="002B3889">
              <w:rPr>
                <w:sz w:val="14"/>
                <w:szCs w:val="14"/>
              </w:rPr>
              <w:t>co-financiering</w:t>
            </w:r>
            <w:proofErr w:type="spellEnd"/>
            <w:r w:rsidRPr="002B3889">
              <w:rPr>
                <w:sz w:val="14"/>
                <w:szCs w:val="14"/>
              </w:rPr>
              <w:t xml:space="preserve">, de exploitatie en de gehanteerde </w:t>
            </w:r>
            <w:proofErr w:type="spellStart"/>
            <w:r w:rsidRPr="002B3889">
              <w:rPr>
                <w:sz w:val="14"/>
                <w:szCs w:val="14"/>
              </w:rPr>
              <w:t>contracteringsstrategie</w:t>
            </w:r>
            <w:proofErr w:type="spellEnd"/>
            <w:r w:rsidRPr="002B3889">
              <w:rPr>
                <w:sz w:val="14"/>
                <w:szCs w:val="14"/>
              </w:rPr>
              <w:t>;</w:t>
            </w:r>
            <w:proofErr w:type="gramEnd"/>
          </w:p>
          <w:p w:rsidRPr="002B3889" w:rsidR="00A13218" w:rsidP="00011F65" w:rsidRDefault="00A13218">
            <w:pPr>
              <w:rPr>
                <w:sz w:val="14"/>
                <w:szCs w:val="14"/>
              </w:rPr>
            </w:pPr>
            <w:r w:rsidRPr="002B3889">
              <w:rPr>
                <w:sz w:val="14"/>
                <w:szCs w:val="14"/>
              </w:rPr>
              <w:t>h. een verklarende analyse van verschillen tussen de uitgangspunten uit de basisrapportage en de op dat moment actuele stand van zaken van het project, ten aanzien van de onder a t/m d genoemde aspecten.</w:t>
            </w:r>
          </w:p>
          <w:p w:rsidRPr="002B3889" w:rsidR="00A13218" w:rsidP="00011F65" w:rsidRDefault="00A13218">
            <w:pPr>
              <w:rPr>
                <w:b/>
                <w:sz w:val="14"/>
                <w:szCs w:val="14"/>
              </w:rPr>
            </w:pPr>
            <w:bookmarkStart w:name="opmerking_1782122" w:id="9"/>
            <w:bookmarkStart w:name="HoofdstukVI_Artikel17" w:id="10"/>
            <w:bookmarkEnd w:id="9"/>
            <w:bookmarkEnd w:id="10"/>
            <w:r w:rsidRPr="002B3889">
              <w:rPr>
                <w:b/>
                <w:sz w:val="14"/>
                <w:szCs w:val="14"/>
              </w:rPr>
              <w:t>Artikel 17. Voorstel tot beëindiging grootprojectstatus</w:t>
            </w:r>
          </w:p>
          <w:p w:rsidRPr="002B3889" w:rsidR="00A13218" w:rsidP="00011F65" w:rsidRDefault="00A13218">
            <w:pPr>
              <w:rPr>
                <w:sz w:val="14"/>
                <w:szCs w:val="14"/>
              </w:rPr>
            </w:pPr>
            <w:bookmarkStart w:name="opmerking_1782316" w:id="11"/>
            <w:bookmarkStart w:name="HoofdstukVI_Artikel17_Tekst" w:id="12"/>
            <w:bookmarkEnd w:id="11"/>
            <w:bookmarkEnd w:id="12"/>
            <w:r w:rsidRPr="002B3889">
              <w:rPr>
                <w:sz w:val="14"/>
                <w:szCs w:val="14"/>
              </w:rPr>
              <w:t>1. De eindevaluatie wordt besproken in een overleg tussen de commissie en de minister.</w:t>
            </w:r>
          </w:p>
          <w:p w:rsidRPr="002B3889" w:rsidR="00A13218" w:rsidP="00011F65" w:rsidRDefault="00A13218">
            <w:pPr>
              <w:rPr>
                <w:sz w:val="14"/>
                <w:szCs w:val="14"/>
              </w:rPr>
            </w:pPr>
            <w:r w:rsidRPr="002B3889">
              <w:rPr>
                <w:sz w:val="14"/>
                <w:szCs w:val="14"/>
              </w:rPr>
              <w:t>2. Na behandeling van de eindevaluatie kan de commissie een voorstel aan de Tweede Kamer doen tot beëindiging van de grootprojectstatus.</w:t>
            </w:r>
          </w:p>
          <w:p w:rsidRPr="002B3889" w:rsidR="00A13218" w:rsidP="00011F65" w:rsidRDefault="00A13218">
            <w:pPr>
              <w:rPr>
                <w:b/>
                <w:sz w:val="14"/>
                <w:szCs w:val="14"/>
              </w:rPr>
            </w:pPr>
            <w:bookmarkStart w:name="opmerking_1782100" w:id="13"/>
            <w:bookmarkStart w:name="HoofdstukVI_Artikel18" w:id="14"/>
            <w:bookmarkEnd w:id="13"/>
            <w:bookmarkEnd w:id="14"/>
            <w:r w:rsidRPr="002B3889">
              <w:rPr>
                <w:b/>
                <w:sz w:val="14"/>
                <w:szCs w:val="14"/>
              </w:rPr>
              <w:t>Artikel 18. Advisering over beëindiging grootprojectstatus</w:t>
            </w:r>
          </w:p>
          <w:p w:rsidRPr="002B3889" w:rsidR="00A13218" w:rsidP="00011F65" w:rsidRDefault="00A13218">
            <w:pPr>
              <w:rPr>
                <w:sz w:val="14"/>
                <w:szCs w:val="14"/>
              </w:rPr>
            </w:pPr>
            <w:bookmarkStart w:name="opmerking_1782306" w:id="15"/>
            <w:bookmarkStart w:name="HoofdstukVI_Artikel18_Tekst" w:id="16"/>
            <w:bookmarkEnd w:id="15"/>
            <w:bookmarkEnd w:id="16"/>
            <w:r w:rsidRPr="002B3889">
              <w:rPr>
                <w:sz w:val="14"/>
                <w:szCs w:val="14"/>
              </w:rPr>
              <w:t>Voordat de commissie aan de Tweede Kamer een voorstel doet tot beëindiging van de grootprojectstatus, vraagt zij advies aan de commissie voor de Rijksuitgaven.</w:t>
            </w:r>
          </w:p>
          <w:p w:rsidRPr="002B3889" w:rsidR="00A13218" w:rsidP="00011F65" w:rsidRDefault="00A13218">
            <w:pPr>
              <w:rPr>
                <w:b/>
                <w:sz w:val="14"/>
                <w:szCs w:val="14"/>
              </w:rPr>
            </w:pPr>
            <w:bookmarkStart w:name="opmerking_1782086" w:id="17"/>
            <w:bookmarkStart w:name="HoofdstukVI_Artikel19" w:id="18"/>
            <w:bookmarkEnd w:id="17"/>
            <w:bookmarkEnd w:id="18"/>
            <w:r w:rsidRPr="002B3889">
              <w:rPr>
                <w:b/>
                <w:sz w:val="14"/>
                <w:szCs w:val="14"/>
              </w:rPr>
              <w:t>Artikel 19. Toezending voorstel en advies aan de Voorzitter</w:t>
            </w:r>
          </w:p>
          <w:p w:rsidRPr="002B3889" w:rsidR="00A13218" w:rsidP="00011F65" w:rsidRDefault="00A13218">
            <w:pPr>
              <w:rPr>
                <w:sz w:val="14"/>
                <w:szCs w:val="14"/>
              </w:rPr>
            </w:pPr>
            <w:bookmarkStart w:name="opmerking_1782293" w:id="19"/>
            <w:bookmarkStart w:name="HoofdstukVI_Artikel19_Tekst" w:id="20"/>
            <w:bookmarkEnd w:id="19"/>
            <w:bookmarkEnd w:id="20"/>
            <w:r w:rsidRPr="002B3889">
              <w:rPr>
                <w:sz w:val="14"/>
                <w:szCs w:val="14"/>
              </w:rPr>
              <w:t>De verantwoordelijke commissie zendt een voorstel tot beëindiging van de grootprojectstatus, vergezeld van het uitgebrachte advies, aan de Voorzitter.</w:t>
            </w:r>
          </w:p>
          <w:p w:rsidRPr="002B3889" w:rsidR="00A13218" w:rsidP="00011F65" w:rsidRDefault="00A13218">
            <w:pPr>
              <w:rPr>
                <w:b/>
                <w:sz w:val="14"/>
                <w:szCs w:val="14"/>
              </w:rPr>
            </w:pPr>
            <w:bookmarkStart w:name="opmerking_1782068" w:id="21"/>
            <w:bookmarkStart w:name="HoofdstukVI_Artikel20" w:id="22"/>
            <w:bookmarkEnd w:id="21"/>
            <w:bookmarkEnd w:id="22"/>
            <w:r w:rsidRPr="002B3889">
              <w:rPr>
                <w:b/>
                <w:sz w:val="14"/>
                <w:szCs w:val="14"/>
              </w:rPr>
              <w:t>Artikel 20. Mededeling besluit tot beëindiging grootprojectstatus</w:t>
            </w:r>
          </w:p>
          <w:p w:rsidRPr="002B3889" w:rsidR="00A13218" w:rsidP="00011F65" w:rsidRDefault="00A13218">
            <w:pPr>
              <w:rPr>
                <w:sz w:val="14"/>
                <w:szCs w:val="14"/>
              </w:rPr>
            </w:pPr>
            <w:bookmarkStart w:name="opmerking_1782280" w:id="23"/>
            <w:bookmarkStart w:name="HoofdstukVI_Artikel20_Tekst" w:id="24"/>
            <w:bookmarkEnd w:id="23"/>
            <w:bookmarkEnd w:id="24"/>
            <w:r w:rsidRPr="002B3889">
              <w:rPr>
                <w:sz w:val="14"/>
                <w:szCs w:val="14"/>
              </w:rPr>
              <w:t xml:space="preserve">De Voorzitter deelt een besluit van de Kamer tot beëindiging van de grootprojectstatus </w:t>
            </w:r>
            <w:proofErr w:type="gramStart"/>
            <w:r w:rsidRPr="002B3889">
              <w:rPr>
                <w:sz w:val="14"/>
                <w:szCs w:val="14"/>
              </w:rPr>
              <w:t>onverwijld</w:t>
            </w:r>
            <w:proofErr w:type="gramEnd"/>
            <w:r w:rsidRPr="002B3889">
              <w:rPr>
                <w:sz w:val="14"/>
                <w:szCs w:val="14"/>
              </w:rPr>
              <w:t xml:space="preserve"> aan de minister mede.</w:t>
            </w:r>
          </w:p>
        </w:tc>
      </w:tr>
    </w:tbl>
    <w:p w:rsidR="00A13218" w:rsidP="00A13218" w:rsidRDefault="00A13218"/>
    <w:p w:rsidR="00174C96" w:rsidP="00174C96" w:rsidRDefault="00174C96"/>
    <w:sectPr w:rsidR="00174C96">
      <w:headerReference w:type="default" r:id="rId11"/>
      <w:footerReference w:type="default" r:id="rId12"/>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A3" w:rsidRDefault="00B267A3">
      <w:r>
        <w:separator/>
      </w:r>
    </w:p>
  </w:endnote>
  <w:endnote w:type="continuationSeparator" w:id="0">
    <w:p w:rsidR="00B267A3" w:rsidRDefault="00B2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Voettekst"/>
    </w:pPr>
    <w:r>
      <w:rPr>
        <w:noProof/>
      </w:rPr>
      <mc:AlternateContent>
        <mc:Choice Requires="wps">
          <w:drawing>
            <wp:anchor distT="0" distB="0" distL="0" distR="0" simplePos="0" relativeHeight="251656704"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8171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817165">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61824" behindDoc="0" locked="0" layoutInCell="1" allowOverlap="1">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Voettekst"/>
    </w:pPr>
    <w:r>
      <w:rPr>
        <w:noProof/>
      </w:rPr>
      <mc:AlternateContent>
        <mc:Choice Requires="wps">
          <w:drawing>
            <wp:anchor distT="0" distB="0" distL="0" distR="0" simplePos="0" relativeHeight="251658752" behindDoc="0" locked="0" layoutInCell="1" allowOverlap="1">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A1B" w:rsidRDefault="00F43A1B">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rsidR="00F43A1B" w:rsidRDefault="00F43A1B">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81716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32.45pt;margin-top:813.65pt;width:92.15pt;height:9.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817165">
                      <w:rPr>
                        <w:noProof/>
                      </w:rPr>
                      <w:t>11</w:t>
                    </w:r>
                    <w:r>
                      <w:fldChar w:fldCharType="end"/>
                    </w:r>
                  </w:p>
                </w:txbxContent>
              </v:textbox>
              <w10:wrap type="square" anchorx="page" anchory="page"/>
              <w10:anchorlock/>
            </v:shape>
          </w:pict>
        </mc:Fallback>
      </mc:AlternateContent>
    </w:r>
    <w:r>
      <w:t>Deze notitie is uitsluitend bestemd voor intern gebruik door de leden.</w:t>
    </w:r>
  </w:p>
  <w:p w:rsidR="00F43A1B" w:rsidRDefault="00544FEF">
    <w:pPr>
      <w:pStyle w:val="Voettekst"/>
    </w:pPr>
    <w:r>
      <w:rPr>
        <w:noProof/>
      </w:rPr>
      <mc:AlternateContent>
        <mc:Choice Requires="wps">
          <w:drawing>
            <wp:anchor distT="0" distB="0" distL="0" distR="0" simplePos="0" relativeHeight="251657728"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F43A1B" w:rsidRDefault="00544FEF">
                          <w:pPr>
                            <w:pStyle w:val="Huisstijl-Paginanummer"/>
                          </w:pPr>
                          <w:r>
                            <w:fldChar w:fldCharType="begin"/>
                          </w:r>
                          <w:r>
                            <w:instrText xml:space="preserve"> PAGE  \* Arabic  \* MERGEFORMAT </w:instrText>
                          </w:r>
                          <w:r>
                            <w:fldChar w:fldCharType="separate"/>
                          </w:r>
                          <w:r w:rsidR="0081716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32.45pt;margin-top:813.65pt;width:9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rsidR="00F43A1B" w:rsidRDefault="00544FEF">
                    <w:pPr>
                      <w:pStyle w:val="Huisstijl-Paginanummer"/>
                    </w:pPr>
                    <w:r>
                      <w:fldChar w:fldCharType="begin"/>
                    </w:r>
                    <w:r>
                      <w:instrText xml:space="preserve"> PAGE  \* Arabic  \* MERGEFORMAT </w:instrText>
                    </w:r>
                    <w:r>
                      <w:fldChar w:fldCharType="separate"/>
                    </w:r>
                    <w:r w:rsidR="00817165">
                      <w:rPr>
                        <w:noProof/>
                      </w:rPr>
                      <w:t>11</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A3" w:rsidRDefault="00B267A3">
      <w:r>
        <w:separator/>
      </w:r>
    </w:p>
  </w:footnote>
  <w:footnote w:type="continuationSeparator" w:id="0">
    <w:p w:rsidR="00B267A3" w:rsidRDefault="00B267A3">
      <w:r>
        <w:continuationSeparator/>
      </w:r>
    </w:p>
  </w:footnote>
  <w:footnote w:id="1">
    <w:p w:rsidR="000F07A5" w:rsidRDefault="000F07A5">
      <w:pPr>
        <w:pStyle w:val="Voetnoottekst"/>
      </w:pPr>
      <w:r>
        <w:rPr>
          <w:rStyle w:val="Voetnootmarkering"/>
        </w:rPr>
        <w:footnoteRef/>
      </w:r>
      <w:r>
        <w:t xml:space="preserve"> Kamerstuk 33 5776, nr. 58.</w:t>
      </w:r>
    </w:p>
  </w:footnote>
  <w:footnote w:id="2">
    <w:p w:rsidR="008F50BF" w:rsidRDefault="008F50BF">
      <w:pPr>
        <w:pStyle w:val="Voetnoottekst"/>
      </w:pPr>
      <w:r>
        <w:rPr>
          <w:rStyle w:val="Voetnootmarkering"/>
        </w:rPr>
        <w:footnoteRef/>
      </w:r>
      <w:r>
        <w:t xml:space="preserve"> Kamerstuk 30 825, nr. 185.</w:t>
      </w:r>
    </w:p>
  </w:footnote>
  <w:footnote w:id="3">
    <w:p w:rsidR="00F237DD" w:rsidRDefault="00F237DD">
      <w:pPr>
        <w:pStyle w:val="Voetnoottekst"/>
      </w:pPr>
      <w:r>
        <w:rPr>
          <w:rStyle w:val="Voetnootmarkering"/>
        </w:rPr>
        <w:footnoteRef/>
      </w:r>
      <w:r>
        <w:t xml:space="preserve"> Zie ook Kamerstuk 30 825, nr. 192.</w:t>
      </w:r>
    </w:p>
  </w:footnote>
  <w:footnote w:id="4">
    <w:p w:rsidR="003D0930" w:rsidRDefault="003D0930">
      <w:pPr>
        <w:pStyle w:val="Voetnoottekst"/>
      </w:pPr>
      <w:r>
        <w:rPr>
          <w:rStyle w:val="Voetnootmarkering"/>
        </w:rPr>
        <w:footnoteRef/>
      </w:r>
      <w:r>
        <w:t xml:space="preserve"> Kamerstuk 30825,</w:t>
      </w:r>
      <w:r w:rsidR="003F4015">
        <w:t xml:space="preserve"> nr. 20</w:t>
      </w:r>
      <w:r>
        <w:t xml:space="preserve">6. </w:t>
      </w:r>
    </w:p>
  </w:footnote>
  <w:footnote w:id="5">
    <w:p w:rsidR="00007948" w:rsidRDefault="00007948" w:rsidP="00007948">
      <w:pPr>
        <w:pStyle w:val="Voetnoottekst"/>
      </w:pPr>
      <w:r>
        <w:rPr>
          <w:rStyle w:val="Voetnootmarkering"/>
        </w:rPr>
        <w:footnoteRef/>
      </w:r>
      <w:r>
        <w:t xml:space="preserve"> Notitie met kenmerk 15-BOR-N-048.</w:t>
      </w:r>
    </w:p>
  </w:footnote>
  <w:footnote w:id="6">
    <w:p w:rsidR="00D23CEE" w:rsidRDefault="00D23CEE" w:rsidP="00D23CEE">
      <w:pPr>
        <w:pStyle w:val="Voetnoottekst"/>
      </w:pPr>
      <w:r>
        <w:rPr>
          <w:rStyle w:val="Voetnootmarkering"/>
        </w:rPr>
        <w:footnoteRef/>
      </w:r>
      <w:r>
        <w:t xml:space="preserve"> Kamerstuk 33 5776, nr. 58.</w:t>
      </w:r>
    </w:p>
  </w:footnote>
  <w:footnote w:id="7">
    <w:p w:rsidR="00862F44" w:rsidRPr="006C28A3" w:rsidRDefault="00862F44" w:rsidP="00862F44">
      <w:pPr>
        <w:pStyle w:val="Voetnoottekst"/>
        <w:rPr>
          <w:szCs w:val="13"/>
        </w:rPr>
      </w:pPr>
      <w:r w:rsidRPr="006C28A3">
        <w:rPr>
          <w:rStyle w:val="Voetnootmarkering"/>
          <w:szCs w:val="13"/>
        </w:rPr>
        <w:footnoteRef/>
      </w:r>
      <w:r w:rsidRPr="006C28A3">
        <w:rPr>
          <w:szCs w:val="13"/>
        </w:rPr>
        <w:t xml:space="preserve"> Het Portaal Natuur en Landschap is de verzamelplaats voor alle (</w:t>
      </w:r>
      <w:proofErr w:type="spellStart"/>
      <w:r w:rsidRPr="006C28A3">
        <w:rPr>
          <w:szCs w:val="13"/>
        </w:rPr>
        <w:t>beleids</w:t>
      </w:r>
      <w:proofErr w:type="spellEnd"/>
      <w:r w:rsidRPr="006C28A3">
        <w:rPr>
          <w:szCs w:val="13"/>
        </w:rPr>
        <w:t xml:space="preserve">)informatie over natuur en landschap in Nederland. </w:t>
      </w:r>
      <w:hyperlink r:id="rId1" w:tgtFrame="_blank" w:tooltip=" (dit is een externe website, klik om te openen in een nieuwe venster)" w:history="1">
        <w:r w:rsidRPr="006C28A3">
          <w:rPr>
            <w:rStyle w:val="Hyperlink"/>
            <w:szCs w:val="13"/>
          </w:rPr>
          <w:t>BIJ12</w:t>
        </w:r>
      </w:hyperlink>
      <w:r w:rsidRPr="006C28A3">
        <w:rPr>
          <w:szCs w:val="13"/>
        </w:rPr>
        <w:t xml:space="preserve"> beheert het Portaal namens de provincies en brengt hier beleids-, onderzoeks- / kennis- en praktijkinformatie over natuur en landschap samen.</w:t>
      </w:r>
    </w:p>
  </w:footnote>
  <w:footnote w:id="8">
    <w:p w:rsidR="00862F44" w:rsidRDefault="00862F44" w:rsidP="00862F44">
      <w:pPr>
        <w:pStyle w:val="Voetnoottekst"/>
      </w:pPr>
      <w:r>
        <w:rPr>
          <w:rStyle w:val="Voetnootmarkering"/>
        </w:rPr>
        <w:footnoteRef/>
      </w:r>
      <w:r>
        <w:t xml:space="preserve"> </w:t>
      </w:r>
      <w:hyperlink r:id="rId2" w:history="1">
        <w:r w:rsidRPr="00E222E4">
          <w:rPr>
            <w:rStyle w:val="Hyperlink"/>
          </w:rPr>
          <w:t>http://www.portaalnatuurenlandschap.nl/themas/natuurmeting-op-kaart/nieuws/natuurmeting-op-kaart-rapportage-peildatum-1-1-2014-gepubliceerd/</w:t>
        </w:r>
      </w:hyperlink>
      <w:r>
        <w:t xml:space="preserve"> </w:t>
      </w:r>
    </w:p>
  </w:footnote>
  <w:footnote w:id="9">
    <w:p w:rsidR="00DF3B33" w:rsidRDefault="00DF3B33">
      <w:pPr>
        <w:pStyle w:val="Voetnoottekst"/>
      </w:pPr>
      <w:r>
        <w:rPr>
          <w:rStyle w:val="Voetnootmarkering"/>
        </w:rPr>
        <w:footnoteRef/>
      </w:r>
      <w:r>
        <w:t xml:space="preserve"> Kamerstuk 30 825, nr. 185.</w:t>
      </w:r>
    </w:p>
  </w:footnote>
  <w:footnote w:id="10">
    <w:p w:rsidR="00862F44" w:rsidRDefault="00862F44" w:rsidP="00862F44">
      <w:pPr>
        <w:pStyle w:val="Voetnoottekst"/>
      </w:pPr>
      <w:r>
        <w:rPr>
          <w:rStyle w:val="Voetnootmarkering"/>
        </w:rPr>
        <w:footnoteRef/>
      </w:r>
      <w:r>
        <w:t xml:space="preserve"> Bijlage bij Kamerstuk 30 825, nr. 213.</w:t>
      </w:r>
    </w:p>
  </w:footnote>
  <w:footnote w:id="11">
    <w:p w:rsidR="00FF78D5" w:rsidRDefault="00FF78D5">
      <w:pPr>
        <w:pStyle w:val="Voetnoottekst"/>
      </w:pPr>
      <w:r>
        <w:rPr>
          <w:rStyle w:val="Voetnootmarkering"/>
        </w:rPr>
        <w:footnoteRef/>
      </w:r>
      <w:r>
        <w:t xml:space="preserve"> </w:t>
      </w:r>
      <w:r w:rsidR="00B6737D">
        <w:t>Kamerstuk 30 825, nr. 214</w:t>
      </w:r>
      <w:r>
        <w:t>.</w:t>
      </w:r>
    </w:p>
  </w:footnote>
  <w:footnote w:id="12">
    <w:p w:rsidR="00B6737D" w:rsidRDefault="00B6737D" w:rsidP="00B6737D">
      <w:pPr>
        <w:pStyle w:val="Voetnoottekst"/>
      </w:pPr>
      <w:r>
        <w:rPr>
          <w:rStyle w:val="Voetnootmarkering"/>
        </w:rPr>
        <w:footnoteRef/>
      </w:r>
      <w:r>
        <w:t xml:space="preserve"> Notitie met kenmerk 15-BOR-N-048.</w:t>
      </w:r>
    </w:p>
  </w:footnote>
  <w:footnote w:id="13">
    <w:p w:rsidR="00B6737D" w:rsidRDefault="00B6737D" w:rsidP="00B6737D">
      <w:pPr>
        <w:pStyle w:val="Voetnoottekst"/>
      </w:pPr>
      <w:r>
        <w:rPr>
          <w:rStyle w:val="Voetnootmarkering"/>
        </w:rPr>
        <w:footnoteRef/>
      </w:r>
      <w:r>
        <w:t xml:space="preserve"> Kamerstuk 30 825, nr. 214.</w:t>
      </w:r>
    </w:p>
  </w:footnote>
  <w:footnote w:id="14">
    <w:p w:rsidR="0040327D" w:rsidRDefault="009413CA">
      <w:pPr>
        <w:pStyle w:val="Voetnoottekst"/>
      </w:pPr>
      <w:r>
        <w:rPr>
          <w:rStyle w:val="Voetnootmarkering"/>
        </w:rPr>
        <w:footnoteRef/>
      </w:r>
      <w:r>
        <w:t xml:space="preserve"> </w:t>
      </w:r>
      <w:hyperlink r:id="rId3" w:history="1">
        <w:r w:rsidR="0040327D" w:rsidRPr="005B5A9D">
          <w:rPr>
            <w:rStyle w:val="Hyperlink"/>
          </w:rPr>
          <w:t>http://www.pbl.nl/sites/default/files/cms/publicaties/PBL-2012-Natuurverkenning-2010-2040-50041400-met-links.pdf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1B" w:rsidRDefault="00544FEF">
    <w:pPr>
      <w:pStyle w:val="Koptekst"/>
    </w:pPr>
    <w:r>
      <w:rPr>
        <w:noProof/>
      </w:rPr>
      <mc:AlternateContent>
        <mc:Choice Requires="wps">
          <w:drawing>
            <wp:anchor distT="0" distB="269875" distL="114300" distR="114300" simplePos="0" relativeHeight="251654656" behindDoc="0" locked="0" layoutInCell="1" allowOverlap="1">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A1B" w:rsidRDefault="00544FEF">
                          <w:pPr>
                            <w:pStyle w:val="Huisstijl-Gegevens"/>
                            <w:tabs>
                              <w:tab w:val="right" w:pos="1540"/>
                              <w:tab w:val="left" w:pos="1701"/>
                            </w:tabs>
                          </w:pPr>
                          <w:r>
                            <w:tab/>
                            <w:t>datum</w:t>
                          </w:r>
                          <w:r>
                            <w:tab/>
                          </w:r>
                          <w:sdt>
                            <w:sdtPr>
                              <w:alias w:val="Memo Datum"/>
                              <w:tag w:val="Memo_Datum"/>
                              <w:id w:val="-124393903"/>
                              <w:dataBinding w:prefixMappings="xmlns:dg='http://docgen.org/date' " w:xpath="/dg:DocgenData[1]/dg:Memo_Datum[1]" w:storeItemID="{50D99521-AE42-41EF-8AB2-D9264BCDCAEF}"/>
                              <w:date w:fullDate="2016-02-15T00:00:00Z">
                                <w:dateFormat w:val="d MMMM YYYY"/>
                                <w:lid w:val="nl-NL"/>
                                <w:storeMappedDataAs w:val="dateTime"/>
                                <w:calendar w:val="gregorian"/>
                              </w:date>
                            </w:sdtPr>
                            <w:sdtEndPr/>
                            <w:sdtContent>
                              <w:r w:rsidR="00743807">
                                <w:t>15 februari 2016</w:t>
                              </w:r>
                            </w:sdtContent>
                          </w:sdt>
                        </w:p>
                        <w:p w:rsidR="00F43A1B" w:rsidRDefault="00544FEF">
                          <w:pPr>
                            <w:pStyle w:val="Huisstijl-Gegevens"/>
                            <w:tabs>
                              <w:tab w:val="right" w:pos="1540"/>
                              <w:tab w:val="left" w:pos="1701"/>
                            </w:tabs>
                          </w:pPr>
                          <w:r>
                            <w:tab/>
                            <w:t>betreft</w:t>
                          </w:r>
                          <w:r>
                            <w:tab/>
                          </w:r>
                          <w:r w:rsidR="005E6F2E">
                            <w:t>Groot projectstatus EHS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465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rsidR="00F43A1B" w:rsidRDefault="00544FEF">
                    <w:pPr>
                      <w:pStyle w:val="Huisstijl-Gegevens"/>
                      <w:tabs>
                        <w:tab w:val="right" w:pos="1540"/>
                        <w:tab w:val="left" w:pos="1701"/>
                      </w:tabs>
                    </w:pPr>
                    <w:r>
                      <w:tab/>
                      <w:t>datum</w:t>
                    </w:r>
                    <w:r>
                      <w:tab/>
                    </w:r>
                    <w:sdt>
                      <w:sdtPr>
                        <w:alias w:val="Memo Datum"/>
                        <w:tag w:val="Memo_Datum"/>
                        <w:id w:val="-124393903"/>
                        <w:dataBinding w:prefixMappings="xmlns:dg='http://docgen.org/date' " w:xpath="/dg:DocgenData[1]/dg:Memo_Datum[1]" w:storeItemID="{50D99521-AE42-41EF-8AB2-D9264BCDCAEF}"/>
                        <w:date w:fullDate="2016-02-15T00:00:00Z">
                          <w:dateFormat w:val="d MMMM YYYY"/>
                          <w:lid w:val="nl-NL"/>
                          <w:storeMappedDataAs w:val="dateTime"/>
                          <w:calendar w:val="gregorian"/>
                        </w:date>
                      </w:sdtPr>
                      <w:sdtEndPr/>
                      <w:sdtContent>
                        <w:r w:rsidR="00743807">
                          <w:t>15 februari 2016</w:t>
                        </w:r>
                      </w:sdtContent>
                    </w:sdt>
                  </w:p>
                  <w:p w:rsidR="00F43A1B" w:rsidRDefault="00544FEF">
                    <w:pPr>
                      <w:pStyle w:val="Huisstijl-Gegevens"/>
                      <w:tabs>
                        <w:tab w:val="right" w:pos="1540"/>
                        <w:tab w:val="left" w:pos="1701"/>
                      </w:tabs>
                    </w:pPr>
                    <w:r>
                      <w:tab/>
                      <w:t>betreft</w:t>
                    </w:r>
                    <w:r>
                      <w:tab/>
                    </w:r>
                    <w:r w:rsidR="005E6F2E">
                      <w:t>Groot projectstatus EHS</w:t>
                    </w:r>
                  </w:p>
                </w:txbxContent>
              </v:textbox>
              <w10:wrap type="topAndBottom"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B45F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E26E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DE56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A68D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085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EC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C47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1EC9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5CAD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0E5AEA"/>
    <w:lvl w:ilvl="0">
      <w:start w:val="1"/>
      <w:numFmt w:val="bullet"/>
      <w:lvlText w:val=""/>
      <w:lvlJc w:val="left"/>
      <w:pPr>
        <w:tabs>
          <w:tab w:val="num" w:pos="360"/>
        </w:tabs>
        <w:ind w:left="360" w:hanging="360"/>
      </w:pPr>
      <w:rPr>
        <w:rFonts w:ascii="Symbol" w:hAnsi="Symbol" w:hint="default"/>
      </w:rPr>
    </w:lvl>
  </w:abstractNum>
  <w:abstractNum w:abstractNumId="10">
    <w:nsid w:val="09F2405B"/>
    <w:multiLevelType w:val="hybridMultilevel"/>
    <w:tmpl w:val="DBD64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A004739"/>
    <w:multiLevelType w:val="hybridMultilevel"/>
    <w:tmpl w:val="B4EE93D2"/>
    <w:lvl w:ilvl="0" w:tplc="12A0E85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CAD075A"/>
    <w:multiLevelType w:val="hybridMultilevel"/>
    <w:tmpl w:val="CE1A58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0FB83715"/>
    <w:multiLevelType w:val="hybridMultilevel"/>
    <w:tmpl w:val="1618D978"/>
    <w:lvl w:ilvl="0" w:tplc="7F2ADF26">
      <w:numFmt w:val="bullet"/>
      <w:lvlText w:val="-"/>
      <w:lvlJc w:val="left"/>
      <w:pPr>
        <w:tabs>
          <w:tab w:val="num" w:pos="486"/>
        </w:tabs>
        <w:ind w:left="486" w:hanging="360"/>
      </w:pPr>
      <w:rPr>
        <w:rFonts w:ascii="Verdana" w:eastAsia="Times New Roman" w:hAnsi="Verdana" w:hint="default"/>
      </w:rPr>
    </w:lvl>
    <w:lvl w:ilvl="1" w:tplc="04130003" w:tentative="1">
      <w:start w:val="1"/>
      <w:numFmt w:val="bullet"/>
      <w:lvlText w:val="o"/>
      <w:lvlJc w:val="left"/>
      <w:pPr>
        <w:tabs>
          <w:tab w:val="num" w:pos="1206"/>
        </w:tabs>
        <w:ind w:left="1206" w:hanging="360"/>
      </w:pPr>
      <w:rPr>
        <w:rFonts w:ascii="Courier New" w:hAnsi="Courier New" w:hint="default"/>
      </w:rPr>
    </w:lvl>
    <w:lvl w:ilvl="2" w:tplc="04130005" w:tentative="1">
      <w:start w:val="1"/>
      <w:numFmt w:val="bullet"/>
      <w:lvlText w:val=""/>
      <w:lvlJc w:val="left"/>
      <w:pPr>
        <w:tabs>
          <w:tab w:val="num" w:pos="1926"/>
        </w:tabs>
        <w:ind w:left="1926" w:hanging="360"/>
      </w:pPr>
      <w:rPr>
        <w:rFonts w:ascii="Wingdings" w:hAnsi="Wingdings" w:hint="default"/>
      </w:rPr>
    </w:lvl>
    <w:lvl w:ilvl="3" w:tplc="04130001" w:tentative="1">
      <w:start w:val="1"/>
      <w:numFmt w:val="bullet"/>
      <w:lvlText w:val=""/>
      <w:lvlJc w:val="left"/>
      <w:pPr>
        <w:tabs>
          <w:tab w:val="num" w:pos="2646"/>
        </w:tabs>
        <w:ind w:left="2646" w:hanging="360"/>
      </w:pPr>
      <w:rPr>
        <w:rFonts w:ascii="Symbol" w:hAnsi="Symbol" w:hint="default"/>
      </w:rPr>
    </w:lvl>
    <w:lvl w:ilvl="4" w:tplc="04130003" w:tentative="1">
      <w:start w:val="1"/>
      <w:numFmt w:val="bullet"/>
      <w:lvlText w:val="o"/>
      <w:lvlJc w:val="left"/>
      <w:pPr>
        <w:tabs>
          <w:tab w:val="num" w:pos="3366"/>
        </w:tabs>
        <w:ind w:left="3366" w:hanging="360"/>
      </w:pPr>
      <w:rPr>
        <w:rFonts w:ascii="Courier New" w:hAnsi="Courier New" w:hint="default"/>
      </w:rPr>
    </w:lvl>
    <w:lvl w:ilvl="5" w:tplc="04130005" w:tentative="1">
      <w:start w:val="1"/>
      <w:numFmt w:val="bullet"/>
      <w:lvlText w:val=""/>
      <w:lvlJc w:val="left"/>
      <w:pPr>
        <w:tabs>
          <w:tab w:val="num" w:pos="4086"/>
        </w:tabs>
        <w:ind w:left="4086" w:hanging="360"/>
      </w:pPr>
      <w:rPr>
        <w:rFonts w:ascii="Wingdings" w:hAnsi="Wingdings" w:hint="default"/>
      </w:rPr>
    </w:lvl>
    <w:lvl w:ilvl="6" w:tplc="04130001" w:tentative="1">
      <w:start w:val="1"/>
      <w:numFmt w:val="bullet"/>
      <w:lvlText w:val=""/>
      <w:lvlJc w:val="left"/>
      <w:pPr>
        <w:tabs>
          <w:tab w:val="num" w:pos="4806"/>
        </w:tabs>
        <w:ind w:left="4806" w:hanging="360"/>
      </w:pPr>
      <w:rPr>
        <w:rFonts w:ascii="Symbol" w:hAnsi="Symbol" w:hint="default"/>
      </w:rPr>
    </w:lvl>
    <w:lvl w:ilvl="7" w:tplc="04130003" w:tentative="1">
      <w:start w:val="1"/>
      <w:numFmt w:val="bullet"/>
      <w:lvlText w:val="o"/>
      <w:lvlJc w:val="left"/>
      <w:pPr>
        <w:tabs>
          <w:tab w:val="num" w:pos="5526"/>
        </w:tabs>
        <w:ind w:left="5526" w:hanging="360"/>
      </w:pPr>
      <w:rPr>
        <w:rFonts w:ascii="Courier New" w:hAnsi="Courier New" w:hint="default"/>
      </w:rPr>
    </w:lvl>
    <w:lvl w:ilvl="8" w:tplc="04130005" w:tentative="1">
      <w:start w:val="1"/>
      <w:numFmt w:val="bullet"/>
      <w:lvlText w:val=""/>
      <w:lvlJc w:val="left"/>
      <w:pPr>
        <w:tabs>
          <w:tab w:val="num" w:pos="6246"/>
        </w:tabs>
        <w:ind w:left="6246" w:hanging="360"/>
      </w:pPr>
      <w:rPr>
        <w:rFonts w:ascii="Wingdings" w:hAnsi="Wingdings" w:hint="default"/>
      </w:rPr>
    </w:lvl>
  </w:abstractNum>
  <w:abstractNum w:abstractNumId="14">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8800B2A"/>
    <w:multiLevelType w:val="hybridMultilevel"/>
    <w:tmpl w:val="1A1AB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7">
    <w:nsid w:val="1A9D3E44"/>
    <w:multiLevelType w:val="multilevel"/>
    <w:tmpl w:val="FE96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21AF691E"/>
    <w:multiLevelType w:val="hybridMultilevel"/>
    <w:tmpl w:val="396EB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255B5967"/>
    <w:multiLevelType w:val="hybridMultilevel"/>
    <w:tmpl w:val="19D463E2"/>
    <w:lvl w:ilvl="0" w:tplc="4DE0E2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34BA10EB"/>
    <w:multiLevelType w:val="multilevel"/>
    <w:tmpl w:val="A55C4D64"/>
    <w:lvl w:ilvl="0">
      <w:start w:val="1"/>
      <w:numFmt w:val="bullet"/>
      <w:pStyle w:val="Kadertekst-Huisstijl"/>
      <w:lvlText w:val="-"/>
      <w:lvlJc w:val="left"/>
      <w:pPr>
        <w:ind w:left="360" w:hanging="360"/>
      </w:pPr>
      <w:rPr>
        <w:rFonts w:ascii="Verdana" w:hAnsi="Verdan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nsid w:val="393E4673"/>
    <w:multiLevelType w:val="hybridMultilevel"/>
    <w:tmpl w:val="2B1C4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3A463F84"/>
    <w:multiLevelType w:val="hybridMultilevel"/>
    <w:tmpl w:val="ACCA40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5074EB9"/>
    <w:multiLevelType w:val="hybridMultilevel"/>
    <w:tmpl w:val="0116E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AED2CD0"/>
    <w:multiLevelType w:val="hybridMultilevel"/>
    <w:tmpl w:val="492A4E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516858DF"/>
    <w:multiLevelType w:val="hybridMultilevel"/>
    <w:tmpl w:val="E37838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58975CBD"/>
    <w:multiLevelType w:val="hybridMultilevel"/>
    <w:tmpl w:val="ED567D98"/>
    <w:lvl w:ilvl="0" w:tplc="4DE0E2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BB86EC4"/>
    <w:multiLevelType w:val="hybridMultilevel"/>
    <w:tmpl w:val="EBBE72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5E06588B"/>
    <w:multiLevelType w:val="hybridMultilevel"/>
    <w:tmpl w:val="CDDAB218"/>
    <w:lvl w:ilvl="0" w:tplc="4DE0E2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60723FC5"/>
    <w:multiLevelType w:val="hybridMultilevel"/>
    <w:tmpl w:val="49886A8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5DC70BC"/>
    <w:multiLevelType w:val="hybridMultilevel"/>
    <w:tmpl w:val="60AAD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68AA0C2C"/>
    <w:multiLevelType w:val="hybridMultilevel"/>
    <w:tmpl w:val="9F02B3BC"/>
    <w:lvl w:ilvl="0" w:tplc="34506A68">
      <w:start w:val="1"/>
      <w:numFmt w:val="lowerLetter"/>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nsid w:val="6DF92F74"/>
    <w:multiLevelType w:val="hybridMultilevel"/>
    <w:tmpl w:val="78B8A5E0"/>
    <w:lvl w:ilvl="0" w:tplc="4DE0E2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725A3D98"/>
    <w:multiLevelType w:val="hybridMultilevel"/>
    <w:tmpl w:val="FEE4F9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3031464"/>
    <w:multiLevelType w:val="hybridMultilevel"/>
    <w:tmpl w:val="FA96EDB6"/>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40">
    <w:nsid w:val="74785F08"/>
    <w:multiLevelType w:val="hybridMultilevel"/>
    <w:tmpl w:val="1DDE46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A3D5832"/>
    <w:multiLevelType w:val="hybridMultilevel"/>
    <w:tmpl w:val="74486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31"/>
  </w:num>
  <w:num w:numId="16">
    <w:abstractNumId w:val="16"/>
  </w:num>
  <w:num w:numId="17">
    <w:abstractNumId w:val="16"/>
  </w:num>
  <w:num w:numId="18">
    <w:abstractNumId w:val="16"/>
  </w:num>
  <w:num w:numId="19">
    <w:abstractNumId w:val="14"/>
  </w:num>
  <w:num w:numId="20">
    <w:abstractNumId w:val="13"/>
  </w:num>
  <w:num w:numId="21">
    <w:abstractNumId w:val="11"/>
  </w:num>
  <w:num w:numId="22">
    <w:abstractNumId w:val="23"/>
  </w:num>
  <w:num w:numId="23">
    <w:abstractNumId w:val="38"/>
  </w:num>
  <w:num w:numId="24">
    <w:abstractNumId w:val="26"/>
  </w:num>
  <w:num w:numId="25">
    <w:abstractNumId w:val="32"/>
  </w:num>
  <w:num w:numId="26">
    <w:abstractNumId w:val="40"/>
  </w:num>
  <w:num w:numId="27">
    <w:abstractNumId w:val="15"/>
  </w:num>
  <w:num w:numId="28">
    <w:abstractNumId w:val="28"/>
  </w:num>
  <w:num w:numId="29">
    <w:abstractNumId w:val="27"/>
  </w:num>
  <w:num w:numId="30">
    <w:abstractNumId w:val="17"/>
  </w:num>
  <w:num w:numId="31">
    <w:abstractNumId w:val="20"/>
  </w:num>
  <w:num w:numId="32">
    <w:abstractNumId w:val="33"/>
  </w:num>
  <w:num w:numId="33">
    <w:abstractNumId w:val="37"/>
  </w:num>
  <w:num w:numId="34">
    <w:abstractNumId w:val="25"/>
  </w:num>
  <w:num w:numId="35">
    <w:abstractNumId w:val="34"/>
  </w:num>
  <w:num w:numId="36">
    <w:abstractNumId w:val="36"/>
  </w:num>
  <w:num w:numId="37">
    <w:abstractNumId w:val="35"/>
  </w:num>
  <w:num w:numId="38">
    <w:abstractNumId w:val="29"/>
  </w:num>
  <w:num w:numId="39">
    <w:abstractNumId w:val="41"/>
  </w:num>
  <w:num w:numId="40">
    <w:abstractNumId w:val="12"/>
  </w:num>
  <w:num w:numId="41">
    <w:abstractNumId w:val="10"/>
  </w:num>
  <w:num w:numId="42">
    <w:abstractNumId w:val="30"/>
  </w:num>
  <w:num w:numId="43">
    <w:abstractNumId w:val="2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B"/>
    <w:rsid w:val="0000616B"/>
    <w:rsid w:val="00007948"/>
    <w:rsid w:val="000142EB"/>
    <w:rsid w:val="00014A9C"/>
    <w:rsid w:val="00023798"/>
    <w:rsid w:val="000247E1"/>
    <w:rsid w:val="000262E7"/>
    <w:rsid w:val="000263CB"/>
    <w:rsid w:val="000465F1"/>
    <w:rsid w:val="0005424B"/>
    <w:rsid w:val="00055EC7"/>
    <w:rsid w:val="00063CB1"/>
    <w:rsid w:val="00066B32"/>
    <w:rsid w:val="000713C7"/>
    <w:rsid w:val="00082E1F"/>
    <w:rsid w:val="00083F3C"/>
    <w:rsid w:val="000937F2"/>
    <w:rsid w:val="0009574E"/>
    <w:rsid w:val="000A2653"/>
    <w:rsid w:val="000A3E85"/>
    <w:rsid w:val="000A4BE2"/>
    <w:rsid w:val="000B1D03"/>
    <w:rsid w:val="000B3D87"/>
    <w:rsid w:val="000B44AA"/>
    <w:rsid w:val="000B68EB"/>
    <w:rsid w:val="000C1826"/>
    <w:rsid w:val="000C5D89"/>
    <w:rsid w:val="000C6FBD"/>
    <w:rsid w:val="000E179F"/>
    <w:rsid w:val="000E7489"/>
    <w:rsid w:val="000F07A5"/>
    <w:rsid w:val="00116CE9"/>
    <w:rsid w:val="0012477B"/>
    <w:rsid w:val="00126BD1"/>
    <w:rsid w:val="00144274"/>
    <w:rsid w:val="001470E0"/>
    <w:rsid w:val="001543FF"/>
    <w:rsid w:val="001728C1"/>
    <w:rsid w:val="00174C96"/>
    <w:rsid w:val="00180BBA"/>
    <w:rsid w:val="001904F0"/>
    <w:rsid w:val="001B0063"/>
    <w:rsid w:val="001B1937"/>
    <w:rsid w:val="001B1E67"/>
    <w:rsid w:val="001B5E83"/>
    <w:rsid w:val="001B7332"/>
    <w:rsid w:val="001C043F"/>
    <w:rsid w:val="001C3289"/>
    <w:rsid w:val="001C6491"/>
    <w:rsid w:val="001C6F5E"/>
    <w:rsid w:val="001D132D"/>
    <w:rsid w:val="001D57D3"/>
    <w:rsid w:val="001D6225"/>
    <w:rsid w:val="001D719B"/>
    <w:rsid w:val="001E4ABA"/>
    <w:rsid w:val="001E4C3C"/>
    <w:rsid w:val="00201670"/>
    <w:rsid w:val="00203BC3"/>
    <w:rsid w:val="00204AC8"/>
    <w:rsid w:val="00206CA1"/>
    <w:rsid w:val="00210FE5"/>
    <w:rsid w:val="00214005"/>
    <w:rsid w:val="002157B4"/>
    <w:rsid w:val="00224859"/>
    <w:rsid w:val="002262B2"/>
    <w:rsid w:val="00230D8D"/>
    <w:rsid w:val="00233838"/>
    <w:rsid w:val="00262E80"/>
    <w:rsid w:val="00263017"/>
    <w:rsid w:val="00266930"/>
    <w:rsid w:val="002802EC"/>
    <w:rsid w:val="00295211"/>
    <w:rsid w:val="0029696A"/>
    <w:rsid w:val="002975E8"/>
    <w:rsid w:val="002B31BB"/>
    <w:rsid w:val="002B3889"/>
    <w:rsid w:val="002B3F01"/>
    <w:rsid w:val="002B45C5"/>
    <w:rsid w:val="002C2057"/>
    <w:rsid w:val="002C37DD"/>
    <w:rsid w:val="002C64A2"/>
    <w:rsid w:val="002C7C83"/>
    <w:rsid w:val="002E2A0B"/>
    <w:rsid w:val="002E62BE"/>
    <w:rsid w:val="002F1285"/>
    <w:rsid w:val="00314680"/>
    <w:rsid w:val="003277E4"/>
    <w:rsid w:val="00334AD5"/>
    <w:rsid w:val="0033715D"/>
    <w:rsid w:val="00340F0F"/>
    <w:rsid w:val="003567CF"/>
    <w:rsid w:val="003646AB"/>
    <w:rsid w:val="00373D83"/>
    <w:rsid w:val="003832D7"/>
    <w:rsid w:val="003A350A"/>
    <w:rsid w:val="003C48AD"/>
    <w:rsid w:val="003D0930"/>
    <w:rsid w:val="003D7248"/>
    <w:rsid w:val="003F4015"/>
    <w:rsid w:val="0040327D"/>
    <w:rsid w:val="004224AE"/>
    <w:rsid w:val="00422D9B"/>
    <w:rsid w:val="00423AAE"/>
    <w:rsid w:val="00424D8E"/>
    <w:rsid w:val="0043506A"/>
    <w:rsid w:val="0043557B"/>
    <w:rsid w:val="00455AE3"/>
    <w:rsid w:val="004667E0"/>
    <w:rsid w:val="00466D28"/>
    <w:rsid w:val="00473F31"/>
    <w:rsid w:val="00473F94"/>
    <w:rsid w:val="00487933"/>
    <w:rsid w:val="00492D6C"/>
    <w:rsid w:val="004958EB"/>
    <w:rsid w:val="004A058D"/>
    <w:rsid w:val="004A1112"/>
    <w:rsid w:val="004A249A"/>
    <w:rsid w:val="004B0D84"/>
    <w:rsid w:val="004B357A"/>
    <w:rsid w:val="004C0C1A"/>
    <w:rsid w:val="004C4DF6"/>
    <w:rsid w:val="004C57E0"/>
    <w:rsid w:val="004D0418"/>
    <w:rsid w:val="004D228E"/>
    <w:rsid w:val="004D4359"/>
    <w:rsid w:val="004E1F81"/>
    <w:rsid w:val="004E3AD0"/>
    <w:rsid w:val="00506887"/>
    <w:rsid w:val="00507B03"/>
    <w:rsid w:val="00507FCE"/>
    <w:rsid w:val="00510BD0"/>
    <w:rsid w:val="00525EEF"/>
    <w:rsid w:val="005300AC"/>
    <w:rsid w:val="005333EF"/>
    <w:rsid w:val="00544FEF"/>
    <w:rsid w:val="00576F1E"/>
    <w:rsid w:val="00577428"/>
    <w:rsid w:val="00584140"/>
    <w:rsid w:val="0059119C"/>
    <w:rsid w:val="00594965"/>
    <w:rsid w:val="00595EBF"/>
    <w:rsid w:val="005B1521"/>
    <w:rsid w:val="005B7755"/>
    <w:rsid w:val="005C37B4"/>
    <w:rsid w:val="005C6FA3"/>
    <w:rsid w:val="005C7D6D"/>
    <w:rsid w:val="005D4C9A"/>
    <w:rsid w:val="005E10A3"/>
    <w:rsid w:val="005E41AC"/>
    <w:rsid w:val="005E6F2E"/>
    <w:rsid w:val="005F58AC"/>
    <w:rsid w:val="00600520"/>
    <w:rsid w:val="006208CE"/>
    <w:rsid w:val="00642C4D"/>
    <w:rsid w:val="00646263"/>
    <w:rsid w:val="00655605"/>
    <w:rsid w:val="006629AE"/>
    <w:rsid w:val="00666100"/>
    <w:rsid w:val="006769E8"/>
    <w:rsid w:val="00680A5C"/>
    <w:rsid w:val="00681BEE"/>
    <w:rsid w:val="00694A21"/>
    <w:rsid w:val="00694A53"/>
    <w:rsid w:val="006A5841"/>
    <w:rsid w:val="006B4EE2"/>
    <w:rsid w:val="006B6290"/>
    <w:rsid w:val="006B73A4"/>
    <w:rsid w:val="006C250A"/>
    <w:rsid w:val="006C28A3"/>
    <w:rsid w:val="006E3F8A"/>
    <w:rsid w:val="006E440B"/>
    <w:rsid w:val="006F38D1"/>
    <w:rsid w:val="00722884"/>
    <w:rsid w:val="00724084"/>
    <w:rsid w:val="00727B97"/>
    <w:rsid w:val="0073588A"/>
    <w:rsid w:val="00735FFB"/>
    <w:rsid w:val="00743807"/>
    <w:rsid w:val="007731A2"/>
    <w:rsid w:val="007747FC"/>
    <w:rsid w:val="007A08E5"/>
    <w:rsid w:val="007B777B"/>
    <w:rsid w:val="007C54C5"/>
    <w:rsid w:val="007C54CA"/>
    <w:rsid w:val="007D2CB2"/>
    <w:rsid w:val="00801D71"/>
    <w:rsid w:val="008023CE"/>
    <w:rsid w:val="00804CAA"/>
    <w:rsid w:val="0081461B"/>
    <w:rsid w:val="00817165"/>
    <w:rsid w:val="008174E6"/>
    <w:rsid w:val="0082146E"/>
    <w:rsid w:val="00822F53"/>
    <w:rsid w:val="00824DBE"/>
    <w:rsid w:val="008263F2"/>
    <w:rsid w:val="008307ED"/>
    <w:rsid w:val="00830FD6"/>
    <w:rsid w:val="00833134"/>
    <w:rsid w:val="008360F5"/>
    <w:rsid w:val="008439D8"/>
    <w:rsid w:val="00845876"/>
    <w:rsid w:val="00854A9F"/>
    <w:rsid w:val="00862558"/>
    <w:rsid w:val="00862F44"/>
    <w:rsid w:val="00864976"/>
    <w:rsid w:val="00865C06"/>
    <w:rsid w:val="00875C8A"/>
    <w:rsid w:val="00880848"/>
    <w:rsid w:val="00881472"/>
    <w:rsid w:val="00886BCA"/>
    <w:rsid w:val="00897375"/>
    <w:rsid w:val="008A448E"/>
    <w:rsid w:val="008B03DF"/>
    <w:rsid w:val="008B7693"/>
    <w:rsid w:val="008D37E0"/>
    <w:rsid w:val="008D477B"/>
    <w:rsid w:val="008D49EF"/>
    <w:rsid w:val="008E07D2"/>
    <w:rsid w:val="008F50BF"/>
    <w:rsid w:val="008F6B2F"/>
    <w:rsid w:val="008F736A"/>
    <w:rsid w:val="00903C25"/>
    <w:rsid w:val="00905C0A"/>
    <w:rsid w:val="009116BD"/>
    <w:rsid w:val="00912D36"/>
    <w:rsid w:val="00921828"/>
    <w:rsid w:val="009309A0"/>
    <w:rsid w:val="009320F8"/>
    <w:rsid w:val="009413CA"/>
    <w:rsid w:val="00953785"/>
    <w:rsid w:val="00953A68"/>
    <w:rsid w:val="00956036"/>
    <w:rsid w:val="0097607C"/>
    <w:rsid w:val="009941EC"/>
    <w:rsid w:val="009944A2"/>
    <w:rsid w:val="009B76E5"/>
    <w:rsid w:val="009C473A"/>
    <w:rsid w:val="009D0F13"/>
    <w:rsid w:val="009F0550"/>
    <w:rsid w:val="00A02048"/>
    <w:rsid w:val="00A13218"/>
    <w:rsid w:val="00A208BD"/>
    <w:rsid w:val="00A358AF"/>
    <w:rsid w:val="00A4489D"/>
    <w:rsid w:val="00A70A26"/>
    <w:rsid w:val="00A71784"/>
    <w:rsid w:val="00A8757B"/>
    <w:rsid w:val="00A921F0"/>
    <w:rsid w:val="00A949F0"/>
    <w:rsid w:val="00AA2949"/>
    <w:rsid w:val="00AA77C9"/>
    <w:rsid w:val="00AB07C6"/>
    <w:rsid w:val="00AB3197"/>
    <w:rsid w:val="00AB55C4"/>
    <w:rsid w:val="00AB5CB2"/>
    <w:rsid w:val="00AC1068"/>
    <w:rsid w:val="00AC7843"/>
    <w:rsid w:val="00AC7F7A"/>
    <w:rsid w:val="00AD4363"/>
    <w:rsid w:val="00AE34E3"/>
    <w:rsid w:val="00AE36D6"/>
    <w:rsid w:val="00AF3D39"/>
    <w:rsid w:val="00B02B16"/>
    <w:rsid w:val="00B0607F"/>
    <w:rsid w:val="00B267A3"/>
    <w:rsid w:val="00B30822"/>
    <w:rsid w:val="00B5492E"/>
    <w:rsid w:val="00B6396D"/>
    <w:rsid w:val="00B65651"/>
    <w:rsid w:val="00B6737D"/>
    <w:rsid w:val="00B94D52"/>
    <w:rsid w:val="00BA02AE"/>
    <w:rsid w:val="00BA2602"/>
    <w:rsid w:val="00BC11A5"/>
    <w:rsid w:val="00BC6451"/>
    <w:rsid w:val="00BD0E5A"/>
    <w:rsid w:val="00BD2F38"/>
    <w:rsid w:val="00BE0E5B"/>
    <w:rsid w:val="00BF7BF0"/>
    <w:rsid w:val="00C26543"/>
    <w:rsid w:val="00C4170A"/>
    <w:rsid w:val="00C5234D"/>
    <w:rsid w:val="00C6145B"/>
    <w:rsid w:val="00C63201"/>
    <w:rsid w:val="00C770BE"/>
    <w:rsid w:val="00C80A89"/>
    <w:rsid w:val="00C83904"/>
    <w:rsid w:val="00C84BA6"/>
    <w:rsid w:val="00C90E33"/>
    <w:rsid w:val="00C90F92"/>
    <w:rsid w:val="00C941E0"/>
    <w:rsid w:val="00CB0366"/>
    <w:rsid w:val="00CB4042"/>
    <w:rsid w:val="00CB6A2C"/>
    <w:rsid w:val="00CC0149"/>
    <w:rsid w:val="00CD71FF"/>
    <w:rsid w:val="00CE330C"/>
    <w:rsid w:val="00CF5840"/>
    <w:rsid w:val="00D00E18"/>
    <w:rsid w:val="00D1382E"/>
    <w:rsid w:val="00D13C10"/>
    <w:rsid w:val="00D2141A"/>
    <w:rsid w:val="00D23CEE"/>
    <w:rsid w:val="00D3404C"/>
    <w:rsid w:val="00D511BF"/>
    <w:rsid w:val="00D560B8"/>
    <w:rsid w:val="00D61186"/>
    <w:rsid w:val="00D72ADC"/>
    <w:rsid w:val="00D7333D"/>
    <w:rsid w:val="00D8740B"/>
    <w:rsid w:val="00D87483"/>
    <w:rsid w:val="00D9093A"/>
    <w:rsid w:val="00D90B43"/>
    <w:rsid w:val="00D927DA"/>
    <w:rsid w:val="00D93A64"/>
    <w:rsid w:val="00D95528"/>
    <w:rsid w:val="00DA1165"/>
    <w:rsid w:val="00DB39BA"/>
    <w:rsid w:val="00DB60CE"/>
    <w:rsid w:val="00DC51B9"/>
    <w:rsid w:val="00DE794E"/>
    <w:rsid w:val="00DF1DA8"/>
    <w:rsid w:val="00DF3B33"/>
    <w:rsid w:val="00E01D7D"/>
    <w:rsid w:val="00E034F5"/>
    <w:rsid w:val="00E12435"/>
    <w:rsid w:val="00E12638"/>
    <w:rsid w:val="00E1698C"/>
    <w:rsid w:val="00E27B24"/>
    <w:rsid w:val="00E45F4C"/>
    <w:rsid w:val="00E62111"/>
    <w:rsid w:val="00E6491F"/>
    <w:rsid w:val="00E6595D"/>
    <w:rsid w:val="00E7424E"/>
    <w:rsid w:val="00E81072"/>
    <w:rsid w:val="00E85D01"/>
    <w:rsid w:val="00E8646F"/>
    <w:rsid w:val="00E92A7F"/>
    <w:rsid w:val="00E96F59"/>
    <w:rsid w:val="00E97085"/>
    <w:rsid w:val="00EB74DB"/>
    <w:rsid w:val="00EC3B5D"/>
    <w:rsid w:val="00ED3776"/>
    <w:rsid w:val="00ED46BF"/>
    <w:rsid w:val="00ED5527"/>
    <w:rsid w:val="00EE1B50"/>
    <w:rsid w:val="00EE4ADB"/>
    <w:rsid w:val="00EF2981"/>
    <w:rsid w:val="00EF3B57"/>
    <w:rsid w:val="00F04D1A"/>
    <w:rsid w:val="00F06347"/>
    <w:rsid w:val="00F237DD"/>
    <w:rsid w:val="00F2472B"/>
    <w:rsid w:val="00F25150"/>
    <w:rsid w:val="00F26007"/>
    <w:rsid w:val="00F3124A"/>
    <w:rsid w:val="00F35878"/>
    <w:rsid w:val="00F4102F"/>
    <w:rsid w:val="00F43A1B"/>
    <w:rsid w:val="00F45EDC"/>
    <w:rsid w:val="00F46768"/>
    <w:rsid w:val="00F520BD"/>
    <w:rsid w:val="00F54C38"/>
    <w:rsid w:val="00F54E14"/>
    <w:rsid w:val="00F55881"/>
    <w:rsid w:val="00F57CFB"/>
    <w:rsid w:val="00F62B47"/>
    <w:rsid w:val="00F64579"/>
    <w:rsid w:val="00F676EF"/>
    <w:rsid w:val="00F71C82"/>
    <w:rsid w:val="00F73570"/>
    <w:rsid w:val="00F82B48"/>
    <w:rsid w:val="00F9190C"/>
    <w:rsid w:val="00FA250F"/>
    <w:rsid w:val="00FA3D31"/>
    <w:rsid w:val="00FB4DA3"/>
    <w:rsid w:val="00FC04A4"/>
    <w:rsid w:val="00FC0501"/>
    <w:rsid w:val="00FE33F8"/>
    <w:rsid w:val="00FE5A3F"/>
    <w:rsid w:val="00FF48E6"/>
    <w:rsid w:val="00FF7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C6FB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1E4A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8"/>
      </w:numPr>
      <w:tabs>
        <w:tab w:val="left" w:pos="454"/>
      </w:tabs>
      <w:suppressAutoHyphens/>
      <w:autoSpaceDN w:val="0"/>
      <w:spacing w:before="220" w:after="220" w:line="240" w:lineRule="exact"/>
      <w:ind w:left="454" w:hanging="454"/>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340"/>
      </w:tabs>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22"/>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customStyle="1" w:styleId="Kop4Char">
    <w:name w:val="Kop 4 Char"/>
    <w:basedOn w:val="Standaardalinea-lettertype"/>
    <w:link w:val="Kop4"/>
    <w:semiHidden/>
    <w:rsid w:val="001E4ABA"/>
    <w:rPr>
      <w:rFonts w:asciiTheme="majorHAnsi" w:eastAsiaTheme="majorEastAsia" w:hAnsiTheme="majorHAnsi" w:cstheme="majorBidi"/>
      <w:b/>
      <w:bCs/>
      <w:i/>
      <w:iCs/>
      <w:color w:val="4F81BD" w:themeColor="accent1"/>
      <w:sz w:val="18"/>
      <w:lang w:eastAsia="en-US"/>
    </w:rPr>
  </w:style>
  <w:style w:type="paragraph" w:customStyle="1" w:styleId="labeled">
    <w:name w:val="labeled"/>
    <w:basedOn w:val="Standaard"/>
    <w:rsid w:val="001E4ABA"/>
    <w:pPr>
      <w:spacing w:before="100" w:beforeAutospacing="1" w:after="100" w:afterAutospacing="1"/>
    </w:pPr>
    <w:rPr>
      <w:rFonts w:ascii="Times New Roman" w:eastAsia="Times New Roman" w:hAnsi="Times New Roman"/>
      <w:sz w:val="24"/>
      <w:szCs w:val="24"/>
      <w:lang w:eastAsia="nl-NL"/>
    </w:rPr>
  </w:style>
  <w:style w:type="character" w:customStyle="1" w:styleId="ol">
    <w:name w:val="ol"/>
    <w:basedOn w:val="Standaardalinea-lettertype"/>
    <w:rsid w:val="001E4ABA"/>
  </w:style>
  <w:style w:type="paragraph" w:customStyle="1" w:styleId="al">
    <w:name w:val="al"/>
    <w:basedOn w:val="Standaard"/>
    <w:rsid w:val="001E4ABA"/>
    <w:pPr>
      <w:spacing w:before="100" w:beforeAutospacing="1" w:after="100" w:afterAutospacing="1"/>
    </w:pPr>
    <w:rPr>
      <w:rFonts w:ascii="Times New Roman" w:eastAsia="Times New Roman" w:hAnsi="Times New Roman"/>
      <w:sz w:val="24"/>
      <w:szCs w:val="24"/>
      <w:lang w:eastAsia="nl-NL"/>
    </w:rPr>
  </w:style>
  <w:style w:type="paragraph" w:styleId="Normaalweb">
    <w:name w:val="Normal (Web)"/>
    <w:basedOn w:val="Standaard"/>
    <w:uiPriority w:val="99"/>
    <w:semiHidden/>
    <w:unhideWhenUsed/>
    <w:rsid w:val="002B45C5"/>
    <w:pPr>
      <w:spacing w:line="369" w:lineRule="atLeast"/>
    </w:pPr>
    <w:rPr>
      <w:rFonts w:ascii="Times New Roman" w:eastAsia="Times New Roman" w:hAnsi="Times New Roman"/>
      <w:sz w:val="31"/>
      <w:szCs w:val="31"/>
      <w:lang w:eastAsia="nl-NL"/>
    </w:rPr>
  </w:style>
  <w:style w:type="character" w:styleId="GevolgdeHyperlink">
    <w:name w:val="FollowedHyperlink"/>
    <w:basedOn w:val="Standaardalinea-lettertype"/>
    <w:uiPriority w:val="99"/>
    <w:semiHidden/>
    <w:unhideWhenUsed/>
    <w:rsid w:val="002B45C5"/>
    <w:rPr>
      <w:color w:val="800080" w:themeColor="followedHyperlink"/>
      <w:u w:val="single"/>
    </w:rPr>
  </w:style>
  <w:style w:type="paragraph" w:customStyle="1" w:styleId="lead">
    <w:name w:val="lead"/>
    <w:basedOn w:val="Standaard"/>
    <w:rsid w:val="00423AAE"/>
    <w:pPr>
      <w:spacing w:before="100" w:beforeAutospacing="1" w:after="100" w:afterAutospacing="1"/>
    </w:pPr>
    <w:rPr>
      <w:rFonts w:ascii="Times New Roman" w:eastAsia="Times New Roman" w:hAnsi="Times New Roman"/>
      <w:sz w:val="24"/>
      <w:szCs w:val="24"/>
      <w:lang w:eastAsia="nl-NL"/>
    </w:rPr>
  </w:style>
  <w:style w:type="character" w:styleId="Verwijzingopmerking">
    <w:name w:val="annotation reference"/>
    <w:basedOn w:val="Standaardalinea-lettertype"/>
    <w:uiPriority w:val="99"/>
    <w:semiHidden/>
    <w:unhideWhenUsed/>
    <w:rsid w:val="00953A68"/>
    <w:rPr>
      <w:sz w:val="16"/>
      <w:szCs w:val="16"/>
    </w:rPr>
  </w:style>
  <w:style w:type="paragraph" w:styleId="Tekstopmerking">
    <w:name w:val="annotation text"/>
    <w:basedOn w:val="Standaard"/>
    <w:link w:val="TekstopmerkingChar"/>
    <w:uiPriority w:val="99"/>
    <w:semiHidden/>
    <w:unhideWhenUsed/>
    <w:rsid w:val="00953A68"/>
    <w:rPr>
      <w:sz w:val="20"/>
      <w:szCs w:val="20"/>
    </w:rPr>
  </w:style>
  <w:style w:type="character" w:customStyle="1" w:styleId="TekstopmerkingChar">
    <w:name w:val="Tekst opmerking Char"/>
    <w:basedOn w:val="Standaardalinea-lettertype"/>
    <w:link w:val="Tekstopmerking"/>
    <w:uiPriority w:val="99"/>
    <w:semiHidden/>
    <w:rsid w:val="00953A68"/>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953A68"/>
    <w:rPr>
      <w:b/>
      <w:bCs/>
    </w:rPr>
  </w:style>
  <w:style w:type="character" w:customStyle="1" w:styleId="OnderwerpvanopmerkingChar">
    <w:name w:val="Onderwerp van opmerking Char"/>
    <w:basedOn w:val="TekstopmerkingChar"/>
    <w:link w:val="Onderwerpvanopmerking"/>
    <w:uiPriority w:val="99"/>
    <w:semiHidden/>
    <w:rsid w:val="00953A68"/>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uiPriority="0"/>
    <w:lsdException w:name="heading 4" w:locked="1" w:uiPriority="0"/>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C6FB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1E4A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8"/>
      </w:numPr>
      <w:tabs>
        <w:tab w:val="left" w:pos="454"/>
      </w:tabs>
      <w:suppressAutoHyphens/>
      <w:autoSpaceDN w:val="0"/>
      <w:spacing w:before="220" w:after="220" w:line="240" w:lineRule="exact"/>
      <w:ind w:left="454" w:hanging="454"/>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340"/>
      </w:tabs>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semiHidden/>
    <w:rPr>
      <w:rFonts w:cs="Times New Roman"/>
      <w:vertAlign w:val="superscript"/>
    </w:rPr>
  </w:style>
  <w:style w:type="paragraph" w:customStyle="1" w:styleId="Huisstijl-Tussenkop">
    <w:name w:val="Huisstijl - Tussenkop"/>
    <w:basedOn w:val="Standaard"/>
    <w:uiPriority w:val="99"/>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22"/>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customStyle="1" w:styleId="Kop4Char">
    <w:name w:val="Kop 4 Char"/>
    <w:basedOn w:val="Standaardalinea-lettertype"/>
    <w:link w:val="Kop4"/>
    <w:semiHidden/>
    <w:rsid w:val="001E4ABA"/>
    <w:rPr>
      <w:rFonts w:asciiTheme="majorHAnsi" w:eastAsiaTheme="majorEastAsia" w:hAnsiTheme="majorHAnsi" w:cstheme="majorBidi"/>
      <w:b/>
      <w:bCs/>
      <w:i/>
      <w:iCs/>
      <w:color w:val="4F81BD" w:themeColor="accent1"/>
      <w:sz w:val="18"/>
      <w:lang w:eastAsia="en-US"/>
    </w:rPr>
  </w:style>
  <w:style w:type="paragraph" w:customStyle="1" w:styleId="labeled">
    <w:name w:val="labeled"/>
    <w:basedOn w:val="Standaard"/>
    <w:rsid w:val="001E4ABA"/>
    <w:pPr>
      <w:spacing w:before="100" w:beforeAutospacing="1" w:after="100" w:afterAutospacing="1"/>
    </w:pPr>
    <w:rPr>
      <w:rFonts w:ascii="Times New Roman" w:eastAsia="Times New Roman" w:hAnsi="Times New Roman"/>
      <w:sz w:val="24"/>
      <w:szCs w:val="24"/>
      <w:lang w:eastAsia="nl-NL"/>
    </w:rPr>
  </w:style>
  <w:style w:type="character" w:customStyle="1" w:styleId="ol">
    <w:name w:val="ol"/>
    <w:basedOn w:val="Standaardalinea-lettertype"/>
    <w:rsid w:val="001E4ABA"/>
  </w:style>
  <w:style w:type="paragraph" w:customStyle="1" w:styleId="al">
    <w:name w:val="al"/>
    <w:basedOn w:val="Standaard"/>
    <w:rsid w:val="001E4ABA"/>
    <w:pPr>
      <w:spacing w:before="100" w:beforeAutospacing="1" w:after="100" w:afterAutospacing="1"/>
    </w:pPr>
    <w:rPr>
      <w:rFonts w:ascii="Times New Roman" w:eastAsia="Times New Roman" w:hAnsi="Times New Roman"/>
      <w:sz w:val="24"/>
      <w:szCs w:val="24"/>
      <w:lang w:eastAsia="nl-NL"/>
    </w:rPr>
  </w:style>
  <w:style w:type="paragraph" w:styleId="Normaalweb">
    <w:name w:val="Normal (Web)"/>
    <w:basedOn w:val="Standaard"/>
    <w:uiPriority w:val="99"/>
    <w:semiHidden/>
    <w:unhideWhenUsed/>
    <w:rsid w:val="002B45C5"/>
    <w:pPr>
      <w:spacing w:line="369" w:lineRule="atLeast"/>
    </w:pPr>
    <w:rPr>
      <w:rFonts w:ascii="Times New Roman" w:eastAsia="Times New Roman" w:hAnsi="Times New Roman"/>
      <w:sz w:val="31"/>
      <w:szCs w:val="31"/>
      <w:lang w:eastAsia="nl-NL"/>
    </w:rPr>
  </w:style>
  <w:style w:type="character" w:styleId="GevolgdeHyperlink">
    <w:name w:val="FollowedHyperlink"/>
    <w:basedOn w:val="Standaardalinea-lettertype"/>
    <w:uiPriority w:val="99"/>
    <w:semiHidden/>
    <w:unhideWhenUsed/>
    <w:rsid w:val="002B45C5"/>
    <w:rPr>
      <w:color w:val="800080" w:themeColor="followedHyperlink"/>
      <w:u w:val="single"/>
    </w:rPr>
  </w:style>
  <w:style w:type="paragraph" w:customStyle="1" w:styleId="lead">
    <w:name w:val="lead"/>
    <w:basedOn w:val="Standaard"/>
    <w:rsid w:val="00423AAE"/>
    <w:pPr>
      <w:spacing w:before="100" w:beforeAutospacing="1" w:after="100" w:afterAutospacing="1"/>
    </w:pPr>
    <w:rPr>
      <w:rFonts w:ascii="Times New Roman" w:eastAsia="Times New Roman" w:hAnsi="Times New Roman"/>
      <w:sz w:val="24"/>
      <w:szCs w:val="24"/>
      <w:lang w:eastAsia="nl-NL"/>
    </w:rPr>
  </w:style>
  <w:style w:type="character" w:styleId="Verwijzingopmerking">
    <w:name w:val="annotation reference"/>
    <w:basedOn w:val="Standaardalinea-lettertype"/>
    <w:uiPriority w:val="99"/>
    <w:semiHidden/>
    <w:unhideWhenUsed/>
    <w:rsid w:val="00953A68"/>
    <w:rPr>
      <w:sz w:val="16"/>
      <w:szCs w:val="16"/>
    </w:rPr>
  </w:style>
  <w:style w:type="paragraph" w:styleId="Tekstopmerking">
    <w:name w:val="annotation text"/>
    <w:basedOn w:val="Standaard"/>
    <w:link w:val="TekstopmerkingChar"/>
    <w:uiPriority w:val="99"/>
    <w:semiHidden/>
    <w:unhideWhenUsed/>
    <w:rsid w:val="00953A68"/>
    <w:rPr>
      <w:sz w:val="20"/>
      <w:szCs w:val="20"/>
    </w:rPr>
  </w:style>
  <w:style w:type="character" w:customStyle="1" w:styleId="TekstopmerkingChar">
    <w:name w:val="Tekst opmerking Char"/>
    <w:basedOn w:val="Standaardalinea-lettertype"/>
    <w:link w:val="Tekstopmerking"/>
    <w:uiPriority w:val="99"/>
    <w:semiHidden/>
    <w:rsid w:val="00953A68"/>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953A68"/>
    <w:rPr>
      <w:b/>
      <w:bCs/>
    </w:rPr>
  </w:style>
  <w:style w:type="character" w:customStyle="1" w:styleId="OnderwerpvanopmerkingChar">
    <w:name w:val="Onderwerp van opmerking Char"/>
    <w:basedOn w:val="TekstopmerkingChar"/>
    <w:link w:val="Onderwerpvanopmerking"/>
    <w:uiPriority w:val="99"/>
    <w:semiHidden/>
    <w:rsid w:val="00953A68"/>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415">
      <w:bodyDiv w:val="1"/>
      <w:marLeft w:val="0"/>
      <w:marRight w:val="0"/>
      <w:marTop w:val="0"/>
      <w:marBottom w:val="0"/>
      <w:divBdr>
        <w:top w:val="none" w:sz="0" w:space="0" w:color="auto"/>
        <w:left w:val="none" w:sz="0" w:space="0" w:color="auto"/>
        <w:bottom w:val="none" w:sz="0" w:space="0" w:color="auto"/>
        <w:right w:val="none" w:sz="0" w:space="0" w:color="auto"/>
      </w:divBdr>
      <w:divsChild>
        <w:div w:id="1973556485">
          <w:marLeft w:val="0"/>
          <w:marRight w:val="0"/>
          <w:marTop w:val="0"/>
          <w:marBottom w:val="0"/>
          <w:divBdr>
            <w:top w:val="none" w:sz="0" w:space="0" w:color="auto"/>
            <w:left w:val="none" w:sz="0" w:space="0" w:color="auto"/>
            <w:bottom w:val="none" w:sz="0" w:space="0" w:color="auto"/>
            <w:right w:val="none" w:sz="0" w:space="0" w:color="auto"/>
          </w:divBdr>
          <w:divsChild>
            <w:div w:id="1194030812">
              <w:marLeft w:val="0"/>
              <w:marRight w:val="0"/>
              <w:marTop w:val="0"/>
              <w:marBottom w:val="0"/>
              <w:divBdr>
                <w:top w:val="none" w:sz="0" w:space="0" w:color="auto"/>
                <w:left w:val="none" w:sz="0" w:space="0" w:color="auto"/>
                <w:bottom w:val="none" w:sz="0" w:space="0" w:color="auto"/>
                <w:right w:val="none" w:sz="0" w:space="0" w:color="auto"/>
              </w:divBdr>
              <w:divsChild>
                <w:div w:id="1623030854">
                  <w:marLeft w:val="0"/>
                  <w:marRight w:val="0"/>
                  <w:marTop w:val="0"/>
                  <w:marBottom w:val="0"/>
                  <w:divBdr>
                    <w:top w:val="none" w:sz="0" w:space="0" w:color="auto"/>
                    <w:left w:val="none" w:sz="0" w:space="0" w:color="auto"/>
                    <w:bottom w:val="none" w:sz="0" w:space="0" w:color="auto"/>
                    <w:right w:val="none" w:sz="0" w:space="0" w:color="auto"/>
                  </w:divBdr>
                  <w:divsChild>
                    <w:div w:id="1061169497">
                      <w:marLeft w:val="0"/>
                      <w:marRight w:val="0"/>
                      <w:marTop w:val="0"/>
                      <w:marBottom w:val="0"/>
                      <w:divBdr>
                        <w:top w:val="none" w:sz="0" w:space="0" w:color="auto"/>
                        <w:left w:val="none" w:sz="0" w:space="0" w:color="auto"/>
                        <w:bottom w:val="none" w:sz="0" w:space="0" w:color="auto"/>
                        <w:right w:val="none" w:sz="0" w:space="0" w:color="auto"/>
                      </w:divBdr>
                      <w:divsChild>
                        <w:div w:id="133179423">
                          <w:marLeft w:val="0"/>
                          <w:marRight w:val="0"/>
                          <w:marTop w:val="0"/>
                          <w:marBottom w:val="0"/>
                          <w:divBdr>
                            <w:top w:val="none" w:sz="0" w:space="0" w:color="auto"/>
                            <w:left w:val="none" w:sz="0" w:space="0" w:color="auto"/>
                            <w:bottom w:val="none" w:sz="0" w:space="0" w:color="auto"/>
                            <w:right w:val="none" w:sz="0" w:space="0" w:color="auto"/>
                          </w:divBdr>
                          <w:divsChild>
                            <w:div w:id="4217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5919">
      <w:bodyDiv w:val="1"/>
      <w:marLeft w:val="0"/>
      <w:marRight w:val="0"/>
      <w:marTop w:val="0"/>
      <w:marBottom w:val="0"/>
      <w:divBdr>
        <w:top w:val="none" w:sz="0" w:space="0" w:color="auto"/>
        <w:left w:val="none" w:sz="0" w:space="0" w:color="auto"/>
        <w:bottom w:val="none" w:sz="0" w:space="0" w:color="auto"/>
        <w:right w:val="none" w:sz="0" w:space="0" w:color="auto"/>
      </w:divBdr>
      <w:divsChild>
        <w:div w:id="1171487967">
          <w:marLeft w:val="0"/>
          <w:marRight w:val="0"/>
          <w:marTop w:val="0"/>
          <w:marBottom w:val="0"/>
          <w:divBdr>
            <w:top w:val="none" w:sz="0" w:space="0" w:color="auto"/>
            <w:left w:val="none" w:sz="0" w:space="0" w:color="auto"/>
            <w:bottom w:val="none" w:sz="0" w:space="0" w:color="auto"/>
            <w:right w:val="none" w:sz="0" w:space="0" w:color="auto"/>
          </w:divBdr>
          <w:divsChild>
            <w:div w:id="1013535688">
              <w:marLeft w:val="0"/>
              <w:marRight w:val="0"/>
              <w:marTop w:val="0"/>
              <w:marBottom w:val="0"/>
              <w:divBdr>
                <w:top w:val="none" w:sz="0" w:space="0" w:color="auto"/>
                <w:left w:val="none" w:sz="0" w:space="0" w:color="auto"/>
                <w:bottom w:val="none" w:sz="0" w:space="0" w:color="auto"/>
                <w:right w:val="none" w:sz="0" w:space="0" w:color="auto"/>
              </w:divBdr>
              <w:divsChild>
                <w:div w:id="1038967770">
                  <w:marLeft w:val="0"/>
                  <w:marRight w:val="0"/>
                  <w:marTop w:val="0"/>
                  <w:marBottom w:val="0"/>
                  <w:divBdr>
                    <w:top w:val="none" w:sz="0" w:space="0" w:color="auto"/>
                    <w:left w:val="none" w:sz="0" w:space="0" w:color="auto"/>
                    <w:bottom w:val="none" w:sz="0" w:space="0" w:color="auto"/>
                    <w:right w:val="none" w:sz="0" w:space="0" w:color="auto"/>
                  </w:divBdr>
                  <w:divsChild>
                    <w:div w:id="589433968">
                      <w:marLeft w:val="0"/>
                      <w:marRight w:val="0"/>
                      <w:marTop w:val="0"/>
                      <w:marBottom w:val="0"/>
                      <w:divBdr>
                        <w:top w:val="none" w:sz="0" w:space="0" w:color="auto"/>
                        <w:left w:val="none" w:sz="0" w:space="0" w:color="auto"/>
                        <w:bottom w:val="none" w:sz="0" w:space="0" w:color="auto"/>
                        <w:right w:val="none" w:sz="0" w:space="0" w:color="auto"/>
                      </w:divBdr>
                      <w:divsChild>
                        <w:div w:id="1583102467">
                          <w:marLeft w:val="0"/>
                          <w:marRight w:val="0"/>
                          <w:marTop w:val="0"/>
                          <w:marBottom w:val="0"/>
                          <w:divBdr>
                            <w:top w:val="none" w:sz="0" w:space="0" w:color="auto"/>
                            <w:left w:val="none" w:sz="0" w:space="0" w:color="auto"/>
                            <w:bottom w:val="none" w:sz="0" w:space="0" w:color="auto"/>
                            <w:right w:val="none" w:sz="0" w:space="0" w:color="auto"/>
                          </w:divBdr>
                          <w:divsChild>
                            <w:div w:id="18165699">
                              <w:marLeft w:val="0"/>
                              <w:marRight w:val="0"/>
                              <w:marTop w:val="0"/>
                              <w:marBottom w:val="0"/>
                              <w:divBdr>
                                <w:top w:val="none" w:sz="0" w:space="0" w:color="auto"/>
                                <w:left w:val="none" w:sz="0" w:space="0" w:color="auto"/>
                                <w:bottom w:val="none" w:sz="0" w:space="0" w:color="auto"/>
                                <w:right w:val="none" w:sz="0" w:space="0" w:color="auto"/>
                              </w:divBdr>
                            </w:div>
                          </w:divsChild>
                        </w:div>
                        <w:div w:id="2103909143">
                          <w:marLeft w:val="0"/>
                          <w:marRight w:val="0"/>
                          <w:marTop w:val="0"/>
                          <w:marBottom w:val="0"/>
                          <w:divBdr>
                            <w:top w:val="none" w:sz="0" w:space="0" w:color="auto"/>
                            <w:left w:val="none" w:sz="0" w:space="0" w:color="auto"/>
                            <w:bottom w:val="none" w:sz="0" w:space="0" w:color="auto"/>
                            <w:right w:val="none" w:sz="0" w:space="0" w:color="auto"/>
                          </w:divBdr>
                          <w:divsChild>
                            <w:div w:id="598877727">
                              <w:marLeft w:val="0"/>
                              <w:marRight w:val="0"/>
                              <w:marTop w:val="0"/>
                              <w:marBottom w:val="0"/>
                              <w:divBdr>
                                <w:top w:val="none" w:sz="0" w:space="0" w:color="auto"/>
                                <w:left w:val="none" w:sz="0" w:space="0" w:color="auto"/>
                                <w:bottom w:val="none" w:sz="0" w:space="0" w:color="auto"/>
                                <w:right w:val="none" w:sz="0" w:space="0" w:color="auto"/>
                              </w:divBdr>
                            </w:div>
                          </w:divsChild>
                        </w:div>
                        <w:div w:id="1526751706">
                          <w:marLeft w:val="0"/>
                          <w:marRight w:val="0"/>
                          <w:marTop w:val="0"/>
                          <w:marBottom w:val="0"/>
                          <w:divBdr>
                            <w:top w:val="none" w:sz="0" w:space="0" w:color="auto"/>
                            <w:left w:val="none" w:sz="0" w:space="0" w:color="auto"/>
                            <w:bottom w:val="none" w:sz="0" w:space="0" w:color="auto"/>
                            <w:right w:val="none" w:sz="0" w:space="0" w:color="auto"/>
                          </w:divBdr>
                          <w:divsChild>
                            <w:div w:id="1414475171">
                              <w:marLeft w:val="0"/>
                              <w:marRight w:val="0"/>
                              <w:marTop w:val="0"/>
                              <w:marBottom w:val="0"/>
                              <w:divBdr>
                                <w:top w:val="none" w:sz="0" w:space="0" w:color="auto"/>
                                <w:left w:val="none" w:sz="0" w:space="0" w:color="auto"/>
                                <w:bottom w:val="none" w:sz="0" w:space="0" w:color="auto"/>
                                <w:right w:val="none" w:sz="0" w:space="0" w:color="auto"/>
                              </w:divBdr>
                            </w:div>
                          </w:divsChild>
                        </w:div>
                        <w:div w:id="1589464613">
                          <w:marLeft w:val="0"/>
                          <w:marRight w:val="0"/>
                          <w:marTop w:val="0"/>
                          <w:marBottom w:val="0"/>
                          <w:divBdr>
                            <w:top w:val="none" w:sz="0" w:space="0" w:color="auto"/>
                            <w:left w:val="none" w:sz="0" w:space="0" w:color="auto"/>
                            <w:bottom w:val="none" w:sz="0" w:space="0" w:color="auto"/>
                            <w:right w:val="none" w:sz="0" w:space="0" w:color="auto"/>
                          </w:divBdr>
                          <w:divsChild>
                            <w:div w:id="118037275">
                              <w:marLeft w:val="0"/>
                              <w:marRight w:val="0"/>
                              <w:marTop w:val="0"/>
                              <w:marBottom w:val="0"/>
                              <w:divBdr>
                                <w:top w:val="none" w:sz="0" w:space="0" w:color="auto"/>
                                <w:left w:val="none" w:sz="0" w:space="0" w:color="auto"/>
                                <w:bottom w:val="none" w:sz="0" w:space="0" w:color="auto"/>
                                <w:right w:val="none" w:sz="0" w:space="0" w:color="auto"/>
                              </w:divBdr>
                            </w:div>
                          </w:divsChild>
                        </w:div>
                        <w:div w:id="30888135">
                          <w:marLeft w:val="0"/>
                          <w:marRight w:val="0"/>
                          <w:marTop w:val="0"/>
                          <w:marBottom w:val="0"/>
                          <w:divBdr>
                            <w:top w:val="none" w:sz="0" w:space="0" w:color="auto"/>
                            <w:left w:val="none" w:sz="0" w:space="0" w:color="auto"/>
                            <w:bottom w:val="none" w:sz="0" w:space="0" w:color="auto"/>
                            <w:right w:val="none" w:sz="0" w:space="0" w:color="auto"/>
                          </w:divBdr>
                          <w:divsChild>
                            <w:div w:id="37751695">
                              <w:marLeft w:val="0"/>
                              <w:marRight w:val="0"/>
                              <w:marTop w:val="0"/>
                              <w:marBottom w:val="0"/>
                              <w:divBdr>
                                <w:top w:val="none" w:sz="0" w:space="0" w:color="auto"/>
                                <w:left w:val="none" w:sz="0" w:space="0" w:color="auto"/>
                                <w:bottom w:val="none" w:sz="0" w:space="0" w:color="auto"/>
                                <w:right w:val="none" w:sz="0" w:space="0" w:color="auto"/>
                              </w:divBdr>
                            </w:div>
                          </w:divsChild>
                        </w:div>
                        <w:div w:id="1327829307">
                          <w:marLeft w:val="0"/>
                          <w:marRight w:val="0"/>
                          <w:marTop w:val="0"/>
                          <w:marBottom w:val="0"/>
                          <w:divBdr>
                            <w:top w:val="none" w:sz="0" w:space="0" w:color="auto"/>
                            <w:left w:val="none" w:sz="0" w:space="0" w:color="auto"/>
                            <w:bottom w:val="none" w:sz="0" w:space="0" w:color="auto"/>
                            <w:right w:val="none" w:sz="0" w:space="0" w:color="auto"/>
                          </w:divBdr>
                          <w:divsChild>
                            <w:div w:id="360597805">
                              <w:marLeft w:val="0"/>
                              <w:marRight w:val="0"/>
                              <w:marTop w:val="0"/>
                              <w:marBottom w:val="0"/>
                              <w:divBdr>
                                <w:top w:val="none" w:sz="0" w:space="0" w:color="auto"/>
                                <w:left w:val="none" w:sz="0" w:space="0" w:color="auto"/>
                                <w:bottom w:val="none" w:sz="0" w:space="0" w:color="auto"/>
                                <w:right w:val="none" w:sz="0" w:space="0" w:color="auto"/>
                              </w:divBdr>
                            </w:div>
                          </w:divsChild>
                        </w:div>
                        <w:div w:id="440805166">
                          <w:marLeft w:val="0"/>
                          <w:marRight w:val="0"/>
                          <w:marTop w:val="0"/>
                          <w:marBottom w:val="0"/>
                          <w:divBdr>
                            <w:top w:val="none" w:sz="0" w:space="0" w:color="auto"/>
                            <w:left w:val="none" w:sz="0" w:space="0" w:color="auto"/>
                            <w:bottom w:val="none" w:sz="0" w:space="0" w:color="auto"/>
                            <w:right w:val="none" w:sz="0" w:space="0" w:color="auto"/>
                          </w:divBdr>
                          <w:divsChild>
                            <w:div w:id="522978655">
                              <w:marLeft w:val="0"/>
                              <w:marRight w:val="0"/>
                              <w:marTop w:val="0"/>
                              <w:marBottom w:val="0"/>
                              <w:divBdr>
                                <w:top w:val="none" w:sz="0" w:space="0" w:color="auto"/>
                                <w:left w:val="none" w:sz="0" w:space="0" w:color="auto"/>
                                <w:bottom w:val="none" w:sz="0" w:space="0" w:color="auto"/>
                                <w:right w:val="none" w:sz="0" w:space="0" w:color="auto"/>
                              </w:divBdr>
                            </w:div>
                          </w:divsChild>
                        </w:div>
                        <w:div w:id="1047418142">
                          <w:marLeft w:val="0"/>
                          <w:marRight w:val="0"/>
                          <w:marTop w:val="0"/>
                          <w:marBottom w:val="0"/>
                          <w:divBdr>
                            <w:top w:val="none" w:sz="0" w:space="0" w:color="auto"/>
                            <w:left w:val="none" w:sz="0" w:space="0" w:color="auto"/>
                            <w:bottom w:val="none" w:sz="0" w:space="0" w:color="auto"/>
                            <w:right w:val="none" w:sz="0" w:space="0" w:color="auto"/>
                          </w:divBdr>
                          <w:divsChild>
                            <w:div w:id="323314673">
                              <w:marLeft w:val="0"/>
                              <w:marRight w:val="0"/>
                              <w:marTop w:val="0"/>
                              <w:marBottom w:val="0"/>
                              <w:divBdr>
                                <w:top w:val="none" w:sz="0" w:space="0" w:color="auto"/>
                                <w:left w:val="none" w:sz="0" w:space="0" w:color="auto"/>
                                <w:bottom w:val="none" w:sz="0" w:space="0" w:color="auto"/>
                                <w:right w:val="none" w:sz="0" w:space="0" w:color="auto"/>
                              </w:divBdr>
                            </w:div>
                          </w:divsChild>
                        </w:div>
                        <w:div w:id="78411581">
                          <w:marLeft w:val="0"/>
                          <w:marRight w:val="0"/>
                          <w:marTop w:val="0"/>
                          <w:marBottom w:val="0"/>
                          <w:divBdr>
                            <w:top w:val="none" w:sz="0" w:space="0" w:color="auto"/>
                            <w:left w:val="none" w:sz="0" w:space="0" w:color="auto"/>
                            <w:bottom w:val="none" w:sz="0" w:space="0" w:color="auto"/>
                            <w:right w:val="none" w:sz="0" w:space="0" w:color="auto"/>
                          </w:divBdr>
                          <w:divsChild>
                            <w:div w:id="2117669355">
                              <w:marLeft w:val="0"/>
                              <w:marRight w:val="0"/>
                              <w:marTop w:val="0"/>
                              <w:marBottom w:val="0"/>
                              <w:divBdr>
                                <w:top w:val="none" w:sz="0" w:space="0" w:color="auto"/>
                                <w:left w:val="none" w:sz="0" w:space="0" w:color="auto"/>
                                <w:bottom w:val="none" w:sz="0" w:space="0" w:color="auto"/>
                                <w:right w:val="none" w:sz="0" w:space="0" w:color="auto"/>
                              </w:divBdr>
                            </w:div>
                          </w:divsChild>
                        </w:div>
                        <w:div w:id="1458908560">
                          <w:marLeft w:val="0"/>
                          <w:marRight w:val="0"/>
                          <w:marTop w:val="0"/>
                          <w:marBottom w:val="0"/>
                          <w:divBdr>
                            <w:top w:val="none" w:sz="0" w:space="0" w:color="auto"/>
                            <w:left w:val="none" w:sz="0" w:space="0" w:color="auto"/>
                            <w:bottom w:val="none" w:sz="0" w:space="0" w:color="auto"/>
                            <w:right w:val="none" w:sz="0" w:space="0" w:color="auto"/>
                          </w:divBdr>
                          <w:divsChild>
                            <w:div w:id="294678898">
                              <w:marLeft w:val="0"/>
                              <w:marRight w:val="0"/>
                              <w:marTop w:val="0"/>
                              <w:marBottom w:val="0"/>
                              <w:divBdr>
                                <w:top w:val="none" w:sz="0" w:space="0" w:color="auto"/>
                                <w:left w:val="none" w:sz="0" w:space="0" w:color="auto"/>
                                <w:bottom w:val="none" w:sz="0" w:space="0" w:color="auto"/>
                                <w:right w:val="none" w:sz="0" w:space="0" w:color="auto"/>
                              </w:divBdr>
                            </w:div>
                          </w:divsChild>
                        </w:div>
                        <w:div w:id="2109691854">
                          <w:marLeft w:val="0"/>
                          <w:marRight w:val="0"/>
                          <w:marTop w:val="0"/>
                          <w:marBottom w:val="0"/>
                          <w:divBdr>
                            <w:top w:val="none" w:sz="0" w:space="0" w:color="auto"/>
                            <w:left w:val="none" w:sz="0" w:space="0" w:color="auto"/>
                            <w:bottom w:val="none" w:sz="0" w:space="0" w:color="auto"/>
                            <w:right w:val="none" w:sz="0" w:space="0" w:color="auto"/>
                          </w:divBdr>
                          <w:divsChild>
                            <w:div w:id="2008091178">
                              <w:marLeft w:val="0"/>
                              <w:marRight w:val="0"/>
                              <w:marTop w:val="0"/>
                              <w:marBottom w:val="0"/>
                              <w:divBdr>
                                <w:top w:val="none" w:sz="0" w:space="0" w:color="auto"/>
                                <w:left w:val="none" w:sz="0" w:space="0" w:color="auto"/>
                                <w:bottom w:val="none" w:sz="0" w:space="0" w:color="auto"/>
                                <w:right w:val="none" w:sz="0" w:space="0" w:color="auto"/>
                              </w:divBdr>
                            </w:div>
                          </w:divsChild>
                        </w:div>
                        <w:div w:id="1481574535">
                          <w:marLeft w:val="0"/>
                          <w:marRight w:val="0"/>
                          <w:marTop w:val="0"/>
                          <w:marBottom w:val="0"/>
                          <w:divBdr>
                            <w:top w:val="none" w:sz="0" w:space="0" w:color="auto"/>
                            <w:left w:val="none" w:sz="0" w:space="0" w:color="auto"/>
                            <w:bottom w:val="none" w:sz="0" w:space="0" w:color="auto"/>
                            <w:right w:val="none" w:sz="0" w:space="0" w:color="auto"/>
                          </w:divBdr>
                          <w:divsChild>
                            <w:div w:id="735321169">
                              <w:marLeft w:val="0"/>
                              <w:marRight w:val="0"/>
                              <w:marTop w:val="0"/>
                              <w:marBottom w:val="0"/>
                              <w:divBdr>
                                <w:top w:val="none" w:sz="0" w:space="0" w:color="auto"/>
                                <w:left w:val="none" w:sz="0" w:space="0" w:color="auto"/>
                                <w:bottom w:val="none" w:sz="0" w:space="0" w:color="auto"/>
                                <w:right w:val="none" w:sz="0" w:space="0" w:color="auto"/>
                              </w:divBdr>
                            </w:div>
                          </w:divsChild>
                        </w:div>
                        <w:div w:id="2112700541">
                          <w:marLeft w:val="0"/>
                          <w:marRight w:val="0"/>
                          <w:marTop w:val="0"/>
                          <w:marBottom w:val="0"/>
                          <w:divBdr>
                            <w:top w:val="none" w:sz="0" w:space="0" w:color="auto"/>
                            <w:left w:val="none" w:sz="0" w:space="0" w:color="auto"/>
                            <w:bottom w:val="none" w:sz="0" w:space="0" w:color="auto"/>
                            <w:right w:val="none" w:sz="0" w:space="0" w:color="auto"/>
                          </w:divBdr>
                          <w:divsChild>
                            <w:div w:id="7730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73767">
      <w:bodyDiv w:val="1"/>
      <w:marLeft w:val="0"/>
      <w:marRight w:val="0"/>
      <w:marTop w:val="0"/>
      <w:marBottom w:val="0"/>
      <w:divBdr>
        <w:top w:val="none" w:sz="0" w:space="0" w:color="auto"/>
        <w:left w:val="none" w:sz="0" w:space="0" w:color="auto"/>
        <w:bottom w:val="none" w:sz="0" w:space="0" w:color="auto"/>
        <w:right w:val="none" w:sz="0" w:space="0" w:color="auto"/>
      </w:divBdr>
      <w:divsChild>
        <w:div w:id="263003176">
          <w:marLeft w:val="0"/>
          <w:marRight w:val="0"/>
          <w:marTop w:val="0"/>
          <w:marBottom w:val="0"/>
          <w:divBdr>
            <w:top w:val="none" w:sz="0" w:space="0" w:color="auto"/>
            <w:left w:val="none" w:sz="0" w:space="0" w:color="auto"/>
            <w:bottom w:val="none" w:sz="0" w:space="0" w:color="auto"/>
            <w:right w:val="none" w:sz="0" w:space="0" w:color="auto"/>
          </w:divBdr>
          <w:divsChild>
            <w:div w:id="2636394">
              <w:marLeft w:val="0"/>
              <w:marRight w:val="0"/>
              <w:marTop w:val="0"/>
              <w:marBottom w:val="0"/>
              <w:divBdr>
                <w:top w:val="none" w:sz="0" w:space="0" w:color="auto"/>
                <w:left w:val="none" w:sz="0" w:space="0" w:color="auto"/>
                <w:bottom w:val="none" w:sz="0" w:space="0" w:color="auto"/>
                <w:right w:val="none" w:sz="0" w:space="0" w:color="auto"/>
              </w:divBdr>
              <w:divsChild>
                <w:div w:id="67581756">
                  <w:marLeft w:val="0"/>
                  <w:marRight w:val="0"/>
                  <w:marTop w:val="0"/>
                  <w:marBottom w:val="0"/>
                  <w:divBdr>
                    <w:top w:val="none" w:sz="0" w:space="0" w:color="auto"/>
                    <w:left w:val="none" w:sz="0" w:space="0" w:color="auto"/>
                    <w:bottom w:val="none" w:sz="0" w:space="0" w:color="auto"/>
                    <w:right w:val="none" w:sz="0" w:space="0" w:color="auto"/>
                  </w:divBdr>
                  <w:divsChild>
                    <w:div w:id="1869248514">
                      <w:marLeft w:val="0"/>
                      <w:marRight w:val="0"/>
                      <w:marTop w:val="0"/>
                      <w:marBottom w:val="0"/>
                      <w:divBdr>
                        <w:top w:val="none" w:sz="0" w:space="0" w:color="auto"/>
                        <w:left w:val="none" w:sz="0" w:space="0" w:color="auto"/>
                        <w:bottom w:val="none" w:sz="0" w:space="0" w:color="auto"/>
                        <w:right w:val="none" w:sz="0" w:space="0" w:color="auto"/>
                      </w:divBdr>
                      <w:divsChild>
                        <w:div w:id="848374806">
                          <w:marLeft w:val="0"/>
                          <w:marRight w:val="0"/>
                          <w:marTop w:val="0"/>
                          <w:marBottom w:val="0"/>
                          <w:divBdr>
                            <w:top w:val="none" w:sz="0" w:space="0" w:color="auto"/>
                            <w:left w:val="none" w:sz="0" w:space="0" w:color="auto"/>
                            <w:bottom w:val="none" w:sz="0" w:space="0" w:color="auto"/>
                            <w:right w:val="none" w:sz="0" w:space="0" w:color="auto"/>
                          </w:divBdr>
                          <w:divsChild>
                            <w:div w:id="2087871062">
                              <w:marLeft w:val="0"/>
                              <w:marRight w:val="0"/>
                              <w:marTop w:val="0"/>
                              <w:marBottom w:val="0"/>
                              <w:divBdr>
                                <w:top w:val="none" w:sz="0" w:space="0" w:color="auto"/>
                                <w:left w:val="none" w:sz="0" w:space="0" w:color="auto"/>
                                <w:bottom w:val="none" w:sz="0" w:space="0" w:color="auto"/>
                                <w:right w:val="none" w:sz="0" w:space="0" w:color="auto"/>
                              </w:divBdr>
                              <w:divsChild>
                                <w:div w:id="4745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670595299">
      <w:bodyDiv w:val="1"/>
      <w:marLeft w:val="0"/>
      <w:marRight w:val="0"/>
      <w:marTop w:val="0"/>
      <w:marBottom w:val="0"/>
      <w:divBdr>
        <w:top w:val="none" w:sz="0" w:space="0" w:color="auto"/>
        <w:left w:val="none" w:sz="0" w:space="0" w:color="auto"/>
        <w:bottom w:val="none" w:sz="0" w:space="0" w:color="auto"/>
        <w:right w:val="none" w:sz="0" w:space="0" w:color="auto"/>
      </w:divBdr>
      <w:divsChild>
        <w:div w:id="894779295">
          <w:marLeft w:val="0"/>
          <w:marRight w:val="0"/>
          <w:marTop w:val="0"/>
          <w:marBottom w:val="0"/>
          <w:divBdr>
            <w:top w:val="none" w:sz="0" w:space="0" w:color="auto"/>
            <w:left w:val="none" w:sz="0" w:space="0" w:color="auto"/>
            <w:bottom w:val="none" w:sz="0" w:space="0" w:color="auto"/>
            <w:right w:val="none" w:sz="0" w:space="0" w:color="auto"/>
          </w:divBdr>
          <w:divsChild>
            <w:div w:id="1120999310">
              <w:marLeft w:val="0"/>
              <w:marRight w:val="0"/>
              <w:marTop w:val="0"/>
              <w:marBottom w:val="0"/>
              <w:divBdr>
                <w:top w:val="none" w:sz="0" w:space="0" w:color="auto"/>
                <w:left w:val="none" w:sz="0" w:space="0" w:color="auto"/>
                <w:bottom w:val="none" w:sz="0" w:space="0" w:color="auto"/>
                <w:right w:val="none" w:sz="0" w:space="0" w:color="auto"/>
              </w:divBdr>
              <w:divsChild>
                <w:div w:id="2087220818">
                  <w:marLeft w:val="0"/>
                  <w:marRight w:val="0"/>
                  <w:marTop w:val="0"/>
                  <w:marBottom w:val="0"/>
                  <w:divBdr>
                    <w:top w:val="none" w:sz="0" w:space="0" w:color="auto"/>
                    <w:left w:val="none" w:sz="0" w:space="0" w:color="auto"/>
                    <w:bottom w:val="none" w:sz="0" w:space="0" w:color="auto"/>
                    <w:right w:val="none" w:sz="0" w:space="0" w:color="auto"/>
                  </w:divBdr>
                  <w:divsChild>
                    <w:div w:id="2389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11482">
      <w:bodyDiv w:val="1"/>
      <w:marLeft w:val="0"/>
      <w:marRight w:val="0"/>
      <w:marTop w:val="0"/>
      <w:marBottom w:val="0"/>
      <w:divBdr>
        <w:top w:val="none" w:sz="0" w:space="0" w:color="auto"/>
        <w:left w:val="none" w:sz="0" w:space="0" w:color="auto"/>
        <w:bottom w:val="none" w:sz="0" w:space="0" w:color="auto"/>
        <w:right w:val="none" w:sz="0" w:space="0" w:color="auto"/>
      </w:divBdr>
      <w:divsChild>
        <w:div w:id="379479610">
          <w:marLeft w:val="0"/>
          <w:marRight w:val="0"/>
          <w:marTop w:val="0"/>
          <w:marBottom w:val="0"/>
          <w:divBdr>
            <w:top w:val="none" w:sz="0" w:space="0" w:color="auto"/>
            <w:left w:val="none" w:sz="0" w:space="0" w:color="auto"/>
            <w:bottom w:val="none" w:sz="0" w:space="0" w:color="auto"/>
            <w:right w:val="none" w:sz="0" w:space="0" w:color="auto"/>
          </w:divBdr>
          <w:divsChild>
            <w:div w:id="1814443900">
              <w:marLeft w:val="0"/>
              <w:marRight w:val="0"/>
              <w:marTop w:val="0"/>
              <w:marBottom w:val="0"/>
              <w:divBdr>
                <w:top w:val="none" w:sz="0" w:space="0" w:color="auto"/>
                <w:left w:val="none" w:sz="0" w:space="0" w:color="auto"/>
                <w:bottom w:val="none" w:sz="0" w:space="0" w:color="auto"/>
                <w:right w:val="none" w:sz="0" w:space="0" w:color="auto"/>
              </w:divBdr>
              <w:divsChild>
                <w:div w:id="1276670887">
                  <w:marLeft w:val="0"/>
                  <w:marRight w:val="0"/>
                  <w:marTop w:val="0"/>
                  <w:marBottom w:val="0"/>
                  <w:divBdr>
                    <w:top w:val="none" w:sz="0" w:space="0" w:color="auto"/>
                    <w:left w:val="none" w:sz="0" w:space="0" w:color="auto"/>
                    <w:bottom w:val="none" w:sz="0" w:space="0" w:color="auto"/>
                    <w:right w:val="none" w:sz="0" w:space="0" w:color="auto"/>
                  </w:divBdr>
                  <w:divsChild>
                    <w:div w:id="1572425071">
                      <w:marLeft w:val="0"/>
                      <w:marRight w:val="0"/>
                      <w:marTop w:val="0"/>
                      <w:marBottom w:val="0"/>
                      <w:divBdr>
                        <w:top w:val="none" w:sz="0" w:space="0" w:color="auto"/>
                        <w:left w:val="none" w:sz="0" w:space="0" w:color="auto"/>
                        <w:bottom w:val="none" w:sz="0" w:space="0" w:color="auto"/>
                        <w:right w:val="none" w:sz="0" w:space="0" w:color="auto"/>
                      </w:divBdr>
                      <w:divsChild>
                        <w:div w:id="2824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pbl.nl/sites/default/files/cms/publicaties/PBL-2012-Natuurverkenning-2010-2040-50041400-met-links.pdf" TargetMode="External"/><Relationship Id="rId2" Type="http://schemas.openxmlformats.org/officeDocument/2006/relationships/hyperlink" Target="http://www.portaalnatuurenlandschap.nl/themas/natuurmeting-op-kaart/nieuws/natuurmeting-op-kaart-rapportage-peildatum-1-1-2014-gepubliceerd/" TargetMode="External"/><Relationship Id="rId1" Type="http://schemas.openxmlformats.org/officeDocument/2006/relationships/hyperlink" Target="http://www.bij12.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3979</ap:Words>
  <ap:Characters>22113</ap:Characters>
  <ap:DocSecurity>4</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2016-02-16T08:07:00.0000000Z</lastPrinted>
  <dcterms:created xsi:type="dcterms:W3CDTF">2016-03-02T15:53:00.0000000Z</dcterms:created>
  <dcterms:modified xsi:type="dcterms:W3CDTF">2016-03-02T15:53:00.0000000Z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