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4" w:rsidP="00576674" w:rsidRDefault="00F50A0B">
      <w:pPr>
        <w:rPr>
          <w:rFonts w:asciiTheme="minorHAnsi" w:hAnsiTheme="minorHAnsi"/>
          <w:b/>
          <w:sz w:val="22"/>
          <w:szCs w:val="22"/>
        </w:rPr>
      </w:pPr>
      <w:r>
        <w:rPr>
          <w:rFonts w:asciiTheme="minorHAnsi" w:hAnsiTheme="minorHAnsi"/>
          <w:b/>
          <w:sz w:val="22"/>
          <w:szCs w:val="22"/>
        </w:rPr>
        <w:t>Overzicht nieuw gepubliceerde EU-voorstellen</w:t>
      </w:r>
      <w:r w:rsidRPr="00F67F5B" w:rsidR="00576674">
        <w:rPr>
          <w:rFonts w:asciiTheme="minorHAnsi" w:hAnsiTheme="minorHAnsi"/>
          <w:b/>
          <w:sz w:val="22"/>
          <w:szCs w:val="22"/>
        </w:rPr>
        <w:t xml:space="preserve"> </w:t>
      </w:r>
    </w:p>
    <w:p w:rsidRPr="00F67F5B" w:rsidR="00F50A0B" w:rsidP="00576674" w:rsidRDefault="00F50A0B">
      <w:pPr>
        <w:rPr>
          <w:rFonts w:asciiTheme="minorHAnsi" w:hAnsiTheme="minorHAnsi"/>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3C35BA">
        <w:rPr>
          <w:rFonts w:asciiTheme="minorHAnsi" w:hAnsiTheme="minorHAnsi"/>
          <w:sz w:val="22"/>
          <w:szCs w:val="22"/>
          <w:u w:val="single"/>
        </w:rPr>
        <w:t xml:space="preserve">week </w:t>
      </w:r>
      <w:r w:rsidR="0083321D">
        <w:rPr>
          <w:rFonts w:asciiTheme="minorHAnsi" w:hAnsiTheme="minorHAnsi"/>
          <w:sz w:val="22"/>
          <w:szCs w:val="22"/>
          <w:u w:val="single"/>
        </w:rPr>
        <w:t>7 (15-19 februari 2016)</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83321D">
        <w:trPr>
          <w:trHeight w:val="1550"/>
        </w:trPr>
        <w:tc>
          <w:tcPr>
            <w:tcW w:w="980" w:type="dxa"/>
            <w:shd w:val="clear" w:color="auto" w:fill="auto"/>
            <w:textDirection w:val="btLr"/>
            <w:hideMark/>
          </w:tcPr>
          <w:p w:rsidRPr="00F50A0B" w:rsidR="00454C0B" w:rsidP="0083321D"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83321D"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hideMark/>
          </w:tcPr>
          <w:p w:rsidRPr="00F67F5B" w:rsidR="00576674" w:rsidP="0083321D"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hideMark/>
          </w:tcPr>
          <w:p w:rsidRPr="00F67F5B" w:rsidR="00576674" w:rsidP="0083321D"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hideMark/>
          </w:tcPr>
          <w:p w:rsidRPr="00F67F5B" w:rsidR="00576674" w:rsidP="0083321D"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hideMark/>
          </w:tcPr>
          <w:p w:rsidRPr="00F67F5B" w:rsidR="00576674" w:rsidP="0083321D"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83321D" w:rsidRDefault="00454C0B">
            <w:pPr>
              <w:jc w:val="center"/>
              <w:rPr>
                <w:rFonts w:asciiTheme="minorHAnsi" w:hAnsiTheme="minorHAnsi"/>
                <w:b/>
                <w:bCs/>
                <w:color w:val="000000"/>
                <w:sz w:val="22"/>
                <w:szCs w:val="22"/>
              </w:rPr>
            </w:pPr>
          </w:p>
          <w:p w:rsidRPr="00F50A0B" w:rsidR="00576674" w:rsidP="0083321D"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83321D" w:rsidRDefault="00454C0B">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hideMark/>
          </w:tcPr>
          <w:p w:rsidRPr="00F67F5B" w:rsidR="00576674" w:rsidP="0083321D"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83321D" w:rsidTr="0083321D">
        <w:trPr>
          <w:trHeight w:val="884"/>
        </w:trPr>
        <w:tc>
          <w:tcPr>
            <w:tcW w:w="980"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18-feb-16</w:t>
            </w:r>
          </w:p>
        </w:tc>
        <w:tc>
          <w:tcPr>
            <w:tcW w:w="1203"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EU</w:t>
            </w:r>
          </w:p>
        </w:tc>
        <w:tc>
          <w:tcPr>
            <w:tcW w:w="1254"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Besluit</w:t>
            </w:r>
          </w:p>
        </w:tc>
        <w:tc>
          <w:tcPr>
            <w:tcW w:w="4890" w:type="dxa"/>
            <w:shd w:val="clear" w:color="auto" w:fill="auto"/>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 xml:space="preserve">Aanbeveling voor een BESLUIT VAN DE RAAD houdende goedkeuring van de sluiting door de Europese Commissie namens de Europese Gemeenschap voor Atoomenergie, van het protocol bij de partnerschaps- en samenwerkingsovereenkomst tussen de Europese Gemeenschappen en hun lidstaten, enerzijds, en Turkmenistan, anderzijds, in verband met de toetreding van de Republiek Bulgarije, de Tsjechische Republiek, de Republiek Estland, de Republiek Kroatië, de Republiek Cyprus, de Republiek Letland, de Republiek Litouwen, Hongarije, de Republiek Malta, de Republiek Polen, Roemenië, de Republiek Slovenië en de </w:t>
            </w:r>
            <w:proofErr w:type="spellStart"/>
            <w:r w:rsidRPr="0083321D">
              <w:rPr>
                <w:rFonts w:asciiTheme="minorHAnsi" w:hAnsiTheme="minorHAnsi"/>
                <w:color w:val="000000"/>
                <w:sz w:val="22"/>
              </w:rPr>
              <w:t>Slowaakse</w:t>
            </w:r>
            <w:proofErr w:type="spellEnd"/>
            <w:r w:rsidRPr="0083321D">
              <w:rPr>
                <w:rFonts w:asciiTheme="minorHAnsi" w:hAnsiTheme="minorHAnsi"/>
                <w:color w:val="000000"/>
                <w:sz w:val="22"/>
              </w:rPr>
              <w:t xml:space="preserve"> Republiek tot de Europese Unie. </w:t>
            </w:r>
          </w:p>
        </w:tc>
        <w:tc>
          <w:tcPr>
            <w:tcW w:w="720" w:type="dxa"/>
            <w:shd w:val="clear" w:color="auto" w:fill="auto"/>
            <w:noWrap/>
          </w:tcPr>
          <w:p w:rsidRPr="0083321D" w:rsidR="0083321D" w:rsidP="0083321D" w:rsidRDefault="0083321D">
            <w:pPr>
              <w:rPr>
                <w:rFonts w:asciiTheme="minorHAnsi" w:hAnsiTheme="minorHAnsi" w:eastAsiaTheme="minorHAnsi"/>
                <w:color w:val="0000FF"/>
                <w:sz w:val="22"/>
                <w:szCs w:val="22"/>
                <w:u w:val="single"/>
              </w:rPr>
            </w:pPr>
            <w:hyperlink w:history="1" r:id="rId7">
              <w:r w:rsidRPr="0083321D">
                <w:rPr>
                  <w:rStyle w:val="Hyperlink"/>
                  <w:rFonts w:asciiTheme="minorHAnsi" w:hAnsiTheme="minorHAnsi"/>
                  <w:sz w:val="22"/>
                </w:rPr>
                <w:t>66</w:t>
              </w:r>
            </w:hyperlink>
          </w:p>
        </w:tc>
        <w:tc>
          <w:tcPr>
            <w:tcW w:w="1033" w:type="dxa"/>
          </w:tcPr>
          <w:p w:rsidRPr="0083321D" w:rsidR="0083321D" w:rsidP="0083321D" w:rsidRDefault="0083321D">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Pr="00516474" w:rsidR="0083321D" w:rsidP="00516474" w:rsidRDefault="0083321D">
            <w:pPr>
              <w:rPr>
                <w:rFonts w:asciiTheme="minorHAnsi" w:hAnsiTheme="minorHAnsi"/>
                <w:color w:val="000000"/>
                <w:sz w:val="22"/>
                <w:szCs w:val="22"/>
              </w:rPr>
            </w:pPr>
            <w:r w:rsidRPr="005856A7">
              <w:rPr>
                <w:rFonts w:asciiTheme="minorHAnsi" w:hAnsiTheme="minorHAnsi"/>
                <w:color w:val="000000"/>
                <w:sz w:val="22"/>
                <w:szCs w:val="22"/>
                <w:u w:val="single"/>
              </w:rPr>
              <w:t>Behandelvoorst</w:t>
            </w:r>
            <w:bookmarkStart w:name="_GoBack" w:id="0"/>
            <w:bookmarkEnd w:id="0"/>
            <w:r w:rsidRPr="005856A7">
              <w:rPr>
                <w:rFonts w:asciiTheme="minorHAnsi" w:hAnsiTheme="minorHAnsi"/>
                <w:color w:val="000000"/>
                <w:sz w:val="22"/>
                <w:szCs w:val="22"/>
                <w:u w:val="single"/>
              </w:rPr>
              <w:t>el</w:t>
            </w:r>
            <w:r>
              <w:rPr>
                <w:rFonts w:asciiTheme="minorHAnsi" w:hAnsiTheme="minorHAnsi"/>
                <w:color w:val="000000"/>
                <w:sz w:val="22"/>
                <w:szCs w:val="22"/>
              </w:rPr>
              <w:t xml:space="preserve">: </w:t>
            </w:r>
            <w:proofErr w:type="spellStart"/>
            <w:r>
              <w:rPr>
                <w:rFonts w:asciiTheme="minorHAnsi" w:hAnsiTheme="minorHAnsi"/>
                <w:color w:val="000000"/>
                <w:sz w:val="22"/>
                <w:szCs w:val="22"/>
              </w:rPr>
              <w:t>vka</w:t>
            </w:r>
            <w:proofErr w:type="spellEnd"/>
            <w:r>
              <w:rPr>
                <w:rFonts w:asciiTheme="minorHAnsi" w:hAnsiTheme="minorHAnsi"/>
                <w:color w:val="000000"/>
                <w:sz w:val="22"/>
                <w:szCs w:val="22"/>
              </w:rPr>
              <w:t>.</w:t>
            </w:r>
          </w:p>
        </w:tc>
      </w:tr>
      <w:tr w:rsidRPr="00F67F5B" w:rsidR="0083321D" w:rsidTr="0083321D">
        <w:trPr>
          <w:trHeight w:val="884"/>
        </w:trPr>
        <w:tc>
          <w:tcPr>
            <w:tcW w:w="980"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18-feb-16</w:t>
            </w:r>
          </w:p>
        </w:tc>
        <w:tc>
          <w:tcPr>
            <w:tcW w:w="1203"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EU</w:t>
            </w:r>
          </w:p>
        </w:tc>
        <w:tc>
          <w:tcPr>
            <w:tcW w:w="1254"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Besluit</w:t>
            </w:r>
          </w:p>
        </w:tc>
        <w:tc>
          <w:tcPr>
            <w:tcW w:w="4890" w:type="dxa"/>
            <w:shd w:val="clear" w:color="auto" w:fill="auto"/>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 xml:space="preserve">Voorstel voor een besluit van de Raad betreffende de sluiting, namens de Europese Unie en haar lidstaten, van het protocol bij de partnerschaps- en samenwerkingsovereenkomst tussen de Europese Gemeenschappen en hun lidstaten, enerzijds, en Turkmenistan, anderzijds, in verband met de toetreding van de Republiek Bulgarije, de Tsjechische Republiek, de Republiek Estland, de Republiek Kroatië, de Republiek Cyprus, de </w:t>
            </w:r>
            <w:r w:rsidRPr="0083321D">
              <w:rPr>
                <w:rFonts w:asciiTheme="minorHAnsi" w:hAnsiTheme="minorHAnsi"/>
                <w:color w:val="000000"/>
                <w:sz w:val="22"/>
              </w:rPr>
              <w:lastRenderedPageBreak/>
              <w:t xml:space="preserve">Republiek Letland, de Republiek Litouwen, Hongarije, de Republiek Malta, de Republiek Polen, Roemenië, de Republiek Slovenië en de </w:t>
            </w:r>
            <w:proofErr w:type="spellStart"/>
            <w:r w:rsidRPr="0083321D">
              <w:rPr>
                <w:rFonts w:asciiTheme="minorHAnsi" w:hAnsiTheme="minorHAnsi"/>
                <w:color w:val="000000"/>
                <w:sz w:val="22"/>
              </w:rPr>
              <w:t>Slowaakse</w:t>
            </w:r>
            <w:proofErr w:type="spellEnd"/>
            <w:r w:rsidRPr="0083321D">
              <w:rPr>
                <w:rFonts w:asciiTheme="minorHAnsi" w:hAnsiTheme="minorHAnsi"/>
                <w:color w:val="000000"/>
                <w:sz w:val="22"/>
              </w:rPr>
              <w:t xml:space="preserve"> Republiek tot de Europese Unie </w:t>
            </w:r>
          </w:p>
        </w:tc>
        <w:tc>
          <w:tcPr>
            <w:tcW w:w="720" w:type="dxa"/>
            <w:shd w:val="clear" w:color="auto" w:fill="auto"/>
            <w:noWrap/>
          </w:tcPr>
          <w:p w:rsidRPr="0083321D" w:rsidR="0083321D" w:rsidP="0083321D" w:rsidRDefault="0083321D">
            <w:pPr>
              <w:rPr>
                <w:rFonts w:asciiTheme="minorHAnsi" w:hAnsiTheme="minorHAnsi" w:eastAsiaTheme="minorHAnsi"/>
                <w:color w:val="0000FF"/>
                <w:sz w:val="22"/>
                <w:szCs w:val="22"/>
                <w:u w:val="single"/>
              </w:rPr>
            </w:pPr>
            <w:hyperlink w:history="1" r:id="rId8">
              <w:r w:rsidRPr="0083321D">
                <w:rPr>
                  <w:rStyle w:val="Hyperlink"/>
                  <w:rFonts w:asciiTheme="minorHAnsi" w:hAnsiTheme="minorHAnsi"/>
                  <w:sz w:val="22"/>
                </w:rPr>
                <w:t>69</w:t>
              </w:r>
            </w:hyperlink>
          </w:p>
        </w:tc>
        <w:tc>
          <w:tcPr>
            <w:tcW w:w="1033" w:type="dxa"/>
          </w:tcPr>
          <w:p w:rsidRPr="0083321D" w:rsidR="0083321D" w:rsidP="0083321D" w:rsidRDefault="0083321D">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Pr="00516474" w:rsidR="0083321D" w:rsidP="00651515" w:rsidRDefault="0083321D">
            <w:pPr>
              <w:rPr>
                <w:rFonts w:asciiTheme="minorHAnsi" w:hAnsiTheme="minorHAnsi"/>
                <w:color w:val="000000"/>
                <w:sz w:val="22"/>
                <w:szCs w:val="22"/>
              </w:rPr>
            </w:pPr>
            <w:r w:rsidRPr="005856A7">
              <w:rPr>
                <w:rFonts w:asciiTheme="minorHAnsi" w:hAnsiTheme="minorHAnsi"/>
                <w:color w:val="000000"/>
                <w:sz w:val="22"/>
                <w:szCs w:val="22"/>
                <w:u w:val="single"/>
              </w:rPr>
              <w:t>Behandelvoorstel</w:t>
            </w:r>
            <w:r>
              <w:rPr>
                <w:rFonts w:asciiTheme="minorHAnsi" w:hAnsiTheme="minorHAnsi"/>
                <w:color w:val="000000"/>
                <w:sz w:val="22"/>
                <w:szCs w:val="22"/>
              </w:rPr>
              <w:t xml:space="preserve">: </w:t>
            </w:r>
            <w:proofErr w:type="spellStart"/>
            <w:r>
              <w:rPr>
                <w:rFonts w:asciiTheme="minorHAnsi" w:hAnsiTheme="minorHAnsi"/>
                <w:color w:val="000000"/>
                <w:sz w:val="22"/>
                <w:szCs w:val="22"/>
              </w:rPr>
              <w:t>vka</w:t>
            </w:r>
            <w:proofErr w:type="spellEnd"/>
            <w:r>
              <w:rPr>
                <w:rFonts w:asciiTheme="minorHAnsi" w:hAnsiTheme="minorHAnsi"/>
                <w:color w:val="000000"/>
                <w:sz w:val="22"/>
                <w:szCs w:val="22"/>
              </w:rPr>
              <w:t>.</w:t>
            </w:r>
          </w:p>
        </w:tc>
      </w:tr>
      <w:tr w:rsidRPr="00F67F5B" w:rsidR="0083321D" w:rsidTr="0083321D">
        <w:trPr>
          <w:trHeight w:val="884"/>
        </w:trPr>
        <w:tc>
          <w:tcPr>
            <w:tcW w:w="980"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lastRenderedPageBreak/>
              <w:t>18-feb-16</w:t>
            </w:r>
          </w:p>
        </w:tc>
        <w:tc>
          <w:tcPr>
            <w:tcW w:w="1203"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EU</w:t>
            </w:r>
          </w:p>
        </w:tc>
        <w:tc>
          <w:tcPr>
            <w:tcW w:w="1254" w:type="dxa"/>
            <w:shd w:val="clear" w:color="auto" w:fill="auto"/>
            <w:noWrap/>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Besluit</w:t>
            </w:r>
          </w:p>
        </w:tc>
        <w:tc>
          <w:tcPr>
            <w:tcW w:w="4890" w:type="dxa"/>
            <w:shd w:val="clear" w:color="auto" w:fill="auto"/>
          </w:tcPr>
          <w:p w:rsidRPr="0083321D" w:rsidR="0083321D" w:rsidP="0083321D" w:rsidRDefault="0083321D">
            <w:pPr>
              <w:rPr>
                <w:rFonts w:asciiTheme="minorHAnsi" w:hAnsiTheme="minorHAnsi" w:eastAsiaTheme="minorHAnsi"/>
                <w:color w:val="000000"/>
                <w:sz w:val="22"/>
                <w:szCs w:val="22"/>
              </w:rPr>
            </w:pPr>
            <w:r w:rsidRPr="0083321D">
              <w:rPr>
                <w:rFonts w:asciiTheme="minorHAnsi" w:hAnsiTheme="minorHAnsi"/>
                <w:color w:val="000000"/>
                <w:sz w:val="22"/>
              </w:rPr>
              <w:t xml:space="preserve">Voorstel voor een besluit van de Raad betreffende de ondertekening, namens de Europese Unie en haar lidstaten, van het protocol bij de partnerschaps- en samenwerkingsovereenkomst tussen de Europese Gemeenschappen en hun lidstaten, enerzijds, en Turkmenistan, anderzijds, in verband met de toetreding van de Republiek Bulgarije, de Tsjechische Republiek, de Republiek Estland, de Republiek Kroatië, de Republiek Cyprus, de Republiek Letland, de Republiek Litouwen, Hongarije, de Republiek Malta, de Republiek Polen, Roemenië, de Republiek Slovenië en de </w:t>
            </w:r>
            <w:proofErr w:type="spellStart"/>
            <w:r w:rsidRPr="0083321D">
              <w:rPr>
                <w:rFonts w:asciiTheme="minorHAnsi" w:hAnsiTheme="minorHAnsi"/>
                <w:color w:val="000000"/>
                <w:sz w:val="22"/>
              </w:rPr>
              <w:t>Slowaakse</w:t>
            </w:r>
            <w:proofErr w:type="spellEnd"/>
            <w:r w:rsidRPr="0083321D">
              <w:rPr>
                <w:rFonts w:asciiTheme="minorHAnsi" w:hAnsiTheme="minorHAnsi"/>
                <w:color w:val="000000"/>
                <w:sz w:val="22"/>
              </w:rPr>
              <w:t xml:space="preserve"> Republiek tot de Europese Unie</w:t>
            </w:r>
          </w:p>
        </w:tc>
        <w:tc>
          <w:tcPr>
            <w:tcW w:w="720" w:type="dxa"/>
            <w:shd w:val="clear" w:color="auto" w:fill="auto"/>
            <w:noWrap/>
          </w:tcPr>
          <w:p w:rsidRPr="0083321D" w:rsidR="0083321D" w:rsidP="0083321D" w:rsidRDefault="0083321D">
            <w:pPr>
              <w:rPr>
                <w:rFonts w:asciiTheme="minorHAnsi" w:hAnsiTheme="minorHAnsi" w:eastAsiaTheme="minorHAnsi"/>
                <w:color w:val="0000FF"/>
                <w:sz w:val="22"/>
                <w:szCs w:val="22"/>
                <w:u w:val="single"/>
              </w:rPr>
            </w:pPr>
            <w:hyperlink w:history="1" r:id="rId9">
              <w:r w:rsidRPr="0083321D">
                <w:rPr>
                  <w:rStyle w:val="Hyperlink"/>
                  <w:rFonts w:asciiTheme="minorHAnsi" w:hAnsiTheme="minorHAnsi"/>
                  <w:sz w:val="22"/>
                </w:rPr>
                <w:t>70</w:t>
              </w:r>
            </w:hyperlink>
          </w:p>
        </w:tc>
        <w:tc>
          <w:tcPr>
            <w:tcW w:w="1033" w:type="dxa"/>
          </w:tcPr>
          <w:p w:rsidRPr="0083321D" w:rsidR="0083321D" w:rsidP="0083321D" w:rsidRDefault="0083321D">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Pr="00516474" w:rsidR="0083321D" w:rsidP="00651515" w:rsidRDefault="0083321D">
            <w:pPr>
              <w:rPr>
                <w:rFonts w:asciiTheme="minorHAnsi" w:hAnsiTheme="minorHAnsi"/>
                <w:color w:val="000000"/>
                <w:sz w:val="22"/>
                <w:szCs w:val="22"/>
              </w:rPr>
            </w:pPr>
            <w:r w:rsidRPr="005856A7">
              <w:rPr>
                <w:rFonts w:asciiTheme="minorHAnsi" w:hAnsiTheme="minorHAnsi"/>
                <w:color w:val="000000"/>
                <w:sz w:val="22"/>
                <w:szCs w:val="22"/>
                <w:u w:val="single"/>
              </w:rPr>
              <w:t>Behandelvoorstel</w:t>
            </w:r>
            <w:r>
              <w:rPr>
                <w:rFonts w:asciiTheme="minorHAnsi" w:hAnsiTheme="minorHAnsi"/>
                <w:color w:val="000000"/>
                <w:sz w:val="22"/>
                <w:szCs w:val="22"/>
              </w:rPr>
              <w:t xml:space="preserve">: </w:t>
            </w:r>
            <w:proofErr w:type="spellStart"/>
            <w:r>
              <w:rPr>
                <w:rFonts w:asciiTheme="minorHAnsi" w:hAnsiTheme="minorHAnsi"/>
                <w:color w:val="000000"/>
                <w:sz w:val="22"/>
                <w:szCs w:val="22"/>
              </w:rPr>
              <w:t>vka</w:t>
            </w:r>
            <w:proofErr w:type="spellEnd"/>
            <w:r>
              <w:rPr>
                <w:rFonts w:asciiTheme="minorHAnsi" w:hAnsiTheme="minorHAnsi"/>
                <w:color w:val="000000"/>
                <w:sz w:val="22"/>
                <w:szCs w:val="22"/>
              </w:rPr>
              <w:t>.</w:t>
            </w:r>
          </w:p>
        </w:tc>
      </w:tr>
    </w:tbl>
    <w:p w:rsidRPr="00F67F5B" w:rsidR="00576674" w:rsidP="00576674" w:rsidRDefault="00576674">
      <w:pPr>
        <w:rPr>
          <w:rFonts w:asciiTheme="minorHAnsi" w:hAnsiTheme="minorHAnsi"/>
          <w:sz w:val="22"/>
          <w:szCs w:val="22"/>
        </w:rPr>
      </w:pPr>
    </w:p>
    <w:p w:rsidR="004C7A6A" w:rsidRDefault="004C7A6A"/>
    <w:sectPr w:rsidR="004C7A6A" w:rsidSect="00BF35EE">
      <w:footerReference w:type="default" r:id="rId10"/>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AE" w:rsidRDefault="00207E0A">
      <w:r>
        <w:separator/>
      </w:r>
    </w:p>
  </w:endnote>
  <w:endnote w:type="continuationSeparator" w:id="0">
    <w:p w:rsidR="00A91CAE" w:rsidRDefault="0020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83321D">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1A689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AE" w:rsidRDefault="00207E0A">
      <w:r>
        <w:separator/>
      </w:r>
    </w:p>
  </w:footnote>
  <w:footnote w:type="continuationSeparator" w:id="0">
    <w:p w:rsidR="00A91CAE" w:rsidRDefault="0020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207E0A"/>
    <w:rsid w:val="00270661"/>
    <w:rsid w:val="002E1447"/>
    <w:rsid w:val="003C35BA"/>
    <w:rsid w:val="00454C0B"/>
    <w:rsid w:val="004C7A6A"/>
    <w:rsid w:val="00516474"/>
    <w:rsid w:val="00575D2D"/>
    <w:rsid w:val="00576674"/>
    <w:rsid w:val="007529D4"/>
    <w:rsid w:val="00827F25"/>
    <w:rsid w:val="0083321D"/>
    <w:rsid w:val="00A762AC"/>
    <w:rsid w:val="00A7766A"/>
    <w:rsid w:val="00A91CAE"/>
    <w:rsid w:val="00B30C96"/>
    <w:rsid w:val="00B823EF"/>
    <w:rsid w:val="00D66EED"/>
    <w:rsid w:val="00DF3FBF"/>
    <w:rsid w:val="00E512BF"/>
    <w:rsid w:val="00EA2272"/>
    <w:rsid w:val="00F50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069.do" TargetMode="External" Id="rId8" /><Relationship Type="http://schemas.openxmlformats.org/officeDocument/2006/relationships/settings" Target="settings.xml" Id="rId3" /><Relationship Type="http://schemas.openxmlformats.org/officeDocument/2006/relationships/hyperlink" Target="http://www.ipex.eu/IPEXL-WEB/dossier/document/COM20160066.do"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www.ipex.eu/IPEXL-WEB/dossier/document/COM20160070.do"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296</ap:Words>
  <ap:Characters>2157</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2016-02-24T14:49:00.0000000Z</dcterms:created>
  <dcterms:modified xsi:type="dcterms:W3CDTF">2016-02-24T14:49:00.0000000Z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0x01010067BE02A04C792B49B36F3FBE2B2EF06D</vt:lpwstr>
  </property>
</Properties>
</file>