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640" w:rsidP="001D4BC5" w:rsidRDefault="001D4BC5">
      <w:pPr>
        <w:spacing w:before="240" w:after="0" w:line="240" w:lineRule="auto"/>
        <w:rPr>
          <w:rFonts w:ascii="Times New Roman" w:hAnsi="Times New Roman" w:eastAsia="MS Mincho" w:cs="Times New Roman"/>
          <w:color w:val="000000"/>
          <w:sz w:val="24"/>
          <w:szCs w:val="24"/>
          <w:shd w:val="clear" w:color="auto" w:fill="FFFFFF"/>
          <w:lang w:eastAsia="nl-NL"/>
        </w:rPr>
      </w:pPr>
      <w:r>
        <w:rPr>
          <w:rFonts w:ascii="Times New Roman" w:hAnsi="Times New Roman" w:eastAsia="MS Mincho" w:cs="Times New Roman"/>
          <w:b/>
          <w:color w:val="000000"/>
          <w:sz w:val="24"/>
          <w:szCs w:val="24"/>
          <w:shd w:val="clear" w:color="auto" w:fill="FFFFFF"/>
          <w:lang w:eastAsia="nl-NL"/>
        </w:rPr>
        <w:t xml:space="preserve">Modernisering </w:t>
      </w:r>
      <w:r w:rsidRPr="007C5808" w:rsidR="002B105D">
        <w:rPr>
          <w:rFonts w:ascii="Times New Roman" w:hAnsi="Times New Roman" w:eastAsia="MS Mincho" w:cs="Times New Roman"/>
          <w:b/>
          <w:color w:val="000000"/>
          <w:sz w:val="24"/>
          <w:szCs w:val="24"/>
          <w:shd w:val="clear" w:color="auto" w:fill="FFFFFF"/>
          <w:lang w:eastAsia="nl-NL"/>
        </w:rPr>
        <w:t xml:space="preserve">van </w:t>
      </w:r>
      <w:r w:rsidRPr="007C5808" w:rsidR="007773D5">
        <w:rPr>
          <w:rFonts w:ascii="Times New Roman" w:hAnsi="Times New Roman" w:eastAsia="MS Mincho" w:cs="Times New Roman"/>
          <w:b/>
          <w:color w:val="000000"/>
          <w:sz w:val="24"/>
          <w:szCs w:val="24"/>
          <w:shd w:val="clear" w:color="auto" w:fill="FFFFFF"/>
          <w:lang w:eastAsia="nl-NL"/>
        </w:rPr>
        <w:t>het Wetboek van Strafvordering</w:t>
      </w:r>
      <w:r w:rsidRPr="007C5808" w:rsidR="00F819D0">
        <w:rPr>
          <w:rFonts w:ascii="Times New Roman" w:hAnsi="Times New Roman" w:eastAsia="MS Mincho" w:cs="Times New Roman"/>
          <w:b/>
          <w:color w:val="000000"/>
          <w:sz w:val="24"/>
          <w:szCs w:val="24"/>
          <w:shd w:val="clear" w:color="auto" w:fill="FFFFFF"/>
          <w:lang w:eastAsia="nl-NL"/>
        </w:rPr>
        <w:br/>
      </w:r>
      <w:r w:rsidR="00103640">
        <w:rPr>
          <w:rFonts w:ascii="Times New Roman" w:hAnsi="Times New Roman" w:eastAsia="MS Mincho" w:cs="Times New Roman"/>
          <w:color w:val="000000"/>
          <w:sz w:val="24"/>
          <w:szCs w:val="24"/>
          <w:shd w:val="clear" w:color="auto" w:fill="FFFFFF"/>
          <w:lang w:eastAsia="nl-NL"/>
        </w:rPr>
        <w:t xml:space="preserve">Kansen zijn niet </w:t>
      </w:r>
      <w:r w:rsidR="00777A7A">
        <w:rPr>
          <w:rFonts w:ascii="Times New Roman" w:hAnsi="Times New Roman" w:eastAsia="MS Mincho" w:cs="Times New Roman"/>
          <w:color w:val="000000"/>
          <w:sz w:val="24"/>
          <w:szCs w:val="24"/>
          <w:shd w:val="clear" w:color="auto" w:fill="FFFFFF"/>
          <w:lang w:eastAsia="nl-NL"/>
        </w:rPr>
        <w:t xml:space="preserve">altijd </w:t>
      </w:r>
      <w:r w:rsidR="00103640">
        <w:rPr>
          <w:rFonts w:ascii="Times New Roman" w:hAnsi="Times New Roman" w:eastAsia="MS Mincho" w:cs="Times New Roman"/>
          <w:color w:val="000000"/>
          <w:sz w:val="24"/>
          <w:szCs w:val="24"/>
          <w:shd w:val="clear" w:color="auto" w:fill="FFFFFF"/>
          <w:lang w:eastAsia="nl-NL"/>
        </w:rPr>
        <w:t>vrijblijvend</w:t>
      </w:r>
    </w:p>
    <w:p w:rsidRPr="007C5808" w:rsidR="00CC5CB6" w:rsidP="001D4BC5" w:rsidRDefault="00CC5CB6">
      <w:pPr>
        <w:spacing w:before="240" w:after="0" w:line="240" w:lineRule="auto"/>
        <w:rPr>
          <w:rFonts w:ascii="Times New Roman" w:hAnsi="Times New Roman" w:eastAsia="MS Mincho" w:cs="Times New Roman"/>
          <w:color w:val="000000"/>
          <w:sz w:val="24"/>
          <w:szCs w:val="24"/>
          <w:shd w:val="clear" w:color="auto" w:fill="FFFFFF"/>
          <w:lang w:eastAsia="nl-NL"/>
        </w:rPr>
      </w:pPr>
      <w:r w:rsidRPr="007C5808">
        <w:rPr>
          <w:rFonts w:ascii="Times New Roman" w:hAnsi="Times New Roman" w:eastAsia="MS Mincho" w:cs="Times New Roman"/>
          <w:color w:val="000000"/>
          <w:sz w:val="24"/>
          <w:szCs w:val="24"/>
          <w:shd w:val="clear" w:color="auto" w:fill="FFFFFF"/>
          <w:lang w:eastAsia="nl-NL"/>
        </w:rPr>
        <w:t xml:space="preserve">C.P.M. Cleiren </w:t>
      </w:r>
    </w:p>
    <w:p w:rsidRPr="007C5808" w:rsidR="00CF2CA9" w:rsidP="00637E64" w:rsidRDefault="00F819D0">
      <w:pPr>
        <w:spacing w:before="240" w:after="0" w:line="240" w:lineRule="auto"/>
        <w:rPr>
          <w:rFonts w:ascii="Times New Roman" w:hAnsi="Times New Roman" w:eastAsia="MS Mincho" w:cs="Times New Roman"/>
          <w:b/>
          <w:color w:val="000000"/>
          <w:sz w:val="24"/>
          <w:szCs w:val="24"/>
          <w:shd w:val="clear" w:color="auto" w:fill="FFFFFF"/>
          <w:lang w:eastAsia="nl-NL"/>
        </w:rPr>
      </w:pPr>
      <w:r w:rsidRPr="007C5808">
        <w:rPr>
          <w:rFonts w:ascii="Times New Roman" w:hAnsi="Times New Roman" w:eastAsia="MS Mincho" w:cs="Times New Roman"/>
          <w:b/>
          <w:color w:val="000000"/>
          <w:sz w:val="24"/>
          <w:szCs w:val="24"/>
          <w:shd w:val="clear" w:color="auto" w:fill="FFFFFF"/>
          <w:lang w:eastAsia="nl-NL"/>
        </w:rPr>
        <w:t>1.</w:t>
      </w:r>
      <w:r w:rsidRPr="007C5808" w:rsidR="00CF2CA9">
        <w:rPr>
          <w:rFonts w:ascii="Times New Roman" w:hAnsi="Times New Roman" w:eastAsia="MS Mincho" w:cs="Times New Roman"/>
          <w:b/>
          <w:color w:val="000000"/>
          <w:sz w:val="24"/>
          <w:szCs w:val="24"/>
          <w:shd w:val="clear" w:color="auto" w:fill="FFFFFF"/>
          <w:lang w:eastAsia="nl-NL"/>
        </w:rPr>
        <w:t xml:space="preserve">Inleiding </w:t>
      </w:r>
      <w:r w:rsidRPr="000A0003" w:rsidR="000A0003">
        <w:rPr>
          <w:rStyle w:val="FootnoteReference"/>
          <w:rFonts w:ascii="Times New Roman" w:hAnsi="Times New Roman" w:eastAsia="MS Mincho"/>
          <w:color w:val="000000"/>
          <w:sz w:val="24"/>
          <w:szCs w:val="24"/>
          <w:shd w:val="clear" w:color="auto" w:fill="FFFFFF"/>
          <w:lang w:eastAsia="nl-NL"/>
        </w:rPr>
        <w:footnoteReference w:id="1"/>
      </w:r>
    </w:p>
    <w:p w:rsidRPr="007C5808" w:rsidR="00C42EC6" w:rsidP="00637E64" w:rsidRDefault="00D56E03">
      <w:pPr>
        <w:spacing w:before="240" w:after="0" w:line="240" w:lineRule="auto"/>
        <w:rPr>
          <w:rFonts w:ascii="Times New Roman" w:hAnsi="Times New Roman" w:eastAsia="MS Mincho" w:cs="Times New Roman"/>
          <w:color w:val="000000"/>
          <w:sz w:val="24"/>
          <w:szCs w:val="24"/>
          <w:shd w:val="clear" w:color="auto" w:fill="FFFFFF"/>
          <w:lang w:eastAsia="nl-NL"/>
        </w:rPr>
      </w:pPr>
      <w:r w:rsidRPr="007C5808">
        <w:rPr>
          <w:rFonts w:ascii="Times New Roman" w:hAnsi="Times New Roman" w:eastAsia="MS Mincho" w:cs="Times New Roman"/>
          <w:color w:val="000000"/>
          <w:sz w:val="24"/>
          <w:szCs w:val="24"/>
          <w:shd w:val="clear" w:color="auto" w:fill="FFFFFF"/>
          <w:lang w:eastAsia="nl-NL"/>
        </w:rPr>
        <w:t xml:space="preserve">Voormalig minister van Veiligheid en Justitie </w:t>
      </w:r>
      <w:proofErr w:type="spellStart"/>
      <w:r w:rsidRPr="007C5808">
        <w:rPr>
          <w:rFonts w:ascii="Times New Roman" w:hAnsi="Times New Roman" w:eastAsia="MS Mincho" w:cs="Times New Roman"/>
          <w:color w:val="000000"/>
          <w:sz w:val="24"/>
          <w:szCs w:val="24"/>
          <w:shd w:val="clear" w:color="auto" w:fill="FFFFFF"/>
          <w:lang w:eastAsia="nl-NL"/>
        </w:rPr>
        <w:t>Opstelten</w:t>
      </w:r>
      <w:proofErr w:type="spellEnd"/>
      <w:r w:rsidRPr="007C5808">
        <w:rPr>
          <w:rFonts w:ascii="Times New Roman" w:hAnsi="Times New Roman" w:eastAsia="MS Mincho" w:cs="Times New Roman"/>
          <w:color w:val="000000"/>
          <w:sz w:val="24"/>
          <w:szCs w:val="24"/>
          <w:shd w:val="clear" w:color="auto" w:fill="FFFFFF"/>
          <w:lang w:eastAsia="nl-NL"/>
        </w:rPr>
        <w:t xml:space="preserve"> heeft met zijn keuze voor modernisering van het Wetboek van Strafvordering een belangrijke </w:t>
      </w:r>
      <w:r w:rsidRPr="007C5808" w:rsidR="00945B4A">
        <w:rPr>
          <w:rFonts w:ascii="Times New Roman" w:hAnsi="Times New Roman" w:eastAsia="MS Mincho" w:cs="Times New Roman"/>
          <w:color w:val="000000"/>
          <w:sz w:val="24"/>
          <w:szCs w:val="24"/>
          <w:shd w:val="clear" w:color="auto" w:fill="FFFFFF"/>
          <w:lang w:eastAsia="nl-NL"/>
        </w:rPr>
        <w:t xml:space="preserve">én ingrijpende </w:t>
      </w:r>
      <w:r w:rsidRPr="007C5808">
        <w:rPr>
          <w:rFonts w:ascii="Times New Roman" w:hAnsi="Times New Roman" w:eastAsia="MS Mincho" w:cs="Times New Roman"/>
          <w:color w:val="000000"/>
          <w:sz w:val="24"/>
          <w:szCs w:val="24"/>
          <w:shd w:val="clear" w:color="auto" w:fill="FFFFFF"/>
          <w:lang w:eastAsia="nl-NL"/>
        </w:rPr>
        <w:t>beslissing genomen.</w:t>
      </w:r>
      <w:r w:rsidRPr="007C5808" w:rsidR="00B94A6E">
        <w:rPr>
          <w:rFonts w:ascii="Times New Roman" w:hAnsi="Times New Roman" w:eastAsia="MS Mincho" w:cs="Times New Roman"/>
          <w:color w:val="000000"/>
          <w:sz w:val="24"/>
          <w:szCs w:val="24"/>
          <w:shd w:val="clear" w:color="auto" w:fill="FFFFFF"/>
          <w:lang w:eastAsia="nl-NL"/>
        </w:rPr>
        <w:t xml:space="preserve"> De minister </w:t>
      </w:r>
      <w:r w:rsidRPr="007C5808" w:rsidR="004258A9">
        <w:rPr>
          <w:rFonts w:ascii="Times New Roman" w:hAnsi="Times New Roman" w:eastAsia="MS Mincho" w:cs="Times New Roman"/>
          <w:color w:val="000000"/>
          <w:sz w:val="24"/>
          <w:szCs w:val="24"/>
          <w:shd w:val="clear" w:color="auto" w:fill="FFFFFF"/>
          <w:lang w:eastAsia="nl-NL"/>
        </w:rPr>
        <w:t xml:space="preserve">heeft zijn streven daartoe uitgesproken tijdens het debat over de Staat van de rechtsstaat in </w:t>
      </w:r>
      <w:r w:rsidRPr="007C5808" w:rsidR="00B94A6E">
        <w:rPr>
          <w:rFonts w:ascii="Times New Roman" w:hAnsi="Times New Roman" w:eastAsia="MS Mincho" w:cs="Times New Roman"/>
          <w:color w:val="000000"/>
          <w:sz w:val="24"/>
          <w:szCs w:val="24"/>
          <w:shd w:val="clear" w:color="auto" w:fill="FFFFFF"/>
          <w:lang w:eastAsia="nl-NL"/>
        </w:rPr>
        <w:t xml:space="preserve">de </w:t>
      </w:r>
      <w:r w:rsidRPr="007C5808" w:rsidR="004258A9">
        <w:rPr>
          <w:rFonts w:ascii="Times New Roman" w:hAnsi="Times New Roman" w:eastAsia="MS Mincho" w:cs="Times New Roman"/>
          <w:color w:val="000000"/>
          <w:sz w:val="24"/>
          <w:szCs w:val="24"/>
          <w:shd w:val="clear" w:color="auto" w:fill="FFFFFF"/>
          <w:lang w:eastAsia="nl-NL"/>
        </w:rPr>
        <w:t xml:space="preserve">Eerste </w:t>
      </w:r>
      <w:r w:rsidRPr="007C5808" w:rsidR="00B94A6E">
        <w:rPr>
          <w:rFonts w:ascii="Times New Roman" w:hAnsi="Times New Roman" w:eastAsia="MS Mincho" w:cs="Times New Roman"/>
          <w:color w:val="000000"/>
          <w:sz w:val="24"/>
          <w:szCs w:val="24"/>
          <w:shd w:val="clear" w:color="auto" w:fill="FFFFFF"/>
          <w:lang w:eastAsia="nl-NL"/>
        </w:rPr>
        <w:t xml:space="preserve">Kamer op 11 maart 2014, gevolgd door een brief </w:t>
      </w:r>
      <w:r w:rsidRPr="007C5808" w:rsidR="004258A9">
        <w:rPr>
          <w:rFonts w:ascii="Times New Roman" w:hAnsi="Times New Roman" w:eastAsia="MS Mincho" w:cs="Times New Roman"/>
          <w:color w:val="000000"/>
          <w:sz w:val="24"/>
          <w:szCs w:val="24"/>
          <w:shd w:val="clear" w:color="auto" w:fill="FFFFFF"/>
          <w:lang w:eastAsia="nl-NL"/>
        </w:rPr>
        <w:t xml:space="preserve">aan de Tweede Kamer </w:t>
      </w:r>
      <w:r w:rsidRPr="007C5808" w:rsidR="00B94A6E">
        <w:rPr>
          <w:rFonts w:ascii="Times New Roman" w:hAnsi="Times New Roman" w:eastAsia="MS Mincho" w:cs="Times New Roman"/>
          <w:color w:val="000000"/>
          <w:sz w:val="24"/>
          <w:szCs w:val="24"/>
          <w:shd w:val="clear" w:color="auto" w:fill="FFFFFF"/>
          <w:lang w:eastAsia="nl-NL"/>
        </w:rPr>
        <w:t>op 2 juli 2014.</w:t>
      </w:r>
      <w:r w:rsidRPr="007C5808" w:rsidR="0029544A">
        <w:rPr>
          <w:rStyle w:val="FootnoteReference"/>
          <w:rFonts w:ascii="Times New Roman" w:hAnsi="Times New Roman" w:eastAsia="MS Mincho"/>
          <w:color w:val="000000"/>
          <w:sz w:val="24"/>
          <w:szCs w:val="24"/>
          <w:shd w:val="clear" w:color="auto" w:fill="FFFFFF"/>
          <w:lang w:eastAsia="nl-NL"/>
        </w:rPr>
        <w:footnoteReference w:id="2"/>
      </w:r>
      <w:r w:rsidRPr="007C5808" w:rsidR="00B94A6E">
        <w:rPr>
          <w:rFonts w:ascii="Times New Roman" w:hAnsi="Times New Roman" w:eastAsia="MS Mincho" w:cs="Times New Roman"/>
          <w:color w:val="000000"/>
          <w:sz w:val="24"/>
          <w:szCs w:val="24"/>
          <w:shd w:val="clear" w:color="auto" w:fill="FFFFFF"/>
          <w:lang w:eastAsia="nl-NL"/>
        </w:rPr>
        <w:t xml:space="preserve"> In aansluiting </w:t>
      </w:r>
      <w:r w:rsidRPr="007C5808" w:rsidR="003C37F6">
        <w:rPr>
          <w:rFonts w:ascii="Times New Roman" w:hAnsi="Times New Roman" w:eastAsia="MS Mincho" w:cs="Times New Roman"/>
          <w:color w:val="000000"/>
          <w:sz w:val="24"/>
          <w:szCs w:val="24"/>
          <w:shd w:val="clear" w:color="auto" w:fill="FFFFFF"/>
          <w:lang w:eastAsia="nl-NL"/>
        </w:rPr>
        <w:t xml:space="preserve">daarop zijn </w:t>
      </w:r>
      <w:r w:rsidRPr="007C5808" w:rsidR="004258A9">
        <w:rPr>
          <w:rFonts w:ascii="Times New Roman" w:hAnsi="Times New Roman" w:eastAsia="MS Mincho" w:cs="Times New Roman"/>
          <w:color w:val="000000"/>
          <w:sz w:val="24"/>
          <w:szCs w:val="24"/>
          <w:shd w:val="clear" w:color="auto" w:fill="FFFFFF"/>
          <w:lang w:eastAsia="nl-NL"/>
        </w:rPr>
        <w:t xml:space="preserve">door het ministerie van Veiligheid en Justitie </w:t>
      </w:r>
      <w:r w:rsidRPr="007C5808" w:rsidR="003C37F6">
        <w:rPr>
          <w:rFonts w:ascii="Times New Roman" w:hAnsi="Times New Roman" w:eastAsia="MS Mincho" w:cs="Times New Roman"/>
          <w:color w:val="000000"/>
          <w:sz w:val="24"/>
          <w:szCs w:val="24"/>
          <w:shd w:val="clear" w:color="auto" w:fill="FFFFFF"/>
          <w:lang w:eastAsia="nl-NL"/>
        </w:rPr>
        <w:t xml:space="preserve">veel </w:t>
      </w:r>
      <w:r w:rsidRPr="007C5808" w:rsidR="004258A9">
        <w:rPr>
          <w:rFonts w:ascii="Times New Roman" w:hAnsi="Times New Roman" w:eastAsia="MS Mincho" w:cs="Times New Roman"/>
          <w:color w:val="000000"/>
          <w:sz w:val="24"/>
          <w:szCs w:val="24"/>
          <w:shd w:val="clear" w:color="auto" w:fill="FFFFFF"/>
          <w:lang w:eastAsia="nl-NL"/>
        </w:rPr>
        <w:t xml:space="preserve">en zeer </w:t>
      </w:r>
      <w:r w:rsidRPr="007C5808" w:rsidR="003C37F6">
        <w:rPr>
          <w:rFonts w:ascii="Times New Roman" w:hAnsi="Times New Roman" w:eastAsia="MS Mincho" w:cs="Times New Roman"/>
          <w:color w:val="000000"/>
          <w:sz w:val="24"/>
          <w:szCs w:val="24"/>
          <w:shd w:val="clear" w:color="auto" w:fill="FFFFFF"/>
          <w:lang w:eastAsia="nl-NL"/>
        </w:rPr>
        <w:t>diverse activiteiten</w:t>
      </w:r>
      <w:r w:rsidRPr="007C5808" w:rsidR="00B94A6E">
        <w:rPr>
          <w:rFonts w:ascii="Times New Roman" w:hAnsi="Times New Roman" w:eastAsia="MS Mincho" w:cs="Times New Roman"/>
          <w:color w:val="000000"/>
          <w:sz w:val="24"/>
          <w:szCs w:val="24"/>
          <w:shd w:val="clear" w:color="auto" w:fill="FFFFFF"/>
          <w:lang w:eastAsia="nl-NL"/>
        </w:rPr>
        <w:t xml:space="preserve"> </w:t>
      </w:r>
      <w:r w:rsidRPr="007C5808" w:rsidR="003C37F6">
        <w:rPr>
          <w:rFonts w:ascii="Times New Roman" w:hAnsi="Times New Roman" w:eastAsia="MS Mincho" w:cs="Times New Roman"/>
          <w:color w:val="000000"/>
          <w:sz w:val="24"/>
          <w:szCs w:val="24"/>
          <w:shd w:val="clear" w:color="auto" w:fill="FFFFFF"/>
          <w:lang w:eastAsia="nl-NL"/>
        </w:rPr>
        <w:t xml:space="preserve">opgezet </w:t>
      </w:r>
      <w:r w:rsidRPr="007C5808" w:rsidR="00B94A6E">
        <w:rPr>
          <w:rFonts w:ascii="Times New Roman" w:hAnsi="Times New Roman" w:eastAsia="MS Mincho" w:cs="Times New Roman"/>
          <w:color w:val="000000"/>
          <w:sz w:val="24"/>
          <w:szCs w:val="24"/>
          <w:shd w:val="clear" w:color="auto" w:fill="FFFFFF"/>
          <w:lang w:eastAsia="nl-NL"/>
        </w:rPr>
        <w:t xml:space="preserve">om de plannen ‘te delen’ met het veld en de betrokkenheid van actoren in en bij de strafrechtelijke keten en </w:t>
      </w:r>
      <w:r w:rsidRPr="007C5808" w:rsidR="003C37F6">
        <w:rPr>
          <w:rFonts w:ascii="Times New Roman" w:hAnsi="Times New Roman" w:eastAsia="MS Mincho" w:cs="Times New Roman"/>
          <w:color w:val="000000"/>
          <w:sz w:val="24"/>
          <w:szCs w:val="24"/>
          <w:shd w:val="clear" w:color="auto" w:fill="FFFFFF"/>
          <w:lang w:eastAsia="nl-NL"/>
        </w:rPr>
        <w:t xml:space="preserve">van andere </w:t>
      </w:r>
      <w:r w:rsidRPr="007C5808" w:rsidR="00B94A6E">
        <w:rPr>
          <w:rFonts w:ascii="Times New Roman" w:hAnsi="Times New Roman" w:eastAsia="MS Mincho" w:cs="Times New Roman"/>
          <w:color w:val="000000"/>
          <w:sz w:val="24"/>
          <w:szCs w:val="24"/>
          <w:shd w:val="clear" w:color="auto" w:fill="FFFFFF"/>
          <w:lang w:eastAsia="nl-NL"/>
        </w:rPr>
        <w:t>deskundigen in het</w:t>
      </w:r>
      <w:r w:rsidRPr="007C5808" w:rsidR="003C37F6">
        <w:rPr>
          <w:rFonts w:ascii="Times New Roman" w:hAnsi="Times New Roman" w:eastAsia="MS Mincho" w:cs="Times New Roman"/>
          <w:color w:val="000000"/>
          <w:sz w:val="24"/>
          <w:szCs w:val="24"/>
          <w:shd w:val="clear" w:color="auto" w:fill="FFFFFF"/>
          <w:lang w:eastAsia="nl-NL"/>
        </w:rPr>
        <w:t xml:space="preserve"> te volgen traject te </w:t>
      </w:r>
      <w:r w:rsidRPr="007C5808" w:rsidR="0029544A">
        <w:rPr>
          <w:rFonts w:ascii="Times New Roman" w:hAnsi="Times New Roman" w:eastAsia="MS Mincho" w:cs="Times New Roman"/>
          <w:color w:val="000000"/>
          <w:sz w:val="24"/>
          <w:szCs w:val="24"/>
          <w:shd w:val="clear" w:color="auto" w:fill="FFFFFF"/>
          <w:lang w:eastAsia="nl-NL"/>
        </w:rPr>
        <w:t xml:space="preserve">garanderen. </w:t>
      </w:r>
      <w:r w:rsidRPr="007C5808" w:rsidR="0060488F">
        <w:rPr>
          <w:rFonts w:ascii="Times New Roman" w:hAnsi="Times New Roman" w:eastAsia="MS Mincho" w:cs="Times New Roman"/>
          <w:color w:val="000000"/>
          <w:sz w:val="24"/>
          <w:szCs w:val="24"/>
          <w:shd w:val="clear" w:color="auto" w:fill="FFFFFF"/>
          <w:lang w:eastAsia="nl-NL"/>
        </w:rPr>
        <w:t xml:space="preserve">Begin februari 2015 werd de </w:t>
      </w:r>
      <w:r w:rsidRPr="007C5808" w:rsidR="00602392">
        <w:rPr>
          <w:rFonts w:ascii="Times New Roman" w:hAnsi="Times New Roman" w:eastAsia="MS Mincho" w:cs="Times New Roman"/>
          <w:color w:val="000000"/>
          <w:sz w:val="24"/>
          <w:szCs w:val="24"/>
          <w:shd w:val="clear" w:color="auto" w:fill="FFFFFF"/>
          <w:lang w:eastAsia="nl-NL"/>
        </w:rPr>
        <w:t xml:space="preserve">brief met </w:t>
      </w:r>
      <w:r w:rsidRPr="007C5808" w:rsidR="0060488F">
        <w:rPr>
          <w:rFonts w:ascii="Times New Roman" w:hAnsi="Times New Roman" w:eastAsia="MS Mincho" w:cs="Times New Roman"/>
          <w:color w:val="000000"/>
          <w:sz w:val="24"/>
          <w:szCs w:val="24"/>
          <w:shd w:val="clear" w:color="auto" w:fill="FFFFFF"/>
          <w:lang w:eastAsia="nl-NL"/>
        </w:rPr>
        <w:t xml:space="preserve">Contourennota ter consultatie </w:t>
      </w:r>
      <w:r w:rsidRPr="007C5808" w:rsidR="008943DE">
        <w:rPr>
          <w:rFonts w:ascii="Times New Roman" w:hAnsi="Times New Roman" w:eastAsia="MS Mincho" w:cs="Times New Roman"/>
          <w:color w:val="000000"/>
          <w:sz w:val="24"/>
          <w:szCs w:val="24"/>
          <w:shd w:val="clear" w:color="auto" w:fill="FFFFFF"/>
          <w:lang w:eastAsia="nl-NL"/>
        </w:rPr>
        <w:t xml:space="preserve">naar diverse gremia </w:t>
      </w:r>
      <w:r w:rsidRPr="007C5808" w:rsidR="0060488F">
        <w:rPr>
          <w:rFonts w:ascii="Times New Roman" w:hAnsi="Times New Roman" w:eastAsia="MS Mincho" w:cs="Times New Roman"/>
          <w:color w:val="000000"/>
          <w:sz w:val="24"/>
          <w:szCs w:val="24"/>
          <w:shd w:val="clear" w:color="auto" w:fill="FFFFFF"/>
          <w:lang w:eastAsia="nl-NL"/>
        </w:rPr>
        <w:t>verzonden en de planning v</w:t>
      </w:r>
      <w:r w:rsidRPr="007C5808" w:rsidR="008943DE">
        <w:rPr>
          <w:rFonts w:ascii="Times New Roman" w:hAnsi="Times New Roman" w:eastAsia="MS Mincho" w:cs="Times New Roman"/>
          <w:color w:val="000000"/>
          <w:sz w:val="24"/>
          <w:szCs w:val="24"/>
          <w:shd w:val="clear" w:color="auto" w:fill="FFFFFF"/>
          <w:lang w:eastAsia="nl-NL"/>
        </w:rPr>
        <w:t>an het programma bekendgemaakt.</w:t>
      </w:r>
      <w:r w:rsidRPr="007C5808" w:rsidR="0060488F">
        <w:rPr>
          <w:rStyle w:val="FootnoteReference"/>
          <w:rFonts w:ascii="Times New Roman" w:hAnsi="Times New Roman" w:eastAsia="MS Mincho"/>
          <w:color w:val="000000"/>
          <w:sz w:val="24"/>
          <w:szCs w:val="24"/>
          <w:shd w:val="clear" w:color="auto" w:fill="FFFFFF"/>
          <w:lang w:eastAsia="nl-NL"/>
        </w:rPr>
        <w:footnoteReference w:id="3"/>
      </w:r>
      <w:r w:rsidRPr="007C5808" w:rsidR="004258A9">
        <w:rPr>
          <w:rFonts w:ascii="Times New Roman" w:hAnsi="Times New Roman" w:eastAsia="MS Mincho" w:cs="Times New Roman"/>
          <w:color w:val="000000"/>
          <w:sz w:val="24"/>
          <w:szCs w:val="24"/>
          <w:shd w:val="clear" w:color="auto" w:fill="FFFFFF"/>
          <w:lang w:eastAsia="nl-NL"/>
        </w:rPr>
        <w:t xml:space="preserve"> </w:t>
      </w:r>
      <w:r w:rsidRPr="007C5808" w:rsidR="00C42EC6">
        <w:rPr>
          <w:rFonts w:ascii="Times New Roman" w:hAnsi="Times New Roman" w:eastAsia="MS Mincho" w:cs="Times New Roman"/>
          <w:color w:val="000000"/>
          <w:sz w:val="24"/>
          <w:szCs w:val="24"/>
          <w:shd w:val="clear" w:color="auto" w:fill="FFFFFF"/>
          <w:lang w:eastAsia="nl-NL"/>
        </w:rPr>
        <w:br/>
      </w:r>
      <w:r w:rsidRPr="007C5808" w:rsidR="002C4631">
        <w:rPr>
          <w:rFonts w:ascii="Times New Roman" w:hAnsi="Times New Roman" w:eastAsia="MS Mincho" w:cs="Times New Roman"/>
          <w:color w:val="000000"/>
          <w:sz w:val="24"/>
          <w:szCs w:val="24"/>
          <w:shd w:val="clear" w:color="auto" w:fill="FFFFFF"/>
          <w:lang w:eastAsia="nl-NL"/>
        </w:rPr>
        <w:t>Het moderniseringsprogramma staat niet op zichzelf, maar vormt een onlosmakelijk onderdeel van het brede programma Versterking Prestaties Strafrechtketen</w:t>
      </w:r>
      <w:r w:rsidRPr="007C5808" w:rsidR="00C42EC6">
        <w:rPr>
          <w:rStyle w:val="FootnoteReference"/>
          <w:rFonts w:ascii="Times New Roman" w:hAnsi="Times New Roman" w:eastAsia="MS Mincho"/>
          <w:color w:val="000000"/>
          <w:sz w:val="24"/>
          <w:szCs w:val="24"/>
          <w:shd w:val="clear" w:color="auto" w:fill="FFFFFF"/>
          <w:lang w:eastAsia="nl-NL"/>
        </w:rPr>
        <w:footnoteReference w:id="4"/>
      </w:r>
      <w:r w:rsidRPr="007C5808" w:rsidR="00080F0F">
        <w:rPr>
          <w:rFonts w:ascii="Times New Roman" w:hAnsi="Times New Roman" w:eastAsia="MS Mincho" w:cs="Times New Roman"/>
          <w:color w:val="000000"/>
          <w:sz w:val="24"/>
          <w:szCs w:val="24"/>
          <w:shd w:val="clear" w:color="auto" w:fill="FFFFFF"/>
          <w:lang w:eastAsia="nl-NL"/>
        </w:rPr>
        <w:t xml:space="preserve"> en sluit aan op de medio 2013 gepubliceerde notitie “Strafrecht in een veranderende samenleving”.</w:t>
      </w:r>
      <w:r w:rsidRPr="007C5808" w:rsidR="00080F0F">
        <w:rPr>
          <w:rStyle w:val="FootnoteReference"/>
          <w:rFonts w:ascii="Times New Roman" w:hAnsi="Times New Roman" w:eastAsia="MS Mincho"/>
          <w:color w:val="000000"/>
          <w:sz w:val="24"/>
          <w:szCs w:val="24"/>
          <w:shd w:val="clear" w:color="auto" w:fill="FFFFFF"/>
          <w:lang w:eastAsia="nl-NL"/>
        </w:rPr>
        <w:footnoteReference w:id="5"/>
      </w:r>
      <w:r w:rsidRPr="007C5808" w:rsidR="00080F0F">
        <w:rPr>
          <w:rFonts w:ascii="Times New Roman" w:hAnsi="Times New Roman" w:eastAsia="MS Mincho" w:cs="Times New Roman"/>
          <w:color w:val="000000"/>
          <w:sz w:val="24"/>
          <w:szCs w:val="24"/>
          <w:shd w:val="clear" w:color="auto" w:fill="FFFFFF"/>
          <w:lang w:eastAsia="nl-NL"/>
        </w:rPr>
        <w:t xml:space="preserve"> </w:t>
      </w:r>
      <w:r w:rsidRPr="007C5808" w:rsidR="002C4631">
        <w:rPr>
          <w:rFonts w:ascii="Times New Roman" w:hAnsi="Times New Roman" w:eastAsia="MS Mincho" w:cs="Times New Roman"/>
          <w:color w:val="000000"/>
          <w:sz w:val="24"/>
          <w:szCs w:val="24"/>
          <w:shd w:val="clear" w:color="auto" w:fill="FFFFFF"/>
          <w:lang w:eastAsia="nl-NL"/>
        </w:rPr>
        <w:t xml:space="preserve">Daarnaast bouwt het – deels – voort op </w:t>
      </w:r>
      <w:r w:rsidRPr="007C5808" w:rsidR="00080F0F">
        <w:rPr>
          <w:rFonts w:ascii="Times New Roman" w:hAnsi="Times New Roman" w:eastAsia="MS Mincho" w:cs="Times New Roman"/>
          <w:color w:val="000000"/>
          <w:sz w:val="24"/>
          <w:szCs w:val="24"/>
          <w:shd w:val="clear" w:color="auto" w:fill="FFFFFF"/>
          <w:lang w:eastAsia="nl-NL"/>
        </w:rPr>
        <w:t>plannen van voorgaande ministers</w:t>
      </w:r>
      <w:r w:rsidRPr="007C5808" w:rsidR="00080F0F">
        <w:rPr>
          <w:rStyle w:val="FootnoteReference"/>
          <w:rFonts w:ascii="Times New Roman" w:hAnsi="Times New Roman" w:eastAsia="MS Mincho"/>
          <w:color w:val="000000"/>
          <w:sz w:val="24"/>
          <w:szCs w:val="24"/>
          <w:shd w:val="clear" w:color="auto" w:fill="FFFFFF"/>
          <w:lang w:eastAsia="nl-NL"/>
        </w:rPr>
        <w:footnoteReference w:id="6"/>
      </w:r>
      <w:r w:rsidRPr="007C5808" w:rsidR="00080F0F">
        <w:rPr>
          <w:rFonts w:ascii="Times New Roman" w:hAnsi="Times New Roman" w:eastAsia="MS Mincho" w:cs="Times New Roman"/>
          <w:color w:val="000000"/>
          <w:sz w:val="24"/>
          <w:szCs w:val="24"/>
          <w:shd w:val="clear" w:color="auto" w:fill="FFFFFF"/>
          <w:lang w:eastAsia="nl-NL"/>
        </w:rPr>
        <w:t xml:space="preserve"> en </w:t>
      </w:r>
      <w:r w:rsidRPr="007C5808" w:rsidR="002C4631">
        <w:rPr>
          <w:rFonts w:ascii="Times New Roman" w:hAnsi="Times New Roman" w:eastAsia="MS Mincho" w:cs="Times New Roman"/>
          <w:color w:val="000000"/>
          <w:sz w:val="24"/>
          <w:szCs w:val="24"/>
          <w:shd w:val="clear" w:color="auto" w:fill="FFFFFF"/>
          <w:lang w:eastAsia="nl-NL"/>
        </w:rPr>
        <w:t>de bevindingen en aanbevelingen van het Onderzoeksprogramma Strafvordering 2001.</w:t>
      </w:r>
      <w:r w:rsidRPr="007C5808" w:rsidR="002C4631">
        <w:rPr>
          <w:rStyle w:val="FootnoteReference"/>
          <w:rFonts w:ascii="Times New Roman" w:hAnsi="Times New Roman" w:eastAsia="MS Mincho"/>
          <w:color w:val="000000"/>
          <w:sz w:val="24"/>
          <w:szCs w:val="24"/>
          <w:shd w:val="clear" w:color="auto" w:fill="FFFFFF"/>
          <w:lang w:eastAsia="nl-NL"/>
        </w:rPr>
        <w:footnoteReference w:id="7"/>
      </w:r>
      <w:r w:rsidRPr="007C5808" w:rsidR="002C4631">
        <w:rPr>
          <w:rFonts w:ascii="Times New Roman" w:hAnsi="Times New Roman" w:eastAsia="MS Mincho" w:cs="Times New Roman"/>
          <w:color w:val="000000"/>
          <w:sz w:val="24"/>
          <w:szCs w:val="24"/>
          <w:shd w:val="clear" w:color="auto" w:fill="FFFFFF"/>
          <w:lang w:eastAsia="nl-NL"/>
        </w:rPr>
        <w:t xml:space="preserve"> </w:t>
      </w:r>
    </w:p>
    <w:p w:rsidR="00B27120" w:rsidP="002267BC" w:rsidRDefault="00C42EC6">
      <w:pPr>
        <w:spacing w:before="240" w:after="0" w:line="240" w:lineRule="auto"/>
        <w:rPr>
          <w:rFonts w:ascii="Times New Roman" w:hAnsi="Times New Roman" w:eastAsia="MS Mincho" w:cs="Times New Roman"/>
          <w:color w:val="000000"/>
          <w:sz w:val="24"/>
          <w:szCs w:val="24"/>
          <w:shd w:val="clear" w:color="auto" w:fill="FFFFFF"/>
          <w:lang w:eastAsia="nl-NL"/>
        </w:rPr>
      </w:pPr>
      <w:r w:rsidRPr="007C5808">
        <w:rPr>
          <w:rFonts w:ascii="Times New Roman" w:hAnsi="Times New Roman" w:eastAsia="MS Mincho" w:cs="Times New Roman"/>
          <w:color w:val="000000"/>
          <w:sz w:val="24"/>
          <w:szCs w:val="24"/>
          <w:shd w:val="clear" w:color="auto" w:fill="FFFFFF"/>
          <w:lang w:eastAsia="nl-NL"/>
        </w:rPr>
        <w:t xml:space="preserve">Hoewel de doelstelling </w:t>
      </w:r>
      <w:r w:rsidRPr="007C5808" w:rsidR="00035245">
        <w:rPr>
          <w:rFonts w:ascii="Times New Roman" w:hAnsi="Times New Roman" w:eastAsia="MS Mincho" w:cs="Times New Roman"/>
          <w:color w:val="000000"/>
          <w:sz w:val="24"/>
          <w:szCs w:val="24"/>
          <w:shd w:val="clear" w:color="auto" w:fill="FFFFFF"/>
          <w:lang w:eastAsia="nl-NL"/>
        </w:rPr>
        <w:t xml:space="preserve">van het programma </w:t>
      </w:r>
      <w:r w:rsidRPr="007C5808">
        <w:rPr>
          <w:rFonts w:ascii="Times New Roman" w:hAnsi="Times New Roman" w:eastAsia="MS Mincho" w:cs="Times New Roman"/>
          <w:color w:val="000000"/>
          <w:sz w:val="24"/>
          <w:szCs w:val="24"/>
          <w:shd w:val="clear" w:color="auto" w:fill="FFFFFF"/>
          <w:lang w:eastAsia="nl-NL"/>
        </w:rPr>
        <w:t xml:space="preserve">in de gerelateerde documenten niet steeds volledig identiek wordt omschreven blijkt uit de teksten dat </w:t>
      </w:r>
      <w:r w:rsidRPr="007C5808" w:rsidR="00290865">
        <w:rPr>
          <w:rFonts w:ascii="Times New Roman" w:hAnsi="Times New Roman" w:eastAsia="MS Mincho" w:cs="Times New Roman"/>
          <w:color w:val="000000"/>
          <w:sz w:val="24"/>
          <w:szCs w:val="24"/>
          <w:shd w:val="clear" w:color="auto" w:fill="FFFFFF"/>
          <w:lang w:eastAsia="nl-NL"/>
        </w:rPr>
        <w:t>“</w:t>
      </w:r>
      <w:r w:rsidRPr="007C5808" w:rsidR="00290F81">
        <w:rPr>
          <w:rFonts w:ascii="Times New Roman" w:hAnsi="Times New Roman" w:eastAsia="MS Mincho" w:cs="Times New Roman"/>
          <w:color w:val="000000"/>
          <w:sz w:val="24"/>
          <w:szCs w:val="24"/>
          <w:shd w:val="clear" w:color="auto" w:fill="FFFFFF"/>
          <w:lang w:eastAsia="nl-NL"/>
        </w:rPr>
        <w:t xml:space="preserve">de </w:t>
      </w:r>
      <w:r w:rsidRPr="007C5808">
        <w:rPr>
          <w:rFonts w:ascii="Times New Roman" w:hAnsi="Times New Roman" w:eastAsia="MS Mincho" w:cs="Times New Roman"/>
          <w:color w:val="000000"/>
          <w:sz w:val="24"/>
          <w:szCs w:val="24"/>
          <w:shd w:val="clear" w:color="auto" w:fill="FFFFFF"/>
          <w:lang w:eastAsia="nl-NL"/>
        </w:rPr>
        <w:t xml:space="preserve">herziening ziet op het herstructureren en moderniseren van het </w:t>
      </w:r>
      <w:proofErr w:type="spellStart"/>
      <w:r w:rsidRPr="007C5808">
        <w:rPr>
          <w:rFonts w:ascii="Times New Roman" w:hAnsi="Times New Roman" w:eastAsia="MS Mincho" w:cs="Times New Roman"/>
          <w:color w:val="000000"/>
          <w:sz w:val="24"/>
          <w:szCs w:val="24"/>
          <w:shd w:val="clear" w:color="auto" w:fill="FFFFFF"/>
          <w:lang w:eastAsia="nl-NL"/>
        </w:rPr>
        <w:t>WSv</w:t>
      </w:r>
      <w:proofErr w:type="spellEnd"/>
      <w:r w:rsidRPr="007C5808">
        <w:rPr>
          <w:rFonts w:ascii="Times New Roman" w:hAnsi="Times New Roman" w:eastAsia="MS Mincho" w:cs="Times New Roman"/>
          <w:color w:val="000000"/>
          <w:sz w:val="24"/>
          <w:szCs w:val="24"/>
          <w:shd w:val="clear" w:color="auto" w:fill="FFFFFF"/>
          <w:lang w:eastAsia="nl-NL"/>
        </w:rPr>
        <w:t>, zodat een toekomstbestendig, voor professionals en burgers toegankelijk en in de praktijk werkbaar w</w:t>
      </w:r>
      <w:r w:rsidRPr="007C5808" w:rsidR="00290F81">
        <w:rPr>
          <w:rFonts w:ascii="Times New Roman" w:hAnsi="Times New Roman" w:eastAsia="MS Mincho" w:cs="Times New Roman"/>
          <w:color w:val="000000"/>
          <w:sz w:val="24"/>
          <w:szCs w:val="24"/>
          <w:shd w:val="clear" w:color="auto" w:fill="FFFFFF"/>
          <w:lang w:eastAsia="nl-NL"/>
        </w:rPr>
        <w:t xml:space="preserve">etboek ontstaat. Gekeken wordt </w:t>
      </w:r>
      <w:r w:rsidRPr="007C5808">
        <w:rPr>
          <w:rFonts w:ascii="Times New Roman" w:hAnsi="Times New Roman" w:eastAsia="MS Mincho" w:cs="Times New Roman"/>
          <w:color w:val="000000"/>
          <w:sz w:val="24"/>
          <w:szCs w:val="24"/>
          <w:shd w:val="clear" w:color="auto" w:fill="FFFFFF"/>
          <w:lang w:eastAsia="nl-NL"/>
        </w:rPr>
        <w:t>naar deregulering, vermindering van administratieve laste</w:t>
      </w:r>
      <w:r w:rsidRPr="007C5808" w:rsidR="00290F81">
        <w:rPr>
          <w:rFonts w:ascii="Times New Roman" w:hAnsi="Times New Roman" w:eastAsia="MS Mincho" w:cs="Times New Roman"/>
          <w:color w:val="000000"/>
          <w:sz w:val="24"/>
          <w:szCs w:val="24"/>
          <w:shd w:val="clear" w:color="auto" w:fill="FFFFFF"/>
          <w:lang w:eastAsia="nl-NL"/>
        </w:rPr>
        <w:t xml:space="preserve">n, </w:t>
      </w:r>
      <w:r w:rsidRPr="007C5808">
        <w:rPr>
          <w:rFonts w:ascii="Times New Roman" w:hAnsi="Times New Roman" w:eastAsia="MS Mincho" w:cs="Times New Roman"/>
          <w:color w:val="000000"/>
          <w:sz w:val="24"/>
          <w:szCs w:val="24"/>
          <w:shd w:val="clear" w:color="auto" w:fill="FFFFFF"/>
          <w:lang w:eastAsia="nl-NL"/>
        </w:rPr>
        <w:t>stroomlijning en vereenvoudiging van</w:t>
      </w:r>
      <w:r w:rsidRPr="007C5808" w:rsidR="00290F81">
        <w:rPr>
          <w:rFonts w:ascii="Times New Roman" w:hAnsi="Times New Roman" w:eastAsia="MS Mincho" w:cs="Times New Roman"/>
          <w:color w:val="000000"/>
          <w:sz w:val="24"/>
          <w:szCs w:val="24"/>
          <w:shd w:val="clear" w:color="auto" w:fill="FFFFFF"/>
          <w:lang w:eastAsia="nl-NL"/>
        </w:rPr>
        <w:t xml:space="preserve"> procedures, het waar mogelijk wegnemen van knelpunten die in de praktijk, jurisprudentie en literatuur worden gesignaleerd, het mogelijk maken van digitalisering, minder uitval in de keten. Het is dus uitdrukkelijk niet de bedoeling te komen tot een algehele fundamentele herziening van strafvordering, al kan het zo zijn dat op beperkte deelonderwerpen een dergelijke herziening wel nodig is.</w:t>
      </w:r>
      <w:r w:rsidRPr="007C5808" w:rsidR="00290865">
        <w:rPr>
          <w:rFonts w:ascii="Times New Roman" w:hAnsi="Times New Roman" w:eastAsia="MS Mincho" w:cs="Times New Roman"/>
          <w:color w:val="000000"/>
          <w:sz w:val="24"/>
          <w:szCs w:val="24"/>
          <w:shd w:val="clear" w:color="auto" w:fill="FFFFFF"/>
          <w:lang w:eastAsia="nl-NL"/>
        </w:rPr>
        <w:t>”</w:t>
      </w:r>
      <w:r w:rsidRPr="007C5808" w:rsidR="00290865">
        <w:rPr>
          <w:rStyle w:val="FootnoteReference"/>
          <w:rFonts w:ascii="Times New Roman" w:hAnsi="Times New Roman" w:eastAsia="MS Mincho"/>
          <w:color w:val="000000"/>
          <w:sz w:val="24"/>
          <w:szCs w:val="24"/>
          <w:shd w:val="clear" w:color="auto" w:fill="FFFFFF"/>
          <w:lang w:eastAsia="nl-NL"/>
        </w:rPr>
        <w:footnoteReference w:id="8"/>
      </w:r>
      <w:r w:rsidRPr="007C5808" w:rsidR="00290F81">
        <w:rPr>
          <w:rFonts w:ascii="Times New Roman" w:hAnsi="Times New Roman" w:eastAsia="MS Mincho" w:cs="Times New Roman"/>
          <w:color w:val="000000"/>
          <w:sz w:val="24"/>
          <w:szCs w:val="24"/>
          <w:shd w:val="clear" w:color="auto" w:fill="FFFFFF"/>
          <w:lang w:eastAsia="nl-NL"/>
        </w:rPr>
        <w:t xml:space="preserve"> </w:t>
      </w:r>
      <w:r w:rsidRPr="007C5808" w:rsidR="00035245">
        <w:rPr>
          <w:rFonts w:ascii="Times New Roman" w:hAnsi="Times New Roman" w:eastAsia="MS Mincho" w:cs="Times New Roman"/>
          <w:color w:val="000000"/>
          <w:sz w:val="24"/>
          <w:szCs w:val="24"/>
          <w:shd w:val="clear" w:color="auto" w:fill="FFFFFF"/>
          <w:lang w:eastAsia="nl-NL"/>
        </w:rPr>
        <w:t>De inzet van het programma is dus enerzijds groots vanwege de omvang en het bereik van het moderniseringsprogramma en de daarmee verbonden uitvoeringsaspecten,</w:t>
      </w:r>
      <w:r w:rsidRPr="007C5808" w:rsidR="00AA1836">
        <w:rPr>
          <w:rFonts w:ascii="Times New Roman" w:hAnsi="Times New Roman" w:eastAsia="MS Mincho" w:cs="Times New Roman"/>
          <w:color w:val="000000"/>
          <w:sz w:val="24"/>
          <w:szCs w:val="24"/>
          <w:shd w:val="clear" w:color="auto" w:fill="FFFFFF"/>
          <w:lang w:eastAsia="nl-NL"/>
        </w:rPr>
        <w:t xml:space="preserve"> </w:t>
      </w:r>
      <w:r w:rsidRPr="007C5808" w:rsidR="00035245">
        <w:rPr>
          <w:rFonts w:ascii="Times New Roman" w:hAnsi="Times New Roman" w:eastAsia="MS Mincho" w:cs="Times New Roman"/>
          <w:color w:val="000000"/>
          <w:sz w:val="24"/>
          <w:szCs w:val="24"/>
          <w:shd w:val="clear" w:color="auto" w:fill="FFFFFF"/>
          <w:lang w:eastAsia="nl-NL"/>
        </w:rPr>
        <w:t>anderzijds beperkt door de doelstelling, een modernisering die uitdrukkelijk geen algemene fundamentele herziening</w:t>
      </w:r>
      <w:r w:rsidRPr="007C5808" w:rsidR="00AA1836">
        <w:rPr>
          <w:rFonts w:ascii="Times New Roman" w:hAnsi="Times New Roman" w:eastAsia="MS Mincho" w:cs="Times New Roman"/>
          <w:color w:val="000000"/>
          <w:sz w:val="24"/>
          <w:szCs w:val="24"/>
          <w:shd w:val="clear" w:color="auto" w:fill="FFFFFF"/>
          <w:lang w:eastAsia="nl-NL"/>
        </w:rPr>
        <w:t xml:space="preserve"> </w:t>
      </w:r>
      <w:r w:rsidRPr="007C5808" w:rsidR="00035245">
        <w:rPr>
          <w:rFonts w:ascii="Times New Roman" w:hAnsi="Times New Roman" w:eastAsia="MS Mincho" w:cs="Times New Roman"/>
          <w:color w:val="000000"/>
          <w:sz w:val="24"/>
          <w:szCs w:val="24"/>
          <w:shd w:val="clear" w:color="auto" w:fill="FFFFFF"/>
          <w:lang w:eastAsia="nl-NL"/>
        </w:rPr>
        <w:t xml:space="preserve">beoogt te zijn. </w:t>
      </w:r>
      <w:r w:rsidR="006B380D">
        <w:rPr>
          <w:rFonts w:ascii="Times New Roman" w:hAnsi="Times New Roman" w:eastAsia="MS Mincho" w:cs="Times New Roman"/>
          <w:color w:val="000000"/>
          <w:sz w:val="24"/>
          <w:szCs w:val="24"/>
          <w:shd w:val="clear" w:color="auto" w:fill="FFFFFF"/>
          <w:lang w:eastAsia="nl-NL"/>
        </w:rPr>
        <w:br/>
      </w:r>
      <w:r w:rsidR="006B380D">
        <w:rPr>
          <w:rFonts w:ascii="Times New Roman" w:hAnsi="Times New Roman" w:eastAsia="MS Mincho" w:cs="Times New Roman"/>
          <w:color w:val="000000"/>
          <w:sz w:val="24"/>
          <w:szCs w:val="24"/>
          <w:shd w:val="clear" w:color="auto" w:fill="FFFFFF"/>
          <w:lang w:eastAsia="nl-NL"/>
        </w:rPr>
        <w:lastRenderedPageBreak/>
        <w:t>H</w:t>
      </w:r>
      <w:r w:rsidRPr="007C5808" w:rsidR="00083039">
        <w:rPr>
          <w:rFonts w:ascii="Times New Roman" w:hAnsi="Times New Roman" w:eastAsia="MS Mincho" w:cs="Times New Roman"/>
          <w:color w:val="000000"/>
          <w:sz w:val="24"/>
          <w:szCs w:val="24"/>
          <w:shd w:val="clear" w:color="auto" w:fill="FFFFFF"/>
          <w:lang w:eastAsia="nl-NL"/>
        </w:rPr>
        <w:t xml:space="preserve">et belang van </w:t>
      </w:r>
      <w:r w:rsidR="006B380D">
        <w:rPr>
          <w:rFonts w:ascii="Times New Roman" w:hAnsi="Times New Roman" w:eastAsia="MS Mincho" w:cs="Times New Roman"/>
          <w:color w:val="000000"/>
          <w:sz w:val="24"/>
          <w:szCs w:val="24"/>
          <w:shd w:val="clear" w:color="auto" w:fill="FFFFFF"/>
          <w:lang w:eastAsia="nl-NL"/>
        </w:rPr>
        <w:t xml:space="preserve">het ‘bij de tijd’ brengen </w:t>
      </w:r>
      <w:r w:rsidR="009371FA">
        <w:rPr>
          <w:rFonts w:ascii="Times New Roman" w:hAnsi="Times New Roman" w:eastAsia="MS Mincho" w:cs="Times New Roman"/>
          <w:color w:val="000000"/>
          <w:sz w:val="24"/>
          <w:szCs w:val="24"/>
          <w:shd w:val="clear" w:color="auto" w:fill="FFFFFF"/>
          <w:lang w:eastAsia="nl-NL"/>
        </w:rPr>
        <w:t>van het Wetboek van Strafvordering staat wat mij betreft niet ter discussie.</w:t>
      </w:r>
      <w:r w:rsidRPr="007C5808" w:rsidR="009371FA">
        <w:rPr>
          <w:rFonts w:ascii="Times New Roman" w:hAnsi="Times New Roman" w:eastAsia="MS Mincho" w:cs="Times New Roman"/>
          <w:color w:val="000000"/>
          <w:sz w:val="24"/>
          <w:szCs w:val="24"/>
          <w:shd w:val="clear" w:color="auto" w:fill="FFFFFF"/>
          <w:lang w:eastAsia="nl-NL"/>
        </w:rPr>
        <w:t xml:space="preserve"> </w:t>
      </w:r>
      <w:r w:rsidR="00D472A4">
        <w:rPr>
          <w:rFonts w:ascii="Times New Roman" w:hAnsi="Times New Roman" w:eastAsia="MS Mincho" w:cs="Times New Roman"/>
          <w:color w:val="000000"/>
          <w:sz w:val="24"/>
          <w:szCs w:val="24"/>
          <w:shd w:val="clear" w:color="auto" w:fill="FFFFFF"/>
          <w:lang w:eastAsia="nl-NL"/>
        </w:rPr>
        <w:t xml:space="preserve">Het Wetboek is </w:t>
      </w:r>
      <w:r w:rsidR="0020624F">
        <w:rPr>
          <w:rFonts w:ascii="Times New Roman" w:hAnsi="Times New Roman" w:eastAsia="MS Mincho" w:cs="Times New Roman"/>
          <w:color w:val="000000"/>
          <w:sz w:val="24"/>
          <w:szCs w:val="24"/>
          <w:shd w:val="clear" w:color="auto" w:fill="FFFFFF"/>
          <w:lang w:eastAsia="nl-NL"/>
        </w:rPr>
        <w:t xml:space="preserve">sinds </w:t>
      </w:r>
      <w:r w:rsidR="00D472A4">
        <w:rPr>
          <w:rFonts w:ascii="Times New Roman" w:hAnsi="Times New Roman" w:eastAsia="MS Mincho" w:cs="Times New Roman"/>
          <w:color w:val="000000"/>
          <w:sz w:val="24"/>
          <w:szCs w:val="24"/>
          <w:shd w:val="clear" w:color="auto" w:fill="FFFFFF"/>
          <w:lang w:eastAsia="nl-NL"/>
        </w:rPr>
        <w:t>de invoering in 1926 weliswaar op diverse onderdelen aange</w:t>
      </w:r>
      <w:r w:rsidR="00433FB5">
        <w:rPr>
          <w:rFonts w:ascii="Times New Roman" w:hAnsi="Times New Roman" w:eastAsia="MS Mincho" w:cs="Times New Roman"/>
          <w:color w:val="000000"/>
          <w:sz w:val="24"/>
          <w:szCs w:val="24"/>
          <w:shd w:val="clear" w:color="auto" w:fill="FFFFFF"/>
          <w:lang w:eastAsia="nl-NL"/>
        </w:rPr>
        <w:t xml:space="preserve">past en bijgesteld, maar lijkt niet </w:t>
      </w:r>
      <w:r w:rsidR="009E6B53">
        <w:rPr>
          <w:rFonts w:ascii="Times New Roman" w:hAnsi="Times New Roman" w:eastAsia="MS Mincho" w:cs="Times New Roman"/>
          <w:color w:val="000000"/>
          <w:sz w:val="24"/>
          <w:szCs w:val="24"/>
          <w:shd w:val="clear" w:color="auto" w:fill="FFFFFF"/>
          <w:lang w:eastAsia="nl-NL"/>
        </w:rPr>
        <w:t>toereikend</w:t>
      </w:r>
      <w:r w:rsidR="00433FB5">
        <w:rPr>
          <w:rFonts w:ascii="Times New Roman" w:hAnsi="Times New Roman" w:eastAsia="MS Mincho" w:cs="Times New Roman"/>
          <w:color w:val="000000"/>
          <w:sz w:val="24"/>
          <w:szCs w:val="24"/>
          <w:shd w:val="clear" w:color="auto" w:fill="FFFFFF"/>
          <w:lang w:eastAsia="nl-NL"/>
        </w:rPr>
        <w:t xml:space="preserve"> </w:t>
      </w:r>
      <w:r w:rsidR="0020624F">
        <w:rPr>
          <w:rFonts w:ascii="Times New Roman" w:hAnsi="Times New Roman" w:eastAsia="MS Mincho" w:cs="Times New Roman"/>
          <w:color w:val="000000"/>
          <w:sz w:val="24"/>
          <w:szCs w:val="24"/>
          <w:shd w:val="clear" w:color="auto" w:fill="FFFFFF"/>
          <w:lang w:eastAsia="nl-NL"/>
        </w:rPr>
        <w:t xml:space="preserve">voor de nabije toekomst. </w:t>
      </w:r>
      <w:r w:rsidR="006B380D">
        <w:rPr>
          <w:rFonts w:ascii="Times New Roman" w:hAnsi="Times New Roman" w:eastAsia="MS Mincho" w:cs="Times New Roman"/>
          <w:color w:val="000000"/>
          <w:sz w:val="24"/>
          <w:szCs w:val="24"/>
          <w:shd w:val="clear" w:color="auto" w:fill="FFFFFF"/>
          <w:lang w:eastAsia="nl-NL"/>
        </w:rPr>
        <w:t xml:space="preserve">Een </w:t>
      </w:r>
      <w:r w:rsidRPr="007C5808" w:rsidR="00AE3E19">
        <w:rPr>
          <w:rFonts w:ascii="Times New Roman" w:hAnsi="Times New Roman" w:eastAsia="MS Mincho" w:cs="Times New Roman"/>
          <w:color w:val="000000"/>
          <w:sz w:val="24"/>
          <w:szCs w:val="24"/>
          <w:shd w:val="clear" w:color="auto" w:fill="FFFFFF"/>
          <w:lang w:eastAsia="nl-NL"/>
        </w:rPr>
        <w:t xml:space="preserve">modernisering </w:t>
      </w:r>
      <w:r w:rsidRPr="007C5808" w:rsidR="00692EEC">
        <w:rPr>
          <w:rFonts w:ascii="Times New Roman" w:hAnsi="Times New Roman" w:eastAsia="MS Mincho" w:cs="Times New Roman"/>
          <w:color w:val="000000"/>
          <w:sz w:val="24"/>
          <w:szCs w:val="24"/>
          <w:shd w:val="clear" w:color="auto" w:fill="FFFFFF"/>
          <w:lang w:eastAsia="nl-NL"/>
        </w:rPr>
        <w:t xml:space="preserve">wordt </w:t>
      </w:r>
      <w:r w:rsidRPr="007C5808" w:rsidR="00E52A02">
        <w:rPr>
          <w:rFonts w:ascii="Times New Roman" w:hAnsi="Times New Roman" w:eastAsia="MS Mincho" w:cs="Times New Roman"/>
          <w:color w:val="000000"/>
          <w:sz w:val="24"/>
          <w:szCs w:val="24"/>
          <w:shd w:val="clear" w:color="auto" w:fill="FFFFFF"/>
          <w:lang w:eastAsia="nl-NL"/>
        </w:rPr>
        <w:t xml:space="preserve">hier </w:t>
      </w:r>
      <w:r w:rsidRPr="007C5808" w:rsidR="00692EEC">
        <w:rPr>
          <w:rFonts w:ascii="Times New Roman" w:hAnsi="Times New Roman" w:eastAsia="MS Mincho" w:cs="Times New Roman"/>
          <w:color w:val="000000"/>
          <w:sz w:val="24"/>
          <w:szCs w:val="24"/>
          <w:shd w:val="clear" w:color="auto" w:fill="FFFFFF"/>
          <w:lang w:eastAsia="nl-NL"/>
        </w:rPr>
        <w:t>dan ook niet geproblematiseerd, noch de wijze waarop het proces in en buiten he</w:t>
      </w:r>
      <w:r w:rsidRPr="007C5808" w:rsidR="008718B9">
        <w:rPr>
          <w:rFonts w:ascii="Times New Roman" w:hAnsi="Times New Roman" w:eastAsia="MS Mincho" w:cs="Times New Roman"/>
          <w:color w:val="000000"/>
          <w:sz w:val="24"/>
          <w:szCs w:val="24"/>
          <w:shd w:val="clear" w:color="auto" w:fill="FFFFFF"/>
          <w:lang w:eastAsia="nl-NL"/>
        </w:rPr>
        <w:t>t ministerie wordt vormgegeven.</w:t>
      </w:r>
      <w:r w:rsidRPr="007C5808" w:rsidR="008718B9">
        <w:rPr>
          <w:rStyle w:val="FootnoteReference"/>
          <w:rFonts w:ascii="Times New Roman" w:hAnsi="Times New Roman" w:eastAsia="MS Mincho"/>
          <w:color w:val="000000"/>
          <w:sz w:val="24"/>
          <w:szCs w:val="24"/>
          <w:shd w:val="clear" w:color="auto" w:fill="FFFFFF"/>
          <w:lang w:eastAsia="nl-NL"/>
        </w:rPr>
        <w:footnoteReference w:id="9"/>
      </w:r>
      <w:r w:rsidRPr="007C5808" w:rsidR="008718B9">
        <w:rPr>
          <w:rFonts w:ascii="Times New Roman" w:hAnsi="Times New Roman" w:eastAsia="MS Mincho" w:cs="Times New Roman"/>
          <w:color w:val="000000"/>
          <w:sz w:val="24"/>
          <w:szCs w:val="24"/>
          <w:shd w:val="clear" w:color="auto" w:fill="FFFFFF"/>
          <w:lang w:eastAsia="nl-NL"/>
        </w:rPr>
        <w:t xml:space="preserve"> </w:t>
      </w:r>
      <w:r w:rsidR="006B380D">
        <w:rPr>
          <w:rFonts w:ascii="Times New Roman" w:hAnsi="Times New Roman" w:eastAsia="MS Mincho" w:cs="Times New Roman"/>
          <w:color w:val="000000"/>
          <w:sz w:val="24"/>
          <w:szCs w:val="24"/>
          <w:shd w:val="clear" w:color="auto" w:fill="FFFFFF"/>
          <w:lang w:eastAsia="nl-NL"/>
        </w:rPr>
        <w:t>Maar, d</w:t>
      </w:r>
      <w:r w:rsidR="003330D7">
        <w:rPr>
          <w:rFonts w:ascii="Times New Roman" w:hAnsi="Times New Roman" w:eastAsia="MS Mincho" w:cs="Times New Roman"/>
          <w:color w:val="000000"/>
          <w:sz w:val="24"/>
          <w:szCs w:val="24"/>
          <w:shd w:val="clear" w:color="auto" w:fill="FFFFFF"/>
          <w:lang w:eastAsia="nl-NL"/>
        </w:rPr>
        <w:t xml:space="preserve">e voor de modernisering geformuleerde doelstelling brengt mee dat </w:t>
      </w:r>
      <w:r w:rsidR="00324076">
        <w:rPr>
          <w:rFonts w:ascii="Times New Roman" w:hAnsi="Times New Roman" w:eastAsia="MS Mincho" w:cs="Times New Roman"/>
          <w:color w:val="000000"/>
          <w:sz w:val="24"/>
          <w:szCs w:val="24"/>
          <w:shd w:val="clear" w:color="auto" w:fill="FFFFFF"/>
          <w:lang w:eastAsia="nl-NL"/>
        </w:rPr>
        <w:t>de wetgever k</w:t>
      </w:r>
      <w:r w:rsidR="003330D7">
        <w:rPr>
          <w:rFonts w:ascii="Times New Roman" w:hAnsi="Times New Roman" w:eastAsia="MS Mincho" w:cs="Times New Roman"/>
          <w:color w:val="000000"/>
          <w:sz w:val="24"/>
          <w:szCs w:val="24"/>
          <w:shd w:val="clear" w:color="auto" w:fill="FFFFFF"/>
          <w:lang w:eastAsia="nl-NL"/>
        </w:rPr>
        <w:t>euzes moet</w:t>
      </w:r>
      <w:r w:rsidR="00324076">
        <w:rPr>
          <w:rFonts w:ascii="Times New Roman" w:hAnsi="Times New Roman" w:eastAsia="MS Mincho" w:cs="Times New Roman"/>
          <w:color w:val="000000"/>
          <w:sz w:val="24"/>
          <w:szCs w:val="24"/>
          <w:shd w:val="clear" w:color="auto" w:fill="FFFFFF"/>
          <w:lang w:eastAsia="nl-NL"/>
        </w:rPr>
        <w:t xml:space="preserve"> maken en kiezen betekent ook bewust beperken en al dan niet bewust buiten beschouwing laten. </w:t>
      </w:r>
      <w:r w:rsidRPr="007C5808" w:rsidR="0063548C">
        <w:rPr>
          <w:rFonts w:ascii="Times New Roman" w:hAnsi="Times New Roman" w:eastAsia="MS Mincho" w:cs="Times New Roman"/>
          <w:color w:val="000000"/>
          <w:sz w:val="24"/>
          <w:szCs w:val="24"/>
          <w:shd w:val="clear" w:color="auto" w:fill="FFFFFF"/>
          <w:lang w:eastAsia="nl-NL"/>
        </w:rPr>
        <w:t>In deze bijdrage zal de aandacht</w:t>
      </w:r>
      <w:r w:rsidR="0063548C">
        <w:rPr>
          <w:rFonts w:ascii="Times New Roman" w:hAnsi="Times New Roman" w:eastAsia="MS Mincho" w:cs="Times New Roman"/>
          <w:color w:val="000000"/>
          <w:sz w:val="24"/>
          <w:szCs w:val="24"/>
          <w:shd w:val="clear" w:color="auto" w:fill="FFFFFF"/>
          <w:lang w:eastAsia="nl-NL"/>
        </w:rPr>
        <w:t xml:space="preserve"> vooral zijn gericht op de kansen die het mo</w:t>
      </w:r>
      <w:r w:rsidR="009E1E18">
        <w:rPr>
          <w:rFonts w:ascii="Times New Roman" w:hAnsi="Times New Roman" w:eastAsia="MS Mincho" w:cs="Times New Roman"/>
          <w:color w:val="000000"/>
          <w:sz w:val="24"/>
          <w:szCs w:val="24"/>
          <w:shd w:val="clear" w:color="auto" w:fill="FFFFFF"/>
          <w:lang w:eastAsia="nl-NL"/>
        </w:rPr>
        <w:t xml:space="preserve">derniseringsproject met zich </w:t>
      </w:r>
      <w:r w:rsidR="0063548C">
        <w:rPr>
          <w:rFonts w:ascii="Times New Roman" w:hAnsi="Times New Roman" w:eastAsia="MS Mincho" w:cs="Times New Roman"/>
          <w:color w:val="000000"/>
          <w:sz w:val="24"/>
          <w:szCs w:val="24"/>
          <w:shd w:val="clear" w:color="auto" w:fill="FFFFFF"/>
          <w:lang w:eastAsia="nl-NL"/>
        </w:rPr>
        <w:t>brengt en wel op die kansen die de wetgever niet zonder meer kan of mag laten</w:t>
      </w:r>
      <w:r w:rsidR="00B27120">
        <w:rPr>
          <w:rFonts w:ascii="Times New Roman" w:hAnsi="Times New Roman" w:eastAsia="MS Mincho" w:cs="Times New Roman"/>
          <w:color w:val="000000"/>
          <w:sz w:val="24"/>
          <w:szCs w:val="24"/>
          <w:shd w:val="clear" w:color="auto" w:fill="FFFFFF"/>
          <w:lang w:eastAsia="nl-NL"/>
        </w:rPr>
        <w:t xml:space="preserve"> lopen. </w:t>
      </w:r>
    </w:p>
    <w:p w:rsidR="00A93986" w:rsidP="00A93986" w:rsidRDefault="00B27120">
      <w:pPr>
        <w:spacing w:before="240" w:after="0" w:line="240" w:lineRule="auto"/>
        <w:rPr>
          <w:rFonts w:ascii="Times New Roman" w:hAnsi="Times New Roman" w:eastAsia="MS Mincho" w:cs="Times New Roman"/>
          <w:color w:val="000000"/>
          <w:sz w:val="24"/>
          <w:szCs w:val="24"/>
          <w:shd w:val="clear" w:color="auto" w:fill="FFFFFF"/>
          <w:lang w:eastAsia="nl-NL"/>
        </w:rPr>
      </w:pPr>
      <w:r>
        <w:rPr>
          <w:rFonts w:ascii="Times New Roman" w:hAnsi="Times New Roman" w:eastAsia="MS Mincho" w:cs="Times New Roman"/>
          <w:color w:val="000000"/>
          <w:sz w:val="24"/>
          <w:szCs w:val="24"/>
          <w:shd w:val="clear" w:color="auto" w:fill="FFFFFF"/>
          <w:lang w:eastAsia="nl-NL"/>
        </w:rPr>
        <w:t>De vraag is wanneer men kan spreken van zulke kansen. Daarvoor oriënte</w:t>
      </w:r>
      <w:r w:rsidR="00093997">
        <w:rPr>
          <w:rFonts w:ascii="Times New Roman" w:hAnsi="Times New Roman" w:eastAsia="MS Mincho" w:cs="Times New Roman"/>
          <w:color w:val="000000"/>
          <w:sz w:val="24"/>
          <w:szCs w:val="24"/>
          <w:shd w:val="clear" w:color="auto" w:fill="FFFFFF"/>
          <w:lang w:eastAsia="nl-NL"/>
        </w:rPr>
        <w:t xml:space="preserve">er ik me </w:t>
      </w:r>
      <w:r>
        <w:rPr>
          <w:rFonts w:ascii="Times New Roman" w:hAnsi="Times New Roman" w:eastAsia="MS Mincho" w:cs="Times New Roman"/>
          <w:color w:val="000000"/>
          <w:sz w:val="24"/>
          <w:szCs w:val="24"/>
          <w:shd w:val="clear" w:color="auto" w:fill="FFFFFF"/>
          <w:lang w:eastAsia="nl-NL"/>
        </w:rPr>
        <w:t xml:space="preserve">hier op </w:t>
      </w:r>
      <w:r w:rsidR="002267BC">
        <w:rPr>
          <w:rFonts w:ascii="Times New Roman" w:hAnsi="Times New Roman" w:eastAsia="MS Mincho" w:cs="Times New Roman"/>
          <w:color w:val="000000"/>
          <w:sz w:val="24"/>
          <w:szCs w:val="24"/>
          <w:shd w:val="clear" w:color="auto" w:fill="FFFFFF"/>
          <w:lang w:eastAsia="nl-NL"/>
        </w:rPr>
        <w:t>het gegeven dat het Wetboek van Strafvordering een algemeen wetboek is in de zin van de Grondwet en in zijn oorsprong tot stand kwam binnen het ideaal van codificatie.</w:t>
      </w:r>
      <w:r w:rsidR="00420449">
        <w:rPr>
          <w:rStyle w:val="FootnoteReference"/>
          <w:rFonts w:ascii="Times New Roman" w:hAnsi="Times New Roman" w:eastAsia="MS Mincho"/>
          <w:color w:val="000000"/>
          <w:sz w:val="24"/>
          <w:szCs w:val="24"/>
          <w:shd w:val="clear" w:color="auto" w:fill="FFFFFF"/>
          <w:lang w:eastAsia="nl-NL"/>
        </w:rPr>
        <w:footnoteReference w:id="10"/>
      </w:r>
      <w:r w:rsidR="002267BC">
        <w:rPr>
          <w:rFonts w:ascii="Times New Roman" w:hAnsi="Times New Roman" w:eastAsia="MS Mincho" w:cs="Times New Roman"/>
          <w:color w:val="000000"/>
          <w:sz w:val="24"/>
          <w:szCs w:val="24"/>
          <w:shd w:val="clear" w:color="auto" w:fill="FFFFFF"/>
          <w:lang w:eastAsia="nl-NL"/>
        </w:rPr>
        <w:t xml:space="preserve"> </w:t>
      </w:r>
      <w:r w:rsidRPr="007C5808" w:rsidR="002267BC">
        <w:rPr>
          <w:rFonts w:ascii="Times New Roman" w:hAnsi="Times New Roman" w:eastAsia="MS Mincho" w:cs="Times New Roman"/>
          <w:color w:val="000000"/>
          <w:sz w:val="24"/>
          <w:szCs w:val="24"/>
          <w:shd w:val="clear" w:color="auto" w:fill="FFFFFF"/>
          <w:lang w:eastAsia="nl-NL"/>
        </w:rPr>
        <w:t xml:space="preserve">Het Wetboek van Strafvordering </w:t>
      </w:r>
      <w:r w:rsidR="002267BC">
        <w:rPr>
          <w:rFonts w:ascii="Times New Roman" w:hAnsi="Times New Roman" w:eastAsia="MS Mincho" w:cs="Times New Roman"/>
          <w:color w:val="000000"/>
          <w:sz w:val="24"/>
          <w:szCs w:val="24"/>
          <w:shd w:val="clear" w:color="auto" w:fill="FFFFFF"/>
          <w:lang w:eastAsia="nl-NL"/>
        </w:rPr>
        <w:t>is daarmee e</w:t>
      </w:r>
      <w:r w:rsidRPr="007C5808" w:rsidR="002267BC">
        <w:rPr>
          <w:rFonts w:ascii="Times New Roman" w:hAnsi="Times New Roman" w:eastAsia="MS Mincho" w:cs="Times New Roman"/>
          <w:color w:val="000000"/>
          <w:sz w:val="24"/>
          <w:szCs w:val="24"/>
          <w:shd w:val="clear" w:color="auto" w:fill="FFFFFF"/>
          <w:lang w:eastAsia="nl-NL"/>
        </w:rPr>
        <w:t>en belangrijke pijler van en binnen onze (dynamische) democratische rechtsstaat</w:t>
      </w:r>
      <w:r w:rsidRPr="007C5808" w:rsidR="002267BC">
        <w:rPr>
          <w:rFonts w:ascii="Times New Roman" w:hAnsi="Times New Roman" w:eastAsia="MS Mincho" w:cs="Times New Roman"/>
          <w:i/>
          <w:color w:val="000000"/>
          <w:sz w:val="24"/>
          <w:szCs w:val="24"/>
          <w:shd w:val="clear" w:color="auto" w:fill="FFFFFF"/>
          <w:lang w:eastAsia="nl-NL"/>
        </w:rPr>
        <w:t>.</w:t>
      </w:r>
      <w:r w:rsidRPr="007C5808" w:rsidR="002267BC">
        <w:rPr>
          <w:rFonts w:ascii="Times New Roman" w:hAnsi="Times New Roman" w:eastAsia="MS Mincho" w:cs="Times New Roman"/>
          <w:color w:val="000000"/>
          <w:sz w:val="24"/>
          <w:szCs w:val="24"/>
          <w:shd w:val="clear" w:color="auto" w:fill="FFFFFF"/>
          <w:lang w:eastAsia="nl-NL"/>
        </w:rPr>
        <w:t xml:space="preserve"> Dat ideaal heeft nog steeds betekenis en zal dat </w:t>
      </w:r>
      <w:r w:rsidR="002267BC">
        <w:rPr>
          <w:rFonts w:ascii="Times New Roman" w:hAnsi="Times New Roman" w:eastAsia="MS Mincho" w:cs="Times New Roman"/>
          <w:color w:val="000000"/>
          <w:sz w:val="24"/>
          <w:szCs w:val="24"/>
          <w:shd w:val="clear" w:color="auto" w:fill="FFFFFF"/>
          <w:lang w:eastAsia="nl-NL"/>
        </w:rPr>
        <w:t>vanwege de verbo</w:t>
      </w:r>
      <w:r>
        <w:rPr>
          <w:rFonts w:ascii="Times New Roman" w:hAnsi="Times New Roman" w:eastAsia="MS Mincho" w:cs="Times New Roman"/>
          <w:color w:val="000000"/>
          <w:sz w:val="24"/>
          <w:szCs w:val="24"/>
          <w:shd w:val="clear" w:color="auto" w:fill="FFFFFF"/>
          <w:lang w:eastAsia="nl-NL"/>
        </w:rPr>
        <w:t>n</w:t>
      </w:r>
      <w:r w:rsidR="002267BC">
        <w:rPr>
          <w:rFonts w:ascii="Times New Roman" w:hAnsi="Times New Roman" w:eastAsia="MS Mincho" w:cs="Times New Roman"/>
          <w:color w:val="000000"/>
          <w:sz w:val="24"/>
          <w:szCs w:val="24"/>
          <w:shd w:val="clear" w:color="auto" w:fill="FFFFFF"/>
          <w:lang w:eastAsia="nl-NL"/>
        </w:rPr>
        <w:t xml:space="preserve">denheid met het gedachtegoed van de democratische rechtsstaat ook </w:t>
      </w:r>
      <w:r w:rsidRPr="007C5808" w:rsidR="002267BC">
        <w:rPr>
          <w:rFonts w:ascii="Times New Roman" w:hAnsi="Times New Roman" w:eastAsia="MS Mincho" w:cs="Times New Roman"/>
          <w:color w:val="000000"/>
          <w:sz w:val="24"/>
          <w:szCs w:val="24"/>
          <w:shd w:val="clear" w:color="auto" w:fill="FFFFFF"/>
          <w:lang w:eastAsia="nl-NL"/>
        </w:rPr>
        <w:t xml:space="preserve">moeten behouden. </w:t>
      </w:r>
      <w:r w:rsidR="00093997">
        <w:rPr>
          <w:rFonts w:ascii="Times New Roman" w:hAnsi="Times New Roman" w:eastAsia="MS Mincho" w:cs="Times New Roman"/>
          <w:color w:val="000000"/>
          <w:sz w:val="24"/>
          <w:szCs w:val="24"/>
          <w:shd w:val="clear" w:color="auto" w:fill="FFFFFF"/>
          <w:lang w:eastAsia="nl-NL"/>
        </w:rPr>
        <w:t>K</w:t>
      </w:r>
      <w:r w:rsidRPr="007C5808" w:rsidR="002267BC">
        <w:rPr>
          <w:rFonts w:ascii="Times New Roman" w:hAnsi="Times New Roman" w:eastAsia="MS Mincho" w:cs="Times New Roman"/>
          <w:color w:val="000000"/>
          <w:sz w:val="24"/>
          <w:szCs w:val="24"/>
          <w:shd w:val="clear" w:color="auto" w:fill="FFFFFF"/>
          <w:lang w:eastAsia="nl-NL"/>
        </w:rPr>
        <w:t>arakteristiek</w:t>
      </w:r>
      <w:r w:rsidR="002267BC">
        <w:rPr>
          <w:rFonts w:ascii="Times New Roman" w:hAnsi="Times New Roman" w:eastAsia="MS Mincho" w:cs="Times New Roman"/>
          <w:color w:val="000000"/>
          <w:sz w:val="24"/>
          <w:szCs w:val="24"/>
          <w:shd w:val="clear" w:color="auto" w:fill="FFFFFF"/>
          <w:lang w:eastAsia="nl-NL"/>
        </w:rPr>
        <w:t>e</w:t>
      </w:r>
      <w:r w:rsidR="00093997">
        <w:rPr>
          <w:rFonts w:ascii="Times New Roman" w:hAnsi="Times New Roman" w:eastAsia="MS Mincho" w:cs="Times New Roman"/>
          <w:color w:val="000000"/>
          <w:sz w:val="24"/>
          <w:szCs w:val="24"/>
          <w:shd w:val="clear" w:color="auto" w:fill="FFFFFF"/>
          <w:lang w:eastAsia="nl-NL"/>
        </w:rPr>
        <w:t xml:space="preserve"> belangen die zo’n </w:t>
      </w:r>
      <w:r w:rsidR="002267BC">
        <w:rPr>
          <w:rFonts w:ascii="Times New Roman" w:hAnsi="Times New Roman" w:eastAsia="MS Mincho" w:cs="Times New Roman"/>
          <w:color w:val="000000"/>
          <w:sz w:val="24"/>
          <w:szCs w:val="24"/>
          <w:shd w:val="clear" w:color="auto" w:fill="FFFFFF"/>
          <w:lang w:eastAsia="nl-NL"/>
        </w:rPr>
        <w:t xml:space="preserve">codificatie </w:t>
      </w:r>
      <w:r w:rsidR="00093997">
        <w:rPr>
          <w:rFonts w:ascii="Times New Roman" w:hAnsi="Times New Roman" w:eastAsia="MS Mincho" w:cs="Times New Roman"/>
          <w:color w:val="000000"/>
          <w:sz w:val="24"/>
          <w:szCs w:val="24"/>
          <w:shd w:val="clear" w:color="auto" w:fill="FFFFFF"/>
          <w:lang w:eastAsia="nl-NL"/>
        </w:rPr>
        <w:t xml:space="preserve">beoogt te dienen </w:t>
      </w:r>
      <w:r w:rsidR="005009AC">
        <w:rPr>
          <w:rFonts w:ascii="Times New Roman" w:hAnsi="Times New Roman" w:eastAsia="MS Mincho" w:cs="Times New Roman"/>
          <w:color w:val="000000"/>
          <w:sz w:val="24"/>
          <w:szCs w:val="24"/>
          <w:shd w:val="clear" w:color="auto" w:fill="FFFFFF"/>
          <w:lang w:eastAsia="nl-NL"/>
        </w:rPr>
        <w:t xml:space="preserve">zijn onder meer </w:t>
      </w:r>
      <w:r w:rsidRPr="007C5808" w:rsidR="002267BC">
        <w:rPr>
          <w:rFonts w:ascii="Times New Roman" w:hAnsi="Times New Roman" w:eastAsia="MS Mincho" w:cs="Times New Roman"/>
          <w:color w:val="000000"/>
          <w:sz w:val="24"/>
          <w:szCs w:val="24"/>
          <w:shd w:val="clear" w:color="auto" w:fill="FFFFFF"/>
          <w:lang w:eastAsia="nl-NL"/>
        </w:rPr>
        <w:t>duurzaamheid</w:t>
      </w:r>
      <w:r w:rsidR="002267BC">
        <w:rPr>
          <w:rFonts w:ascii="Times New Roman" w:hAnsi="Times New Roman" w:eastAsia="MS Mincho" w:cs="Times New Roman"/>
          <w:color w:val="000000"/>
          <w:sz w:val="24"/>
          <w:szCs w:val="24"/>
          <w:shd w:val="clear" w:color="auto" w:fill="FFFFFF"/>
          <w:lang w:eastAsia="nl-NL"/>
        </w:rPr>
        <w:t xml:space="preserve">, </w:t>
      </w:r>
      <w:r w:rsidRPr="007C5808" w:rsidR="002267BC">
        <w:rPr>
          <w:rFonts w:ascii="Times New Roman" w:hAnsi="Times New Roman" w:eastAsia="MS Mincho" w:cs="Times New Roman"/>
          <w:color w:val="000000"/>
          <w:sz w:val="24"/>
          <w:szCs w:val="24"/>
          <w:shd w:val="clear" w:color="auto" w:fill="FFFFFF"/>
          <w:lang w:eastAsia="nl-NL"/>
        </w:rPr>
        <w:t xml:space="preserve">continuïteit, </w:t>
      </w:r>
      <w:r w:rsidR="003F4A63">
        <w:rPr>
          <w:rFonts w:ascii="Times New Roman" w:hAnsi="Times New Roman" w:eastAsia="MS Mincho" w:cs="Times New Roman"/>
          <w:color w:val="000000"/>
          <w:sz w:val="24"/>
          <w:szCs w:val="24"/>
          <w:shd w:val="clear" w:color="auto" w:fill="FFFFFF"/>
          <w:lang w:eastAsia="nl-NL"/>
        </w:rPr>
        <w:t xml:space="preserve">coherentie, </w:t>
      </w:r>
      <w:r w:rsidRPr="007C5808" w:rsidR="002267BC">
        <w:rPr>
          <w:rFonts w:ascii="Times New Roman" w:hAnsi="Times New Roman" w:eastAsia="MS Mincho" w:cs="Times New Roman"/>
          <w:color w:val="000000"/>
          <w:sz w:val="24"/>
          <w:szCs w:val="24"/>
          <w:shd w:val="clear" w:color="auto" w:fill="FFFFFF"/>
          <w:lang w:eastAsia="nl-NL"/>
        </w:rPr>
        <w:t>consistentie, samenhang, rechtszekerheid/voorspelbaarheid</w:t>
      </w:r>
      <w:r>
        <w:rPr>
          <w:rFonts w:ascii="Times New Roman" w:hAnsi="Times New Roman" w:eastAsia="MS Mincho" w:cs="Times New Roman"/>
          <w:color w:val="000000"/>
          <w:sz w:val="24"/>
          <w:szCs w:val="24"/>
          <w:shd w:val="clear" w:color="auto" w:fill="FFFFFF"/>
          <w:lang w:eastAsia="nl-NL"/>
        </w:rPr>
        <w:t xml:space="preserve"> en h</w:t>
      </w:r>
      <w:r w:rsidRPr="007C5808" w:rsidR="002267BC">
        <w:rPr>
          <w:rFonts w:ascii="Times New Roman" w:hAnsi="Times New Roman" w:eastAsia="MS Mincho" w:cs="Times New Roman"/>
          <w:color w:val="000000"/>
          <w:sz w:val="24"/>
          <w:szCs w:val="24"/>
          <w:shd w:val="clear" w:color="auto" w:fill="FFFFFF"/>
          <w:lang w:eastAsia="nl-NL"/>
        </w:rPr>
        <w:t>erkenbaarheid.</w:t>
      </w:r>
      <w:r w:rsidR="005404D5">
        <w:rPr>
          <w:rStyle w:val="FootnoteReference"/>
          <w:rFonts w:ascii="Times New Roman" w:hAnsi="Times New Roman" w:eastAsia="MS Mincho"/>
          <w:color w:val="000000"/>
          <w:sz w:val="24"/>
          <w:szCs w:val="24"/>
          <w:shd w:val="clear" w:color="auto" w:fill="FFFFFF"/>
          <w:lang w:eastAsia="nl-NL"/>
        </w:rPr>
        <w:footnoteReference w:id="11"/>
      </w:r>
      <w:r w:rsidRPr="007C5808" w:rsidR="002267BC">
        <w:rPr>
          <w:rFonts w:ascii="Times New Roman" w:hAnsi="Times New Roman" w:eastAsia="MS Mincho" w:cs="Times New Roman"/>
          <w:color w:val="000000"/>
          <w:sz w:val="24"/>
          <w:szCs w:val="24"/>
          <w:shd w:val="clear" w:color="auto" w:fill="FFFFFF"/>
          <w:lang w:eastAsia="nl-NL"/>
        </w:rPr>
        <w:t xml:space="preserve"> Achterliggende beginselen, waarden en verhoudingen</w:t>
      </w:r>
      <w:r w:rsidR="002267BC">
        <w:rPr>
          <w:rFonts w:ascii="Times New Roman" w:hAnsi="Times New Roman" w:eastAsia="MS Mincho" w:cs="Times New Roman"/>
          <w:color w:val="000000"/>
          <w:sz w:val="24"/>
          <w:szCs w:val="24"/>
          <w:shd w:val="clear" w:color="auto" w:fill="FFFFFF"/>
          <w:lang w:eastAsia="nl-NL"/>
        </w:rPr>
        <w:t>,</w:t>
      </w:r>
      <w:r w:rsidRPr="007C5808" w:rsidR="002267BC">
        <w:rPr>
          <w:rFonts w:ascii="Times New Roman" w:hAnsi="Times New Roman" w:eastAsia="MS Mincho" w:cs="Times New Roman"/>
          <w:color w:val="000000"/>
          <w:sz w:val="24"/>
          <w:szCs w:val="24"/>
          <w:shd w:val="clear" w:color="auto" w:fill="FFFFFF"/>
          <w:lang w:eastAsia="nl-NL"/>
        </w:rPr>
        <w:t xml:space="preserve"> die per casus richting kunnen bieden voor een wet- en rechtmatige invulling van de concrete regeling</w:t>
      </w:r>
      <w:r w:rsidR="002267BC">
        <w:rPr>
          <w:rFonts w:ascii="Times New Roman" w:hAnsi="Times New Roman" w:eastAsia="MS Mincho" w:cs="Times New Roman"/>
          <w:color w:val="000000"/>
          <w:sz w:val="24"/>
          <w:szCs w:val="24"/>
          <w:shd w:val="clear" w:color="auto" w:fill="FFFFFF"/>
          <w:lang w:eastAsia="nl-NL"/>
        </w:rPr>
        <w:t xml:space="preserve">, </w:t>
      </w:r>
      <w:r w:rsidRPr="007C5808" w:rsidR="002267BC">
        <w:rPr>
          <w:rFonts w:ascii="Times New Roman" w:hAnsi="Times New Roman" w:eastAsia="MS Mincho" w:cs="Times New Roman"/>
          <w:color w:val="000000"/>
          <w:sz w:val="24"/>
          <w:szCs w:val="24"/>
          <w:shd w:val="clear" w:color="auto" w:fill="FFFFFF"/>
          <w:lang w:eastAsia="nl-NL"/>
        </w:rPr>
        <w:t xml:space="preserve">zijn </w:t>
      </w:r>
      <w:r w:rsidR="00093997">
        <w:rPr>
          <w:rFonts w:ascii="Times New Roman" w:hAnsi="Times New Roman" w:eastAsia="MS Mincho" w:cs="Times New Roman"/>
          <w:color w:val="000000"/>
          <w:sz w:val="24"/>
          <w:szCs w:val="24"/>
          <w:shd w:val="clear" w:color="auto" w:fill="FFFFFF"/>
          <w:lang w:eastAsia="nl-NL"/>
        </w:rPr>
        <w:t xml:space="preserve">geworteld </w:t>
      </w:r>
      <w:r w:rsidRPr="007C5808" w:rsidR="002267BC">
        <w:rPr>
          <w:rFonts w:ascii="Times New Roman" w:hAnsi="Times New Roman" w:eastAsia="MS Mincho" w:cs="Times New Roman"/>
          <w:color w:val="000000"/>
          <w:sz w:val="24"/>
          <w:szCs w:val="24"/>
          <w:shd w:val="clear" w:color="auto" w:fill="FFFFFF"/>
          <w:lang w:eastAsia="nl-NL"/>
        </w:rPr>
        <w:t xml:space="preserve">in een </w:t>
      </w:r>
      <w:r w:rsidR="002267BC">
        <w:rPr>
          <w:rFonts w:ascii="Times New Roman" w:hAnsi="Times New Roman" w:eastAsia="MS Mincho" w:cs="Times New Roman"/>
          <w:color w:val="000000"/>
          <w:sz w:val="24"/>
          <w:szCs w:val="24"/>
          <w:shd w:val="clear" w:color="auto" w:fill="FFFFFF"/>
          <w:lang w:eastAsia="nl-NL"/>
        </w:rPr>
        <w:t>(rechts)</w:t>
      </w:r>
      <w:r w:rsidRPr="007C5808" w:rsidR="002267BC">
        <w:rPr>
          <w:rFonts w:ascii="Times New Roman" w:hAnsi="Times New Roman" w:eastAsia="MS Mincho" w:cs="Times New Roman"/>
          <w:color w:val="000000"/>
          <w:sz w:val="24"/>
          <w:szCs w:val="24"/>
          <w:shd w:val="clear" w:color="auto" w:fill="FFFFFF"/>
          <w:lang w:eastAsia="nl-NL"/>
        </w:rPr>
        <w:t>traditie</w:t>
      </w:r>
      <w:r w:rsidR="005009AC">
        <w:rPr>
          <w:rFonts w:ascii="Times New Roman" w:hAnsi="Times New Roman" w:eastAsia="MS Mincho" w:cs="Times New Roman"/>
          <w:color w:val="000000"/>
          <w:sz w:val="24"/>
          <w:szCs w:val="24"/>
          <w:shd w:val="clear" w:color="auto" w:fill="FFFFFF"/>
          <w:lang w:eastAsia="nl-NL"/>
        </w:rPr>
        <w:t xml:space="preserve"> waarbinnen de codificatie tot stand kwam</w:t>
      </w:r>
      <w:r w:rsidR="002267BC">
        <w:rPr>
          <w:rFonts w:ascii="Times New Roman" w:hAnsi="Times New Roman" w:eastAsia="MS Mincho" w:cs="Times New Roman"/>
          <w:color w:val="000000"/>
          <w:sz w:val="24"/>
          <w:szCs w:val="24"/>
          <w:shd w:val="clear" w:color="auto" w:fill="FFFFFF"/>
          <w:lang w:eastAsia="nl-NL"/>
        </w:rPr>
        <w:t xml:space="preserve">. </w:t>
      </w:r>
      <w:r w:rsidR="005009AC">
        <w:rPr>
          <w:rFonts w:ascii="Times New Roman" w:hAnsi="Times New Roman" w:eastAsia="MS Mincho" w:cs="Times New Roman"/>
          <w:color w:val="000000"/>
          <w:sz w:val="24"/>
          <w:szCs w:val="24"/>
          <w:shd w:val="clear" w:color="auto" w:fill="FFFFFF"/>
          <w:lang w:eastAsia="nl-NL"/>
        </w:rPr>
        <w:br/>
      </w:r>
      <w:r w:rsidR="00093997">
        <w:rPr>
          <w:rFonts w:ascii="Times New Roman" w:hAnsi="Times New Roman" w:eastAsia="MS Mincho" w:cs="Times New Roman"/>
          <w:color w:val="000000"/>
          <w:sz w:val="24"/>
          <w:szCs w:val="24"/>
          <w:shd w:val="clear" w:color="auto" w:fill="FFFFFF"/>
          <w:lang w:eastAsia="nl-NL"/>
        </w:rPr>
        <w:t>Indien h</w:t>
      </w:r>
      <w:r w:rsidR="00A93986">
        <w:rPr>
          <w:rFonts w:ascii="Times New Roman" w:hAnsi="Times New Roman" w:eastAsia="MS Mincho" w:cs="Times New Roman"/>
          <w:color w:val="000000"/>
          <w:sz w:val="24"/>
          <w:szCs w:val="24"/>
          <w:shd w:val="clear" w:color="auto" w:fill="FFFFFF"/>
          <w:lang w:eastAsia="nl-NL"/>
        </w:rPr>
        <w:t xml:space="preserve">et resultaat van het moderniseringsproces niet </w:t>
      </w:r>
      <w:r w:rsidR="00093997">
        <w:rPr>
          <w:rFonts w:ascii="Times New Roman" w:hAnsi="Times New Roman" w:eastAsia="MS Mincho" w:cs="Times New Roman"/>
          <w:color w:val="000000"/>
          <w:sz w:val="24"/>
          <w:szCs w:val="24"/>
          <w:shd w:val="clear" w:color="auto" w:fill="FFFFFF"/>
          <w:lang w:eastAsia="nl-NL"/>
        </w:rPr>
        <w:t xml:space="preserve">(meer) </w:t>
      </w:r>
      <w:r w:rsidR="00A93986">
        <w:rPr>
          <w:rFonts w:ascii="Times New Roman" w:hAnsi="Times New Roman" w:eastAsia="MS Mincho" w:cs="Times New Roman"/>
          <w:color w:val="000000"/>
          <w:sz w:val="24"/>
          <w:szCs w:val="24"/>
          <w:shd w:val="clear" w:color="auto" w:fill="FFFFFF"/>
          <w:lang w:eastAsia="nl-NL"/>
        </w:rPr>
        <w:t xml:space="preserve">of onvoldoende kan bijdragen aan </w:t>
      </w:r>
      <w:r>
        <w:rPr>
          <w:rFonts w:ascii="Times New Roman" w:hAnsi="Times New Roman" w:eastAsia="MS Mincho" w:cs="Times New Roman"/>
          <w:color w:val="000000"/>
          <w:sz w:val="24"/>
          <w:szCs w:val="24"/>
          <w:shd w:val="clear" w:color="auto" w:fill="FFFFFF"/>
          <w:lang w:eastAsia="nl-NL"/>
        </w:rPr>
        <w:t xml:space="preserve">de </w:t>
      </w:r>
      <w:r w:rsidR="00093997">
        <w:rPr>
          <w:rFonts w:ascii="Times New Roman" w:hAnsi="Times New Roman" w:eastAsia="MS Mincho" w:cs="Times New Roman"/>
          <w:color w:val="000000"/>
          <w:sz w:val="24"/>
          <w:szCs w:val="24"/>
          <w:shd w:val="clear" w:color="auto" w:fill="FFFFFF"/>
          <w:lang w:eastAsia="nl-NL"/>
        </w:rPr>
        <w:t>genoemde</w:t>
      </w:r>
      <w:r>
        <w:rPr>
          <w:rFonts w:ascii="Times New Roman" w:hAnsi="Times New Roman" w:eastAsia="MS Mincho" w:cs="Times New Roman"/>
          <w:color w:val="000000"/>
          <w:sz w:val="24"/>
          <w:szCs w:val="24"/>
          <w:shd w:val="clear" w:color="auto" w:fill="FFFFFF"/>
          <w:lang w:eastAsia="nl-NL"/>
        </w:rPr>
        <w:t xml:space="preserve"> </w:t>
      </w:r>
      <w:r w:rsidR="00093997">
        <w:rPr>
          <w:rFonts w:ascii="Times New Roman" w:hAnsi="Times New Roman" w:eastAsia="MS Mincho" w:cs="Times New Roman"/>
          <w:color w:val="000000"/>
          <w:sz w:val="24"/>
          <w:szCs w:val="24"/>
          <w:shd w:val="clear" w:color="auto" w:fill="FFFFFF"/>
          <w:lang w:eastAsia="nl-NL"/>
        </w:rPr>
        <w:t xml:space="preserve">belangen zou men kunnen </w:t>
      </w:r>
      <w:r w:rsidR="00A93986">
        <w:rPr>
          <w:rFonts w:ascii="Times New Roman" w:hAnsi="Times New Roman" w:eastAsia="MS Mincho" w:cs="Times New Roman"/>
          <w:color w:val="000000"/>
          <w:sz w:val="24"/>
          <w:szCs w:val="24"/>
          <w:shd w:val="clear" w:color="auto" w:fill="FFFFFF"/>
          <w:lang w:eastAsia="nl-NL"/>
        </w:rPr>
        <w:t>men spreken van onvoldoende benutten van kansen</w:t>
      </w:r>
      <w:r w:rsidR="00093997">
        <w:rPr>
          <w:rFonts w:ascii="Times New Roman" w:hAnsi="Times New Roman" w:eastAsia="MS Mincho" w:cs="Times New Roman"/>
          <w:color w:val="000000"/>
          <w:sz w:val="24"/>
          <w:szCs w:val="24"/>
          <w:shd w:val="clear" w:color="auto" w:fill="FFFFFF"/>
          <w:lang w:eastAsia="nl-NL"/>
        </w:rPr>
        <w:t xml:space="preserve"> die men niet kan of mag laten lopen</w:t>
      </w:r>
      <w:r w:rsidR="00A93986">
        <w:rPr>
          <w:rFonts w:ascii="Times New Roman" w:hAnsi="Times New Roman" w:eastAsia="MS Mincho" w:cs="Times New Roman"/>
          <w:color w:val="000000"/>
          <w:sz w:val="24"/>
          <w:szCs w:val="24"/>
          <w:shd w:val="clear" w:color="auto" w:fill="FFFFFF"/>
          <w:lang w:eastAsia="nl-NL"/>
        </w:rPr>
        <w:t>. Het ongebruikt laten van die kansen zou daarmee niet alleen de democratische rechtsstaat te kort doen, maar ook het (inmiddels gemodificeerde) wetgevings</w:t>
      </w:r>
      <w:r w:rsidR="00006C18">
        <w:rPr>
          <w:rFonts w:ascii="Times New Roman" w:hAnsi="Times New Roman" w:eastAsia="MS Mincho" w:cs="Times New Roman"/>
          <w:color w:val="000000"/>
          <w:sz w:val="24"/>
          <w:szCs w:val="24"/>
          <w:shd w:val="clear" w:color="auto" w:fill="FFFFFF"/>
          <w:lang w:eastAsia="nl-NL"/>
        </w:rPr>
        <w:t>product</w:t>
      </w:r>
      <w:r w:rsidR="00A93986">
        <w:rPr>
          <w:rFonts w:ascii="Times New Roman" w:hAnsi="Times New Roman" w:eastAsia="MS Mincho" w:cs="Times New Roman"/>
          <w:color w:val="000000"/>
          <w:sz w:val="24"/>
          <w:szCs w:val="24"/>
          <w:shd w:val="clear" w:color="auto" w:fill="FFFFFF"/>
          <w:lang w:eastAsia="nl-NL"/>
        </w:rPr>
        <w:t xml:space="preserve"> </w:t>
      </w:r>
      <w:r w:rsidR="00960043">
        <w:rPr>
          <w:rFonts w:ascii="Times New Roman" w:hAnsi="Times New Roman" w:eastAsia="MS Mincho" w:cs="Times New Roman"/>
          <w:color w:val="000000"/>
          <w:sz w:val="24"/>
          <w:szCs w:val="24"/>
          <w:shd w:val="clear" w:color="auto" w:fill="FFFFFF"/>
          <w:lang w:eastAsia="nl-NL"/>
        </w:rPr>
        <w:t xml:space="preserve">van 1926 niet kunnen evenaren. Zo bezien zijn die kansen niet vrijblijvend. </w:t>
      </w:r>
    </w:p>
    <w:p w:rsidRPr="002267BC" w:rsidR="002267BC" w:rsidP="002267BC" w:rsidRDefault="00960043">
      <w:pPr>
        <w:spacing w:before="240" w:after="0" w:line="240" w:lineRule="auto"/>
        <w:rPr>
          <w:rFonts w:ascii="Times New Roman" w:hAnsi="Times New Roman" w:eastAsia="MS Mincho" w:cs="Times New Roman"/>
          <w:color w:val="000000"/>
          <w:sz w:val="20"/>
          <w:szCs w:val="20"/>
          <w:shd w:val="clear" w:color="auto" w:fill="FFFFFF"/>
          <w:lang w:eastAsia="nl-NL"/>
        </w:rPr>
      </w:pPr>
      <w:r>
        <w:rPr>
          <w:rFonts w:ascii="Times New Roman" w:hAnsi="Times New Roman" w:eastAsia="MS Mincho" w:cs="Times New Roman"/>
          <w:color w:val="000000"/>
          <w:sz w:val="24"/>
          <w:szCs w:val="24"/>
          <w:shd w:val="clear" w:color="auto" w:fill="FFFFFF"/>
          <w:lang w:eastAsia="nl-NL"/>
        </w:rPr>
        <w:t xml:space="preserve">In deze bijdrage wordt getracht dergelijke </w:t>
      </w:r>
      <w:r w:rsidR="005009AC">
        <w:rPr>
          <w:rFonts w:ascii="Times New Roman" w:hAnsi="Times New Roman" w:eastAsia="MS Mincho" w:cs="Times New Roman"/>
          <w:color w:val="000000"/>
          <w:sz w:val="24"/>
          <w:szCs w:val="24"/>
          <w:shd w:val="clear" w:color="auto" w:fill="FFFFFF"/>
          <w:lang w:eastAsia="nl-NL"/>
        </w:rPr>
        <w:t>kansen zichtbaar te maken</w:t>
      </w:r>
      <w:r>
        <w:rPr>
          <w:rFonts w:ascii="Times New Roman" w:hAnsi="Times New Roman" w:eastAsia="MS Mincho" w:cs="Times New Roman"/>
          <w:color w:val="000000"/>
          <w:sz w:val="24"/>
          <w:szCs w:val="24"/>
          <w:shd w:val="clear" w:color="auto" w:fill="FFFFFF"/>
          <w:lang w:eastAsia="nl-NL"/>
        </w:rPr>
        <w:t xml:space="preserve"> aan de hand van </w:t>
      </w:r>
      <w:r w:rsidR="0006036B">
        <w:rPr>
          <w:rFonts w:ascii="Times New Roman" w:hAnsi="Times New Roman" w:eastAsia="MS Mincho" w:cs="Times New Roman"/>
          <w:color w:val="000000"/>
          <w:sz w:val="24"/>
          <w:szCs w:val="24"/>
          <w:shd w:val="clear" w:color="auto" w:fill="FFFFFF"/>
          <w:lang w:eastAsia="nl-NL"/>
        </w:rPr>
        <w:t xml:space="preserve">enkele </w:t>
      </w:r>
      <w:r>
        <w:rPr>
          <w:rFonts w:ascii="Times New Roman" w:hAnsi="Times New Roman" w:eastAsia="MS Mincho" w:cs="Times New Roman"/>
          <w:color w:val="000000"/>
          <w:sz w:val="24"/>
          <w:szCs w:val="24"/>
          <w:shd w:val="clear" w:color="auto" w:fill="FFFFFF"/>
          <w:lang w:eastAsia="nl-NL"/>
        </w:rPr>
        <w:t xml:space="preserve">voorbeelden en de samenhang daartussen. De aanpak is er dus niet op gericht om oplossingen te geven, noch om de ‘juiste’ richting voor oplossingen te geven, maar om </w:t>
      </w:r>
      <w:r w:rsidR="00E24B16">
        <w:rPr>
          <w:rFonts w:ascii="Times New Roman" w:hAnsi="Times New Roman" w:eastAsia="MS Mincho" w:cs="Times New Roman"/>
          <w:color w:val="000000"/>
          <w:sz w:val="24"/>
          <w:szCs w:val="24"/>
          <w:shd w:val="clear" w:color="auto" w:fill="FFFFFF"/>
          <w:lang w:eastAsia="nl-NL"/>
        </w:rPr>
        <w:t xml:space="preserve">het (voorlopige) </w:t>
      </w:r>
      <w:r>
        <w:rPr>
          <w:rFonts w:ascii="Times New Roman" w:hAnsi="Times New Roman" w:eastAsia="MS Mincho" w:cs="Times New Roman"/>
          <w:color w:val="000000"/>
          <w:sz w:val="24"/>
          <w:szCs w:val="24"/>
          <w:shd w:val="clear" w:color="auto" w:fill="FFFFFF"/>
          <w:lang w:eastAsia="nl-NL"/>
        </w:rPr>
        <w:t>moderniseringspro</w:t>
      </w:r>
      <w:r w:rsidR="00E24B16">
        <w:rPr>
          <w:rFonts w:ascii="Times New Roman" w:hAnsi="Times New Roman" w:eastAsia="MS Mincho" w:cs="Times New Roman"/>
          <w:color w:val="000000"/>
          <w:sz w:val="24"/>
          <w:szCs w:val="24"/>
          <w:shd w:val="clear" w:color="auto" w:fill="FFFFFF"/>
          <w:lang w:eastAsia="nl-NL"/>
        </w:rPr>
        <w:t>gramma v</w:t>
      </w:r>
      <w:r>
        <w:rPr>
          <w:rFonts w:ascii="Times New Roman" w:hAnsi="Times New Roman" w:eastAsia="MS Mincho" w:cs="Times New Roman"/>
          <w:color w:val="000000"/>
          <w:sz w:val="24"/>
          <w:szCs w:val="24"/>
          <w:shd w:val="clear" w:color="auto" w:fill="FFFFFF"/>
          <w:lang w:eastAsia="nl-NL"/>
        </w:rPr>
        <w:t xml:space="preserve">anuit </w:t>
      </w:r>
      <w:r w:rsidR="00CD47D7">
        <w:rPr>
          <w:rFonts w:ascii="Times New Roman" w:hAnsi="Times New Roman" w:eastAsia="MS Mincho" w:cs="Times New Roman"/>
          <w:color w:val="000000"/>
          <w:sz w:val="24"/>
          <w:szCs w:val="24"/>
          <w:shd w:val="clear" w:color="auto" w:fill="FFFFFF"/>
          <w:lang w:eastAsia="nl-NL"/>
        </w:rPr>
        <w:t xml:space="preserve">een </w:t>
      </w:r>
      <w:r>
        <w:rPr>
          <w:rFonts w:ascii="Times New Roman" w:hAnsi="Times New Roman" w:eastAsia="MS Mincho" w:cs="Times New Roman"/>
          <w:color w:val="000000"/>
          <w:sz w:val="24"/>
          <w:szCs w:val="24"/>
          <w:shd w:val="clear" w:color="auto" w:fill="FFFFFF"/>
          <w:lang w:eastAsia="nl-NL"/>
        </w:rPr>
        <w:t>dogmatisch</w:t>
      </w:r>
      <w:r w:rsidR="00CD47D7">
        <w:rPr>
          <w:rFonts w:ascii="Times New Roman" w:hAnsi="Times New Roman" w:eastAsia="MS Mincho" w:cs="Times New Roman"/>
          <w:color w:val="000000"/>
          <w:sz w:val="24"/>
          <w:szCs w:val="24"/>
          <w:shd w:val="clear" w:color="auto" w:fill="FFFFFF"/>
          <w:lang w:eastAsia="nl-NL"/>
        </w:rPr>
        <w:t xml:space="preserve"> en </w:t>
      </w:r>
      <w:r>
        <w:rPr>
          <w:rFonts w:ascii="Times New Roman" w:hAnsi="Times New Roman" w:eastAsia="MS Mincho" w:cs="Times New Roman"/>
          <w:color w:val="000000"/>
          <w:sz w:val="24"/>
          <w:szCs w:val="24"/>
          <w:shd w:val="clear" w:color="auto" w:fill="FFFFFF"/>
          <w:lang w:eastAsia="nl-NL"/>
        </w:rPr>
        <w:t>systematisch</w:t>
      </w:r>
      <w:r w:rsidRPr="007C5808">
        <w:rPr>
          <w:rFonts w:ascii="Times New Roman" w:hAnsi="Times New Roman" w:eastAsia="MS Mincho" w:cs="Times New Roman"/>
          <w:color w:val="000000"/>
          <w:sz w:val="24"/>
          <w:szCs w:val="24"/>
          <w:shd w:val="clear" w:color="auto" w:fill="FFFFFF"/>
          <w:lang w:eastAsia="nl-NL"/>
        </w:rPr>
        <w:t xml:space="preserve"> </w:t>
      </w:r>
      <w:r w:rsidR="00CD47D7">
        <w:rPr>
          <w:rFonts w:ascii="Times New Roman" w:hAnsi="Times New Roman" w:eastAsia="MS Mincho" w:cs="Times New Roman"/>
          <w:color w:val="000000"/>
          <w:sz w:val="24"/>
          <w:szCs w:val="24"/>
          <w:shd w:val="clear" w:color="auto" w:fill="FFFFFF"/>
          <w:lang w:eastAsia="nl-NL"/>
        </w:rPr>
        <w:t xml:space="preserve">perspectief </w:t>
      </w:r>
      <w:r w:rsidR="00E24B16">
        <w:rPr>
          <w:rFonts w:ascii="Times New Roman" w:hAnsi="Times New Roman" w:eastAsia="MS Mincho" w:cs="Times New Roman"/>
          <w:color w:val="000000"/>
          <w:sz w:val="24"/>
          <w:szCs w:val="24"/>
          <w:shd w:val="clear" w:color="auto" w:fill="FFFFFF"/>
          <w:lang w:eastAsia="nl-NL"/>
        </w:rPr>
        <w:t>te belichten.</w:t>
      </w:r>
      <w:r w:rsidR="00E24B16">
        <w:rPr>
          <w:rStyle w:val="FootnoteReference"/>
          <w:rFonts w:ascii="Times New Roman" w:hAnsi="Times New Roman" w:eastAsia="MS Mincho"/>
          <w:color w:val="000000"/>
          <w:sz w:val="24"/>
          <w:szCs w:val="24"/>
          <w:shd w:val="clear" w:color="auto" w:fill="FFFFFF"/>
          <w:lang w:eastAsia="nl-NL"/>
        </w:rPr>
        <w:footnoteReference w:id="12"/>
      </w:r>
      <w:r w:rsidR="00E24B16">
        <w:rPr>
          <w:rFonts w:ascii="Times New Roman" w:hAnsi="Times New Roman" w:eastAsia="MS Mincho" w:cs="Times New Roman"/>
          <w:color w:val="000000"/>
          <w:sz w:val="24"/>
          <w:szCs w:val="24"/>
          <w:shd w:val="clear" w:color="auto" w:fill="FFFFFF"/>
          <w:lang w:eastAsia="nl-NL"/>
        </w:rPr>
        <w:t xml:space="preserve"> </w:t>
      </w:r>
      <w:r w:rsidR="004F4E38">
        <w:rPr>
          <w:rFonts w:ascii="Times New Roman" w:hAnsi="Times New Roman" w:eastAsia="MS Mincho" w:cs="Times New Roman"/>
          <w:color w:val="000000"/>
          <w:sz w:val="24"/>
          <w:szCs w:val="24"/>
          <w:shd w:val="clear" w:color="auto" w:fill="FFFFFF"/>
          <w:lang w:eastAsia="nl-NL"/>
        </w:rPr>
        <w:t>Meer concreet wordt d</w:t>
      </w:r>
      <w:r w:rsidRPr="007C5808" w:rsidR="002267BC">
        <w:rPr>
          <w:rFonts w:ascii="Times New Roman" w:hAnsi="Times New Roman" w:eastAsia="MS Mincho" w:cs="Times New Roman"/>
          <w:color w:val="000000"/>
          <w:sz w:val="24"/>
          <w:szCs w:val="24"/>
          <w:shd w:val="clear" w:color="auto" w:fill="FFFFFF"/>
          <w:lang w:eastAsia="nl-NL"/>
        </w:rPr>
        <w:t xml:space="preserve">e aandacht gericht op enkele implicaties van de gemaakte </w:t>
      </w:r>
      <w:r w:rsidR="000F3196">
        <w:rPr>
          <w:rFonts w:ascii="Times New Roman" w:hAnsi="Times New Roman" w:eastAsia="MS Mincho" w:cs="Times New Roman"/>
          <w:color w:val="000000"/>
          <w:sz w:val="24"/>
          <w:szCs w:val="24"/>
          <w:shd w:val="clear" w:color="auto" w:fill="FFFFFF"/>
          <w:lang w:eastAsia="nl-NL"/>
        </w:rPr>
        <w:t xml:space="preserve">(of juist niet gemaakte) </w:t>
      </w:r>
      <w:r w:rsidRPr="007C5808" w:rsidR="002267BC">
        <w:rPr>
          <w:rFonts w:ascii="Times New Roman" w:hAnsi="Times New Roman" w:eastAsia="MS Mincho" w:cs="Times New Roman"/>
          <w:color w:val="000000"/>
          <w:sz w:val="24"/>
          <w:szCs w:val="24"/>
          <w:shd w:val="clear" w:color="auto" w:fill="FFFFFF"/>
          <w:lang w:eastAsia="nl-NL"/>
        </w:rPr>
        <w:t>keuzes</w:t>
      </w:r>
      <w:r w:rsidR="00E24B16">
        <w:rPr>
          <w:rFonts w:ascii="Times New Roman" w:hAnsi="Times New Roman" w:eastAsia="MS Mincho" w:cs="Times New Roman"/>
          <w:color w:val="000000"/>
          <w:sz w:val="24"/>
          <w:szCs w:val="24"/>
          <w:shd w:val="clear" w:color="auto" w:fill="FFFFFF"/>
          <w:lang w:eastAsia="nl-NL"/>
        </w:rPr>
        <w:t xml:space="preserve">. </w:t>
      </w:r>
      <w:r w:rsidRPr="007C5808" w:rsidR="002267BC">
        <w:rPr>
          <w:rFonts w:ascii="Times New Roman" w:hAnsi="Times New Roman" w:eastAsia="MS Mincho" w:cs="Times New Roman"/>
          <w:color w:val="000000"/>
          <w:sz w:val="24"/>
          <w:szCs w:val="24"/>
          <w:shd w:val="clear" w:color="auto" w:fill="FFFFFF"/>
          <w:lang w:eastAsia="nl-NL"/>
        </w:rPr>
        <w:t xml:space="preserve">Deze benadering gaat uit van </w:t>
      </w:r>
      <w:r w:rsidR="009D2A3E">
        <w:rPr>
          <w:rFonts w:ascii="Times New Roman" w:hAnsi="Times New Roman" w:eastAsia="MS Mincho" w:cs="Times New Roman"/>
          <w:color w:val="000000"/>
          <w:sz w:val="24"/>
          <w:szCs w:val="24"/>
          <w:shd w:val="clear" w:color="auto" w:fill="FFFFFF"/>
          <w:lang w:eastAsia="nl-NL"/>
        </w:rPr>
        <w:t>de veronderstelling dat bij de ‘overdenking’ en u</w:t>
      </w:r>
      <w:r w:rsidRPr="007C5808" w:rsidR="002267BC">
        <w:rPr>
          <w:rFonts w:ascii="Times New Roman" w:hAnsi="Times New Roman" w:eastAsia="MS Mincho" w:cs="Times New Roman"/>
          <w:color w:val="000000"/>
          <w:sz w:val="24"/>
          <w:szCs w:val="24"/>
          <w:shd w:val="clear" w:color="auto" w:fill="FFFFFF"/>
          <w:lang w:eastAsia="nl-NL"/>
        </w:rPr>
        <w:t>itwerking van de voorstellen op de vele deelonderwerpen de aandacht niet (steeds) op het totaalplaatje kan en hoeft te zijn gericht, maar dat dat niet wegneemt dat implicaties van enkele hier te bespreken meta-perspectieven wél aanknopingspunten kunnen bieden voor keuzes die nog gemaakt gaan of moeten worden met betrekking tot de opbouw</w:t>
      </w:r>
      <w:r w:rsidR="009D2A3E">
        <w:rPr>
          <w:rFonts w:ascii="Times New Roman" w:hAnsi="Times New Roman" w:eastAsia="MS Mincho" w:cs="Times New Roman"/>
          <w:color w:val="000000"/>
          <w:sz w:val="24"/>
          <w:szCs w:val="24"/>
          <w:shd w:val="clear" w:color="auto" w:fill="FFFFFF"/>
          <w:lang w:eastAsia="nl-NL"/>
        </w:rPr>
        <w:t xml:space="preserve">, de consistentie </w:t>
      </w:r>
      <w:r w:rsidRPr="007C5808" w:rsidR="002267BC">
        <w:rPr>
          <w:rFonts w:ascii="Times New Roman" w:hAnsi="Times New Roman" w:eastAsia="MS Mincho" w:cs="Times New Roman"/>
          <w:color w:val="000000"/>
          <w:sz w:val="24"/>
          <w:szCs w:val="24"/>
          <w:shd w:val="clear" w:color="auto" w:fill="FFFFFF"/>
          <w:lang w:eastAsia="nl-NL"/>
        </w:rPr>
        <w:t>en tot deelonderwerpen.</w:t>
      </w:r>
      <w:r w:rsidR="002267BC">
        <w:rPr>
          <w:rFonts w:ascii="Times New Roman" w:hAnsi="Times New Roman" w:eastAsia="MS Mincho" w:cs="Times New Roman"/>
          <w:color w:val="000000"/>
          <w:sz w:val="24"/>
          <w:szCs w:val="24"/>
          <w:shd w:val="clear" w:color="auto" w:fill="FFFFFF"/>
          <w:lang w:eastAsia="nl-NL"/>
        </w:rPr>
        <w:t xml:space="preserve"> </w:t>
      </w:r>
    </w:p>
    <w:p w:rsidR="002267BC" w:rsidP="002267BC" w:rsidRDefault="002267BC">
      <w:pPr>
        <w:pStyle w:val="FootnoteText"/>
      </w:pPr>
    </w:p>
    <w:p w:rsidRPr="007C5808" w:rsidR="006B380D" w:rsidP="006B380D" w:rsidRDefault="002267BC">
      <w:pPr>
        <w:spacing w:before="240" w:after="0" w:line="240" w:lineRule="auto"/>
        <w:rPr>
          <w:rFonts w:ascii="Times New Roman" w:hAnsi="Times New Roman" w:eastAsia="MS Mincho" w:cs="Times New Roman"/>
          <w:b/>
          <w:color w:val="000000"/>
          <w:sz w:val="24"/>
          <w:szCs w:val="24"/>
          <w:shd w:val="clear" w:color="auto" w:fill="FFFFFF"/>
          <w:lang w:eastAsia="nl-NL"/>
        </w:rPr>
      </w:pPr>
      <w:r w:rsidRPr="002267BC">
        <w:rPr>
          <w:rFonts w:ascii="Times New Roman" w:hAnsi="Times New Roman" w:eastAsia="MS Mincho" w:cs="Times New Roman"/>
          <w:b/>
          <w:color w:val="000000"/>
          <w:sz w:val="24"/>
          <w:szCs w:val="24"/>
          <w:shd w:val="clear" w:color="auto" w:fill="FFFFFF"/>
          <w:lang w:eastAsia="nl-NL"/>
        </w:rPr>
        <w:t>2</w:t>
      </w:r>
      <w:r w:rsidRPr="002267BC" w:rsidR="006B380D">
        <w:rPr>
          <w:rFonts w:ascii="Times New Roman" w:hAnsi="Times New Roman" w:eastAsia="MS Mincho" w:cs="Times New Roman"/>
          <w:b/>
          <w:color w:val="000000"/>
          <w:sz w:val="24"/>
          <w:szCs w:val="24"/>
          <w:shd w:val="clear" w:color="auto" w:fill="FFFFFF"/>
          <w:lang w:eastAsia="nl-NL"/>
        </w:rPr>
        <w:t>.</w:t>
      </w:r>
      <w:r w:rsidR="006B380D">
        <w:rPr>
          <w:rFonts w:ascii="Times New Roman" w:hAnsi="Times New Roman" w:eastAsia="MS Mincho" w:cs="Times New Roman"/>
          <w:b/>
          <w:color w:val="000000"/>
          <w:sz w:val="24"/>
          <w:szCs w:val="24"/>
          <w:shd w:val="clear" w:color="auto" w:fill="FFFFFF"/>
          <w:lang w:eastAsia="nl-NL"/>
        </w:rPr>
        <w:t xml:space="preserve"> </w:t>
      </w:r>
      <w:r w:rsidRPr="007C5808" w:rsidR="006B380D">
        <w:rPr>
          <w:rFonts w:ascii="Times New Roman" w:hAnsi="Times New Roman" w:eastAsia="MS Mincho" w:cs="Times New Roman"/>
          <w:b/>
          <w:color w:val="000000"/>
          <w:sz w:val="24"/>
          <w:szCs w:val="24"/>
          <w:shd w:val="clear" w:color="auto" w:fill="FFFFFF"/>
          <w:lang w:eastAsia="nl-NL"/>
        </w:rPr>
        <w:t>P</w:t>
      </w:r>
      <w:r w:rsidR="00CD47D7">
        <w:rPr>
          <w:rFonts w:ascii="Times New Roman" w:hAnsi="Times New Roman" w:eastAsia="MS Mincho" w:cs="Times New Roman"/>
          <w:b/>
          <w:color w:val="000000"/>
          <w:sz w:val="24"/>
          <w:szCs w:val="24"/>
          <w:shd w:val="clear" w:color="auto" w:fill="FFFFFF"/>
          <w:lang w:eastAsia="nl-NL"/>
        </w:rPr>
        <w:t>ositieb</w:t>
      </w:r>
      <w:r w:rsidRPr="007C5808" w:rsidR="006B380D">
        <w:rPr>
          <w:rFonts w:ascii="Times New Roman" w:hAnsi="Times New Roman" w:eastAsia="MS Mincho" w:cs="Times New Roman"/>
          <w:b/>
          <w:color w:val="000000"/>
          <w:sz w:val="24"/>
          <w:szCs w:val="24"/>
          <w:shd w:val="clear" w:color="auto" w:fill="FFFFFF"/>
          <w:lang w:eastAsia="nl-NL"/>
        </w:rPr>
        <w:t xml:space="preserve">epaling van het Wetboek van Strafvordering </w:t>
      </w:r>
    </w:p>
    <w:p w:rsidR="00CD47D7" w:rsidP="006B380D" w:rsidRDefault="00CD47D7">
      <w:pPr>
        <w:spacing w:before="240" w:after="0" w:line="240" w:lineRule="auto"/>
        <w:rPr>
          <w:rFonts w:ascii="Times New Roman" w:hAnsi="Times New Roman" w:eastAsia="MS Mincho" w:cs="Times New Roman"/>
          <w:color w:val="000000"/>
          <w:sz w:val="24"/>
          <w:szCs w:val="24"/>
          <w:shd w:val="clear" w:color="auto" w:fill="FFFFFF"/>
          <w:lang w:eastAsia="nl-NL"/>
        </w:rPr>
      </w:pPr>
      <w:r>
        <w:rPr>
          <w:rFonts w:ascii="Times New Roman" w:hAnsi="Times New Roman" w:eastAsia="MS Mincho" w:cs="Times New Roman"/>
          <w:color w:val="000000"/>
          <w:sz w:val="24"/>
          <w:szCs w:val="24"/>
          <w:shd w:val="clear" w:color="auto" w:fill="FFFFFF"/>
          <w:lang w:eastAsia="nl-NL"/>
        </w:rPr>
        <w:t xml:space="preserve">Om het moderniseringsprogramma vanuit een dogmatisch en systematisch perspectief te belichten zal de positie van het Wetboek van Strafvordering nader moeten worden bepaald. Daarvoor wordt hier aangesloten op ijkpunten, zonder inachtneming waarvan de wetgever weliswaar een modernisering van het Wetboek van Strafvordering kan realiseren, maar met het risico dat het resultaat op de met een codificatie te dienen belangen van </w:t>
      </w:r>
      <w:r w:rsidRPr="007C5808" w:rsidR="00006C18">
        <w:rPr>
          <w:rFonts w:ascii="Times New Roman" w:hAnsi="Times New Roman" w:eastAsia="MS Mincho" w:cs="Times New Roman"/>
          <w:color w:val="000000"/>
          <w:sz w:val="24"/>
          <w:szCs w:val="24"/>
          <w:shd w:val="clear" w:color="auto" w:fill="FFFFFF"/>
          <w:lang w:eastAsia="nl-NL"/>
        </w:rPr>
        <w:t>duurzaamheid</w:t>
      </w:r>
      <w:r w:rsidR="00006C18">
        <w:rPr>
          <w:rFonts w:ascii="Times New Roman" w:hAnsi="Times New Roman" w:eastAsia="MS Mincho" w:cs="Times New Roman"/>
          <w:color w:val="000000"/>
          <w:sz w:val="24"/>
          <w:szCs w:val="24"/>
          <w:shd w:val="clear" w:color="auto" w:fill="FFFFFF"/>
          <w:lang w:eastAsia="nl-NL"/>
        </w:rPr>
        <w:t xml:space="preserve">, </w:t>
      </w:r>
      <w:r w:rsidRPr="007C5808" w:rsidR="00006C18">
        <w:rPr>
          <w:rFonts w:ascii="Times New Roman" w:hAnsi="Times New Roman" w:eastAsia="MS Mincho" w:cs="Times New Roman"/>
          <w:color w:val="000000"/>
          <w:sz w:val="24"/>
          <w:szCs w:val="24"/>
          <w:shd w:val="clear" w:color="auto" w:fill="FFFFFF"/>
          <w:lang w:eastAsia="nl-NL"/>
        </w:rPr>
        <w:t xml:space="preserve">continuïteit, </w:t>
      </w:r>
      <w:r w:rsidR="00006C18">
        <w:rPr>
          <w:rFonts w:ascii="Times New Roman" w:hAnsi="Times New Roman" w:eastAsia="MS Mincho" w:cs="Times New Roman"/>
          <w:color w:val="000000"/>
          <w:sz w:val="24"/>
          <w:szCs w:val="24"/>
          <w:shd w:val="clear" w:color="auto" w:fill="FFFFFF"/>
          <w:lang w:eastAsia="nl-NL"/>
        </w:rPr>
        <w:t xml:space="preserve">coherentie, </w:t>
      </w:r>
      <w:r w:rsidRPr="007C5808" w:rsidR="00006C18">
        <w:rPr>
          <w:rFonts w:ascii="Times New Roman" w:hAnsi="Times New Roman" w:eastAsia="MS Mincho" w:cs="Times New Roman"/>
          <w:color w:val="000000"/>
          <w:sz w:val="24"/>
          <w:szCs w:val="24"/>
          <w:shd w:val="clear" w:color="auto" w:fill="FFFFFF"/>
          <w:lang w:eastAsia="nl-NL"/>
        </w:rPr>
        <w:t>consistentie, samenhang, rechtszekerheid/voorspelbaarheid</w:t>
      </w:r>
      <w:r w:rsidR="00006C18">
        <w:rPr>
          <w:rFonts w:ascii="Times New Roman" w:hAnsi="Times New Roman" w:eastAsia="MS Mincho" w:cs="Times New Roman"/>
          <w:color w:val="000000"/>
          <w:sz w:val="24"/>
          <w:szCs w:val="24"/>
          <w:shd w:val="clear" w:color="auto" w:fill="FFFFFF"/>
          <w:lang w:eastAsia="nl-NL"/>
        </w:rPr>
        <w:t xml:space="preserve"> en h</w:t>
      </w:r>
      <w:r w:rsidRPr="007C5808" w:rsidR="00006C18">
        <w:rPr>
          <w:rFonts w:ascii="Times New Roman" w:hAnsi="Times New Roman" w:eastAsia="MS Mincho" w:cs="Times New Roman"/>
          <w:color w:val="000000"/>
          <w:sz w:val="24"/>
          <w:szCs w:val="24"/>
          <w:shd w:val="clear" w:color="auto" w:fill="FFFFFF"/>
          <w:lang w:eastAsia="nl-NL"/>
        </w:rPr>
        <w:t>erkenbaarheid.</w:t>
      </w:r>
      <w:r>
        <w:rPr>
          <w:rFonts w:ascii="Times New Roman" w:hAnsi="Times New Roman" w:eastAsia="MS Mincho" w:cs="Times New Roman"/>
          <w:color w:val="000000"/>
          <w:sz w:val="24"/>
          <w:szCs w:val="24"/>
          <w:shd w:val="clear" w:color="auto" w:fill="FFFFFF"/>
          <w:lang w:eastAsia="nl-NL"/>
        </w:rPr>
        <w:t xml:space="preserve"> niet voldoet. </w:t>
      </w:r>
      <w:r w:rsidR="00581AA0">
        <w:rPr>
          <w:rFonts w:ascii="Times New Roman" w:hAnsi="Times New Roman" w:eastAsia="MS Mincho" w:cs="Times New Roman"/>
          <w:color w:val="000000"/>
          <w:sz w:val="24"/>
          <w:szCs w:val="24"/>
          <w:shd w:val="clear" w:color="auto" w:fill="FFFFFF"/>
          <w:lang w:eastAsia="nl-NL"/>
        </w:rPr>
        <w:t xml:space="preserve">Als essentiële </w:t>
      </w:r>
      <w:r w:rsidR="00703A23">
        <w:rPr>
          <w:rFonts w:ascii="Times New Roman" w:hAnsi="Times New Roman" w:eastAsia="MS Mincho" w:cs="Times New Roman"/>
          <w:color w:val="000000"/>
          <w:sz w:val="24"/>
          <w:szCs w:val="24"/>
          <w:shd w:val="clear" w:color="auto" w:fill="FFFFFF"/>
          <w:lang w:eastAsia="nl-NL"/>
        </w:rPr>
        <w:t>ijkpunten</w:t>
      </w:r>
      <w:r w:rsidR="00581AA0">
        <w:rPr>
          <w:rFonts w:ascii="Times New Roman" w:hAnsi="Times New Roman" w:eastAsia="MS Mincho" w:cs="Times New Roman"/>
          <w:color w:val="000000"/>
          <w:sz w:val="24"/>
          <w:szCs w:val="24"/>
          <w:shd w:val="clear" w:color="auto" w:fill="FFFFFF"/>
          <w:lang w:eastAsia="nl-NL"/>
        </w:rPr>
        <w:t>,</w:t>
      </w:r>
      <w:r w:rsidR="00703A23">
        <w:rPr>
          <w:rFonts w:ascii="Times New Roman" w:hAnsi="Times New Roman" w:eastAsia="MS Mincho" w:cs="Times New Roman"/>
          <w:color w:val="000000"/>
          <w:sz w:val="24"/>
          <w:szCs w:val="24"/>
          <w:shd w:val="clear" w:color="auto" w:fill="FFFFFF"/>
          <w:lang w:eastAsia="nl-NL"/>
        </w:rPr>
        <w:t xml:space="preserve"> die nauw samenhangen met de hiervoor geschetste betekenis van codificatie in een democratische rechtsstaat</w:t>
      </w:r>
      <w:r w:rsidR="00581AA0">
        <w:rPr>
          <w:rFonts w:ascii="Times New Roman" w:hAnsi="Times New Roman" w:eastAsia="MS Mincho" w:cs="Times New Roman"/>
          <w:color w:val="000000"/>
          <w:sz w:val="24"/>
          <w:szCs w:val="24"/>
          <w:shd w:val="clear" w:color="auto" w:fill="FFFFFF"/>
          <w:lang w:eastAsia="nl-NL"/>
        </w:rPr>
        <w:t>, worden hier opgepakt</w:t>
      </w:r>
      <w:r w:rsidR="00703A23">
        <w:rPr>
          <w:rFonts w:ascii="Times New Roman" w:hAnsi="Times New Roman" w:eastAsia="MS Mincho" w:cs="Times New Roman"/>
          <w:color w:val="000000"/>
          <w:sz w:val="24"/>
          <w:szCs w:val="24"/>
          <w:shd w:val="clear" w:color="auto" w:fill="FFFFFF"/>
          <w:lang w:eastAsia="nl-NL"/>
        </w:rPr>
        <w:t>: de functie van het Wetboek van Strafvordering, de rechtstraditie waarin het wetboek is geworteld en vorm heeft gekregen</w:t>
      </w:r>
      <w:r>
        <w:rPr>
          <w:rFonts w:ascii="Times New Roman" w:hAnsi="Times New Roman" w:eastAsia="MS Mincho" w:cs="Times New Roman"/>
          <w:color w:val="000000"/>
          <w:sz w:val="24"/>
          <w:szCs w:val="24"/>
          <w:shd w:val="clear" w:color="auto" w:fill="FFFFFF"/>
          <w:lang w:eastAsia="nl-NL"/>
        </w:rPr>
        <w:t xml:space="preserve"> en de context waarbinnen het wetboek nu en </w:t>
      </w:r>
      <w:r w:rsidR="00F067BA">
        <w:rPr>
          <w:rFonts w:ascii="Times New Roman" w:hAnsi="Times New Roman" w:eastAsia="MS Mincho" w:cs="Times New Roman"/>
          <w:color w:val="000000"/>
          <w:sz w:val="24"/>
          <w:szCs w:val="24"/>
          <w:shd w:val="clear" w:color="auto" w:fill="FFFFFF"/>
          <w:lang w:eastAsia="nl-NL"/>
        </w:rPr>
        <w:t xml:space="preserve">in </w:t>
      </w:r>
      <w:r>
        <w:rPr>
          <w:rFonts w:ascii="Times New Roman" w:hAnsi="Times New Roman" w:eastAsia="MS Mincho" w:cs="Times New Roman"/>
          <w:color w:val="000000"/>
          <w:sz w:val="24"/>
          <w:szCs w:val="24"/>
          <w:shd w:val="clear" w:color="auto" w:fill="FFFFFF"/>
          <w:lang w:eastAsia="nl-NL"/>
        </w:rPr>
        <w:t xml:space="preserve">de toekomst moet functioneren. </w:t>
      </w:r>
    </w:p>
    <w:p w:rsidR="006B380D" w:rsidP="006B380D" w:rsidRDefault="005513BD">
      <w:pPr>
        <w:spacing w:before="240" w:after="0" w:line="240" w:lineRule="auto"/>
        <w:rPr>
          <w:rFonts w:ascii="Times New Roman" w:hAnsi="Times New Roman" w:eastAsia="MS Mincho" w:cs="Times New Roman"/>
          <w:color w:val="000000"/>
          <w:sz w:val="24"/>
          <w:szCs w:val="24"/>
          <w:shd w:val="clear" w:color="auto" w:fill="FFFFFF"/>
          <w:lang w:eastAsia="nl-NL"/>
        </w:rPr>
      </w:pPr>
      <w:r>
        <w:rPr>
          <w:rFonts w:ascii="Times New Roman" w:hAnsi="Times New Roman" w:eastAsia="MS Mincho" w:cs="Times New Roman"/>
          <w:i/>
          <w:color w:val="000000"/>
          <w:sz w:val="24"/>
          <w:szCs w:val="24"/>
          <w:shd w:val="clear" w:color="auto" w:fill="FFFFFF"/>
          <w:lang w:eastAsia="nl-NL"/>
        </w:rPr>
        <w:t xml:space="preserve">Functie </w:t>
      </w:r>
      <w:r w:rsidRPr="007C5808" w:rsidR="006B380D">
        <w:rPr>
          <w:rFonts w:ascii="Times New Roman" w:hAnsi="Times New Roman" w:eastAsia="MS Mincho" w:cs="Times New Roman"/>
          <w:i/>
          <w:color w:val="000000"/>
          <w:sz w:val="24"/>
          <w:szCs w:val="24"/>
          <w:shd w:val="clear" w:color="auto" w:fill="FFFFFF"/>
          <w:lang w:eastAsia="nl-NL"/>
        </w:rPr>
        <w:br/>
      </w:r>
      <w:r w:rsidRPr="00CE1BC7">
        <w:rPr>
          <w:rFonts w:ascii="Times New Roman" w:hAnsi="Times New Roman" w:eastAsia="MS Mincho" w:cs="Times New Roman"/>
          <w:color w:val="000000"/>
          <w:sz w:val="24"/>
          <w:szCs w:val="24"/>
          <w:shd w:val="clear" w:color="auto" w:fill="FFFFFF"/>
          <w:lang w:eastAsia="nl-NL"/>
        </w:rPr>
        <w:t xml:space="preserve">Het Wetboek van Strafvordering heeft een </w:t>
      </w:r>
      <w:r w:rsidRPr="00CE1BC7" w:rsidR="00CE1BC7">
        <w:rPr>
          <w:rFonts w:ascii="Times New Roman" w:hAnsi="Times New Roman" w:eastAsia="MS Mincho" w:cs="Times New Roman"/>
          <w:color w:val="000000"/>
          <w:sz w:val="24"/>
          <w:szCs w:val="24"/>
          <w:shd w:val="clear" w:color="auto" w:fill="FFFFFF"/>
          <w:lang w:eastAsia="nl-NL"/>
        </w:rPr>
        <w:t xml:space="preserve">bijzondere </w:t>
      </w:r>
      <w:r w:rsidRPr="00CE1BC7">
        <w:rPr>
          <w:rFonts w:ascii="Times New Roman" w:hAnsi="Times New Roman" w:eastAsia="MS Mincho" w:cs="Times New Roman"/>
          <w:color w:val="000000"/>
          <w:sz w:val="24"/>
          <w:szCs w:val="24"/>
          <w:shd w:val="clear" w:color="auto" w:fill="FFFFFF"/>
          <w:lang w:eastAsia="nl-NL"/>
        </w:rPr>
        <w:t>status</w:t>
      </w:r>
      <w:r w:rsidR="00CE1BC7">
        <w:rPr>
          <w:rFonts w:ascii="Times New Roman" w:hAnsi="Times New Roman" w:eastAsia="MS Mincho" w:cs="Times New Roman"/>
          <w:color w:val="000000"/>
          <w:sz w:val="24"/>
          <w:szCs w:val="24"/>
          <w:shd w:val="clear" w:color="auto" w:fill="FFFFFF"/>
          <w:lang w:eastAsia="nl-NL"/>
        </w:rPr>
        <w:t>.</w:t>
      </w:r>
      <w:r w:rsidRPr="00CE1BC7">
        <w:rPr>
          <w:rFonts w:ascii="Times New Roman" w:hAnsi="Times New Roman" w:eastAsia="MS Mincho" w:cs="Times New Roman"/>
          <w:color w:val="000000"/>
          <w:sz w:val="24"/>
          <w:szCs w:val="24"/>
          <w:shd w:val="clear" w:color="auto" w:fill="FFFFFF"/>
          <w:lang w:eastAsia="nl-NL"/>
        </w:rPr>
        <w:t xml:space="preserve"> </w:t>
      </w:r>
      <w:r w:rsidRPr="00CE1BC7" w:rsidR="006B380D">
        <w:rPr>
          <w:rFonts w:ascii="Times New Roman" w:hAnsi="Times New Roman" w:eastAsia="MS Mincho" w:cs="Times New Roman"/>
          <w:color w:val="000000"/>
          <w:sz w:val="24"/>
          <w:szCs w:val="24"/>
          <w:shd w:val="clear" w:color="auto" w:fill="FFFFFF"/>
          <w:lang w:eastAsia="nl-NL"/>
        </w:rPr>
        <w:t>In art. 107 lid 1 van de Grondwet</w:t>
      </w:r>
      <w:r w:rsidRPr="007C5808" w:rsidR="006B380D">
        <w:rPr>
          <w:rFonts w:ascii="Times New Roman" w:hAnsi="Times New Roman" w:eastAsia="MS Mincho" w:cs="Times New Roman"/>
          <w:color w:val="000000"/>
          <w:sz w:val="24"/>
          <w:szCs w:val="24"/>
          <w:shd w:val="clear" w:color="auto" w:fill="FFFFFF"/>
          <w:lang w:eastAsia="nl-NL"/>
        </w:rPr>
        <w:t xml:space="preserve"> wordt het strafprocesrecht genoemd als een van de domeinen die de wetgever in algemene wetboeken moet regelen, behoudens de bevoegdheid tot regeling van bepaalde onderwerpen in afzonderlijke wetten. Deze vaak als codificatie-artikel aangeduide regeling dient ertoe de algemene rechtseenheid te waarborgen en sluit uit dat gedecentraliseerde openbare lichamen krachtens autonome bevoegdheid voorschriften van strafprocesrecht vaststellen.</w:t>
      </w:r>
      <w:r w:rsidR="000A691B">
        <w:rPr>
          <w:rFonts w:ascii="Times New Roman" w:hAnsi="Times New Roman" w:eastAsia="MS Mincho" w:cs="Times New Roman"/>
          <w:color w:val="000000"/>
          <w:sz w:val="24"/>
          <w:szCs w:val="24"/>
          <w:shd w:val="clear" w:color="auto" w:fill="FFFFFF"/>
          <w:lang w:eastAsia="nl-NL"/>
        </w:rPr>
        <w:t xml:space="preserve"> </w:t>
      </w:r>
      <w:r w:rsidR="002B20B0">
        <w:rPr>
          <w:rFonts w:ascii="Times New Roman" w:hAnsi="Times New Roman" w:eastAsia="MS Mincho" w:cs="Times New Roman"/>
          <w:color w:val="000000"/>
          <w:sz w:val="24"/>
          <w:szCs w:val="24"/>
          <w:shd w:val="clear" w:color="auto" w:fill="FFFFFF"/>
          <w:lang w:eastAsia="nl-NL"/>
        </w:rPr>
        <w:t>Dit d</w:t>
      </w:r>
      <w:r w:rsidR="000A691B">
        <w:rPr>
          <w:rFonts w:ascii="Times New Roman" w:hAnsi="Times New Roman" w:eastAsia="MS Mincho" w:cs="Times New Roman"/>
          <w:color w:val="000000"/>
          <w:sz w:val="24"/>
          <w:szCs w:val="24"/>
          <w:shd w:val="clear" w:color="auto" w:fill="FFFFFF"/>
          <w:lang w:eastAsia="nl-NL"/>
        </w:rPr>
        <w:t xml:space="preserve">raagt </w:t>
      </w:r>
      <w:r w:rsidR="002B20B0">
        <w:rPr>
          <w:rFonts w:ascii="Times New Roman" w:hAnsi="Times New Roman" w:eastAsia="MS Mincho" w:cs="Times New Roman"/>
          <w:color w:val="000000"/>
          <w:sz w:val="24"/>
          <w:szCs w:val="24"/>
          <w:shd w:val="clear" w:color="auto" w:fill="FFFFFF"/>
          <w:lang w:eastAsia="nl-NL"/>
        </w:rPr>
        <w:t xml:space="preserve">op zijn beurt </w:t>
      </w:r>
      <w:r w:rsidR="000A691B">
        <w:rPr>
          <w:rFonts w:ascii="Times New Roman" w:hAnsi="Times New Roman" w:eastAsia="MS Mincho" w:cs="Times New Roman"/>
          <w:color w:val="000000"/>
          <w:sz w:val="24"/>
          <w:szCs w:val="24"/>
          <w:shd w:val="clear" w:color="auto" w:fill="FFFFFF"/>
          <w:lang w:eastAsia="nl-NL"/>
        </w:rPr>
        <w:t xml:space="preserve">bij aan het waarborgen van de </w:t>
      </w:r>
      <w:r w:rsidR="00527AF2">
        <w:rPr>
          <w:rFonts w:ascii="Times New Roman" w:hAnsi="Times New Roman" w:eastAsia="MS Mincho" w:cs="Times New Roman"/>
          <w:color w:val="000000"/>
          <w:sz w:val="24"/>
          <w:szCs w:val="24"/>
          <w:shd w:val="clear" w:color="auto" w:fill="FFFFFF"/>
          <w:lang w:eastAsia="nl-NL"/>
        </w:rPr>
        <w:t xml:space="preserve">eerder genoemde </w:t>
      </w:r>
      <w:r w:rsidR="000A691B">
        <w:rPr>
          <w:rFonts w:ascii="Times New Roman" w:hAnsi="Times New Roman" w:eastAsia="MS Mincho" w:cs="Times New Roman"/>
          <w:color w:val="000000"/>
          <w:sz w:val="24"/>
          <w:szCs w:val="24"/>
          <w:shd w:val="clear" w:color="auto" w:fill="FFFFFF"/>
          <w:lang w:eastAsia="nl-NL"/>
        </w:rPr>
        <w:t xml:space="preserve">belangen van </w:t>
      </w:r>
      <w:r w:rsidRPr="007C5808" w:rsidR="00527AF2">
        <w:rPr>
          <w:rFonts w:ascii="Times New Roman" w:hAnsi="Times New Roman" w:eastAsia="MS Mincho" w:cs="Times New Roman"/>
          <w:color w:val="000000"/>
          <w:sz w:val="24"/>
          <w:szCs w:val="24"/>
          <w:shd w:val="clear" w:color="auto" w:fill="FFFFFF"/>
          <w:lang w:eastAsia="nl-NL"/>
        </w:rPr>
        <w:t>duurzaamheid</w:t>
      </w:r>
      <w:r w:rsidR="00527AF2">
        <w:rPr>
          <w:rFonts w:ascii="Times New Roman" w:hAnsi="Times New Roman" w:eastAsia="MS Mincho" w:cs="Times New Roman"/>
          <w:color w:val="000000"/>
          <w:sz w:val="24"/>
          <w:szCs w:val="24"/>
          <w:shd w:val="clear" w:color="auto" w:fill="FFFFFF"/>
          <w:lang w:eastAsia="nl-NL"/>
        </w:rPr>
        <w:t xml:space="preserve">, </w:t>
      </w:r>
      <w:r w:rsidRPr="007C5808" w:rsidR="00527AF2">
        <w:rPr>
          <w:rFonts w:ascii="Times New Roman" w:hAnsi="Times New Roman" w:eastAsia="MS Mincho" w:cs="Times New Roman"/>
          <w:color w:val="000000"/>
          <w:sz w:val="24"/>
          <w:szCs w:val="24"/>
          <w:shd w:val="clear" w:color="auto" w:fill="FFFFFF"/>
          <w:lang w:eastAsia="nl-NL"/>
        </w:rPr>
        <w:t xml:space="preserve">continuïteit, </w:t>
      </w:r>
      <w:r w:rsidR="00527AF2">
        <w:rPr>
          <w:rFonts w:ascii="Times New Roman" w:hAnsi="Times New Roman" w:eastAsia="MS Mincho" w:cs="Times New Roman"/>
          <w:color w:val="000000"/>
          <w:sz w:val="24"/>
          <w:szCs w:val="24"/>
          <w:shd w:val="clear" w:color="auto" w:fill="FFFFFF"/>
          <w:lang w:eastAsia="nl-NL"/>
        </w:rPr>
        <w:t xml:space="preserve">coherentie, </w:t>
      </w:r>
      <w:r w:rsidRPr="007C5808" w:rsidR="00527AF2">
        <w:rPr>
          <w:rFonts w:ascii="Times New Roman" w:hAnsi="Times New Roman" w:eastAsia="MS Mincho" w:cs="Times New Roman"/>
          <w:color w:val="000000"/>
          <w:sz w:val="24"/>
          <w:szCs w:val="24"/>
          <w:shd w:val="clear" w:color="auto" w:fill="FFFFFF"/>
          <w:lang w:eastAsia="nl-NL"/>
        </w:rPr>
        <w:t>consistentie, samenhang, rechtszekerheid/voorspelbaarheid</w:t>
      </w:r>
      <w:r w:rsidR="00527AF2">
        <w:rPr>
          <w:rFonts w:ascii="Times New Roman" w:hAnsi="Times New Roman" w:eastAsia="MS Mincho" w:cs="Times New Roman"/>
          <w:color w:val="000000"/>
          <w:sz w:val="24"/>
          <w:szCs w:val="24"/>
          <w:shd w:val="clear" w:color="auto" w:fill="FFFFFF"/>
          <w:lang w:eastAsia="nl-NL"/>
        </w:rPr>
        <w:t xml:space="preserve"> en h</w:t>
      </w:r>
      <w:r w:rsidRPr="007C5808" w:rsidR="00527AF2">
        <w:rPr>
          <w:rFonts w:ascii="Times New Roman" w:hAnsi="Times New Roman" w:eastAsia="MS Mincho" w:cs="Times New Roman"/>
          <w:color w:val="000000"/>
          <w:sz w:val="24"/>
          <w:szCs w:val="24"/>
          <w:shd w:val="clear" w:color="auto" w:fill="FFFFFF"/>
          <w:lang w:eastAsia="nl-NL"/>
        </w:rPr>
        <w:t>erkenbaarheid</w:t>
      </w:r>
      <w:r w:rsidR="000A691B">
        <w:rPr>
          <w:rFonts w:ascii="Times New Roman" w:hAnsi="Times New Roman" w:eastAsia="MS Mincho" w:cs="Times New Roman"/>
          <w:color w:val="000000"/>
          <w:sz w:val="24"/>
          <w:szCs w:val="24"/>
          <w:shd w:val="clear" w:color="auto" w:fill="FFFFFF"/>
          <w:lang w:eastAsia="nl-NL"/>
        </w:rPr>
        <w:t xml:space="preserve">. </w:t>
      </w:r>
      <w:r w:rsidRPr="007C5808" w:rsidR="006B380D">
        <w:rPr>
          <w:rFonts w:ascii="Times New Roman" w:hAnsi="Times New Roman" w:eastAsia="MS Mincho" w:cs="Times New Roman"/>
          <w:color w:val="000000"/>
          <w:sz w:val="24"/>
          <w:szCs w:val="24"/>
          <w:shd w:val="clear" w:color="auto" w:fill="FFFFFF"/>
          <w:lang w:eastAsia="nl-NL"/>
        </w:rPr>
        <w:t xml:space="preserve">Deze bijzondere grondwettelijk status van het strafprocesrecht bepaalt in samenhang met het strafvorderlijk legaliteitsbeginsel (art. 1 Sv) de kaders waarbinnen het strafprocesrecht mag worden geregeld. </w:t>
      </w:r>
      <w:r w:rsidR="006B380D">
        <w:rPr>
          <w:rFonts w:ascii="Times New Roman" w:hAnsi="Times New Roman" w:eastAsia="MS Mincho" w:cs="Times New Roman"/>
          <w:color w:val="000000"/>
          <w:sz w:val="24"/>
          <w:szCs w:val="24"/>
          <w:shd w:val="clear" w:color="auto" w:fill="FFFFFF"/>
          <w:lang w:eastAsia="nl-NL"/>
        </w:rPr>
        <w:t xml:space="preserve">Deze kaders brengen in het huidige tijdsgewricht onvermijdelijk mee dat het </w:t>
      </w:r>
      <w:r w:rsidRPr="007C5808" w:rsidR="006B380D">
        <w:rPr>
          <w:rFonts w:ascii="Times New Roman" w:hAnsi="Times New Roman" w:eastAsia="MS Mincho" w:cs="Times New Roman"/>
          <w:color w:val="000000"/>
          <w:sz w:val="24"/>
          <w:szCs w:val="24"/>
          <w:shd w:val="clear" w:color="auto" w:fill="FFFFFF"/>
          <w:lang w:eastAsia="nl-NL"/>
        </w:rPr>
        <w:t>Wetboek van Strafvordering</w:t>
      </w:r>
      <w:r w:rsidR="006B380D">
        <w:rPr>
          <w:rFonts w:ascii="Times New Roman" w:hAnsi="Times New Roman" w:eastAsia="MS Mincho" w:cs="Times New Roman"/>
          <w:color w:val="000000"/>
          <w:sz w:val="24"/>
          <w:szCs w:val="24"/>
          <w:shd w:val="clear" w:color="auto" w:fill="FFFFFF"/>
          <w:lang w:eastAsia="nl-NL"/>
        </w:rPr>
        <w:t xml:space="preserve"> zich, als wet in formele zin, zal moeten </w:t>
      </w:r>
      <w:r w:rsidR="002B20B0">
        <w:rPr>
          <w:rFonts w:ascii="Times New Roman" w:hAnsi="Times New Roman" w:eastAsia="MS Mincho" w:cs="Times New Roman"/>
          <w:color w:val="000000"/>
          <w:sz w:val="24"/>
          <w:szCs w:val="24"/>
          <w:shd w:val="clear" w:color="auto" w:fill="FFFFFF"/>
          <w:lang w:eastAsia="nl-NL"/>
        </w:rPr>
        <w:t xml:space="preserve">(blijven) </w:t>
      </w:r>
      <w:r w:rsidR="006B380D">
        <w:rPr>
          <w:rFonts w:ascii="Times New Roman" w:hAnsi="Times New Roman" w:eastAsia="MS Mincho" w:cs="Times New Roman"/>
          <w:color w:val="000000"/>
          <w:sz w:val="24"/>
          <w:szCs w:val="24"/>
          <w:shd w:val="clear" w:color="auto" w:fill="FFFFFF"/>
          <w:lang w:eastAsia="nl-NL"/>
        </w:rPr>
        <w:t xml:space="preserve">positioneren ten opzichte van </w:t>
      </w:r>
      <w:r w:rsidR="002B20B0">
        <w:rPr>
          <w:rFonts w:ascii="Times New Roman" w:hAnsi="Times New Roman" w:eastAsia="MS Mincho" w:cs="Times New Roman"/>
          <w:color w:val="000000"/>
          <w:sz w:val="24"/>
          <w:szCs w:val="24"/>
          <w:shd w:val="clear" w:color="auto" w:fill="FFFFFF"/>
          <w:lang w:eastAsia="nl-NL"/>
        </w:rPr>
        <w:t xml:space="preserve">het Wetboek van Strafrecht, het </w:t>
      </w:r>
      <w:r w:rsidR="006B380D">
        <w:rPr>
          <w:rFonts w:ascii="Times New Roman" w:hAnsi="Times New Roman" w:eastAsia="MS Mincho" w:cs="Times New Roman"/>
          <w:color w:val="000000"/>
          <w:sz w:val="24"/>
          <w:szCs w:val="24"/>
          <w:shd w:val="clear" w:color="auto" w:fill="FFFFFF"/>
          <w:lang w:eastAsia="nl-NL"/>
        </w:rPr>
        <w:t>ve</w:t>
      </w:r>
      <w:r w:rsidRPr="007C5808" w:rsidR="006B380D">
        <w:rPr>
          <w:rFonts w:ascii="Times New Roman" w:hAnsi="Times New Roman" w:eastAsia="MS Mincho" w:cs="Times New Roman"/>
          <w:color w:val="000000"/>
          <w:sz w:val="24"/>
          <w:szCs w:val="24"/>
          <w:shd w:val="clear" w:color="auto" w:fill="FFFFFF"/>
          <w:lang w:eastAsia="nl-NL"/>
        </w:rPr>
        <w:t xml:space="preserve">rdragsrecht, </w:t>
      </w:r>
      <w:r w:rsidR="006B380D">
        <w:rPr>
          <w:rFonts w:ascii="Times New Roman" w:hAnsi="Times New Roman" w:eastAsia="MS Mincho" w:cs="Times New Roman"/>
          <w:color w:val="000000"/>
          <w:sz w:val="24"/>
          <w:szCs w:val="24"/>
          <w:shd w:val="clear" w:color="auto" w:fill="FFFFFF"/>
          <w:lang w:eastAsia="nl-NL"/>
        </w:rPr>
        <w:t>o</w:t>
      </w:r>
      <w:r w:rsidRPr="007C5808" w:rsidR="006B380D">
        <w:rPr>
          <w:rFonts w:ascii="Times New Roman" w:hAnsi="Times New Roman" w:eastAsia="MS Mincho" w:cs="Times New Roman"/>
          <w:color w:val="000000"/>
          <w:sz w:val="24"/>
          <w:szCs w:val="24"/>
          <w:shd w:val="clear" w:color="auto" w:fill="FFFFFF"/>
          <w:lang w:eastAsia="nl-NL"/>
        </w:rPr>
        <w:t>ngeschreven beginselen van procesrecht, Europese wet- en regelgeving en delegatie</w:t>
      </w:r>
      <w:r w:rsidR="006B380D">
        <w:rPr>
          <w:rFonts w:ascii="Times New Roman" w:hAnsi="Times New Roman" w:eastAsia="MS Mincho" w:cs="Times New Roman"/>
          <w:color w:val="000000"/>
          <w:sz w:val="24"/>
          <w:szCs w:val="24"/>
          <w:shd w:val="clear" w:color="auto" w:fill="FFFFFF"/>
          <w:lang w:eastAsia="nl-NL"/>
        </w:rPr>
        <w:t xml:space="preserve">. </w:t>
      </w:r>
      <w:r w:rsidRPr="007C5808" w:rsidR="006B380D">
        <w:rPr>
          <w:rFonts w:ascii="Times New Roman" w:hAnsi="Times New Roman" w:eastAsia="MS Mincho" w:cs="Times New Roman"/>
          <w:color w:val="000000"/>
          <w:sz w:val="24"/>
          <w:szCs w:val="24"/>
          <w:shd w:val="clear" w:color="auto" w:fill="FFFFFF"/>
          <w:lang w:eastAsia="nl-NL"/>
        </w:rPr>
        <w:t xml:space="preserve"> </w:t>
      </w:r>
    </w:p>
    <w:p w:rsidR="006B380D" w:rsidP="006B380D" w:rsidRDefault="00CE1BC7">
      <w:pPr>
        <w:spacing w:before="240" w:after="0" w:line="240" w:lineRule="auto"/>
        <w:rPr>
          <w:rFonts w:ascii="Times New Roman" w:hAnsi="Times New Roman" w:eastAsia="MS Mincho" w:cs="Times New Roman"/>
          <w:color w:val="FF0000"/>
          <w:sz w:val="24"/>
          <w:szCs w:val="24"/>
          <w:shd w:val="clear" w:color="auto" w:fill="FFFFFF"/>
          <w:lang w:eastAsia="nl-NL"/>
        </w:rPr>
      </w:pPr>
      <w:r w:rsidRPr="00CE1BC7">
        <w:rPr>
          <w:rFonts w:ascii="Times New Roman" w:hAnsi="Times New Roman" w:eastAsia="MS Mincho" w:cs="Times New Roman"/>
          <w:i/>
          <w:color w:val="000000"/>
          <w:sz w:val="24"/>
          <w:szCs w:val="24"/>
          <w:shd w:val="clear" w:color="auto" w:fill="FFFFFF"/>
          <w:lang w:eastAsia="nl-NL"/>
        </w:rPr>
        <w:t xml:space="preserve">Rechtstraditie </w:t>
      </w:r>
      <w:r>
        <w:rPr>
          <w:rFonts w:ascii="Times New Roman" w:hAnsi="Times New Roman" w:eastAsia="MS Mincho" w:cs="Times New Roman"/>
          <w:color w:val="000000"/>
          <w:sz w:val="24"/>
          <w:szCs w:val="24"/>
          <w:shd w:val="clear" w:color="auto" w:fill="FFFFFF"/>
          <w:lang w:eastAsia="nl-NL"/>
        </w:rPr>
        <w:br/>
      </w:r>
      <w:r w:rsidRPr="007C5808" w:rsidR="006B380D">
        <w:rPr>
          <w:rFonts w:ascii="Times New Roman" w:hAnsi="Times New Roman" w:eastAsia="MS Mincho" w:cs="Times New Roman"/>
          <w:color w:val="000000"/>
          <w:sz w:val="24"/>
          <w:szCs w:val="24"/>
          <w:shd w:val="clear" w:color="auto" w:fill="FFFFFF"/>
          <w:lang w:eastAsia="nl-NL"/>
        </w:rPr>
        <w:t xml:space="preserve">Het Wetboek van Strafvordering van 1926 </w:t>
      </w:r>
      <w:r>
        <w:rPr>
          <w:rFonts w:ascii="Times New Roman" w:hAnsi="Times New Roman" w:eastAsia="MS Mincho" w:cs="Times New Roman"/>
          <w:color w:val="000000"/>
          <w:sz w:val="24"/>
          <w:szCs w:val="24"/>
          <w:shd w:val="clear" w:color="auto" w:fill="FFFFFF"/>
          <w:lang w:eastAsia="nl-NL"/>
        </w:rPr>
        <w:t>is,</w:t>
      </w:r>
      <w:r w:rsidRPr="007C5808" w:rsidR="006B380D">
        <w:rPr>
          <w:rFonts w:ascii="Times New Roman" w:hAnsi="Times New Roman" w:eastAsia="MS Mincho" w:cs="Times New Roman"/>
          <w:color w:val="000000"/>
          <w:sz w:val="24"/>
          <w:szCs w:val="24"/>
          <w:shd w:val="clear" w:color="auto" w:fill="FFFFFF"/>
          <w:lang w:eastAsia="nl-NL"/>
        </w:rPr>
        <w:t xml:space="preserve"> ondanks diverse aanpassingen </w:t>
      </w:r>
      <w:r>
        <w:rPr>
          <w:rFonts w:ascii="Times New Roman" w:hAnsi="Times New Roman" w:eastAsia="MS Mincho" w:cs="Times New Roman"/>
          <w:color w:val="000000"/>
          <w:sz w:val="24"/>
          <w:szCs w:val="24"/>
          <w:shd w:val="clear" w:color="auto" w:fill="FFFFFF"/>
          <w:lang w:eastAsia="nl-NL"/>
        </w:rPr>
        <w:t xml:space="preserve">die daaraan voorafgaand plaatsvonden, </w:t>
      </w:r>
      <w:r w:rsidRPr="007C5808" w:rsidR="006B380D">
        <w:rPr>
          <w:rFonts w:ascii="Times New Roman" w:hAnsi="Times New Roman" w:eastAsia="MS Mincho" w:cs="Times New Roman"/>
          <w:color w:val="000000"/>
          <w:sz w:val="24"/>
          <w:szCs w:val="24"/>
          <w:shd w:val="clear" w:color="auto" w:fill="FFFFFF"/>
          <w:lang w:eastAsia="nl-NL"/>
        </w:rPr>
        <w:t xml:space="preserve">gefundeerd op beginselen </w:t>
      </w:r>
      <w:r>
        <w:rPr>
          <w:rFonts w:ascii="Times New Roman" w:hAnsi="Times New Roman" w:eastAsia="MS Mincho" w:cs="Times New Roman"/>
          <w:color w:val="000000"/>
          <w:sz w:val="24"/>
          <w:szCs w:val="24"/>
          <w:shd w:val="clear" w:color="auto" w:fill="FFFFFF"/>
          <w:lang w:eastAsia="nl-NL"/>
        </w:rPr>
        <w:t xml:space="preserve">die voortvloeiden uit het gedachtegoed </w:t>
      </w:r>
      <w:r w:rsidR="0047633A">
        <w:rPr>
          <w:rFonts w:ascii="Times New Roman" w:hAnsi="Times New Roman" w:eastAsia="MS Mincho" w:cs="Times New Roman"/>
          <w:color w:val="000000"/>
          <w:sz w:val="24"/>
          <w:szCs w:val="24"/>
          <w:shd w:val="clear" w:color="auto" w:fill="FFFFFF"/>
          <w:lang w:eastAsia="nl-NL"/>
        </w:rPr>
        <w:t>van de Verlichting en uit</w:t>
      </w:r>
      <w:r>
        <w:rPr>
          <w:rFonts w:ascii="Times New Roman" w:hAnsi="Times New Roman" w:eastAsia="MS Mincho" w:cs="Times New Roman"/>
          <w:color w:val="000000"/>
          <w:sz w:val="24"/>
          <w:szCs w:val="24"/>
          <w:shd w:val="clear" w:color="auto" w:fill="FFFFFF"/>
          <w:lang w:eastAsia="nl-NL"/>
        </w:rPr>
        <w:t>eindelijk resulteerde</w:t>
      </w:r>
      <w:r w:rsidR="0047633A">
        <w:rPr>
          <w:rFonts w:ascii="Times New Roman" w:hAnsi="Times New Roman" w:eastAsia="MS Mincho" w:cs="Times New Roman"/>
          <w:color w:val="000000"/>
          <w:sz w:val="24"/>
          <w:szCs w:val="24"/>
          <w:shd w:val="clear" w:color="auto" w:fill="FFFFFF"/>
          <w:lang w:eastAsia="nl-NL"/>
        </w:rPr>
        <w:t>n</w:t>
      </w:r>
      <w:r>
        <w:rPr>
          <w:rFonts w:ascii="Times New Roman" w:hAnsi="Times New Roman" w:eastAsia="MS Mincho" w:cs="Times New Roman"/>
          <w:color w:val="000000"/>
          <w:sz w:val="24"/>
          <w:szCs w:val="24"/>
          <w:shd w:val="clear" w:color="auto" w:fill="FFFFFF"/>
          <w:lang w:eastAsia="nl-NL"/>
        </w:rPr>
        <w:t xml:space="preserve"> in de </w:t>
      </w:r>
      <w:r w:rsidRPr="007C5808" w:rsidR="006B380D">
        <w:rPr>
          <w:rFonts w:ascii="Times New Roman" w:hAnsi="Times New Roman" w:eastAsia="MS Mincho" w:cs="Times New Roman"/>
          <w:color w:val="000000"/>
          <w:sz w:val="24"/>
          <w:szCs w:val="24"/>
          <w:shd w:val="clear" w:color="auto" w:fill="FFFFFF"/>
          <w:lang w:eastAsia="nl-NL"/>
        </w:rPr>
        <w:t xml:space="preserve">Franse revolutie. De kern van </w:t>
      </w:r>
      <w:r w:rsidR="00006C18">
        <w:rPr>
          <w:rFonts w:ascii="Times New Roman" w:hAnsi="Times New Roman" w:eastAsia="MS Mincho" w:cs="Times New Roman"/>
          <w:color w:val="000000"/>
          <w:sz w:val="24"/>
          <w:szCs w:val="24"/>
          <w:shd w:val="clear" w:color="auto" w:fill="FFFFFF"/>
          <w:lang w:eastAsia="nl-NL"/>
        </w:rPr>
        <w:t xml:space="preserve">de in ons </w:t>
      </w:r>
      <w:r>
        <w:rPr>
          <w:rFonts w:ascii="Times New Roman" w:hAnsi="Times New Roman" w:eastAsia="MS Mincho" w:cs="Times New Roman"/>
          <w:color w:val="000000"/>
          <w:sz w:val="24"/>
          <w:szCs w:val="24"/>
          <w:shd w:val="clear" w:color="auto" w:fill="FFFFFF"/>
          <w:lang w:eastAsia="nl-NL"/>
        </w:rPr>
        <w:t xml:space="preserve">wetboek </w:t>
      </w:r>
      <w:r w:rsidR="00D94CD9">
        <w:rPr>
          <w:rFonts w:ascii="Times New Roman" w:hAnsi="Times New Roman" w:eastAsia="MS Mincho" w:cs="Times New Roman"/>
          <w:color w:val="000000"/>
          <w:sz w:val="24"/>
          <w:szCs w:val="24"/>
          <w:shd w:val="clear" w:color="auto" w:fill="FFFFFF"/>
          <w:lang w:eastAsia="nl-NL"/>
        </w:rPr>
        <w:t xml:space="preserve">neergelegde </w:t>
      </w:r>
      <w:r w:rsidRPr="007C5808" w:rsidR="006B380D">
        <w:rPr>
          <w:rFonts w:ascii="Times New Roman" w:hAnsi="Times New Roman" w:eastAsia="MS Mincho" w:cs="Times New Roman"/>
          <w:color w:val="000000"/>
          <w:sz w:val="24"/>
          <w:szCs w:val="24"/>
          <w:shd w:val="clear" w:color="auto" w:fill="FFFFFF"/>
          <w:lang w:eastAsia="nl-NL"/>
        </w:rPr>
        <w:t xml:space="preserve">procestraditie is sterk verweven met de verhoudingen tussen de drie staatsmachten (wetgever, uitvoerende- en rechtsprekende macht) en de in onze Grondwet gewaarborgde klassieke grondrechten (persoonlijke levenssfeer: art. 10 GW, onaantastbaarheid van het lichaam: art. 11 GW, de beperkingen aan het binnentreden van een woning: art. 12 GW, het brief-, telefoon- en telgraafgeheim: art. 13 GW. Deze kern is in oorsprong systematisch en consistent uitgewerkt in het wetboek en zien we (nog steeds) terug in bijvoorbeeld het (gematigd) inquisitoire karakter </w:t>
      </w:r>
      <w:r>
        <w:rPr>
          <w:rFonts w:ascii="Times New Roman" w:hAnsi="Times New Roman" w:eastAsia="MS Mincho" w:cs="Times New Roman"/>
          <w:color w:val="000000"/>
          <w:sz w:val="24"/>
          <w:szCs w:val="24"/>
          <w:shd w:val="clear" w:color="auto" w:fill="FFFFFF"/>
          <w:lang w:eastAsia="nl-NL"/>
        </w:rPr>
        <w:t>van het vooronderzoek en het gematigd accusatoir karakter van het eindonderzoek.</w:t>
      </w:r>
      <w:r w:rsidR="00D11F08">
        <w:rPr>
          <w:rStyle w:val="FootnoteReference"/>
          <w:rFonts w:ascii="Times New Roman" w:hAnsi="Times New Roman" w:eastAsia="MS Mincho"/>
          <w:color w:val="000000"/>
          <w:sz w:val="24"/>
          <w:szCs w:val="24"/>
          <w:shd w:val="clear" w:color="auto" w:fill="FFFFFF"/>
          <w:lang w:eastAsia="nl-NL"/>
        </w:rPr>
        <w:footnoteReference w:id="13"/>
      </w:r>
      <w:r>
        <w:rPr>
          <w:rFonts w:ascii="Times New Roman" w:hAnsi="Times New Roman" w:eastAsia="MS Mincho" w:cs="Times New Roman"/>
          <w:color w:val="000000"/>
          <w:sz w:val="24"/>
          <w:szCs w:val="24"/>
          <w:shd w:val="clear" w:color="auto" w:fill="FFFFFF"/>
          <w:lang w:eastAsia="nl-NL"/>
        </w:rPr>
        <w:t xml:space="preserve"> Ook </w:t>
      </w:r>
      <w:r w:rsidRPr="007C5808" w:rsidR="006B380D">
        <w:rPr>
          <w:rFonts w:ascii="Times New Roman" w:hAnsi="Times New Roman" w:eastAsia="MS Mincho" w:cs="Times New Roman"/>
          <w:color w:val="000000"/>
          <w:sz w:val="24"/>
          <w:szCs w:val="24"/>
          <w:shd w:val="clear" w:color="auto" w:fill="FFFFFF"/>
          <w:lang w:eastAsia="nl-NL"/>
        </w:rPr>
        <w:t xml:space="preserve">de verhouding </w:t>
      </w:r>
      <w:r>
        <w:rPr>
          <w:rFonts w:ascii="Times New Roman" w:hAnsi="Times New Roman" w:eastAsia="MS Mincho" w:cs="Times New Roman"/>
          <w:color w:val="000000"/>
          <w:sz w:val="24"/>
          <w:szCs w:val="24"/>
          <w:shd w:val="clear" w:color="auto" w:fill="FFFFFF"/>
          <w:lang w:eastAsia="nl-NL"/>
        </w:rPr>
        <w:t xml:space="preserve">tussen </w:t>
      </w:r>
      <w:r w:rsidR="009014F2">
        <w:rPr>
          <w:rFonts w:ascii="Times New Roman" w:hAnsi="Times New Roman" w:eastAsia="MS Mincho" w:cs="Times New Roman"/>
          <w:color w:val="000000"/>
          <w:sz w:val="24"/>
          <w:szCs w:val="24"/>
          <w:shd w:val="clear" w:color="auto" w:fill="FFFFFF"/>
          <w:lang w:eastAsia="nl-NL"/>
        </w:rPr>
        <w:t>v</w:t>
      </w:r>
      <w:r w:rsidRPr="007C5808" w:rsidR="006B380D">
        <w:rPr>
          <w:rFonts w:ascii="Times New Roman" w:hAnsi="Times New Roman" w:eastAsia="MS Mincho" w:cs="Times New Roman"/>
          <w:color w:val="000000"/>
          <w:sz w:val="24"/>
          <w:szCs w:val="24"/>
          <w:shd w:val="clear" w:color="auto" w:fill="FFFFFF"/>
          <w:lang w:eastAsia="nl-NL"/>
        </w:rPr>
        <w:t>oor- en eindonderzoek,  de (proces)verhoudingen tussen de procespartijen – en deelnemers en de processuele chronologie waarlangs het wetboek is opgebouwd</w:t>
      </w:r>
      <w:r>
        <w:rPr>
          <w:rFonts w:ascii="Times New Roman" w:hAnsi="Times New Roman" w:eastAsia="MS Mincho" w:cs="Times New Roman"/>
          <w:color w:val="000000"/>
          <w:sz w:val="24"/>
          <w:szCs w:val="24"/>
          <w:shd w:val="clear" w:color="auto" w:fill="FFFFFF"/>
          <w:lang w:eastAsia="nl-NL"/>
        </w:rPr>
        <w:t xml:space="preserve"> zijn mede gebaseerd op die procestraditie. </w:t>
      </w:r>
      <w:r w:rsidRPr="007C5808" w:rsidR="006B380D">
        <w:rPr>
          <w:rFonts w:ascii="Times New Roman" w:hAnsi="Times New Roman" w:eastAsia="MS Mincho" w:cs="Times New Roman"/>
          <w:color w:val="000000"/>
          <w:sz w:val="24"/>
          <w:szCs w:val="24"/>
          <w:shd w:val="clear" w:color="auto" w:fill="FFFFFF"/>
          <w:lang w:eastAsia="nl-NL"/>
        </w:rPr>
        <w:t xml:space="preserve">Een belangrijke karakteristiek van het bestaande wetboek is ook nog steeds dat het zowel wat betreft opbouw als wat betreft de positie </w:t>
      </w:r>
      <w:r w:rsidRPr="007C5808" w:rsidR="006B380D">
        <w:rPr>
          <w:rFonts w:ascii="Times New Roman" w:hAnsi="Times New Roman" w:eastAsia="MS Mincho" w:cs="Times New Roman"/>
          <w:color w:val="000000"/>
          <w:sz w:val="24"/>
          <w:szCs w:val="24"/>
          <w:shd w:val="clear" w:color="auto" w:fill="FFFFFF"/>
          <w:lang w:eastAsia="nl-NL"/>
        </w:rPr>
        <w:lastRenderedPageBreak/>
        <w:t>van actoren sterk is opgebouwd vanuit de rol in de waarheidsvinding en derhalve – volstrekt anders dan bijvoorbeeld het EVRM – sterk verticaal is georiënteerd.</w:t>
      </w:r>
      <w:r w:rsidR="00D11F08">
        <w:rPr>
          <w:rStyle w:val="FootnoteReference"/>
          <w:rFonts w:ascii="Times New Roman" w:hAnsi="Times New Roman" w:eastAsia="MS Mincho"/>
          <w:color w:val="000000"/>
          <w:sz w:val="24"/>
          <w:szCs w:val="24"/>
          <w:shd w:val="clear" w:color="auto" w:fill="FFFFFF"/>
          <w:lang w:eastAsia="nl-NL"/>
        </w:rPr>
        <w:footnoteReference w:id="14"/>
      </w:r>
      <w:r w:rsidRPr="007C5808" w:rsidR="006B380D">
        <w:rPr>
          <w:rFonts w:ascii="Times New Roman" w:hAnsi="Times New Roman" w:eastAsia="MS Mincho" w:cs="Times New Roman"/>
          <w:color w:val="000000"/>
          <w:sz w:val="24"/>
          <w:szCs w:val="24"/>
          <w:shd w:val="clear" w:color="auto" w:fill="FFFFFF"/>
          <w:lang w:eastAsia="nl-NL"/>
        </w:rPr>
        <w:t xml:space="preserve"> </w:t>
      </w:r>
      <w:r w:rsidR="00154AED">
        <w:rPr>
          <w:rFonts w:ascii="Times New Roman" w:hAnsi="Times New Roman" w:eastAsia="MS Mincho" w:cs="Times New Roman"/>
          <w:color w:val="000000"/>
          <w:sz w:val="24"/>
          <w:szCs w:val="24"/>
          <w:shd w:val="clear" w:color="auto" w:fill="FFFFFF"/>
          <w:lang w:eastAsia="nl-NL"/>
        </w:rPr>
        <w:br/>
      </w:r>
    </w:p>
    <w:p w:rsidRPr="007C5808" w:rsidR="00D94CD9" w:rsidP="00D94CD9" w:rsidRDefault="000A691B">
      <w:pPr>
        <w:spacing w:before="240" w:after="0" w:line="240" w:lineRule="auto"/>
        <w:rPr>
          <w:rFonts w:ascii="Times New Roman" w:hAnsi="Times New Roman" w:eastAsia="MS Mincho" w:cs="Times New Roman"/>
          <w:i/>
          <w:color w:val="000000"/>
          <w:sz w:val="24"/>
          <w:szCs w:val="24"/>
          <w:shd w:val="clear" w:color="auto" w:fill="FFFFFF"/>
          <w:lang w:eastAsia="nl-NL"/>
        </w:rPr>
      </w:pPr>
      <w:r>
        <w:rPr>
          <w:rFonts w:ascii="Times New Roman" w:hAnsi="Times New Roman" w:eastAsia="MS Mincho" w:cs="Times New Roman"/>
          <w:i/>
          <w:color w:val="000000"/>
          <w:sz w:val="24"/>
          <w:szCs w:val="24"/>
          <w:shd w:val="clear" w:color="auto" w:fill="FFFFFF"/>
          <w:lang w:eastAsia="nl-NL"/>
        </w:rPr>
        <w:t xml:space="preserve">De </w:t>
      </w:r>
      <w:r w:rsidRPr="007C5808" w:rsidR="00D94CD9">
        <w:rPr>
          <w:rFonts w:ascii="Times New Roman" w:hAnsi="Times New Roman" w:eastAsia="MS Mincho" w:cs="Times New Roman"/>
          <w:i/>
          <w:color w:val="000000"/>
          <w:sz w:val="24"/>
          <w:szCs w:val="24"/>
          <w:shd w:val="clear" w:color="auto" w:fill="FFFFFF"/>
          <w:lang w:eastAsia="nl-NL"/>
        </w:rPr>
        <w:t>context</w:t>
      </w:r>
      <w:r w:rsidRPr="007C5808" w:rsidR="00D94CD9">
        <w:rPr>
          <w:rFonts w:ascii="Times New Roman" w:hAnsi="Times New Roman" w:eastAsia="MS Mincho" w:cs="Times New Roman"/>
          <w:i/>
          <w:color w:val="000000"/>
          <w:sz w:val="24"/>
          <w:szCs w:val="24"/>
          <w:shd w:val="clear" w:color="auto" w:fill="FFFFFF"/>
          <w:lang w:eastAsia="nl-NL"/>
        </w:rPr>
        <w:br/>
      </w:r>
      <w:r w:rsidRPr="007C5808" w:rsidR="00D94CD9">
        <w:rPr>
          <w:rFonts w:ascii="Times New Roman" w:hAnsi="Times New Roman" w:eastAsia="MS Mincho" w:cs="Times New Roman"/>
          <w:color w:val="000000"/>
          <w:sz w:val="24"/>
          <w:szCs w:val="24"/>
          <w:shd w:val="clear" w:color="auto" w:fill="FFFFFF"/>
          <w:lang w:eastAsia="nl-NL"/>
        </w:rPr>
        <w:t xml:space="preserve">Het Wetboek van Strafvordering bevat bevoegdheden en voorwaarden voor de toepassing daarvan voor diverse justitiële actoren (opsporingsambtenaren, rechter-commissaris , leden van het OM, rechters, raadsheren) en rechten voor verdediging, slachtoffers, etc. Daarnaast bestaan zowel materieel als processueel verbanden tussen thema’s die worden geregeld in het strafprocesrecht en de </w:t>
      </w:r>
      <w:proofErr w:type="spellStart"/>
      <w:r w:rsidRPr="007C5808" w:rsidR="00D94CD9">
        <w:rPr>
          <w:rFonts w:ascii="Times New Roman" w:hAnsi="Times New Roman" w:eastAsia="MS Mincho" w:cs="Times New Roman"/>
          <w:color w:val="000000"/>
          <w:sz w:val="24"/>
          <w:szCs w:val="24"/>
          <w:shd w:val="clear" w:color="auto" w:fill="FFFFFF"/>
          <w:lang w:eastAsia="nl-NL"/>
        </w:rPr>
        <w:t>Awb</w:t>
      </w:r>
      <w:proofErr w:type="spellEnd"/>
      <w:r w:rsidRPr="007C5808" w:rsidR="00D94CD9">
        <w:rPr>
          <w:rFonts w:ascii="Times New Roman" w:hAnsi="Times New Roman" w:eastAsia="MS Mincho" w:cs="Times New Roman"/>
          <w:color w:val="000000"/>
          <w:sz w:val="24"/>
          <w:szCs w:val="24"/>
          <w:shd w:val="clear" w:color="auto" w:fill="FFFFFF"/>
          <w:lang w:eastAsia="nl-NL"/>
        </w:rPr>
        <w:t xml:space="preserve">, respectievelijk </w:t>
      </w:r>
      <w:r w:rsidR="0078019A">
        <w:rPr>
          <w:rFonts w:ascii="Times New Roman" w:hAnsi="Times New Roman" w:eastAsia="MS Mincho" w:cs="Times New Roman"/>
          <w:color w:val="000000"/>
          <w:sz w:val="24"/>
          <w:szCs w:val="24"/>
          <w:shd w:val="clear" w:color="auto" w:fill="FFFFFF"/>
          <w:lang w:eastAsia="nl-NL"/>
        </w:rPr>
        <w:t xml:space="preserve">in </w:t>
      </w:r>
      <w:r w:rsidRPr="007C5808" w:rsidR="00D94CD9">
        <w:rPr>
          <w:rFonts w:ascii="Times New Roman" w:hAnsi="Times New Roman" w:eastAsia="MS Mincho" w:cs="Times New Roman"/>
          <w:color w:val="000000"/>
          <w:sz w:val="24"/>
          <w:szCs w:val="24"/>
          <w:shd w:val="clear" w:color="auto" w:fill="FFFFFF"/>
          <w:lang w:eastAsia="nl-NL"/>
        </w:rPr>
        <w:t xml:space="preserve">het strafprocesrecht en het civiele recht. Men kan daarbij denken aan de regeling voor de benadeelde partij (bv art. 51f </w:t>
      </w:r>
      <w:proofErr w:type="spellStart"/>
      <w:r w:rsidRPr="007C5808" w:rsidR="00D94CD9">
        <w:rPr>
          <w:rFonts w:ascii="Times New Roman" w:hAnsi="Times New Roman" w:eastAsia="MS Mincho" w:cs="Times New Roman"/>
          <w:color w:val="000000"/>
          <w:sz w:val="24"/>
          <w:szCs w:val="24"/>
          <w:shd w:val="clear" w:color="auto" w:fill="FFFFFF"/>
          <w:lang w:eastAsia="nl-NL"/>
        </w:rPr>
        <w:t>WvSv</w:t>
      </w:r>
      <w:proofErr w:type="spellEnd"/>
      <w:r w:rsidRPr="007C5808" w:rsidR="00D94CD9">
        <w:rPr>
          <w:rFonts w:ascii="Times New Roman" w:hAnsi="Times New Roman" w:eastAsia="MS Mincho" w:cs="Times New Roman"/>
          <w:color w:val="000000"/>
          <w:sz w:val="24"/>
          <w:szCs w:val="24"/>
          <w:shd w:val="clear" w:color="auto" w:fill="FFFFFF"/>
          <w:lang w:eastAsia="nl-NL"/>
        </w:rPr>
        <w:t xml:space="preserve">) en aan de afdoening via de bestuurlijke boete (bv. art. 243 </w:t>
      </w:r>
      <w:proofErr w:type="spellStart"/>
      <w:r w:rsidRPr="007C5808" w:rsidR="00D94CD9">
        <w:rPr>
          <w:rFonts w:ascii="Times New Roman" w:hAnsi="Times New Roman" w:eastAsia="MS Mincho" w:cs="Times New Roman"/>
          <w:color w:val="000000"/>
          <w:sz w:val="24"/>
          <w:szCs w:val="24"/>
          <w:shd w:val="clear" w:color="auto" w:fill="FFFFFF"/>
          <w:lang w:eastAsia="nl-NL"/>
        </w:rPr>
        <w:t>WvSv</w:t>
      </w:r>
      <w:proofErr w:type="spellEnd"/>
      <w:r w:rsidRPr="007C5808" w:rsidR="00D94CD9">
        <w:rPr>
          <w:rFonts w:ascii="Times New Roman" w:hAnsi="Times New Roman" w:eastAsia="MS Mincho" w:cs="Times New Roman"/>
          <w:color w:val="000000"/>
          <w:sz w:val="24"/>
          <w:szCs w:val="24"/>
          <w:shd w:val="clear" w:color="auto" w:fill="FFFFFF"/>
          <w:lang w:eastAsia="nl-NL"/>
        </w:rPr>
        <w:t xml:space="preserve">).  Het Wetboek van Strafvordering verhoudt zich dientengevolge noodzakelijkerwijs zowel dogmatisch als systematisch tot wetgeving die qua inhoud en/of vorm aan de inhoud en/of vorm aan dat wetboek zijn gelieerd, zoals de Grondwet, </w:t>
      </w:r>
      <w:r w:rsidR="009014F2">
        <w:rPr>
          <w:rFonts w:ascii="Times New Roman" w:hAnsi="Times New Roman" w:eastAsia="MS Mincho" w:cs="Times New Roman"/>
          <w:color w:val="000000"/>
          <w:sz w:val="24"/>
          <w:szCs w:val="24"/>
          <w:shd w:val="clear" w:color="auto" w:fill="FFFFFF"/>
          <w:lang w:eastAsia="nl-NL"/>
        </w:rPr>
        <w:t xml:space="preserve">de </w:t>
      </w:r>
      <w:r w:rsidRPr="007C5808" w:rsidR="00D94CD9">
        <w:rPr>
          <w:rFonts w:ascii="Times New Roman" w:hAnsi="Times New Roman" w:eastAsia="MS Mincho" w:cs="Times New Roman"/>
          <w:color w:val="000000"/>
          <w:sz w:val="24"/>
          <w:szCs w:val="24"/>
          <w:shd w:val="clear" w:color="auto" w:fill="FFFFFF"/>
          <w:lang w:eastAsia="nl-NL"/>
        </w:rPr>
        <w:t xml:space="preserve">Wet RO, </w:t>
      </w:r>
      <w:r w:rsidR="009014F2">
        <w:rPr>
          <w:rFonts w:ascii="Times New Roman" w:hAnsi="Times New Roman" w:eastAsia="MS Mincho" w:cs="Times New Roman"/>
          <w:color w:val="000000"/>
          <w:sz w:val="24"/>
          <w:szCs w:val="24"/>
          <w:shd w:val="clear" w:color="auto" w:fill="FFFFFF"/>
          <w:lang w:eastAsia="nl-NL"/>
        </w:rPr>
        <w:t>h</w:t>
      </w:r>
      <w:r w:rsidRPr="007C5808" w:rsidR="00D94CD9">
        <w:rPr>
          <w:rFonts w:ascii="Times New Roman" w:hAnsi="Times New Roman" w:eastAsia="MS Mincho" w:cs="Times New Roman"/>
          <w:color w:val="000000"/>
          <w:sz w:val="24"/>
          <w:szCs w:val="24"/>
          <w:shd w:val="clear" w:color="auto" w:fill="FFFFFF"/>
          <w:lang w:eastAsia="nl-NL"/>
        </w:rPr>
        <w:t xml:space="preserve">et Wetboek van Strafrecht, bijzondere wetten, de politiewet, Verdragen, Europese wet- en regelgeving, bijzondere wetten, de </w:t>
      </w:r>
      <w:proofErr w:type="spellStart"/>
      <w:r w:rsidRPr="007C5808" w:rsidR="00D94CD9">
        <w:rPr>
          <w:rFonts w:ascii="Times New Roman" w:hAnsi="Times New Roman" w:eastAsia="MS Mincho" w:cs="Times New Roman"/>
          <w:color w:val="000000"/>
          <w:sz w:val="24"/>
          <w:szCs w:val="24"/>
          <w:shd w:val="clear" w:color="auto" w:fill="FFFFFF"/>
          <w:lang w:eastAsia="nl-NL"/>
        </w:rPr>
        <w:t>Awb</w:t>
      </w:r>
      <w:proofErr w:type="spellEnd"/>
      <w:r w:rsidRPr="007C5808" w:rsidR="00D94CD9">
        <w:rPr>
          <w:rFonts w:ascii="Times New Roman" w:hAnsi="Times New Roman" w:eastAsia="MS Mincho" w:cs="Times New Roman"/>
          <w:color w:val="000000"/>
          <w:sz w:val="24"/>
          <w:szCs w:val="24"/>
          <w:shd w:val="clear" w:color="auto" w:fill="FFFFFF"/>
          <w:lang w:eastAsia="nl-NL"/>
        </w:rPr>
        <w:t xml:space="preserve"> en het civiel (proces)recht.</w:t>
      </w:r>
    </w:p>
    <w:p w:rsidR="00D94CD9" w:rsidP="004F4E38" w:rsidRDefault="00D94CD9">
      <w:pPr>
        <w:spacing w:line="240" w:lineRule="auto"/>
        <w:ind w:left="360" w:hanging="360"/>
        <w:contextualSpacing/>
        <w:rPr>
          <w:rFonts w:ascii="Times New Roman" w:hAnsi="Times New Roman" w:eastAsia="Times New Roman" w:cs="Times New Roman"/>
          <w:sz w:val="24"/>
          <w:szCs w:val="24"/>
          <w:shd w:val="clear" w:color="auto" w:fill="FFFFFF"/>
          <w:lang w:eastAsia="nl-NL"/>
        </w:rPr>
      </w:pPr>
      <w:r w:rsidRPr="00D94CD9">
        <w:rPr>
          <w:rFonts w:ascii="Times New Roman" w:hAnsi="Times New Roman" w:eastAsia="Times New Roman" w:cs="Times New Roman"/>
          <w:sz w:val="24"/>
          <w:szCs w:val="24"/>
          <w:shd w:val="clear" w:color="auto" w:fill="FFFFFF"/>
          <w:lang w:eastAsia="nl-NL"/>
        </w:rPr>
        <w:t>De toepassing van wetgeving uit het Wetboek van Strafvordering vindt natuu</w:t>
      </w:r>
      <w:r>
        <w:rPr>
          <w:rFonts w:ascii="Times New Roman" w:hAnsi="Times New Roman" w:eastAsia="Times New Roman" w:cs="Times New Roman"/>
          <w:sz w:val="24"/>
          <w:szCs w:val="24"/>
          <w:shd w:val="clear" w:color="auto" w:fill="FFFFFF"/>
          <w:lang w:eastAsia="nl-NL"/>
        </w:rPr>
        <w:t xml:space="preserve">rlijk niet alleen </w:t>
      </w:r>
    </w:p>
    <w:p w:rsidR="004F4E38" w:rsidP="004F4E38" w:rsidRDefault="00D94CD9">
      <w:pPr>
        <w:spacing w:line="240" w:lineRule="auto"/>
        <w:ind w:left="360" w:hanging="360"/>
        <w:contextualSpacing/>
        <w:rPr>
          <w:rFonts w:ascii="Times New Roman" w:hAnsi="Times New Roman" w:eastAsia="Times New Roman" w:cs="Times New Roman"/>
          <w:sz w:val="24"/>
          <w:szCs w:val="24"/>
          <w:shd w:val="clear" w:color="auto" w:fill="FFFFFF"/>
          <w:lang w:eastAsia="nl-NL"/>
        </w:rPr>
      </w:pPr>
      <w:r>
        <w:rPr>
          <w:rFonts w:ascii="Times New Roman" w:hAnsi="Times New Roman" w:eastAsia="Times New Roman" w:cs="Times New Roman"/>
          <w:sz w:val="24"/>
          <w:szCs w:val="24"/>
          <w:shd w:val="clear" w:color="auto" w:fill="FFFFFF"/>
          <w:lang w:eastAsia="nl-NL"/>
        </w:rPr>
        <w:t>p</w:t>
      </w:r>
      <w:r w:rsidRPr="00D94CD9">
        <w:rPr>
          <w:rFonts w:ascii="Times New Roman" w:hAnsi="Times New Roman" w:eastAsia="Times New Roman" w:cs="Times New Roman"/>
          <w:sz w:val="24"/>
          <w:szCs w:val="24"/>
          <w:shd w:val="clear" w:color="auto" w:fill="FFFFFF"/>
          <w:lang w:eastAsia="nl-NL"/>
        </w:rPr>
        <w:t>laats in een</w:t>
      </w:r>
      <w:r>
        <w:rPr>
          <w:rFonts w:ascii="Times New Roman" w:hAnsi="Times New Roman" w:eastAsia="Times New Roman" w:cs="Times New Roman"/>
          <w:sz w:val="24"/>
          <w:szCs w:val="24"/>
          <w:shd w:val="clear" w:color="auto" w:fill="FFFFFF"/>
          <w:lang w:eastAsia="nl-NL"/>
        </w:rPr>
        <w:t xml:space="preserve"> </w:t>
      </w:r>
      <w:r w:rsidRPr="00D94CD9">
        <w:rPr>
          <w:rFonts w:ascii="Times New Roman" w:hAnsi="Times New Roman" w:eastAsia="Times New Roman" w:cs="Times New Roman"/>
          <w:sz w:val="24"/>
          <w:szCs w:val="24"/>
          <w:shd w:val="clear" w:color="auto" w:fill="FFFFFF"/>
          <w:lang w:eastAsia="nl-NL"/>
        </w:rPr>
        <w:t xml:space="preserve">context van wet- en regelgeving, maar ook in een dynamisch politiek en </w:t>
      </w:r>
    </w:p>
    <w:p w:rsidR="004F4E38" w:rsidP="004F4E38" w:rsidRDefault="004F4E38">
      <w:pPr>
        <w:spacing w:line="240" w:lineRule="auto"/>
        <w:ind w:left="360" w:hanging="360"/>
        <w:contextualSpacing/>
        <w:rPr>
          <w:rFonts w:ascii="Times New Roman" w:hAnsi="Times New Roman" w:eastAsia="Times New Roman" w:cs="Times New Roman"/>
          <w:sz w:val="24"/>
          <w:szCs w:val="24"/>
          <w:shd w:val="clear" w:color="auto" w:fill="FFFFFF"/>
          <w:lang w:eastAsia="nl-NL"/>
        </w:rPr>
      </w:pPr>
      <w:r>
        <w:rPr>
          <w:rFonts w:ascii="Times New Roman" w:hAnsi="Times New Roman" w:eastAsia="Times New Roman" w:cs="Times New Roman"/>
          <w:sz w:val="24"/>
          <w:szCs w:val="24"/>
          <w:shd w:val="clear" w:color="auto" w:fill="FFFFFF"/>
          <w:lang w:eastAsia="nl-NL"/>
        </w:rPr>
        <w:t>m</w:t>
      </w:r>
      <w:r w:rsidRPr="00D94CD9" w:rsidR="00D94CD9">
        <w:rPr>
          <w:rFonts w:ascii="Times New Roman" w:hAnsi="Times New Roman" w:eastAsia="Times New Roman" w:cs="Times New Roman"/>
          <w:sz w:val="24"/>
          <w:szCs w:val="24"/>
          <w:shd w:val="clear" w:color="auto" w:fill="FFFFFF"/>
          <w:lang w:eastAsia="nl-NL"/>
        </w:rPr>
        <w:t xml:space="preserve">aatschappelijk veld waarin onder meer kosten, efficiency en ketenafhankelijkheid van de </w:t>
      </w:r>
    </w:p>
    <w:p w:rsidR="004F4E38" w:rsidP="004F4E38" w:rsidRDefault="00D94CD9">
      <w:pPr>
        <w:spacing w:line="240" w:lineRule="auto"/>
        <w:ind w:left="360" w:hanging="360"/>
        <w:contextualSpacing/>
        <w:rPr>
          <w:rFonts w:ascii="Times New Roman" w:hAnsi="Times New Roman" w:eastAsia="Times New Roman" w:cs="Times New Roman"/>
          <w:sz w:val="24"/>
          <w:szCs w:val="24"/>
          <w:shd w:val="clear" w:color="auto" w:fill="FFFFFF"/>
          <w:lang w:eastAsia="nl-NL"/>
        </w:rPr>
      </w:pPr>
      <w:r w:rsidRPr="00D94CD9">
        <w:rPr>
          <w:rFonts w:ascii="Times New Roman" w:hAnsi="Times New Roman" w:eastAsia="Times New Roman" w:cs="Times New Roman"/>
          <w:sz w:val="24"/>
          <w:szCs w:val="24"/>
          <w:shd w:val="clear" w:color="auto" w:fill="FFFFFF"/>
          <w:lang w:eastAsia="nl-NL"/>
        </w:rPr>
        <w:t xml:space="preserve">uitvoering een belangrijke rol spelen. Laatstgenoemde aspecten bepalen in belangrijke mate </w:t>
      </w:r>
    </w:p>
    <w:p w:rsidR="004F4E38" w:rsidP="004F4E38" w:rsidRDefault="00D94CD9">
      <w:pPr>
        <w:spacing w:line="240" w:lineRule="auto"/>
        <w:ind w:left="360" w:hanging="360"/>
        <w:contextualSpacing/>
        <w:rPr>
          <w:rFonts w:ascii="Times New Roman" w:hAnsi="Times New Roman" w:eastAsia="Times New Roman" w:cs="Times New Roman"/>
          <w:sz w:val="24"/>
          <w:szCs w:val="24"/>
          <w:shd w:val="clear" w:color="auto" w:fill="FFFFFF"/>
          <w:lang w:eastAsia="nl-NL"/>
        </w:rPr>
      </w:pPr>
      <w:r w:rsidRPr="00D94CD9">
        <w:rPr>
          <w:rFonts w:ascii="Times New Roman" w:hAnsi="Times New Roman" w:eastAsia="Times New Roman" w:cs="Times New Roman"/>
          <w:sz w:val="24"/>
          <w:szCs w:val="24"/>
          <w:shd w:val="clear" w:color="auto" w:fill="FFFFFF"/>
          <w:lang w:eastAsia="nl-NL"/>
        </w:rPr>
        <w:t>de doelen van het moderniseringsprogramma.</w:t>
      </w:r>
      <w:r w:rsidRPr="00D94CD9">
        <w:rPr>
          <w:rFonts w:ascii="Times New Roman" w:hAnsi="Times New Roman" w:eastAsia="Times New Roman" w:cs="Times New Roman"/>
          <w:sz w:val="24"/>
          <w:szCs w:val="24"/>
          <w:shd w:val="clear" w:color="auto" w:fill="FFFFFF"/>
          <w:vertAlign w:val="superscript"/>
          <w:lang w:eastAsia="nl-NL"/>
        </w:rPr>
        <w:footnoteReference w:id="15"/>
      </w:r>
      <w:r w:rsidRPr="00D94CD9">
        <w:rPr>
          <w:rFonts w:ascii="Times New Roman" w:hAnsi="Times New Roman" w:eastAsia="Times New Roman" w:cs="Times New Roman"/>
          <w:sz w:val="24"/>
          <w:szCs w:val="24"/>
          <w:shd w:val="clear" w:color="auto" w:fill="FFFFFF"/>
          <w:lang w:eastAsia="nl-NL"/>
        </w:rPr>
        <w:t xml:space="preserve">    </w:t>
      </w:r>
    </w:p>
    <w:p w:rsidR="004F4E38" w:rsidP="004F4E38" w:rsidRDefault="004F4E38">
      <w:pPr>
        <w:spacing w:line="240" w:lineRule="auto"/>
        <w:ind w:left="360" w:hanging="360"/>
        <w:contextualSpacing/>
        <w:rPr>
          <w:rFonts w:ascii="Times New Roman" w:hAnsi="Times New Roman" w:eastAsia="Times New Roman" w:cs="Times New Roman"/>
          <w:sz w:val="24"/>
          <w:szCs w:val="24"/>
          <w:shd w:val="clear" w:color="auto" w:fill="FFFFFF"/>
          <w:lang w:eastAsia="nl-NL"/>
        </w:rPr>
      </w:pPr>
    </w:p>
    <w:p w:rsidR="0006036B" w:rsidP="004F4E38" w:rsidRDefault="0006036B">
      <w:pPr>
        <w:spacing w:line="240" w:lineRule="auto"/>
        <w:ind w:left="360" w:hanging="360"/>
        <w:contextualSpacing/>
        <w:rPr>
          <w:rFonts w:ascii="Times New Roman" w:hAnsi="Times New Roman" w:eastAsia="Times New Roman" w:cs="Times New Roman"/>
          <w:sz w:val="24"/>
          <w:szCs w:val="24"/>
          <w:shd w:val="clear" w:color="auto" w:fill="FFFFFF"/>
          <w:lang w:eastAsia="nl-NL"/>
        </w:rPr>
      </w:pPr>
    </w:p>
    <w:p w:rsidRPr="007C5808" w:rsidR="00CF2CA9" w:rsidP="004F4E38" w:rsidRDefault="00D94CD9">
      <w:pPr>
        <w:spacing w:line="240" w:lineRule="auto"/>
        <w:ind w:left="360" w:hanging="360"/>
        <w:contextualSpacing/>
        <w:rPr>
          <w:rFonts w:ascii="Times New Roman" w:hAnsi="Times New Roman" w:eastAsia="MS Mincho" w:cs="Times New Roman"/>
          <w:b/>
          <w:color w:val="000000"/>
          <w:sz w:val="24"/>
          <w:szCs w:val="24"/>
          <w:shd w:val="clear" w:color="auto" w:fill="FFFFFF"/>
          <w:lang w:eastAsia="nl-NL"/>
        </w:rPr>
      </w:pPr>
      <w:r>
        <w:rPr>
          <w:rFonts w:ascii="Times New Roman" w:hAnsi="Times New Roman" w:eastAsia="MS Mincho" w:cs="Times New Roman"/>
          <w:b/>
          <w:color w:val="000000"/>
          <w:sz w:val="24"/>
          <w:szCs w:val="24"/>
          <w:shd w:val="clear" w:color="auto" w:fill="FFFFFF"/>
          <w:lang w:eastAsia="nl-NL"/>
        </w:rPr>
        <w:t>3</w:t>
      </w:r>
      <w:r w:rsidRPr="007C5808" w:rsidR="00CF2CA9">
        <w:rPr>
          <w:rFonts w:ascii="Times New Roman" w:hAnsi="Times New Roman" w:eastAsia="MS Mincho" w:cs="Times New Roman"/>
          <w:b/>
          <w:color w:val="000000"/>
          <w:sz w:val="24"/>
          <w:szCs w:val="24"/>
          <w:shd w:val="clear" w:color="auto" w:fill="FFFFFF"/>
          <w:lang w:eastAsia="nl-NL"/>
        </w:rPr>
        <w:t>. Plaatsbepaling van de modernisering van het wetboek</w:t>
      </w:r>
    </w:p>
    <w:p w:rsidRPr="007C5808" w:rsidR="00CF2CA9" w:rsidP="00637E64" w:rsidRDefault="00CF2CA9">
      <w:pPr>
        <w:spacing w:before="240" w:after="0" w:line="240" w:lineRule="auto"/>
        <w:rPr>
          <w:rFonts w:ascii="Times New Roman" w:hAnsi="Times New Roman" w:eastAsia="MS Mincho" w:cs="Times New Roman"/>
          <w:color w:val="000000"/>
          <w:sz w:val="24"/>
          <w:szCs w:val="24"/>
          <w:shd w:val="clear" w:color="auto" w:fill="FFFFFF"/>
          <w:lang w:eastAsia="nl-NL"/>
        </w:rPr>
      </w:pPr>
      <w:r w:rsidRPr="007C5808">
        <w:rPr>
          <w:rFonts w:ascii="Times New Roman" w:hAnsi="Times New Roman" w:eastAsia="MS Mincho" w:cs="Times New Roman"/>
          <w:color w:val="000000"/>
          <w:sz w:val="24"/>
          <w:szCs w:val="24"/>
          <w:shd w:val="clear" w:color="auto" w:fill="FFFFFF"/>
          <w:lang w:eastAsia="nl-NL"/>
        </w:rPr>
        <w:t xml:space="preserve">Om de implicaties van de </w:t>
      </w:r>
      <w:r w:rsidR="00D94CD9">
        <w:rPr>
          <w:rFonts w:ascii="Times New Roman" w:hAnsi="Times New Roman" w:eastAsia="MS Mincho" w:cs="Times New Roman"/>
          <w:color w:val="000000"/>
          <w:sz w:val="24"/>
          <w:szCs w:val="24"/>
          <w:shd w:val="clear" w:color="auto" w:fill="FFFFFF"/>
          <w:lang w:eastAsia="nl-NL"/>
        </w:rPr>
        <w:t>met d</w:t>
      </w:r>
      <w:r w:rsidRPr="007C5808" w:rsidR="009037CA">
        <w:rPr>
          <w:rFonts w:ascii="Times New Roman" w:hAnsi="Times New Roman" w:eastAsia="MS Mincho" w:cs="Times New Roman"/>
          <w:color w:val="000000"/>
          <w:sz w:val="24"/>
          <w:szCs w:val="24"/>
          <w:shd w:val="clear" w:color="auto" w:fill="FFFFFF"/>
          <w:lang w:eastAsia="nl-NL"/>
        </w:rPr>
        <w:t xml:space="preserve">e modernisering </w:t>
      </w:r>
      <w:r w:rsidRPr="007C5808">
        <w:rPr>
          <w:rFonts w:ascii="Times New Roman" w:hAnsi="Times New Roman" w:eastAsia="MS Mincho" w:cs="Times New Roman"/>
          <w:color w:val="000000"/>
          <w:sz w:val="24"/>
          <w:szCs w:val="24"/>
          <w:shd w:val="clear" w:color="auto" w:fill="FFFFFF"/>
          <w:lang w:eastAsia="nl-NL"/>
        </w:rPr>
        <w:t>gemaakte keuzes goed te kunnen overzien is</w:t>
      </w:r>
      <w:r w:rsidRPr="007C5808" w:rsidR="00AA1836">
        <w:rPr>
          <w:rFonts w:ascii="Times New Roman" w:hAnsi="Times New Roman" w:eastAsia="MS Mincho" w:cs="Times New Roman"/>
          <w:color w:val="000000"/>
          <w:sz w:val="24"/>
          <w:szCs w:val="24"/>
          <w:shd w:val="clear" w:color="auto" w:fill="FFFFFF"/>
          <w:lang w:eastAsia="nl-NL"/>
        </w:rPr>
        <w:t xml:space="preserve"> </w:t>
      </w:r>
      <w:r w:rsidRPr="007C5808">
        <w:rPr>
          <w:rFonts w:ascii="Times New Roman" w:hAnsi="Times New Roman" w:eastAsia="MS Mincho" w:cs="Times New Roman"/>
          <w:color w:val="000000"/>
          <w:sz w:val="24"/>
          <w:szCs w:val="24"/>
          <w:shd w:val="clear" w:color="auto" w:fill="FFFFFF"/>
          <w:lang w:eastAsia="nl-NL"/>
        </w:rPr>
        <w:t>het zinvol enkele gradaties van wetgevingsoperati</w:t>
      </w:r>
      <w:r w:rsidRPr="007C5808" w:rsidR="009037CA">
        <w:rPr>
          <w:rFonts w:ascii="Times New Roman" w:hAnsi="Times New Roman" w:eastAsia="MS Mincho" w:cs="Times New Roman"/>
          <w:color w:val="000000"/>
          <w:sz w:val="24"/>
          <w:szCs w:val="24"/>
          <w:shd w:val="clear" w:color="auto" w:fill="FFFFFF"/>
          <w:lang w:eastAsia="nl-NL"/>
        </w:rPr>
        <w:t>es te benoemen</w:t>
      </w:r>
      <w:r w:rsidRPr="007C5808" w:rsidR="00AA1836">
        <w:rPr>
          <w:rFonts w:ascii="Times New Roman" w:hAnsi="Times New Roman" w:eastAsia="MS Mincho" w:cs="Times New Roman"/>
          <w:color w:val="000000"/>
          <w:sz w:val="24"/>
          <w:szCs w:val="24"/>
          <w:shd w:val="clear" w:color="auto" w:fill="FFFFFF"/>
          <w:lang w:eastAsia="nl-NL"/>
        </w:rPr>
        <w:t xml:space="preserve">. </w:t>
      </w:r>
      <w:r w:rsidRPr="007C5808" w:rsidR="008718B9">
        <w:rPr>
          <w:rFonts w:ascii="Times New Roman" w:hAnsi="Times New Roman" w:eastAsia="MS Mincho" w:cs="Times New Roman"/>
          <w:color w:val="000000"/>
          <w:sz w:val="24"/>
          <w:szCs w:val="24"/>
          <w:shd w:val="clear" w:color="auto" w:fill="FFFFFF"/>
          <w:lang w:eastAsia="nl-NL"/>
        </w:rPr>
        <w:t xml:space="preserve">De meest vergaande vorm van </w:t>
      </w:r>
      <w:r w:rsidRPr="007C5808" w:rsidR="0099606A">
        <w:rPr>
          <w:rFonts w:ascii="Times New Roman" w:hAnsi="Times New Roman" w:eastAsia="MS Mincho" w:cs="Times New Roman"/>
          <w:color w:val="000000"/>
          <w:sz w:val="24"/>
          <w:szCs w:val="24"/>
          <w:shd w:val="clear" w:color="auto" w:fill="FFFFFF"/>
          <w:lang w:eastAsia="nl-NL"/>
        </w:rPr>
        <w:t>het vastleggen</w:t>
      </w:r>
      <w:r w:rsidR="00A35EE8">
        <w:rPr>
          <w:rFonts w:ascii="Times New Roman" w:hAnsi="Times New Roman" w:eastAsia="MS Mincho" w:cs="Times New Roman"/>
          <w:color w:val="000000"/>
          <w:sz w:val="24"/>
          <w:szCs w:val="24"/>
          <w:shd w:val="clear" w:color="auto" w:fill="FFFFFF"/>
          <w:lang w:eastAsia="nl-NL"/>
        </w:rPr>
        <w:t xml:space="preserve"> of </w:t>
      </w:r>
      <w:r w:rsidRPr="007C5808" w:rsidR="008718B9">
        <w:rPr>
          <w:rFonts w:ascii="Times New Roman" w:hAnsi="Times New Roman" w:eastAsia="MS Mincho" w:cs="Times New Roman"/>
          <w:color w:val="000000"/>
          <w:sz w:val="24"/>
          <w:szCs w:val="24"/>
          <w:shd w:val="clear" w:color="auto" w:fill="FFFFFF"/>
          <w:lang w:eastAsia="nl-NL"/>
        </w:rPr>
        <w:t>aanpassen van een stelsel of proces</w:t>
      </w:r>
      <w:r w:rsidRPr="007C5808" w:rsidR="00AA1836">
        <w:rPr>
          <w:rFonts w:ascii="Times New Roman" w:hAnsi="Times New Roman" w:eastAsia="MS Mincho" w:cs="Times New Roman"/>
          <w:color w:val="000000"/>
          <w:sz w:val="24"/>
          <w:szCs w:val="24"/>
          <w:shd w:val="clear" w:color="auto" w:fill="FFFFFF"/>
          <w:lang w:eastAsia="nl-NL"/>
        </w:rPr>
        <w:t xml:space="preserve">traditie </w:t>
      </w:r>
      <w:r w:rsidRPr="007C5808" w:rsidR="008718B9">
        <w:rPr>
          <w:rFonts w:ascii="Times New Roman" w:hAnsi="Times New Roman" w:eastAsia="MS Mincho" w:cs="Times New Roman"/>
          <w:color w:val="000000"/>
          <w:sz w:val="24"/>
          <w:szCs w:val="24"/>
          <w:shd w:val="clear" w:color="auto" w:fill="FFFFFF"/>
          <w:lang w:eastAsia="nl-NL"/>
        </w:rPr>
        <w:t>zou men kunnen duiden als codific</w:t>
      </w:r>
      <w:r w:rsidRPr="007C5808" w:rsidR="0099606A">
        <w:rPr>
          <w:rFonts w:ascii="Times New Roman" w:hAnsi="Times New Roman" w:eastAsia="MS Mincho" w:cs="Times New Roman"/>
          <w:color w:val="000000"/>
          <w:sz w:val="24"/>
          <w:szCs w:val="24"/>
          <w:shd w:val="clear" w:color="auto" w:fill="FFFFFF"/>
          <w:lang w:eastAsia="nl-NL"/>
        </w:rPr>
        <w:t xml:space="preserve">atie, begrepen als </w:t>
      </w:r>
      <w:r w:rsidRPr="007C5808" w:rsidR="008565CE">
        <w:rPr>
          <w:rFonts w:ascii="Times New Roman" w:hAnsi="Times New Roman" w:eastAsia="MS Mincho" w:cs="Times New Roman"/>
          <w:color w:val="000000"/>
          <w:sz w:val="24"/>
          <w:szCs w:val="24"/>
          <w:shd w:val="clear" w:color="auto" w:fill="FFFFFF"/>
          <w:lang w:eastAsia="nl-NL"/>
        </w:rPr>
        <w:t>“het samenstellen en vaststellen van stelselmatige wetten in formele zin voor rechtsonderdelen van enige omvang, welke wetten binnen het nationale rechtsgebied overal gelijkelijk verbindende kracht bezitten.”</w:t>
      </w:r>
      <w:r w:rsidRPr="007C5808" w:rsidR="0099606A">
        <w:rPr>
          <w:rStyle w:val="FootnoteReference"/>
          <w:rFonts w:ascii="Times New Roman" w:hAnsi="Times New Roman" w:eastAsia="MS Mincho"/>
          <w:color w:val="000000"/>
          <w:sz w:val="24"/>
          <w:szCs w:val="24"/>
          <w:shd w:val="clear" w:color="auto" w:fill="FFFFFF"/>
          <w:lang w:eastAsia="nl-NL"/>
        </w:rPr>
        <w:footnoteReference w:id="16"/>
      </w:r>
      <w:r w:rsidRPr="007C5808" w:rsidR="0099606A">
        <w:rPr>
          <w:rFonts w:ascii="Times New Roman" w:hAnsi="Times New Roman" w:eastAsia="MS Mincho" w:cs="Times New Roman"/>
          <w:color w:val="000000"/>
          <w:sz w:val="24"/>
          <w:szCs w:val="24"/>
          <w:shd w:val="clear" w:color="auto" w:fill="FFFFFF"/>
          <w:lang w:eastAsia="nl-NL"/>
        </w:rPr>
        <w:t xml:space="preserve"> Het Wetboek van Strafvordering van 1926 </w:t>
      </w:r>
      <w:r w:rsidRPr="007C5808" w:rsidR="009037CA">
        <w:rPr>
          <w:rFonts w:ascii="Times New Roman" w:hAnsi="Times New Roman" w:eastAsia="MS Mincho" w:cs="Times New Roman"/>
          <w:color w:val="000000"/>
          <w:sz w:val="24"/>
          <w:szCs w:val="24"/>
          <w:shd w:val="clear" w:color="auto" w:fill="FFFFFF"/>
          <w:lang w:eastAsia="nl-NL"/>
        </w:rPr>
        <w:t xml:space="preserve">kan </w:t>
      </w:r>
      <w:r w:rsidR="00581AA0">
        <w:rPr>
          <w:rFonts w:ascii="Times New Roman" w:hAnsi="Times New Roman" w:eastAsia="MS Mincho" w:cs="Times New Roman"/>
          <w:color w:val="000000"/>
          <w:sz w:val="24"/>
          <w:szCs w:val="24"/>
          <w:shd w:val="clear" w:color="auto" w:fill="FFFFFF"/>
          <w:lang w:eastAsia="nl-NL"/>
        </w:rPr>
        <w:t xml:space="preserve">zonder twijfel </w:t>
      </w:r>
      <w:r w:rsidRPr="007C5808" w:rsidR="0099606A">
        <w:rPr>
          <w:rFonts w:ascii="Times New Roman" w:hAnsi="Times New Roman" w:eastAsia="MS Mincho" w:cs="Times New Roman"/>
          <w:color w:val="000000"/>
          <w:sz w:val="24"/>
          <w:szCs w:val="24"/>
          <w:shd w:val="clear" w:color="auto" w:fill="FFFFFF"/>
          <w:lang w:eastAsia="nl-NL"/>
        </w:rPr>
        <w:t>als zodanig worden benoemd. In de loop van de levens</w:t>
      </w:r>
      <w:r w:rsidR="00377B12">
        <w:rPr>
          <w:rFonts w:ascii="Times New Roman" w:hAnsi="Times New Roman" w:eastAsia="MS Mincho" w:cs="Times New Roman"/>
          <w:color w:val="000000"/>
          <w:sz w:val="24"/>
          <w:szCs w:val="24"/>
          <w:shd w:val="clear" w:color="auto" w:fill="FFFFFF"/>
          <w:lang w:eastAsia="nl-NL"/>
        </w:rPr>
        <w:t>d</w:t>
      </w:r>
      <w:r w:rsidRPr="007C5808" w:rsidR="0099606A">
        <w:rPr>
          <w:rFonts w:ascii="Times New Roman" w:hAnsi="Times New Roman" w:eastAsia="MS Mincho" w:cs="Times New Roman"/>
          <w:color w:val="000000"/>
          <w:sz w:val="24"/>
          <w:szCs w:val="24"/>
          <w:shd w:val="clear" w:color="auto" w:fill="FFFFFF"/>
          <w:lang w:eastAsia="nl-NL"/>
        </w:rPr>
        <w:t>uu</w:t>
      </w:r>
      <w:r w:rsidRPr="007C5808" w:rsidR="00992200">
        <w:rPr>
          <w:rFonts w:ascii="Times New Roman" w:hAnsi="Times New Roman" w:eastAsia="MS Mincho" w:cs="Times New Roman"/>
          <w:color w:val="000000"/>
          <w:sz w:val="24"/>
          <w:szCs w:val="24"/>
          <w:shd w:val="clear" w:color="auto" w:fill="FFFFFF"/>
          <w:lang w:eastAsia="nl-NL"/>
        </w:rPr>
        <w:t>r van dit wetboek is het vele malen, soms ingrijpend</w:t>
      </w:r>
      <w:r w:rsidR="00D45923">
        <w:rPr>
          <w:rFonts w:ascii="Times New Roman" w:hAnsi="Times New Roman" w:eastAsia="MS Mincho" w:cs="Times New Roman"/>
          <w:color w:val="000000"/>
          <w:sz w:val="24"/>
          <w:szCs w:val="24"/>
          <w:shd w:val="clear" w:color="auto" w:fill="FFFFFF"/>
          <w:lang w:eastAsia="nl-NL"/>
        </w:rPr>
        <w:t xml:space="preserve">, soms </w:t>
      </w:r>
      <w:r w:rsidRPr="007C5808" w:rsidR="00D45923">
        <w:rPr>
          <w:rFonts w:ascii="Times New Roman" w:hAnsi="Times New Roman" w:eastAsia="MS Mincho" w:cs="Times New Roman"/>
          <w:color w:val="000000"/>
          <w:sz w:val="24"/>
          <w:szCs w:val="24"/>
          <w:shd w:val="clear" w:color="auto" w:fill="FFFFFF"/>
          <w:lang w:eastAsia="nl-NL"/>
        </w:rPr>
        <w:t>minder vergaand</w:t>
      </w:r>
      <w:r w:rsidRPr="007C5808" w:rsidR="00AA1836">
        <w:rPr>
          <w:rFonts w:ascii="Times New Roman" w:hAnsi="Times New Roman" w:eastAsia="MS Mincho" w:cs="Times New Roman"/>
          <w:color w:val="000000"/>
          <w:sz w:val="24"/>
          <w:szCs w:val="24"/>
          <w:shd w:val="clear" w:color="auto" w:fill="FFFFFF"/>
          <w:lang w:eastAsia="nl-NL"/>
        </w:rPr>
        <w:t xml:space="preserve"> </w:t>
      </w:r>
      <w:r w:rsidRPr="007C5808" w:rsidR="00992200">
        <w:rPr>
          <w:rFonts w:ascii="Times New Roman" w:hAnsi="Times New Roman" w:eastAsia="MS Mincho" w:cs="Times New Roman"/>
          <w:color w:val="000000"/>
          <w:sz w:val="24"/>
          <w:szCs w:val="24"/>
          <w:shd w:val="clear" w:color="auto" w:fill="FFFFFF"/>
          <w:lang w:eastAsia="nl-NL"/>
        </w:rPr>
        <w:t>aangepast. In de loop van di</w:t>
      </w:r>
      <w:r w:rsidRPr="007C5808" w:rsidR="00667005">
        <w:rPr>
          <w:rFonts w:ascii="Times New Roman" w:hAnsi="Times New Roman" w:eastAsia="MS Mincho" w:cs="Times New Roman"/>
          <w:color w:val="000000"/>
          <w:sz w:val="24"/>
          <w:szCs w:val="24"/>
          <w:shd w:val="clear" w:color="auto" w:fill="FFFFFF"/>
          <w:lang w:eastAsia="nl-NL"/>
        </w:rPr>
        <w:t>e</w:t>
      </w:r>
      <w:r w:rsidRPr="007C5808" w:rsidR="00992200">
        <w:rPr>
          <w:rFonts w:ascii="Times New Roman" w:hAnsi="Times New Roman" w:eastAsia="MS Mincho" w:cs="Times New Roman"/>
          <w:color w:val="000000"/>
          <w:sz w:val="24"/>
          <w:szCs w:val="24"/>
          <w:shd w:val="clear" w:color="auto" w:fill="FFFFFF"/>
          <w:lang w:eastAsia="nl-NL"/>
        </w:rPr>
        <w:t xml:space="preserve"> periode zijn</w:t>
      </w:r>
      <w:r w:rsidR="00FF65FF">
        <w:rPr>
          <w:rFonts w:ascii="Times New Roman" w:hAnsi="Times New Roman" w:eastAsia="MS Mincho" w:cs="Times New Roman"/>
          <w:color w:val="000000"/>
          <w:sz w:val="24"/>
          <w:szCs w:val="24"/>
          <w:shd w:val="clear" w:color="auto" w:fill="FFFFFF"/>
          <w:lang w:eastAsia="nl-NL"/>
        </w:rPr>
        <w:t xml:space="preserve"> – op </w:t>
      </w:r>
      <w:r w:rsidR="00D45923">
        <w:rPr>
          <w:rFonts w:ascii="Times New Roman" w:hAnsi="Times New Roman" w:eastAsia="MS Mincho" w:cs="Times New Roman"/>
          <w:color w:val="000000"/>
          <w:sz w:val="24"/>
          <w:szCs w:val="24"/>
          <w:shd w:val="clear" w:color="auto" w:fill="FFFFFF"/>
          <w:lang w:eastAsia="nl-NL"/>
        </w:rPr>
        <w:t>de schaal tussen ingrijpende en betrekkelijk kleine aanpassingen</w:t>
      </w:r>
      <w:r w:rsidR="00FF65FF">
        <w:rPr>
          <w:rFonts w:ascii="Times New Roman" w:hAnsi="Times New Roman" w:eastAsia="MS Mincho" w:cs="Times New Roman"/>
          <w:color w:val="000000"/>
          <w:sz w:val="24"/>
          <w:szCs w:val="24"/>
          <w:shd w:val="clear" w:color="auto" w:fill="FFFFFF"/>
          <w:lang w:eastAsia="nl-NL"/>
        </w:rPr>
        <w:t xml:space="preserve"> - v</w:t>
      </w:r>
      <w:r w:rsidRPr="007C5808" w:rsidR="00992200">
        <w:rPr>
          <w:rFonts w:ascii="Times New Roman" w:hAnsi="Times New Roman" w:eastAsia="MS Mincho" w:cs="Times New Roman"/>
          <w:color w:val="000000"/>
          <w:sz w:val="24"/>
          <w:szCs w:val="24"/>
          <w:shd w:val="clear" w:color="auto" w:fill="FFFFFF"/>
          <w:lang w:eastAsia="nl-NL"/>
        </w:rPr>
        <w:t xml:space="preserve">oorgenomen en deels gerealiseerde wijzigingen en wijzigingsprojecten soms aangeduid </w:t>
      </w:r>
      <w:r w:rsidRPr="007C5808" w:rsidR="00617308">
        <w:rPr>
          <w:rFonts w:ascii="Times New Roman" w:hAnsi="Times New Roman" w:eastAsia="MS Mincho" w:cs="Times New Roman"/>
          <w:color w:val="000000"/>
          <w:sz w:val="24"/>
          <w:szCs w:val="24"/>
          <w:shd w:val="clear" w:color="auto" w:fill="FFFFFF"/>
          <w:lang w:eastAsia="nl-NL"/>
        </w:rPr>
        <w:t xml:space="preserve">als </w:t>
      </w:r>
      <w:proofErr w:type="spellStart"/>
      <w:r w:rsidR="00D45923">
        <w:rPr>
          <w:rFonts w:ascii="Times New Roman" w:hAnsi="Times New Roman" w:eastAsia="MS Mincho" w:cs="Times New Roman"/>
          <w:color w:val="000000"/>
          <w:sz w:val="24"/>
          <w:szCs w:val="24"/>
          <w:shd w:val="clear" w:color="auto" w:fill="FFFFFF"/>
          <w:lang w:eastAsia="nl-NL"/>
        </w:rPr>
        <w:t>h</w:t>
      </w:r>
      <w:r w:rsidRPr="007C5808" w:rsidR="00622959">
        <w:rPr>
          <w:rFonts w:ascii="Times New Roman" w:hAnsi="Times New Roman" w:eastAsia="MS Mincho" w:cs="Times New Roman"/>
          <w:color w:val="000000"/>
          <w:sz w:val="24"/>
          <w:szCs w:val="24"/>
          <w:shd w:val="clear" w:color="auto" w:fill="FFFFFF"/>
          <w:lang w:eastAsia="nl-NL"/>
        </w:rPr>
        <w:t>ercodificatie</w:t>
      </w:r>
      <w:proofErr w:type="spellEnd"/>
      <w:r w:rsidRPr="007C5808" w:rsidR="00622959">
        <w:rPr>
          <w:rStyle w:val="FootnoteReference"/>
          <w:rFonts w:ascii="Times New Roman" w:hAnsi="Times New Roman" w:eastAsia="MS Mincho"/>
          <w:color w:val="000000"/>
          <w:sz w:val="24"/>
          <w:szCs w:val="24"/>
          <w:shd w:val="clear" w:color="auto" w:fill="FFFFFF"/>
          <w:lang w:eastAsia="nl-NL"/>
        </w:rPr>
        <w:footnoteReference w:id="17"/>
      </w:r>
      <w:r w:rsidRPr="007C5808" w:rsidR="00622959">
        <w:rPr>
          <w:rFonts w:ascii="Times New Roman" w:hAnsi="Times New Roman" w:eastAsia="MS Mincho" w:cs="Times New Roman"/>
          <w:color w:val="000000"/>
          <w:sz w:val="24"/>
          <w:szCs w:val="24"/>
          <w:shd w:val="clear" w:color="auto" w:fill="FFFFFF"/>
          <w:lang w:eastAsia="nl-NL"/>
        </w:rPr>
        <w:t>, deelcodificatie</w:t>
      </w:r>
      <w:r w:rsidRPr="007C5808" w:rsidR="00622959">
        <w:rPr>
          <w:rStyle w:val="FootnoteReference"/>
          <w:rFonts w:ascii="Times New Roman" w:hAnsi="Times New Roman" w:eastAsia="MS Mincho"/>
          <w:color w:val="000000"/>
          <w:sz w:val="24"/>
          <w:szCs w:val="24"/>
          <w:shd w:val="clear" w:color="auto" w:fill="FFFFFF"/>
          <w:lang w:eastAsia="nl-NL"/>
        </w:rPr>
        <w:footnoteReference w:id="18"/>
      </w:r>
      <w:r w:rsidRPr="007C5808" w:rsidR="00622959">
        <w:rPr>
          <w:rFonts w:ascii="Times New Roman" w:hAnsi="Times New Roman" w:eastAsia="MS Mincho" w:cs="Times New Roman"/>
          <w:color w:val="000000"/>
          <w:sz w:val="24"/>
          <w:szCs w:val="24"/>
          <w:shd w:val="clear" w:color="auto" w:fill="FFFFFF"/>
          <w:lang w:eastAsia="nl-NL"/>
        </w:rPr>
        <w:t xml:space="preserve">, </w:t>
      </w:r>
      <w:r w:rsidRPr="007C5808" w:rsidR="00992200">
        <w:rPr>
          <w:rFonts w:ascii="Times New Roman" w:hAnsi="Times New Roman" w:eastAsia="MS Mincho" w:cs="Times New Roman"/>
          <w:color w:val="000000"/>
          <w:sz w:val="24"/>
          <w:szCs w:val="24"/>
          <w:shd w:val="clear" w:color="auto" w:fill="FFFFFF"/>
          <w:lang w:eastAsia="nl-NL"/>
        </w:rPr>
        <w:t>herijking</w:t>
      </w:r>
      <w:r w:rsidRPr="007C5808" w:rsidR="00617308">
        <w:rPr>
          <w:rStyle w:val="FootnoteReference"/>
          <w:rFonts w:ascii="Times New Roman" w:hAnsi="Times New Roman" w:eastAsia="MS Mincho"/>
          <w:color w:val="000000"/>
          <w:sz w:val="24"/>
          <w:szCs w:val="24"/>
          <w:shd w:val="clear" w:color="auto" w:fill="FFFFFF"/>
          <w:lang w:eastAsia="nl-NL"/>
        </w:rPr>
        <w:footnoteReference w:id="19"/>
      </w:r>
      <w:r w:rsidRPr="007C5808" w:rsidR="00992200">
        <w:rPr>
          <w:rFonts w:ascii="Times New Roman" w:hAnsi="Times New Roman" w:eastAsia="MS Mincho" w:cs="Times New Roman"/>
          <w:color w:val="000000"/>
          <w:sz w:val="24"/>
          <w:szCs w:val="24"/>
          <w:shd w:val="clear" w:color="auto" w:fill="FFFFFF"/>
          <w:lang w:eastAsia="nl-NL"/>
        </w:rPr>
        <w:t>,</w:t>
      </w:r>
      <w:r w:rsidRPr="007C5808" w:rsidR="00AA1836">
        <w:rPr>
          <w:rFonts w:ascii="Times New Roman" w:hAnsi="Times New Roman" w:eastAsia="MS Mincho" w:cs="Times New Roman"/>
          <w:color w:val="000000"/>
          <w:sz w:val="24"/>
          <w:szCs w:val="24"/>
          <w:shd w:val="clear" w:color="auto" w:fill="FFFFFF"/>
          <w:lang w:eastAsia="nl-NL"/>
        </w:rPr>
        <w:t xml:space="preserve"> </w:t>
      </w:r>
      <w:r w:rsidRPr="007C5808" w:rsidR="00667005">
        <w:rPr>
          <w:rFonts w:ascii="Times New Roman" w:hAnsi="Times New Roman" w:eastAsia="MS Mincho" w:cs="Times New Roman"/>
          <w:color w:val="000000"/>
          <w:sz w:val="24"/>
          <w:szCs w:val="24"/>
          <w:shd w:val="clear" w:color="auto" w:fill="FFFFFF"/>
          <w:lang w:eastAsia="nl-NL"/>
        </w:rPr>
        <w:t xml:space="preserve">soms als </w:t>
      </w:r>
      <w:r w:rsidRPr="007C5808" w:rsidR="00622959">
        <w:rPr>
          <w:rFonts w:ascii="Times New Roman" w:hAnsi="Times New Roman" w:eastAsia="MS Mincho" w:cs="Times New Roman"/>
          <w:color w:val="000000"/>
          <w:sz w:val="24"/>
          <w:szCs w:val="24"/>
          <w:shd w:val="clear" w:color="auto" w:fill="FFFFFF"/>
          <w:lang w:eastAsia="nl-NL"/>
        </w:rPr>
        <w:t xml:space="preserve">(geïntegreerde) </w:t>
      </w:r>
      <w:r w:rsidRPr="007C5808" w:rsidR="00667005">
        <w:rPr>
          <w:rFonts w:ascii="Times New Roman" w:hAnsi="Times New Roman" w:eastAsia="MS Mincho" w:cs="Times New Roman"/>
          <w:color w:val="000000"/>
          <w:sz w:val="24"/>
          <w:szCs w:val="24"/>
          <w:shd w:val="clear" w:color="auto" w:fill="FFFFFF"/>
          <w:lang w:eastAsia="nl-NL"/>
        </w:rPr>
        <w:t>herziening</w:t>
      </w:r>
      <w:r w:rsidRPr="007C5808" w:rsidR="00617308">
        <w:rPr>
          <w:rStyle w:val="FootnoteReference"/>
          <w:rFonts w:ascii="Times New Roman" w:hAnsi="Times New Roman" w:eastAsia="MS Mincho"/>
          <w:color w:val="000000"/>
          <w:sz w:val="24"/>
          <w:szCs w:val="24"/>
          <w:shd w:val="clear" w:color="auto" w:fill="FFFFFF"/>
          <w:lang w:eastAsia="nl-NL"/>
        </w:rPr>
        <w:footnoteReference w:id="20"/>
      </w:r>
      <w:r w:rsidRPr="007C5808" w:rsidR="00667005">
        <w:rPr>
          <w:rFonts w:ascii="Times New Roman" w:hAnsi="Times New Roman" w:eastAsia="MS Mincho" w:cs="Times New Roman"/>
          <w:color w:val="000000"/>
          <w:sz w:val="24"/>
          <w:szCs w:val="24"/>
          <w:shd w:val="clear" w:color="auto" w:fill="FFFFFF"/>
          <w:lang w:eastAsia="nl-NL"/>
        </w:rPr>
        <w:t>,</w:t>
      </w:r>
      <w:r w:rsidRPr="007C5808" w:rsidR="00617308">
        <w:rPr>
          <w:rFonts w:ascii="Times New Roman" w:hAnsi="Times New Roman" w:eastAsia="MS Mincho" w:cs="Times New Roman"/>
          <w:color w:val="000000"/>
          <w:sz w:val="24"/>
          <w:szCs w:val="24"/>
          <w:shd w:val="clear" w:color="auto" w:fill="FFFFFF"/>
          <w:lang w:eastAsia="nl-NL"/>
        </w:rPr>
        <w:t xml:space="preserve"> </w:t>
      </w:r>
      <w:r w:rsidRPr="007C5808" w:rsidR="00992200">
        <w:rPr>
          <w:rFonts w:ascii="Times New Roman" w:hAnsi="Times New Roman" w:eastAsia="MS Mincho" w:cs="Times New Roman"/>
          <w:color w:val="000000"/>
          <w:sz w:val="24"/>
          <w:szCs w:val="24"/>
          <w:shd w:val="clear" w:color="auto" w:fill="FFFFFF"/>
          <w:lang w:eastAsia="nl-NL"/>
        </w:rPr>
        <w:t xml:space="preserve">soms als partiële </w:t>
      </w:r>
      <w:r w:rsidR="00D45923">
        <w:rPr>
          <w:rFonts w:ascii="Times New Roman" w:hAnsi="Times New Roman" w:eastAsia="MS Mincho" w:cs="Times New Roman"/>
          <w:color w:val="000000"/>
          <w:sz w:val="24"/>
          <w:szCs w:val="24"/>
          <w:shd w:val="clear" w:color="auto" w:fill="FFFFFF"/>
          <w:lang w:eastAsia="nl-NL"/>
        </w:rPr>
        <w:t>wijzingen</w:t>
      </w:r>
      <w:r w:rsidR="00B35F84">
        <w:rPr>
          <w:rStyle w:val="FootnoteReference"/>
          <w:rFonts w:ascii="Times New Roman" w:hAnsi="Times New Roman" w:eastAsia="MS Mincho"/>
          <w:color w:val="000000"/>
          <w:sz w:val="24"/>
          <w:szCs w:val="24"/>
          <w:shd w:val="clear" w:color="auto" w:fill="FFFFFF"/>
          <w:lang w:eastAsia="nl-NL"/>
        </w:rPr>
        <w:footnoteReference w:id="21"/>
      </w:r>
      <w:r w:rsidR="00D45923">
        <w:rPr>
          <w:rFonts w:ascii="Times New Roman" w:hAnsi="Times New Roman" w:eastAsia="MS Mincho" w:cs="Times New Roman"/>
          <w:color w:val="000000"/>
          <w:sz w:val="24"/>
          <w:szCs w:val="24"/>
          <w:shd w:val="clear" w:color="auto" w:fill="FFFFFF"/>
          <w:lang w:eastAsia="nl-NL"/>
        </w:rPr>
        <w:t xml:space="preserve"> </w:t>
      </w:r>
      <w:r w:rsidR="00D45923">
        <w:rPr>
          <w:rFonts w:ascii="Times New Roman" w:hAnsi="Times New Roman" w:eastAsia="MS Mincho" w:cs="Times New Roman"/>
          <w:color w:val="000000"/>
          <w:sz w:val="24"/>
          <w:szCs w:val="24"/>
          <w:shd w:val="clear" w:color="auto" w:fill="FFFFFF"/>
          <w:lang w:eastAsia="nl-NL"/>
        </w:rPr>
        <w:lastRenderedPageBreak/>
        <w:t xml:space="preserve">en als actualisering. </w:t>
      </w:r>
      <w:r w:rsidRPr="007C5808" w:rsidR="009037CA">
        <w:rPr>
          <w:rFonts w:ascii="Times New Roman" w:hAnsi="Times New Roman" w:eastAsia="MS Mincho" w:cs="Times New Roman"/>
          <w:color w:val="000000"/>
          <w:sz w:val="24"/>
          <w:szCs w:val="24"/>
          <w:shd w:val="clear" w:color="auto" w:fill="FFFFFF"/>
          <w:lang w:eastAsia="nl-NL"/>
        </w:rPr>
        <w:br/>
        <w:t>Waar het programma Modernisering van het Wetboek van Strafvorderin</w:t>
      </w:r>
      <w:r w:rsidR="00581AA0">
        <w:rPr>
          <w:rFonts w:ascii="Times New Roman" w:hAnsi="Times New Roman" w:eastAsia="MS Mincho" w:cs="Times New Roman"/>
          <w:color w:val="000000"/>
          <w:sz w:val="24"/>
          <w:szCs w:val="24"/>
          <w:shd w:val="clear" w:color="auto" w:fill="FFFFFF"/>
          <w:lang w:eastAsia="nl-NL"/>
        </w:rPr>
        <w:t xml:space="preserve">g – </w:t>
      </w:r>
      <w:r w:rsidRPr="007C5808" w:rsidR="009037CA">
        <w:rPr>
          <w:rFonts w:ascii="Times New Roman" w:hAnsi="Times New Roman" w:eastAsia="MS Mincho" w:cs="Times New Roman"/>
          <w:color w:val="000000"/>
          <w:sz w:val="24"/>
          <w:szCs w:val="24"/>
          <w:shd w:val="clear" w:color="auto" w:fill="FFFFFF"/>
          <w:lang w:eastAsia="nl-NL"/>
        </w:rPr>
        <w:t xml:space="preserve">met </w:t>
      </w:r>
      <w:r w:rsidRPr="007C5808" w:rsidR="00462F03">
        <w:rPr>
          <w:rFonts w:ascii="Times New Roman" w:hAnsi="Times New Roman" w:eastAsia="MS Mincho" w:cs="Times New Roman"/>
          <w:color w:val="000000"/>
          <w:sz w:val="24"/>
          <w:szCs w:val="24"/>
          <w:shd w:val="clear" w:color="auto" w:fill="FFFFFF"/>
          <w:lang w:eastAsia="nl-NL"/>
        </w:rPr>
        <w:t xml:space="preserve">een </w:t>
      </w:r>
      <w:r w:rsidR="00581AA0">
        <w:rPr>
          <w:rFonts w:ascii="Times New Roman" w:hAnsi="Times New Roman" w:eastAsia="MS Mincho" w:cs="Times New Roman"/>
          <w:color w:val="000000"/>
          <w:sz w:val="24"/>
          <w:szCs w:val="24"/>
          <w:shd w:val="clear" w:color="auto" w:fill="FFFFFF"/>
          <w:lang w:eastAsia="nl-NL"/>
        </w:rPr>
        <w:t>naar zeggen n</w:t>
      </w:r>
      <w:r w:rsidRPr="007C5808" w:rsidR="009037CA">
        <w:rPr>
          <w:rFonts w:ascii="Times New Roman" w:hAnsi="Times New Roman" w:eastAsia="MS Mincho" w:cs="Times New Roman"/>
          <w:color w:val="000000"/>
          <w:sz w:val="24"/>
          <w:szCs w:val="24"/>
          <w:shd w:val="clear" w:color="auto" w:fill="FFFFFF"/>
          <w:lang w:eastAsia="nl-NL"/>
        </w:rPr>
        <w:t>iet beoogde fundamentele geïntegreerde herziening van het stelsel én noodzakelijke actualisering in het licht van rechtspraak</w:t>
      </w:r>
      <w:r w:rsidRPr="007C5808" w:rsidR="00291AA9">
        <w:rPr>
          <w:rFonts w:ascii="Times New Roman" w:hAnsi="Times New Roman" w:eastAsia="MS Mincho" w:cs="Times New Roman"/>
          <w:color w:val="000000"/>
          <w:sz w:val="24"/>
          <w:szCs w:val="24"/>
          <w:shd w:val="clear" w:color="auto" w:fill="FFFFFF"/>
          <w:lang w:eastAsia="nl-NL"/>
        </w:rPr>
        <w:t xml:space="preserve">, </w:t>
      </w:r>
      <w:r w:rsidRPr="007C5808" w:rsidR="009037CA">
        <w:rPr>
          <w:rFonts w:ascii="Times New Roman" w:hAnsi="Times New Roman" w:eastAsia="MS Mincho" w:cs="Times New Roman"/>
          <w:color w:val="000000"/>
          <w:sz w:val="24"/>
          <w:szCs w:val="24"/>
          <w:shd w:val="clear" w:color="auto" w:fill="FFFFFF"/>
          <w:lang w:eastAsia="nl-NL"/>
        </w:rPr>
        <w:t>technologie</w:t>
      </w:r>
      <w:r w:rsidRPr="007C5808" w:rsidR="00291AA9">
        <w:rPr>
          <w:rFonts w:ascii="Times New Roman" w:hAnsi="Times New Roman" w:eastAsia="MS Mincho" w:cs="Times New Roman"/>
          <w:color w:val="000000"/>
          <w:sz w:val="24"/>
          <w:szCs w:val="24"/>
          <w:shd w:val="clear" w:color="auto" w:fill="FFFFFF"/>
          <w:lang w:eastAsia="nl-NL"/>
        </w:rPr>
        <w:t xml:space="preserve"> en efficiency</w:t>
      </w:r>
      <w:r w:rsidRPr="007C5808" w:rsidR="00AA1836">
        <w:rPr>
          <w:rFonts w:ascii="Times New Roman" w:hAnsi="Times New Roman" w:eastAsia="MS Mincho" w:cs="Times New Roman"/>
          <w:color w:val="000000"/>
          <w:sz w:val="24"/>
          <w:szCs w:val="24"/>
          <w:shd w:val="clear" w:color="auto" w:fill="FFFFFF"/>
          <w:lang w:eastAsia="nl-NL"/>
        </w:rPr>
        <w:t xml:space="preserve"> </w:t>
      </w:r>
      <w:r w:rsidRPr="007C5808" w:rsidR="009037CA">
        <w:rPr>
          <w:rFonts w:ascii="Times New Roman" w:hAnsi="Times New Roman" w:eastAsia="MS Mincho" w:cs="Times New Roman"/>
          <w:color w:val="000000"/>
          <w:sz w:val="24"/>
          <w:szCs w:val="24"/>
          <w:shd w:val="clear" w:color="auto" w:fill="FFFFFF"/>
          <w:lang w:eastAsia="nl-NL"/>
        </w:rPr>
        <w:t xml:space="preserve">– precies kan worden geplaats op de schaal </w:t>
      </w:r>
      <w:r w:rsidRPr="007C5808" w:rsidR="00847968">
        <w:rPr>
          <w:rFonts w:ascii="Times New Roman" w:hAnsi="Times New Roman" w:eastAsia="MS Mincho" w:cs="Times New Roman"/>
          <w:color w:val="000000"/>
          <w:sz w:val="24"/>
          <w:szCs w:val="24"/>
          <w:shd w:val="clear" w:color="auto" w:fill="FFFFFF"/>
          <w:lang w:eastAsia="nl-NL"/>
        </w:rPr>
        <w:t>van ‘</w:t>
      </w:r>
      <w:proofErr w:type="spellStart"/>
      <w:r w:rsidRPr="007C5808" w:rsidR="00847968">
        <w:rPr>
          <w:rFonts w:ascii="Times New Roman" w:hAnsi="Times New Roman" w:eastAsia="MS Mincho" w:cs="Times New Roman"/>
          <w:color w:val="000000"/>
          <w:sz w:val="24"/>
          <w:szCs w:val="24"/>
          <w:shd w:val="clear" w:color="auto" w:fill="FFFFFF"/>
          <w:lang w:eastAsia="nl-NL"/>
        </w:rPr>
        <w:t>ingrijpendheid</w:t>
      </w:r>
      <w:proofErr w:type="spellEnd"/>
      <w:r w:rsidRPr="007C5808" w:rsidR="00847968">
        <w:rPr>
          <w:rFonts w:ascii="Times New Roman" w:hAnsi="Times New Roman" w:eastAsia="MS Mincho" w:cs="Times New Roman"/>
          <w:color w:val="000000"/>
          <w:sz w:val="24"/>
          <w:szCs w:val="24"/>
          <w:shd w:val="clear" w:color="auto" w:fill="FFFFFF"/>
          <w:lang w:eastAsia="nl-NL"/>
        </w:rPr>
        <w:t xml:space="preserve">’ </w:t>
      </w:r>
      <w:r w:rsidRPr="007C5808" w:rsidR="009037CA">
        <w:rPr>
          <w:rFonts w:ascii="Times New Roman" w:hAnsi="Times New Roman" w:eastAsia="MS Mincho" w:cs="Times New Roman"/>
          <w:color w:val="000000"/>
          <w:sz w:val="24"/>
          <w:szCs w:val="24"/>
          <w:shd w:val="clear" w:color="auto" w:fill="FFFFFF"/>
          <w:lang w:eastAsia="nl-NL"/>
        </w:rPr>
        <w:t xml:space="preserve">valt niet zonder meer vast te stellen. </w:t>
      </w:r>
      <w:r w:rsidRPr="007C5808" w:rsidR="00462F03">
        <w:rPr>
          <w:rFonts w:ascii="Times New Roman" w:hAnsi="Times New Roman" w:eastAsia="MS Mincho" w:cs="Times New Roman"/>
          <w:color w:val="000000"/>
          <w:sz w:val="24"/>
          <w:szCs w:val="24"/>
          <w:shd w:val="clear" w:color="auto" w:fill="FFFFFF"/>
          <w:lang w:eastAsia="nl-NL"/>
        </w:rPr>
        <w:t xml:space="preserve">In de begeleidende brief bij de Contourennota wordt </w:t>
      </w:r>
      <w:r w:rsidRPr="007C5808" w:rsidR="000F4855">
        <w:rPr>
          <w:rFonts w:ascii="Times New Roman" w:hAnsi="Times New Roman" w:eastAsia="MS Mincho" w:cs="Times New Roman"/>
          <w:color w:val="000000"/>
          <w:sz w:val="24"/>
          <w:szCs w:val="24"/>
          <w:shd w:val="clear" w:color="auto" w:fill="FFFFFF"/>
          <w:lang w:eastAsia="nl-NL"/>
        </w:rPr>
        <w:t xml:space="preserve">weliswaar </w:t>
      </w:r>
      <w:r w:rsidRPr="007C5808" w:rsidR="00462F03">
        <w:rPr>
          <w:rFonts w:ascii="Times New Roman" w:hAnsi="Times New Roman" w:eastAsia="MS Mincho" w:cs="Times New Roman"/>
          <w:color w:val="000000"/>
          <w:sz w:val="24"/>
          <w:szCs w:val="24"/>
          <w:shd w:val="clear" w:color="auto" w:fill="FFFFFF"/>
          <w:lang w:eastAsia="nl-NL"/>
        </w:rPr>
        <w:t>aangegeven dat belangrijke uitga</w:t>
      </w:r>
      <w:r w:rsidRPr="007C5808" w:rsidR="00847968">
        <w:rPr>
          <w:rFonts w:ascii="Times New Roman" w:hAnsi="Times New Roman" w:eastAsia="MS Mincho" w:cs="Times New Roman"/>
          <w:color w:val="000000"/>
          <w:sz w:val="24"/>
          <w:szCs w:val="24"/>
          <w:shd w:val="clear" w:color="auto" w:fill="FFFFFF"/>
          <w:lang w:eastAsia="nl-NL"/>
        </w:rPr>
        <w:t>n</w:t>
      </w:r>
      <w:r w:rsidRPr="007C5808" w:rsidR="00462F03">
        <w:rPr>
          <w:rFonts w:ascii="Times New Roman" w:hAnsi="Times New Roman" w:eastAsia="MS Mincho" w:cs="Times New Roman"/>
          <w:color w:val="000000"/>
          <w:sz w:val="24"/>
          <w:szCs w:val="24"/>
          <w:shd w:val="clear" w:color="auto" w:fill="FFFFFF"/>
          <w:lang w:eastAsia="nl-NL"/>
        </w:rPr>
        <w:t>gspunten zoals het hoofddoel van het strafproces, het opportuniteitsbeginsel, de gezagsverhouding tussen politie en OM en rechtspraak door beroepsrechters behouden blijven</w:t>
      </w:r>
      <w:r w:rsidRPr="007C5808" w:rsidR="000F4855">
        <w:rPr>
          <w:rFonts w:ascii="Times New Roman" w:hAnsi="Times New Roman" w:eastAsia="MS Mincho" w:cs="Times New Roman"/>
          <w:color w:val="000000"/>
          <w:sz w:val="24"/>
          <w:szCs w:val="24"/>
          <w:shd w:val="clear" w:color="auto" w:fill="FFFFFF"/>
          <w:lang w:eastAsia="nl-NL"/>
        </w:rPr>
        <w:t>, maar blijft bijvoorbeeld in het midden hoe omvangrijk de verschuivingen in de procesposities van procespartijen e</w:t>
      </w:r>
      <w:r w:rsidRPr="007C5808" w:rsidR="00291AA9">
        <w:rPr>
          <w:rFonts w:ascii="Times New Roman" w:hAnsi="Times New Roman" w:eastAsia="MS Mincho" w:cs="Times New Roman"/>
          <w:color w:val="000000"/>
          <w:sz w:val="24"/>
          <w:szCs w:val="24"/>
          <w:shd w:val="clear" w:color="auto" w:fill="FFFFFF"/>
          <w:lang w:eastAsia="nl-NL"/>
        </w:rPr>
        <w:t>n</w:t>
      </w:r>
      <w:r w:rsidRPr="007C5808" w:rsidR="00AA1836">
        <w:rPr>
          <w:rFonts w:ascii="Times New Roman" w:hAnsi="Times New Roman" w:eastAsia="MS Mincho" w:cs="Times New Roman"/>
          <w:color w:val="000000"/>
          <w:sz w:val="24"/>
          <w:szCs w:val="24"/>
          <w:shd w:val="clear" w:color="auto" w:fill="FFFFFF"/>
          <w:lang w:eastAsia="nl-NL"/>
        </w:rPr>
        <w:t xml:space="preserve"> </w:t>
      </w:r>
      <w:r w:rsidRPr="007C5808" w:rsidR="000F4855">
        <w:rPr>
          <w:rFonts w:ascii="Times New Roman" w:hAnsi="Times New Roman" w:eastAsia="MS Mincho" w:cs="Times New Roman"/>
          <w:color w:val="000000"/>
          <w:sz w:val="24"/>
          <w:szCs w:val="24"/>
          <w:shd w:val="clear" w:color="auto" w:fill="FFFFFF"/>
          <w:lang w:eastAsia="nl-NL"/>
        </w:rPr>
        <w:t>–deelnemers zullen worden bij de ui</w:t>
      </w:r>
      <w:r w:rsidR="00581AA0">
        <w:rPr>
          <w:rFonts w:ascii="Times New Roman" w:hAnsi="Times New Roman" w:eastAsia="MS Mincho" w:cs="Times New Roman"/>
          <w:color w:val="000000"/>
          <w:sz w:val="24"/>
          <w:szCs w:val="24"/>
          <w:shd w:val="clear" w:color="auto" w:fill="FFFFFF"/>
          <w:lang w:eastAsia="nl-NL"/>
        </w:rPr>
        <w:t>twerking van de deelonderwerpen</w:t>
      </w:r>
      <w:r w:rsidR="0078019A">
        <w:rPr>
          <w:rFonts w:ascii="Times New Roman" w:hAnsi="Times New Roman" w:eastAsia="MS Mincho" w:cs="Times New Roman"/>
          <w:color w:val="000000"/>
          <w:sz w:val="24"/>
          <w:szCs w:val="24"/>
          <w:shd w:val="clear" w:color="auto" w:fill="FFFFFF"/>
          <w:lang w:eastAsia="nl-NL"/>
        </w:rPr>
        <w:t>.</w:t>
      </w:r>
      <w:r w:rsidRPr="007C5808" w:rsidR="00AA1836">
        <w:rPr>
          <w:rFonts w:ascii="Times New Roman" w:hAnsi="Times New Roman" w:eastAsia="MS Mincho" w:cs="Times New Roman"/>
          <w:color w:val="000000"/>
          <w:sz w:val="24"/>
          <w:szCs w:val="24"/>
          <w:shd w:val="clear" w:color="auto" w:fill="FFFFFF"/>
          <w:lang w:eastAsia="nl-NL"/>
        </w:rPr>
        <w:t xml:space="preserve"> </w:t>
      </w:r>
    </w:p>
    <w:p w:rsidR="009925BE" w:rsidP="00024D7F" w:rsidRDefault="00BD303D">
      <w:pPr>
        <w:spacing w:before="240" w:after="0" w:line="240" w:lineRule="auto"/>
        <w:rPr>
          <w:rFonts w:ascii="Times New Roman" w:hAnsi="Times New Roman" w:eastAsia="MS Mincho" w:cs="Times New Roman"/>
          <w:b/>
          <w:color w:val="000000"/>
          <w:sz w:val="24"/>
          <w:szCs w:val="24"/>
          <w:shd w:val="clear" w:color="auto" w:fill="FFFFFF"/>
          <w:lang w:eastAsia="nl-NL"/>
        </w:rPr>
      </w:pPr>
      <w:r>
        <w:rPr>
          <w:rFonts w:ascii="Times New Roman" w:hAnsi="Times New Roman" w:eastAsia="MS Mincho" w:cs="Times New Roman"/>
          <w:b/>
          <w:color w:val="000000"/>
          <w:sz w:val="24"/>
          <w:szCs w:val="24"/>
          <w:shd w:val="clear" w:color="auto" w:fill="FFFFFF"/>
          <w:lang w:eastAsia="nl-NL"/>
        </w:rPr>
        <w:t xml:space="preserve">4. </w:t>
      </w:r>
      <w:r w:rsidR="009E1E18">
        <w:rPr>
          <w:rFonts w:ascii="Times New Roman" w:hAnsi="Times New Roman" w:eastAsia="MS Mincho" w:cs="Times New Roman"/>
          <w:b/>
          <w:color w:val="000000"/>
          <w:sz w:val="24"/>
          <w:szCs w:val="24"/>
          <w:shd w:val="clear" w:color="auto" w:fill="FFFFFF"/>
          <w:lang w:eastAsia="nl-NL"/>
        </w:rPr>
        <w:t>I</w:t>
      </w:r>
      <w:r w:rsidRPr="007C5808" w:rsidR="008F1803">
        <w:rPr>
          <w:rFonts w:ascii="Times New Roman" w:hAnsi="Times New Roman" w:eastAsia="MS Mincho" w:cs="Times New Roman"/>
          <w:b/>
          <w:color w:val="000000"/>
          <w:sz w:val="24"/>
          <w:szCs w:val="24"/>
          <w:shd w:val="clear" w:color="auto" w:fill="FFFFFF"/>
          <w:lang w:eastAsia="nl-NL"/>
        </w:rPr>
        <w:t xml:space="preserve">nterne </w:t>
      </w:r>
      <w:r w:rsidR="009E1E18">
        <w:rPr>
          <w:rFonts w:ascii="Times New Roman" w:hAnsi="Times New Roman" w:eastAsia="MS Mincho" w:cs="Times New Roman"/>
          <w:b/>
          <w:color w:val="000000"/>
          <w:sz w:val="24"/>
          <w:szCs w:val="24"/>
          <w:shd w:val="clear" w:color="auto" w:fill="FFFFFF"/>
          <w:lang w:eastAsia="nl-NL"/>
        </w:rPr>
        <w:t xml:space="preserve">en externe </w:t>
      </w:r>
      <w:r w:rsidRPr="007C5808" w:rsidR="008F1803">
        <w:rPr>
          <w:rFonts w:ascii="Times New Roman" w:hAnsi="Times New Roman" w:eastAsia="MS Mincho" w:cs="Times New Roman"/>
          <w:b/>
          <w:color w:val="000000"/>
          <w:sz w:val="24"/>
          <w:szCs w:val="24"/>
          <w:shd w:val="clear" w:color="auto" w:fill="FFFFFF"/>
          <w:lang w:eastAsia="nl-NL"/>
        </w:rPr>
        <w:t xml:space="preserve">systematiek </w:t>
      </w:r>
      <w:r w:rsidR="00637E64">
        <w:rPr>
          <w:rFonts w:ascii="Times New Roman" w:hAnsi="Times New Roman" w:eastAsia="MS Mincho" w:cs="Times New Roman"/>
          <w:b/>
          <w:color w:val="000000"/>
          <w:sz w:val="24"/>
          <w:szCs w:val="24"/>
          <w:shd w:val="clear" w:color="auto" w:fill="FFFFFF"/>
          <w:lang w:eastAsia="nl-NL"/>
        </w:rPr>
        <w:t xml:space="preserve">van </w:t>
      </w:r>
      <w:r w:rsidR="00581AA0">
        <w:rPr>
          <w:rFonts w:ascii="Times New Roman" w:hAnsi="Times New Roman" w:eastAsia="MS Mincho" w:cs="Times New Roman"/>
          <w:b/>
          <w:color w:val="000000"/>
          <w:sz w:val="24"/>
          <w:szCs w:val="24"/>
          <w:shd w:val="clear" w:color="auto" w:fill="FFFFFF"/>
          <w:lang w:eastAsia="nl-NL"/>
        </w:rPr>
        <w:t>strafrechte</w:t>
      </w:r>
      <w:r w:rsidRPr="007C5808" w:rsidR="00142DE9">
        <w:rPr>
          <w:rFonts w:ascii="Times New Roman" w:hAnsi="Times New Roman" w:eastAsia="MS Mincho" w:cs="Times New Roman"/>
          <w:b/>
          <w:color w:val="000000"/>
          <w:sz w:val="24"/>
          <w:szCs w:val="24"/>
          <w:shd w:val="clear" w:color="auto" w:fill="FFFFFF"/>
          <w:lang w:eastAsia="nl-NL"/>
        </w:rPr>
        <w:t>lijke wetgeving</w:t>
      </w:r>
    </w:p>
    <w:p w:rsidR="00024D7F" w:rsidP="00024D7F" w:rsidRDefault="00024D7F">
      <w:pPr>
        <w:spacing w:before="240" w:after="0" w:line="240" w:lineRule="auto"/>
        <w:rPr>
          <w:rFonts w:ascii="Times New Roman" w:hAnsi="Times New Roman" w:eastAsia="MS Mincho" w:cs="Times New Roman"/>
          <w:color w:val="000000"/>
          <w:sz w:val="24"/>
          <w:szCs w:val="24"/>
          <w:shd w:val="clear" w:color="auto" w:fill="FFFFFF"/>
          <w:lang w:eastAsia="nl-NL"/>
        </w:rPr>
      </w:pPr>
      <w:r w:rsidRPr="00637E64">
        <w:rPr>
          <w:rFonts w:ascii="Times New Roman" w:hAnsi="Times New Roman" w:eastAsia="MS Mincho" w:cs="Times New Roman"/>
          <w:color w:val="000000"/>
          <w:sz w:val="24"/>
          <w:szCs w:val="24"/>
          <w:shd w:val="clear" w:color="auto" w:fill="FFFFFF"/>
          <w:lang w:eastAsia="nl-NL"/>
        </w:rPr>
        <w:t xml:space="preserve">De hoeveelheid aan voorstellen tot verandering </w:t>
      </w:r>
      <w:r>
        <w:rPr>
          <w:rFonts w:ascii="Times New Roman" w:hAnsi="Times New Roman" w:eastAsia="MS Mincho" w:cs="Times New Roman"/>
          <w:color w:val="000000"/>
          <w:sz w:val="24"/>
          <w:szCs w:val="24"/>
          <w:shd w:val="clear" w:color="auto" w:fill="FFFFFF"/>
          <w:lang w:eastAsia="nl-NL"/>
        </w:rPr>
        <w:t xml:space="preserve">in het moderniseringsprogramma </w:t>
      </w:r>
      <w:r w:rsidRPr="00637E64">
        <w:rPr>
          <w:rFonts w:ascii="Times New Roman" w:hAnsi="Times New Roman" w:eastAsia="MS Mincho" w:cs="Times New Roman"/>
          <w:color w:val="000000"/>
          <w:sz w:val="24"/>
          <w:szCs w:val="24"/>
          <w:shd w:val="clear" w:color="auto" w:fill="FFFFFF"/>
          <w:lang w:eastAsia="nl-NL"/>
        </w:rPr>
        <w:t xml:space="preserve">noopt </w:t>
      </w:r>
      <w:r w:rsidR="00581AA0">
        <w:rPr>
          <w:rFonts w:ascii="Times New Roman" w:hAnsi="Times New Roman" w:eastAsia="MS Mincho" w:cs="Times New Roman"/>
          <w:color w:val="000000"/>
          <w:sz w:val="24"/>
          <w:szCs w:val="24"/>
          <w:shd w:val="clear" w:color="auto" w:fill="FFFFFF"/>
          <w:lang w:eastAsia="nl-NL"/>
        </w:rPr>
        <w:t xml:space="preserve">hier </w:t>
      </w:r>
      <w:r w:rsidRPr="00637E64">
        <w:rPr>
          <w:rFonts w:ascii="Times New Roman" w:hAnsi="Times New Roman" w:eastAsia="MS Mincho" w:cs="Times New Roman"/>
          <w:color w:val="000000"/>
          <w:sz w:val="24"/>
          <w:szCs w:val="24"/>
          <w:shd w:val="clear" w:color="auto" w:fill="FFFFFF"/>
          <w:lang w:eastAsia="nl-NL"/>
        </w:rPr>
        <w:t xml:space="preserve">tot het maken van keuzes. </w:t>
      </w:r>
      <w:r w:rsidR="00581AA0">
        <w:rPr>
          <w:rFonts w:ascii="Times New Roman" w:hAnsi="Times New Roman" w:eastAsia="MS Mincho" w:cs="Times New Roman"/>
          <w:color w:val="000000"/>
          <w:sz w:val="24"/>
          <w:szCs w:val="24"/>
          <w:shd w:val="clear" w:color="auto" w:fill="FFFFFF"/>
          <w:lang w:eastAsia="nl-NL"/>
        </w:rPr>
        <w:t>V</w:t>
      </w:r>
      <w:r w:rsidR="004035F0">
        <w:rPr>
          <w:rFonts w:ascii="Times New Roman" w:hAnsi="Times New Roman" w:eastAsia="MS Mincho" w:cs="Times New Roman"/>
          <w:color w:val="000000"/>
          <w:sz w:val="24"/>
          <w:szCs w:val="24"/>
          <w:shd w:val="clear" w:color="auto" w:fill="FFFFFF"/>
          <w:lang w:eastAsia="nl-NL"/>
        </w:rPr>
        <w:t xml:space="preserve">anwege de doelstelling van deze bijdrage </w:t>
      </w:r>
      <w:r w:rsidR="00581AA0">
        <w:rPr>
          <w:rFonts w:ascii="Times New Roman" w:hAnsi="Times New Roman" w:eastAsia="MS Mincho" w:cs="Times New Roman"/>
          <w:color w:val="000000"/>
          <w:sz w:val="24"/>
          <w:szCs w:val="24"/>
          <w:shd w:val="clear" w:color="auto" w:fill="FFFFFF"/>
          <w:lang w:eastAsia="nl-NL"/>
        </w:rPr>
        <w:t xml:space="preserve">wordt </w:t>
      </w:r>
      <w:r w:rsidR="004035F0">
        <w:rPr>
          <w:rFonts w:ascii="Times New Roman" w:hAnsi="Times New Roman" w:eastAsia="MS Mincho" w:cs="Times New Roman"/>
          <w:color w:val="000000"/>
          <w:sz w:val="24"/>
          <w:szCs w:val="24"/>
          <w:shd w:val="clear" w:color="auto" w:fill="FFFFFF"/>
          <w:lang w:eastAsia="nl-NL"/>
        </w:rPr>
        <w:t xml:space="preserve">niet gekozen voor een thematische behandeling , maar – zoals gezegd – voor een </w:t>
      </w:r>
      <w:r w:rsidRPr="00637E64">
        <w:rPr>
          <w:rFonts w:ascii="Times New Roman" w:hAnsi="Times New Roman" w:eastAsia="MS Mincho" w:cs="Times New Roman"/>
          <w:color w:val="000000"/>
          <w:sz w:val="24"/>
          <w:szCs w:val="24"/>
          <w:shd w:val="clear" w:color="auto" w:fill="FFFFFF"/>
          <w:lang w:eastAsia="nl-NL"/>
        </w:rPr>
        <w:t xml:space="preserve">benadering </w:t>
      </w:r>
      <w:r w:rsidR="004035F0">
        <w:rPr>
          <w:rFonts w:ascii="Times New Roman" w:hAnsi="Times New Roman" w:eastAsia="MS Mincho" w:cs="Times New Roman"/>
          <w:color w:val="000000"/>
          <w:sz w:val="24"/>
          <w:szCs w:val="24"/>
          <w:shd w:val="clear" w:color="auto" w:fill="FFFFFF"/>
          <w:lang w:eastAsia="nl-NL"/>
        </w:rPr>
        <w:t>die is gebaseerd op de systematiek binnen strafrechtelijke wetgeving en de verhouding van het Wetboek van Strafvordering tot andere wet- en regelgeving. Een en ander wordt in het h</w:t>
      </w:r>
      <w:r w:rsidRPr="00637E64" w:rsidR="004035F0">
        <w:rPr>
          <w:rFonts w:ascii="Times New Roman" w:hAnsi="Times New Roman" w:eastAsia="MS Mincho" w:cs="Times New Roman"/>
          <w:color w:val="000000"/>
          <w:sz w:val="24"/>
          <w:szCs w:val="24"/>
          <w:shd w:val="clear" w:color="auto" w:fill="FFFFFF"/>
          <w:lang w:eastAsia="nl-NL"/>
        </w:rPr>
        <w:t xml:space="preserve">iernavolgende </w:t>
      </w:r>
      <w:r w:rsidR="004035F0">
        <w:rPr>
          <w:rFonts w:ascii="Times New Roman" w:hAnsi="Times New Roman" w:eastAsia="MS Mincho" w:cs="Times New Roman"/>
          <w:color w:val="000000"/>
          <w:sz w:val="24"/>
          <w:szCs w:val="24"/>
          <w:shd w:val="clear" w:color="auto" w:fill="FFFFFF"/>
          <w:lang w:eastAsia="nl-NL"/>
        </w:rPr>
        <w:t xml:space="preserve">aangeduid </w:t>
      </w:r>
      <w:r w:rsidR="00581AA0">
        <w:rPr>
          <w:rFonts w:ascii="Times New Roman" w:hAnsi="Times New Roman" w:eastAsia="MS Mincho" w:cs="Times New Roman"/>
          <w:color w:val="000000"/>
          <w:sz w:val="24"/>
          <w:szCs w:val="24"/>
          <w:shd w:val="clear" w:color="auto" w:fill="FFFFFF"/>
          <w:lang w:eastAsia="nl-NL"/>
        </w:rPr>
        <w:t xml:space="preserve">als </w:t>
      </w:r>
      <w:r w:rsidRPr="00637E64" w:rsidR="004035F0">
        <w:rPr>
          <w:rFonts w:ascii="Times New Roman" w:hAnsi="Times New Roman" w:eastAsia="MS Mincho" w:cs="Times New Roman"/>
          <w:color w:val="000000"/>
          <w:sz w:val="24"/>
          <w:szCs w:val="24"/>
          <w:shd w:val="clear" w:color="auto" w:fill="FFFFFF"/>
          <w:lang w:eastAsia="nl-NL"/>
        </w:rPr>
        <w:t xml:space="preserve">interne </w:t>
      </w:r>
      <w:r w:rsidR="004035F0">
        <w:rPr>
          <w:rFonts w:ascii="Times New Roman" w:hAnsi="Times New Roman" w:eastAsia="MS Mincho" w:cs="Times New Roman"/>
          <w:color w:val="000000"/>
          <w:sz w:val="24"/>
          <w:szCs w:val="24"/>
          <w:shd w:val="clear" w:color="auto" w:fill="FFFFFF"/>
          <w:lang w:eastAsia="nl-NL"/>
        </w:rPr>
        <w:t xml:space="preserve">en </w:t>
      </w:r>
      <w:r w:rsidRPr="00637E64" w:rsidR="004035F0">
        <w:rPr>
          <w:rFonts w:ascii="Times New Roman" w:hAnsi="Times New Roman" w:eastAsia="MS Mincho" w:cs="Times New Roman"/>
          <w:color w:val="000000"/>
          <w:sz w:val="24"/>
          <w:szCs w:val="24"/>
          <w:shd w:val="clear" w:color="auto" w:fill="FFFFFF"/>
          <w:lang w:eastAsia="nl-NL"/>
        </w:rPr>
        <w:t xml:space="preserve">externe systematiek van strafrechtelijke wetgeving. </w:t>
      </w:r>
      <w:r>
        <w:rPr>
          <w:rFonts w:ascii="Times New Roman" w:hAnsi="Times New Roman" w:eastAsia="MS Mincho" w:cs="Times New Roman"/>
          <w:color w:val="000000"/>
          <w:sz w:val="24"/>
          <w:szCs w:val="24"/>
          <w:shd w:val="clear" w:color="auto" w:fill="FFFFFF"/>
          <w:lang w:eastAsia="nl-NL"/>
        </w:rPr>
        <w:t xml:space="preserve">Deze werkwijze biedt de mogelijkheid om meer concreet </w:t>
      </w:r>
      <w:r w:rsidR="004035F0">
        <w:rPr>
          <w:rFonts w:ascii="Times New Roman" w:hAnsi="Times New Roman" w:eastAsia="MS Mincho" w:cs="Times New Roman"/>
          <w:color w:val="000000"/>
          <w:sz w:val="24"/>
          <w:szCs w:val="24"/>
          <w:shd w:val="clear" w:color="auto" w:fill="FFFFFF"/>
          <w:lang w:eastAsia="nl-NL"/>
        </w:rPr>
        <w:t xml:space="preserve">te verwijzen </w:t>
      </w:r>
      <w:r>
        <w:rPr>
          <w:rFonts w:ascii="Times New Roman" w:hAnsi="Times New Roman" w:eastAsia="MS Mincho" w:cs="Times New Roman"/>
          <w:color w:val="000000"/>
          <w:sz w:val="24"/>
          <w:szCs w:val="24"/>
          <w:shd w:val="clear" w:color="auto" w:fill="FFFFFF"/>
          <w:lang w:eastAsia="nl-NL"/>
        </w:rPr>
        <w:t>naar de verschenen documenten en d</w:t>
      </w:r>
      <w:r w:rsidR="00581AA0">
        <w:rPr>
          <w:rFonts w:ascii="Times New Roman" w:hAnsi="Times New Roman" w:eastAsia="MS Mincho" w:cs="Times New Roman"/>
          <w:color w:val="000000"/>
          <w:sz w:val="24"/>
          <w:szCs w:val="24"/>
          <w:shd w:val="clear" w:color="auto" w:fill="FFFFFF"/>
          <w:lang w:eastAsia="nl-NL"/>
        </w:rPr>
        <w:t xml:space="preserve">iverse vormen </w:t>
      </w:r>
      <w:r>
        <w:rPr>
          <w:rFonts w:ascii="Times New Roman" w:hAnsi="Times New Roman" w:eastAsia="MS Mincho" w:cs="Times New Roman"/>
          <w:color w:val="000000"/>
          <w:sz w:val="24"/>
          <w:szCs w:val="24"/>
          <w:shd w:val="clear" w:color="auto" w:fill="FFFFFF"/>
          <w:lang w:eastAsia="nl-NL"/>
        </w:rPr>
        <w:t>samenhang te illustreren tusse</w:t>
      </w:r>
      <w:r w:rsidR="00581AA0">
        <w:rPr>
          <w:rFonts w:ascii="Times New Roman" w:hAnsi="Times New Roman" w:eastAsia="MS Mincho" w:cs="Times New Roman"/>
          <w:color w:val="000000"/>
          <w:sz w:val="24"/>
          <w:szCs w:val="24"/>
          <w:shd w:val="clear" w:color="auto" w:fill="FFFFFF"/>
          <w:lang w:eastAsia="nl-NL"/>
        </w:rPr>
        <w:t xml:space="preserve">n de zichtbaar gemaakte kansen. De selectie van thema’s is verre van compleet, maar biedt naar verwachting voldoende inzicht in de bedoelde, niet vrijblijvende, kansen. </w:t>
      </w:r>
    </w:p>
    <w:p w:rsidRPr="00F77B37" w:rsidR="00F77B37" w:rsidP="00F77B37" w:rsidRDefault="00F77B37">
      <w:pPr>
        <w:pStyle w:val="ListParagraph"/>
        <w:numPr>
          <w:ilvl w:val="0"/>
          <w:numId w:val="6"/>
        </w:numPr>
        <w:spacing w:before="240" w:after="0" w:line="240" w:lineRule="auto"/>
        <w:rPr>
          <w:rFonts w:ascii="Times New Roman" w:hAnsi="Times New Roman" w:eastAsia="MS Mincho" w:cs="Times New Roman"/>
          <w:color w:val="000000"/>
          <w:sz w:val="24"/>
          <w:szCs w:val="24"/>
          <w:shd w:val="clear" w:color="auto" w:fill="FFFFFF"/>
          <w:lang w:eastAsia="nl-NL"/>
        </w:rPr>
      </w:pPr>
      <w:r>
        <w:rPr>
          <w:rFonts w:ascii="Times New Roman" w:hAnsi="Times New Roman" w:eastAsia="MS Mincho" w:cs="Times New Roman"/>
          <w:color w:val="000000"/>
          <w:sz w:val="24"/>
          <w:szCs w:val="24"/>
          <w:shd w:val="clear" w:color="auto" w:fill="FFFFFF"/>
          <w:lang w:eastAsia="nl-NL"/>
        </w:rPr>
        <w:t>Interne systematiek binnen de strafrechtelijke wetgeving</w:t>
      </w:r>
    </w:p>
    <w:p w:rsidRPr="00F77B37" w:rsidR="007B2E42" w:rsidP="00F77B37" w:rsidRDefault="00BA4D94">
      <w:pPr>
        <w:spacing w:before="240" w:after="0" w:line="240" w:lineRule="auto"/>
        <w:rPr>
          <w:rFonts w:ascii="Times New Roman" w:hAnsi="Times New Roman" w:eastAsia="MS Mincho" w:cs="Times New Roman"/>
          <w:color w:val="000000"/>
          <w:sz w:val="24"/>
          <w:szCs w:val="24"/>
          <w:shd w:val="clear" w:color="auto" w:fill="FFFFFF"/>
          <w:lang w:eastAsia="nl-NL"/>
        </w:rPr>
      </w:pPr>
      <w:r w:rsidRPr="00F77B37">
        <w:rPr>
          <w:rFonts w:ascii="Times New Roman" w:hAnsi="Times New Roman" w:eastAsia="MS Mincho" w:cs="Times New Roman"/>
          <w:i/>
          <w:color w:val="000000"/>
          <w:sz w:val="24"/>
          <w:szCs w:val="24"/>
          <w:shd w:val="clear" w:color="auto" w:fill="FFFFFF"/>
          <w:lang w:eastAsia="nl-NL"/>
        </w:rPr>
        <w:t>De ver</w:t>
      </w:r>
      <w:r w:rsidRPr="00F77B37" w:rsidR="003F5276">
        <w:rPr>
          <w:rFonts w:ascii="Times New Roman" w:hAnsi="Times New Roman" w:eastAsia="MS Mincho" w:cs="Times New Roman"/>
          <w:i/>
          <w:color w:val="000000"/>
          <w:sz w:val="24"/>
          <w:szCs w:val="24"/>
          <w:shd w:val="clear" w:color="auto" w:fill="FFFFFF"/>
          <w:lang w:eastAsia="nl-NL"/>
        </w:rPr>
        <w:t xml:space="preserve">houding </w:t>
      </w:r>
      <w:r w:rsidRPr="00F77B37">
        <w:rPr>
          <w:rFonts w:ascii="Times New Roman" w:hAnsi="Times New Roman" w:eastAsia="MS Mincho" w:cs="Times New Roman"/>
          <w:i/>
          <w:color w:val="000000"/>
          <w:sz w:val="24"/>
          <w:szCs w:val="24"/>
          <w:shd w:val="clear" w:color="auto" w:fill="FFFFFF"/>
          <w:lang w:eastAsia="nl-NL"/>
        </w:rPr>
        <w:t>tussen strafrecht</w:t>
      </w:r>
      <w:r w:rsidRPr="00F77B37" w:rsidR="00506DBF">
        <w:rPr>
          <w:rFonts w:ascii="Times New Roman" w:hAnsi="Times New Roman" w:eastAsia="MS Mincho" w:cs="Times New Roman"/>
          <w:i/>
          <w:color w:val="000000"/>
          <w:sz w:val="24"/>
          <w:szCs w:val="24"/>
          <w:shd w:val="clear" w:color="auto" w:fill="FFFFFF"/>
          <w:lang w:eastAsia="nl-NL"/>
        </w:rPr>
        <w:t xml:space="preserve"> en</w:t>
      </w:r>
      <w:r w:rsidRPr="00F77B37">
        <w:rPr>
          <w:rFonts w:ascii="Times New Roman" w:hAnsi="Times New Roman" w:eastAsia="MS Mincho" w:cs="Times New Roman"/>
          <w:i/>
          <w:color w:val="000000"/>
          <w:sz w:val="24"/>
          <w:szCs w:val="24"/>
          <w:shd w:val="clear" w:color="auto" w:fill="FFFFFF"/>
          <w:lang w:eastAsia="nl-NL"/>
        </w:rPr>
        <w:t xml:space="preserve"> strafvordering</w:t>
      </w:r>
      <w:r w:rsidR="0088340E">
        <w:rPr>
          <w:rStyle w:val="FootnoteReference"/>
          <w:rFonts w:ascii="Times New Roman" w:hAnsi="Times New Roman" w:eastAsia="MS Mincho"/>
          <w:i/>
          <w:color w:val="000000"/>
          <w:sz w:val="24"/>
          <w:szCs w:val="24"/>
          <w:shd w:val="clear" w:color="auto" w:fill="FFFFFF"/>
          <w:lang w:eastAsia="nl-NL"/>
        </w:rPr>
        <w:footnoteReference w:id="22"/>
      </w:r>
      <w:r w:rsidRPr="00F77B37">
        <w:rPr>
          <w:rFonts w:ascii="Times New Roman" w:hAnsi="Times New Roman" w:eastAsia="MS Mincho" w:cs="Times New Roman"/>
          <w:i/>
          <w:color w:val="000000"/>
          <w:sz w:val="24"/>
          <w:szCs w:val="24"/>
          <w:shd w:val="clear" w:color="auto" w:fill="FFFFFF"/>
          <w:lang w:eastAsia="nl-NL"/>
        </w:rPr>
        <w:t xml:space="preserve"> </w:t>
      </w:r>
      <w:r w:rsidRPr="00F77B37" w:rsidR="00903E63">
        <w:rPr>
          <w:rFonts w:ascii="Times New Roman" w:hAnsi="Times New Roman" w:eastAsia="MS Mincho" w:cs="Times New Roman"/>
          <w:i/>
          <w:color w:val="000000"/>
          <w:sz w:val="24"/>
          <w:szCs w:val="24"/>
          <w:shd w:val="clear" w:color="auto" w:fill="FFFFFF"/>
          <w:lang w:eastAsia="nl-NL"/>
        </w:rPr>
        <w:br/>
      </w:r>
      <w:r w:rsidRPr="00F77B37">
        <w:rPr>
          <w:rFonts w:ascii="Times New Roman" w:hAnsi="Times New Roman" w:eastAsia="MS Mincho" w:cs="Times New Roman"/>
          <w:sz w:val="24"/>
          <w:szCs w:val="24"/>
          <w:shd w:val="clear" w:color="auto" w:fill="FFFFFF"/>
          <w:lang w:eastAsia="nl-NL"/>
        </w:rPr>
        <w:t xml:space="preserve">Van oudsher werd </w:t>
      </w:r>
      <w:r w:rsidRPr="00F77B37" w:rsidR="002F33E8">
        <w:rPr>
          <w:rFonts w:ascii="Times New Roman" w:hAnsi="Times New Roman" w:eastAsia="MS Mincho" w:cs="Times New Roman"/>
          <w:sz w:val="24"/>
          <w:szCs w:val="24"/>
          <w:shd w:val="clear" w:color="auto" w:fill="FFFFFF"/>
          <w:lang w:eastAsia="nl-NL"/>
        </w:rPr>
        <w:t xml:space="preserve">aan het </w:t>
      </w:r>
      <w:r w:rsidRPr="00F77B37">
        <w:rPr>
          <w:rFonts w:ascii="Times New Roman" w:hAnsi="Times New Roman" w:eastAsia="MS Mincho" w:cs="Times New Roman"/>
          <w:sz w:val="24"/>
          <w:szCs w:val="24"/>
          <w:shd w:val="clear" w:color="auto" w:fill="FFFFFF"/>
          <w:lang w:eastAsia="nl-NL"/>
        </w:rPr>
        <w:t xml:space="preserve">strafprocesrecht </w:t>
      </w:r>
      <w:r w:rsidRPr="00F77B37" w:rsidR="002F33E8">
        <w:rPr>
          <w:rFonts w:ascii="Times New Roman" w:hAnsi="Times New Roman" w:eastAsia="MS Mincho" w:cs="Times New Roman"/>
          <w:sz w:val="24"/>
          <w:szCs w:val="24"/>
          <w:shd w:val="clear" w:color="auto" w:fill="FFFFFF"/>
          <w:lang w:eastAsia="nl-NL"/>
        </w:rPr>
        <w:t xml:space="preserve">een dienende functie toegekend te behoeve van de verwerkelijking van de materiële normen uit het strafrecht. Het </w:t>
      </w:r>
      <w:r w:rsidR="001B27A1">
        <w:rPr>
          <w:rFonts w:ascii="Times New Roman" w:hAnsi="Times New Roman" w:eastAsia="MS Mincho" w:cs="Times New Roman"/>
          <w:sz w:val="24"/>
          <w:szCs w:val="24"/>
          <w:shd w:val="clear" w:color="auto" w:fill="FFFFFF"/>
          <w:lang w:eastAsia="nl-NL"/>
        </w:rPr>
        <w:t>materiële</w:t>
      </w:r>
      <w:r w:rsidRPr="00F77B37" w:rsidR="002F33E8">
        <w:rPr>
          <w:rFonts w:ascii="Times New Roman" w:hAnsi="Times New Roman" w:eastAsia="MS Mincho" w:cs="Times New Roman"/>
          <w:sz w:val="24"/>
          <w:szCs w:val="24"/>
          <w:shd w:val="clear" w:color="auto" w:fill="FFFFFF"/>
          <w:lang w:eastAsia="nl-NL"/>
        </w:rPr>
        <w:t xml:space="preserve"> strafrecht had </w:t>
      </w:r>
      <w:r w:rsidR="0078019A">
        <w:rPr>
          <w:rFonts w:ascii="Times New Roman" w:hAnsi="Times New Roman" w:eastAsia="MS Mincho" w:cs="Times New Roman"/>
          <w:sz w:val="24"/>
          <w:szCs w:val="24"/>
          <w:shd w:val="clear" w:color="auto" w:fill="FFFFFF"/>
          <w:lang w:eastAsia="nl-NL"/>
        </w:rPr>
        <w:t xml:space="preserve">zo bezien </w:t>
      </w:r>
      <w:r w:rsidRPr="00F77B37" w:rsidR="002F33E8">
        <w:rPr>
          <w:rFonts w:ascii="Times New Roman" w:hAnsi="Times New Roman" w:eastAsia="MS Mincho" w:cs="Times New Roman"/>
          <w:sz w:val="24"/>
          <w:szCs w:val="24"/>
          <w:shd w:val="clear" w:color="auto" w:fill="FFFFFF"/>
          <w:lang w:eastAsia="nl-NL"/>
        </w:rPr>
        <w:t xml:space="preserve">het primaat. </w:t>
      </w:r>
      <w:r w:rsidRPr="00F77B37" w:rsidR="00A85448">
        <w:rPr>
          <w:rFonts w:ascii="Times New Roman" w:hAnsi="Times New Roman" w:eastAsia="MS Mincho" w:cs="Times New Roman"/>
          <w:sz w:val="24"/>
          <w:szCs w:val="24"/>
          <w:shd w:val="clear" w:color="auto" w:fill="FFFFFF"/>
          <w:lang w:eastAsia="nl-NL"/>
        </w:rPr>
        <w:t xml:space="preserve">Dit uitgangspunt </w:t>
      </w:r>
      <w:r w:rsidRPr="00F77B37" w:rsidR="00C92DA2">
        <w:rPr>
          <w:rFonts w:ascii="Times New Roman" w:hAnsi="Times New Roman" w:eastAsia="MS Mincho" w:cs="Times New Roman"/>
          <w:sz w:val="24"/>
          <w:szCs w:val="24"/>
          <w:shd w:val="clear" w:color="auto" w:fill="FFFFFF"/>
          <w:lang w:eastAsia="nl-NL"/>
        </w:rPr>
        <w:t xml:space="preserve">moet en is </w:t>
      </w:r>
      <w:r w:rsidRPr="00F77B37" w:rsidR="00A85448">
        <w:rPr>
          <w:rFonts w:ascii="Times New Roman" w:hAnsi="Times New Roman" w:eastAsia="MS Mincho" w:cs="Times New Roman"/>
          <w:sz w:val="24"/>
          <w:szCs w:val="24"/>
          <w:shd w:val="clear" w:color="auto" w:fill="FFFFFF"/>
          <w:lang w:eastAsia="nl-NL"/>
        </w:rPr>
        <w:t xml:space="preserve">inmiddels behoorlijk genuanceerd. </w:t>
      </w:r>
      <w:r w:rsidRPr="007B2E42" w:rsidR="00A85448">
        <w:rPr>
          <w:rStyle w:val="FootnoteReference"/>
          <w:rFonts w:ascii="Times New Roman" w:hAnsi="Times New Roman" w:eastAsia="MS Mincho"/>
          <w:sz w:val="24"/>
          <w:szCs w:val="24"/>
          <w:shd w:val="clear" w:color="auto" w:fill="FFFFFF"/>
          <w:lang w:eastAsia="nl-NL"/>
        </w:rPr>
        <w:footnoteReference w:id="23"/>
      </w:r>
      <w:r w:rsidRPr="00F77B37" w:rsidR="00A85448">
        <w:rPr>
          <w:rFonts w:ascii="Times New Roman" w:hAnsi="Times New Roman" w:eastAsia="MS Mincho" w:cs="Times New Roman"/>
          <w:sz w:val="24"/>
          <w:szCs w:val="24"/>
          <w:shd w:val="clear" w:color="auto" w:fill="FFFFFF"/>
          <w:lang w:eastAsia="nl-NL"/>
        </w:rPr>
        <w:t xml:space="preserve"> </w:t>
      </w:r>
      <w:r w:rsidRPr="00F77B37" w:rsidR="00205D4C">
        <w:rPr>
          <w:rFonts w:ascii="Times New Roman" w:hAnsi="Times New Roman" w:eastAsia="MS Mincho" w:cs="Times New Roman"/>
          <w:sz w:val="24"/>
          <w:szCs w:val="24"/>
          <w:shd w:val="clear" w:color="auto" w:fill="FFFFFF"/>
          <w:lang w:eastAsia="nl-NL"/>
        </w:rPr>
        <w:t xml:space="preserve">Er is </w:t>
      </w:r>
      <w:r w:rsidRPr="00F77B37" w:rsidR="00FC5C04">
        <w:rPr>
          <w:rFonts w:ascii="Times New Roman" w:hAnsi="Times New Roman" w:eastAsia="MS Mincho" w:cs="Times New Roman"/>
          <w:sz w:val="24"/>
          <w:szCs w:val="24"/>
          <w:shd w:val="clear" w:color="auto" w:fill="FFFFFF"/>
          <w:lang w:eastAsia="nl-NL"/>
        </w:rPr>
        <w:t xml:space="preserve">op vele manieren </w:t>
      </w:r>
      <w:r w:rsidRPr="00F77B37" w:rsidR="00205D4C">
        <w:rPr>
          <w:rFonts w:ascii="Times New Roman" w:hAnsi="Times New Roman" w:eastAsia="MS Mincho" w:cs="Times New Roman"/>
          <w:sz w:val="24"/>
          <w:szCs w:val="24"/>
          <w:shd w:val="clear" w:color="auto" w:fill="FFFFFF"/>
          <w:lang w:eastAsia="nl-NL"/>
        </w:rPr>
        <w:t xml:space="preserve">sprake van een </w:t>
      </w:r>
      <w:r w:rsidRPr="00F77B37" w:rsidR="00901A94">
        <w:rPr>
          <w:rFonts w:ascii="Times New Roman" w:hAnsi="Times New Roman" w:eastAsia="MS Mincho" w:cs="Times New Roman"/>
          <w:sz w:val="24"/>
          <w:szCs w:val="24"/>
          <w:shd w:val="clear" w:color="auto" w:fill="FFFFFF"/>
          <w:lang w:eastAsia="nl-NL"/>
        </w:rPr>
        <w:t>vervlechting tussen de beide stelsels.</w:t>
      </w:r>
      <w:r w:rsidR="001B27A1">
        <w:rPr>
          <w:rFonts w:ascii="Times New Roman" w:hAnsi="Times New Roman" w:eastAsia="MS Mincho" w:cs="Times New Roman"/>
          <w:sz w:val="24"/>
          <w:szCs w:val="24"/>
          <w:shd w:val="clear" w:color="auto" w:fill="FFFFFF"/>
          <w:lang w:eastAsia="nl-NL"/>
        </w:rPr>
        <w:t xml:space="preserve"> </w:t>
      </w:r>
      <w:r w:rsidRPr="00F77B37" w:rsidR="007B2E42">
        <w:rPr>
          <w:rFonts w:ascii="Times New Roman" w:hAnsi="Times New Roman" w:eastAsia="MS Mincho" w:cs="Times New Roman"/>
          <w:color w:val="000000"/>
          <w:sz w:val="24"/>
          <w:szCs w:val="24"/>
          <w:shd w:val="clear" w:color="auto" w:fill="FFFFFF"/>
          <w:lang w:eastAsia="nl-NL"/>
        </w:rPr>
        <w:t xml:space="preserve">Desalniettemin is en blijft de positie van de materieelrechtelijke wetgever (die het primaat heeft voor normstelling ) in </w:t>
      </w:r>
      <w:r w:rsidRPr="00F77B37" w:rsidR="007B2E42">
        <w:rPr>
          <w:rFonts w:ascii="Times New Roman" w:hAnsi="Times New Roman" w:eastAsia="MS Mincho" w:cs="Times New Roman"/>
          <w:color w:val="000000"/>
          <w:sz w:val="24"/>
          <w:szCs w:val="24"/>
          <w:shd w:val="clear" w:color="auto" w:fill="FFFFFF"/>
          <w:lang w:eastAsia="nl-NL"/>
        </w:rPr>
        <w:lastRenderedPageBreak/>
        <w:t>samenhang met de volgtijdelijkheid in de strafrechtelijke procedure (in beginsel verdenking van normovertreding uit het materiële strafrecht als voorwaarde voor strafvorderlijk optreden) ‘onmisbaar en voorwaardenscheppend’. Neemt men deze positie serieus, dan ligt het in de rede die betekenis van het materi</w:t>
      </w:r>
      <w:r w:rsidR="001B27A1">
        <w:rPr>
          <w:rFonts w:ascii="Times New Roman" w:hAnsi="Times New Roman" w:eastAsia="MS Mincho" w:cs="Times New Roman"/>
          <w:color w:val="000000"/>
          <w:sz w:val="24"/>
          <w:szCs w:val="24"/>
          <w:shd w:val="clear" w:color="auto" w:fill="FFFFFF"/>
          <w:lang w:eastAsia="nl-NL"/>
        </w:rPr>
        <w:t>ë</w:t>
      </w:r>
      <w:r w:rsidRPr="00F77B37" w:rsidR="007B2E42">
        <w:rPr>
          <w:rFonts w:ascii="Times New Roman" w:hAnsi="Times New Roman" w:eastAsia="MS Mincho" w:cs="Times New Roman"/>
          <w:color w:val="000000"/>
          <w:sz w:val="24"/>
          <w:szCs w:val="24"/>
          <w:shd w:val="clear" w:color="auto" w:fill="FFFFFF"/>
          <w:lang w:eastAsia="nl-NL"/>
        </w:rPr>
        <w:t xml:space="preserve">le strafrecht in het moderniseringsproces systematisch mee te nemen. Daar lijken de voorlopige voorstellen voor de modernisering wel wat </w:t>
      </w:r>
      <w:r w:rsidRPr="00F77B37" w:rsidR="00903E63">
        <w:rPr>
          <w:rFonts w:ascii="Times New Roman" w:hAnsi="Times New Roman" w:eastAsia="MS Mincho" w:cs="Times New Roman"/>
          <w:color w:val="000000"/>
          <w:sz w:val="24"/>
          <w:szCs w:val="24"/>
          <w:shd w:val="clear" w:color="auto" w:fill="FFFFFF"/>
          <w:lang w:eastAsia="nl-NL"/>
        </w:rPr>
        <w:t xml:space="preserve">kansen te laten liggen. </w:t>
      </w:r>
    </w:p>
    <w:p w:rsidR="0084333E" w:rsidP="00637E64" w:rsidRDefault="00C92DA2">
      <w:pPr>
        <w:pStyle w:val="Default"/>
        <w:rPr>
          <w:rFonts w:ascii="Times New Roman" w:hAnsi="Times New Roman" w:eastAsia="MS Mincho" w:cs="Times New Roman"/>
          <w:shd w:val="clear" w:color="auto" w:fill="FFFFFF"/>
          <w:lang w:eastAsia="nl-NL"/>
        </w:rPr>
      </w:pPr>
      <w:r>
        <w:rPr>
          <w:rFonts w:ascii="Times New Roman" w:hAnsi="Times New Roman" w:eastAsia="MS Mincho" w:cs="Times New Roman"/>
          <w:shd w:val="clear" w:color="auto" w:fill="FFFFFF"/>
          <w:lang w:eastAsia="nl-NL"/>
        </w:rPr>
        <w:t xml:space="preserve">Ter illustratie van de verwevenheid tussen het strafprocesrecht en het materiële strafrecht kan </w:t>
      </w:r>
      <w:r w:rsidR="007B2E42">
        <w:rPr>
          <w:rFonts w:ascii="Times New Roman" w:hAnsi="Times New Roman" w:eastAsia="MS Mincho" w:cs="Times New Roman"/>
          <w:shd w:val="clear" w:color="auto" w:fill="FFFFFF"/>
          <w:lang w:eastAsia="nl-NL"/>
        </w:rPr>
        <w:t xml:space="preserve">hier worden </w:t>
      </w:r>
      <w:r w:rsidRPr="007C5808" w:rsidR="00377B12">
        <w:rPr>
          <w:rFonts w:ascii="Times New Roman" w:hAnsi="Times New Roman" w:eastAsia="MS Mincho" w:cs="Times New Roman"/>
          <w:shd w:val="clear" w:color="auto" w:fill="FFFFFF"/>
          <w:lang w:eastAsia="nl-NL"/>
        </w:rPr>
        <w:t xml:space="preserve">gewezen op de wijze waarop het OM met </w:t>
      </w:r>
      <w:r w:rsidR="007B2E42">
        <w:rPr>
          <w:rFonts w:ascii="Times New Roman" w:hAnsi="Times New Roman" w:eastAsia="MS Mincho" w:cs="Times New Roman"/>
          <w:shd w:val="clear" w:color="auto" w:fill="FFFFFF"/>
          <w:lang w:eastAsia="nl-NL"/>
        </w:rPr>
        <w:t>zijn beleid inzake o</w:t>
      </w:r>
      <w:r w:rsidRPr="007C5808" w:rsidR="00377B12">
        <w:rPr>
          <w:rFonts w:ascii="Times New Roman" w:hAnsi="Times New Roman" w:eastAsia="MS Mincho" w:cs="Times New Roman"/>
          <w:shd w:val="clear" w:color="auto" w:fill="FFFFFF"/>
          <w:lang w:eastAsia="nl-NL"/>
        </w:rPr>
        <w:t xml:space="preserve">psporing en vervolging </w:t>
      </w:r>
      <w:r w:rsidR="007B2E42">
        <w:rPr>
          <w:rFonts w:ascii="Times New Roman" w:hAnsi="Times New Roman" w:eastAsia="MS Mincho" w:cs="Times New Roman"/>
          <w:shd w:val="clear" w:color="auto" w:fill="FFFFFF"/>
          <w:lang w:eastAsia="nl-NL"/>
        </w:rPr>
        <w:t>het materi</w:t>
      </w:r>
      <w:r>
        <w:rPr>
          <w:rFonts w:ascii="Times New Roman" w:hAnsi="Times New Roman" w:eastAsia="MS Mincho" w:cs="Times New Roman"/>
          <w:shd w:val="clear" w:color="auto" w:fill="FFFFFF"/>
          <w:lang w:eastAsia="nl-NL"/>
        </w:rPr>
        <w:t>ë</w:t>
      </w:r>
      <w:r w:rsidR="007B2E42">
        <w:rPr>
          <w:rFonts w:ascii="Times New Roman" w:hAnsi="Times New Roman" w:eastAsia="MS Mincho" w:cs="Times New Roman"/>
          <w:shd w:val="clear" w:color="auto" w:fill="FFFFFF"/>
          <w:lang w:eastAsia="nl-NL"/>
        </w:rPr>
        <w:t>le recht mede vorm geeft. A</w:t>
      </w:r>
      <w:r w:rsidR="0094276B">
        <w:rPr>
          <w:rFonts w:ascii="Times New Roman" w:hAnsi="Times New Roman" w:eastAsia="MS Mincho" w:cs="Times New Roman"/>
          <w:shd w:val="clear" w:color="auto" w:fill="FFFFFF"/>
          <w:lang w:eastAsia="nl-NL"/>
        </w:rPr>
        <w:t xml:space="preserve">lleen al vanuit het perspectief van het opportuniteitsbeginsel wijdt Geelhoed een hoofdstuk van zijn dissertatie aan de vele modaliteiten van verwevenheid </w:t>
      </w:r>
      <w:r>
        <w:rPr>
          <w:rFonts w:ascii="Times New Roman" w:hAnsi="Times New Roman" w:eastAsia="MS Mincho" w:cs="Times New Roman"/>
          <w:shd w:val="clear" w:color="auto" w:fill="FFFFFF"/>
          <w:lang w:eastAsia="nl-NL"/>
        </w:rPr>
        <w:t xml:space="preserve">van het opportuniteitsbeginsel </w:t>
      </w:r>
      <w:r w:rsidR="0094276B">
        <w:rPr>
          <w:rFonts w:ascii="Times New Roman" w:hAnsi="Times New Roman" w:eastAsia="MS Mincho" w:cs="Times New Roman"/>
          <w:shd w:val="clear" w:color="auto" w:fill="FFFFFF"/>
          <w:lang w:eastAsia="nl-NL"/>
        </w:rPr>
        <w:t>met de materieelrechtelijke context .</w:t>
      </w:r>
      <w:r w:rsidR="0094276B">
        <w:rPr>
          <w:rStyle w:val="FootnoteReference"/>
          <w:rFonts w:ascii="Times New Roman" w:hAnsi="Times New Roman" w:eastAsia="MS Mincho"/>
          <w:shd w:val="clear" w:color="auto" w:fill="FFFFFF"/>
          <w:lang w:eastAsia="nl-NL"/>
        </w:rPr>
        <w:footnoteReference w:id="24"/>
      </w:r>
      <w:r w:rsidR="0094276B">
        <w:rPr>
          <w:rFonts w:ascii="Times New Roman" w:hAnsi="Times New Roman" w:eastAsia="MS Mincho" w:cs="Times New Roman"/>
          <w:shd w:val="clear" w:color="auto" w:fill="FFFFFF"/>
          <w:lang w:eastAsia="nl-NL"/>
        </w:rPr>
        <w:t xml:space="preserve"> Hij schrijft in zijn conclusie daarvan onder meer: “ (…) Deze stand van zaken heeft het Nederlandse materiële strafrecht tamelijk afhankelijk gemaakt van een zorgvuldige toepassing van het opportuniteitsbeginsel, en daarnaast van de straftoemetingspraktijk.”</w:t>
      </w:r>
      <w:r w:rsidR="0094276B">
        <w:rPr>
          <w:rStyle w:val="FootnoteReference"/>
          <w:rFonts w:ascii="Times New Roman" w:hAnsi="Times New Roman" w:eastAsia="MS Mincho"/>
          <w:shd w:val="clear" w:color="auto" w:fill="FFFFFF"/>
          <w:lang w:eastAsia="nl-NL"/>
        </w:rPr>
        <w:footnoteReference w:id="25"/>
      </w:r>
      <w:r w:rsidR="00D54621">
        <w:rPr>
          <w:rFonts w:ascii="Times New Roman" w:hAnsi="Times New Roman" w:eastAsia="MS Mincho" w:cs="Times New Roman"/>
          <w:shd w:val="clear" w:color="auto" w:fill="FFFFFF"/>
          <w:lang w:eastAsia="nl-NL"/>
        </w:rPr>
        <w:t xml:space="preserve"> Deze vervlechting van </w:t>
      </w:r>
      <w:r w:rsidR="00EF1F48">
        <w:rPr>
          <w:rFonts w:ascii="Times New Roman" w:hAnsi="Times New Roman" w:eastAsia="MS Mincho" w:cs="Times New Roman"/>
          <w:shd w:val="clear" w:color="auto" w:fill="FFFFFF"/>
          <w:lang w:eastAsia="nl-NL"/>
        </w:rPr>
        <w:t xml:space="preserve">materieel en formeel recht </w:t>
      </w:r>
      <w:r w:rsidR="00D54621">
        <w:rPr>
          <w:rFonts w:ascii="Times New Roman" w:hAnsi="Times New Roman" w:eastAsia="MS Mincho" w:cs="Times New Roman"/>
          <w:shd w:val="clear" w:color="auto" w:fill="FFFFFF"/>
          <w:lang w:eastAsia="nl-NL"/>
        </w:rPr>
        <w:t xml:space="preserve">via het opportuniteitsbeginsel </w:t>
      </w:r>
      <w:r w:rsidR="00EF1F48">
        <w:rPr>
          <w:rFonts w:ascii="Times New Roman" w:hAnsi="Times New Roman" w:eastAsia="MS Mincho" w:cs="Times New Roman"/>
          <w:shd w:val="clear" w:color="auto" w:fill="FFFFFF"/>
          <w:lang w:eastAsia="nl-NL"/>
        </w:rPr>
        <w:t xml:space="preserve">kan een mitigerende werking </w:t>
      </w:r>
      <w:r w:rsidR="00D54621">
        <w:rPr>
          <w:rFonts w:ascii="Times New Roman" w:hAnsi="Times New Roman" w:eastAsia="MS Mincho" w:cs="Times New Roman"/>
          <w:shd w:val="clear" w:color="auto" w:fill="FFFFFF"/>
          <w:lang w:eastAsia="nl-NL"/>
        </w:rPr>
        <w:t>hebben op de reikwijdte van het strafrecht</w:t>
      </w:r>
      <w:r w:rsidR="00D54621">
        <w:rPr>
          <w:rStyle w:val="FootnoteReference"/>
          <w:rFonts w:ascii="Times New Roman" w:hAnsi="Times New Roman" w:eastAsia="MS Mincho"/>
          <w:shd w:val="clear" w:color="auto" w:fill="FFFFFF"/>
          <w:lang w:eastAsia="nl-NL"/>
        </w:rPr>
        <w:footnoteReference w:id="26"/>
      </w:r>
      <w:r w:rsidR="00D54621">
        <w:rPr>
          <w:rFonts w:ascii="Times New Roman" w:hAnsi="Times New Roman" w:eastAsia="MS Mincho" w:cs="Times New Roman"/>
          <w:shd w:val="clear" w:color="auto" w:fill="FFFFFF"/>
          <w:lang w:eastAsia="nl-NL"/>
        </w:rPr>
        <w:t xml:space="preserve">, maar biedt evengoed ruimte voor aanscherping van het </w:t>
      </w:r>
      <w:r w:rsidR="007B2E42">
        <w:rPr>
          <w:rFonts w:ascii="Times New Roman" w:hAnsi="Times New Roman" w:eastAsia="MS Mincho" w:cs="Times New Roman"/>
          <w:shd w:val="clear" w:color="auto" w:fill="FFFFFF"/>
          <w:lang w:eastAsia="nl-NL"/>
        </w:rPr>
        <w:t xml:space="preserve">bereik van </w:t>
      </w:r>
      <w:r w:rsidR="00D54621">
        <w:rPr>
          <w:rFonts w:ascii="Times New Roman" w:hAnsi="Times New Roman" w:eastAsia="MS Mincho" w:cs="Times New Roman"/>
          <w:shd w:val="clear" w:color="auto" w:fill="FFFFFF"/>
          <w:lang w:eastAsia="nl-NL"/>
        </w:rPr>
        <w:t>straf</w:t>
      </w:r>
      <w:r w:rsidR="007B2E42">
        <w:rPr>
          <w:rFonts w:ascii="Times New Roman" w:hAnsi="Times New Roman" w:eastAsia="MS Mincho" w:cs="Times New Roman"/>
          <w:shd w:val="clear" w:color="auto" w:fill="FFFFFF"/>
          <w:lang w:eastAsia="nl-NL"/>
        </w:rPr>
        <w:t>rechtelijke aansprakelijkheid.</w:t>
      </w:r>
      <w:r w:rsidR="00D54621">
        <w:rPr>
          <w:rFonts w:ascii="Times New Roman" w:hAnsi="Times New Roman" w:eastAsia="MS Mincho" w:cs="Times New Roman"/>
          <w:shd w:val="clear" w:color="auto" w:fill="FFFFFF"/>
          <w:lang w:eastAsia="nl-NL"/>
        </w:rPr>
        <w:t xml:space="preserve"> </w:t>
      </w:r>
      <w:r w:rsidR="007B2E42">
        <w:rPr>
          <w:rFonts w:ascii="Times New Roman" w:hAnsi="Times New Roman" w:eastAsia="MS Mincho" w:cs="Times New Roman"/>
          <w:shd w:val="clear" w:color="auto" w:fill="FFFFFF"/>
          <w:lang w:eastAsia="nl-NL"/>
        </w:rPr>
        <w:t>Zo lijken in het huidig tijdsgewricht h</w:t>
      </w:r>
      <w:r w:rsidRPr="007C5808" w:rsidR="00901A94">
        <w:rPr>
          <w:rFonts w:ascii="Times New Roman" w:hAnsi="Times New Roman" w:eastAsia="MS Mincho" w:cs="Times New Roman"/>
          <w:shd w:val="clear" w:color="auto" w:fill="FFFFFF"/>
          <w:lang w:eastAsia="nl-NL"/>
        </w:rPr>
        <w:t>andhavingsdoelen (</w:t>
      </w:r>
      <w:r w:rsidRPr="007C5808" w:rsidR="00FC5C04">
        <w:rPr>
          <w:rFonts w:ascii="Times New Roman" w:hAnsi="Times New Roman" w:eastAsia="MS Mincho" w:cs="Times New Roman"/>
          <w:shd w:val="clear" w:color="auto" w:fill="FFFFFF"/>
          <w:lang w:eastAsia="nl-NL"/>
        </w:rPr>
        <w:t xml:space="preserve">bv. </w:t>
      </w:r>
      <w:r w:rsidRPr="007C5808" w:rsidR="00901A94">
        <w:rPr>
          <w:rFonts w:ascii="Times New Roman" w:hAnsi="Times New Roman" w:eastAsia="MS Mincho" w:cs="Times New Roman"/>
          <w:shd w:val="clear" w:color="auto" w:fill="FFFFFF"/>
          <w:lang w:eastAsia="nl-NL"/>
        </w:rPr>
        <w:t xml:space="preserve">wegens potentieel gevaar, risico’s, bescherming van de openbare orde) </w:t>
      </w:r>
      <w:r w:rsidR="007B2E42">
        <w:rPr>
          <w:rFonts w:ascii="Times New Roman" w:hAnsi="Times New Roman" w:eastAsia="MS Mincho" w:cs="Times New Roman"/>
          <w:shd w:val="clear" w:color="auto" w:fill="FFFFFF"/>
          <w:lang w:eastAsia="nl-NL"/>
        </w:rPr>
        <w:t xml:space="preserve">soms </w:t>
      </w:r>
      <w:r w:rsidRPr="007C5808" w:rsidR="00901A94">
        <w:rPr>
          <w:rFonts w:ascii="Times New Roman" w:hAnsi="Times New Roman" w:eastAsia="MS Mincho" w:cs="Times New Roman"/>
          <w:shd w:val="clear" w:color="auto" w:fill="FFFFFF"/>
          <w:lang w:eastAsia="nl-NL"/>
        </w:rPr>
        <w:t xml:space="preserve">voorop te staan, waarbij </w:t>
      </w:r>
      <w:r w:rsidR="007B2E42">
        <w:rPr>
          <w:rFonts w:ascii="Times New Roman" w:hAnsi="Times New Roman" w:eastAsia="MS Mincho" w:cs="Times New Roman"/>
          <w:shd w:val="clear" w:color="auto" w:fill="FFFFFF"/>
          <w:lang w:eastAsia="nl-NL"/>
        </w:rPr>
        <w:t xml:space="preserve">achteraf </w:t>
      </w:r>
      <w:r w:rsidRPr="007C5808" w:rsidR="00901A94">
        <w:rPr>
          <w:rFonts w:ascii="Times New Roman" w:hAnsi="Times New Roman" w:eastAsia="MS Mincho" w:cs="Times New Roman"/>
          <w:shd w:val="clear" w:color="auto" w:fill="FFFFFF"/>
          <w:lang w:eastAsia="nl-NL"/>
        </w:rPr>
        <w:t xml:space="preserve">altijd wel een delictsomschrijving kan worden gevonden. </w:t>
      </w:r>
      <w:r w:rsidR="0084333E">
        <w:rPr>
          <w:rFonts w:ascii="Times New Roman" w:hAnsi="Times New Roman" w:eastAsia="MS Mincho" w:cs="Times New Roman"/>
          <w:shd w:val="clear" w:color="auto" w:fill="FFFFFF"/>
          <w:lang w:eastAsia="nl-NL"/>
        </w:rPr>
        <w:t>Daarnaast z</w:t>
      </w:r>
      <w:r w:rsidR="00C35FB7">
        <w:rPr>
          <w:rFonts w:ascii="Times New Roman" w:hAnsi="Times New Roman" w:eastAsia="MS Mincho" w:cs="Times New Roman"/>
          <w:shd w:val="clear" w:color="auto" w:fill="FFFFFF"/>
          <w:lang w:eastAsia="nl-NL"/>
        </w:rPr>
        <w:t xml:space="preserve">ien we ook een aanscherping van het vervolgingsbeleid als gevolg van de </w:t>
      </w:r>
      <w:r w:rsidR="0084333E">
        <w:rPr>
          <w:rFonts w:ascii="Times New Roman" w:hAnsi="Times New Roman" w:eastAsia="MS Mincho" w:cs="Times New Roman"/>
          <w:shd w:val="clear" w:color="auto" w:fill="FFFFFF"/>
          <w:lang w:eastAsia="nl-NL"/>
        </w:rPr>
        <w:t>doelstelling om de belangen van het slachtoffer bij vervolging zwaarder te laten wegen dan voorheen.</w:t>
      </w:r>
      <w:r w:rsidR="00C35FB7">
        <w:rPr>
          <w:rFonts w:ascii="Times New Roman" w:hAnsi="Times New Roman" w:eastAsia="MS Mincho" w:cs="Times New Roman"/>
          <w:shd w:val="clear" w:color="auto" w:fill="FFFFFF"/>
          <w:lang w:eastAsia="nl-NL"/>
        </w:rPr>
        <w:t xml:space="preserve"> </w:t>
      </w:r>
      <w:r w:rsidR="0084333E">
        <w:rPr>
          <w:rFonts w:ascii="Times New Roman" w:hAnsi="Times New Roman" w:eastAsia="MS Mincho" w:cs="Times New Roman"/>
          <w:shd w:val="clear" w:color="auto" w:fill="FFFFFF"/>
          <w:lang w:eastAsia="nl-NL"/>
        </w:rPr>
        <w:t xml:space="preserve">De ontwikkelingen in de richting van een Europees OM zullen </w:t>
      </w:r>
      <w:r w:rsidR="001B27A1">
        <w:rPr>
          <w:rFonts w:ascii="Times New Roman" w:hAnsi="Times New Roman" w:eastAsia="MS Mincho" w:cs="Times New Roman"/>
          <w:shd w:val="clear" w:color="auto" w:fill="FFFFFF"/>
          <w:lang w:eastAsia="nl-NL"/>
        </w:rPr>
        <w:t xml:space="preserve">in de toekomst </w:t>
      </w:r>
      <w:r w:rsidR="0084333E">
        <w:rPr>
          <w:rFonts w:ascii="Times New Roman" w:hAnsi="Times New Roman" w:eastAsia="MS Mincho" w:cs="Times New Roman"/>
          <w:shd w:val="clear" w:color="auto" w:fill="FFFFFF"/>
          <w:lang w:eastAsia="nl-NL"/>
        </w:rPr>
        <w:t xml:space="preserve">wellicht aanleiding geven tot nog meer aanscherping. Bij dergelijke ontwikkelingen is en blijft alertheid vereist. </w:t>
      </w:r>
      <w:r w:rsidR="00DF6305">
        <w:rPr>
          <w:rFonts w:ascii="Times New Roman" w:hAnsi="Times New Roman" w:eastAsia="MS Mincho" w:cs="Times New Roman"/>
          <w:shd w:val="clear" w:color="auto" w:fill="FFFFFF"/>
          <w:lang w:eastAsia="nl-NL"/>
        </w:rPr>
        <w:t xml:space="preserve">Aanscherping van het </w:t>
      </w:r>
      <w:r w:rsidR="0084333E">
        <w:rPr>
          <w:rFonts w:ascii="Times New Roman" w:hAnsi="Times New Roman" w:eastAsia="MS Mincho" w:cs="Times New Roman"/>
          <w:shd w:val="clear" w:color="auto" w:fill="FFFFFF"/>
          <w:lang w:eastAsia="nl-NL"/>
        </w:rPr>
        <w:t>vervolgingsbeleid k</w:t>
      </w:r>
      <w:r w:rsidR="00DF6305">
        <w:rPr>
          <w:rFonts w:ascii="Times New Roman" w:hAnsi="Times New Roman" w:eastAsia="MS Mincho" w:cs="Times New Roman"/>
          <w:shd w:val="clear" w:color="auto" w:fill="FFFFFF"/>
          <w:lang w:eastAsia="nl-NL"/>
        </w:rPr>
        <w:t>an</w:t>
      </w:r>
      <w:r w:rsidR="0084333E">
        <w:rPr>
          <w:rFonts w:ascii="Times New Roman" w:hAnsi="Times New Roman" w:eastAsia="MS Mincho" w:cs="Times New Roman"/>
          <w:shd w:val="clear" w:color="auto" w:fill="FFFFFF"/>
          <w:lang w:eastAsia="nl-NL"/>
        </w:rPr>
        <w:t xml:space="preserve"> immers</w:t>
      </w:r>
      <w:r w:rsidR="00DF6305">
        <w:rPr>
          <w:rFonts w:ascii="Times New Roman" w:hAnsi="Times New Roman" w:eastAsia="MS Mincho" w:cs="Times New Roman"/>
          <w:shd w:val="clear" w:color="auto" w:fill="FFFFFF"/>
          <w:lang w:eastAsia="nl-NL"/>
        </w:rPr>
        <w:t>, ingeval niet gelijktijdig aandacht wordt besteed aan een scherpe begrenzing van het materieel strafrecht</w:t>
      </w:r>
      <w:r w:rsidR="00DF6305">
        <w:rPr>
          <w:rStyle w:val="FootnoteReference"/>
          <w:rFonts w:ascii="Times New Roman" w:hAnsi="Times New Roman" w:eastAsia="MS Mincho"/>
          <w:shd w:val="clear" w:color="auto" w:fill="FFFFFF"/>
          <w:lang w:eastAsia="nl-NL"/>
        </w:rPr>
        <w:footnoteReference w:id="27"/>
      </w:r>
      <w:r w:rsidR="00DF6305">
        <w:rPr>
          <w:rFonts w:ascii="Times New Roman" w:hAnsi="Times New Roman" w:eastAsia="MS Mincho" w:cs="Times New Roman"/>
          <w:shd w:val="clear" w:color="auto" w:fill="FFFFFF"/>
          <w:lang w:eastAsia="nl-NL"/>
        </w:rPr>
        <w:t xml:space="preserve">, meebrengen dat de wisselwerking tussen het materiële en formele strafrecht omslaat in een </w:t>
      </w:r>
      <w:r w:rsidR="008B31BB">
        <w:rPr>
          <w:rFonts w:ascii="Times New Roman" w:hAnsi="Times New Roman" w:eastAsia="MS Mincho" w:cs="Times New Roman"/>
          <w:shd w:val="clear" w:color="auto" w:fill="FFFFFF"/>
          <w:lang w:eastAsia="nl-NL"/>
        </w:rPr>
        <w:t>oprekking van str</w:t>
      </w:r>
      <w:r w:rsidR="0084333E">
        <w:rPr>
          <w:rFonts w:ascii="Times New Roman" w:hAnsi="Times New Roman" w:eastAsia="MS Mincho" w:cs="Times New Roman"/>
          <w:shd w:val="clear" w:color="auto" w:fill="FFFFFF"/>
          <w:lang w:eastAsia="nl-NL"/>
        </w:rPr>
        <w:t xml:space="preserve">afrechtelijk aansprakelijkheid. </w:t>
      </w:r>
    </w:p>
    <w:p w:rsidR="00CE41B0" w:rsidP="007B043B" w:rsidRDefault="00455EDB">
      <w:pPr>
        <w:pStyle w:val="Default"/>
        <w:rPr>
          <w:rFonts w:ascii="Times New Roman" w:hAnsi="Times New Roman" w:eastAsia="MS Mincho" w:cs="Times New Roman"/>
          <w:color w:val="000000" w:themeColor="text1"/>
          <w:shd w:val="clear" w:color="auto" w:fill="FFFFFF"/>
          <w:lang w:eastAsia="nl-NL"/>
        </w:rPr>
      </w:pPr>
      <w:r>
        <w:rPr>
          <w:rFonts w:ascii="Times New Roman" w:hAnsi="Times New Roman" w:eastAsia="MS Mincho" w:cs="Times New Roman"/>
          <w:shd w:val="clear" w:color="auto" w:fill="FFFFFF"/>
          <w:lang w:eastAsia="nl-NL"/>
        </w:rPr>
        <w:t>A</w:t>
      </w:r>
      <w:r w:rsidR="005256FF">
        <w:rPr>
          <w:rFonts w:ascii="Times New Roman" w:hAnsi="Times New Roman" w:eastAsia="MS Mincho" w:cs="Times New Roman"/>
          <w:shd w:val="clear" w:color="auto" w:fill="FFFFFF"/>
          <w:lang w:eastAsia="nl-NL"/>
        </w:rPr>
        <w:t xml:space="preserve">ls gevolg van de keuze van de minister </w:t>
      </w:r>
      <w:r>
        <w:rPr>
          <w:rFonts w:ascii="Times New Roman" w:hAnsi="Times New Roman" w:eastAsia="MS Mincho" w:cs="Times New Roman"/>
          <w:shd w:val="clear" w:color="auto" w:fill="FFFFFF"/>
          <w:lang w:eastAsia="nl-NL"/>
        </w:rPr>
        <w:t>ligt n</w:t>
      </w:r>
      <w:r w:rsidR="005256FF">
        <w:rPr>
          <w:rFonts w:ascii="Times New Roman" w:hAnsi="Times New Roman" w:eastAsia="MS Mincho" w:cs="Times New Roman"/>
          <w:shd w:val="clear" w:color="auto" w:fill="FFFFFF"/>
          <w:lang w:eastAsia="nl-NL"/>
        </w:rPr>
        <w:t xml:space="preserve">iet de modernisering van </w:t>
      </w:r>
      <w:r>
        <w:rPr>
          <w:rFonts w:ascii="Times New Roman" w:hAnsi="Times New Roman" w:eastAsia="MS Mincho" w:cs="Times New Roman"/>
          <w:shd w:val="clear" w:color="auto" w:fill="FFFFFF"/>
          <w:lang w:eastAsia="nl-NL"/>
        </w:rPr>
        <w:t xml:space="preserve">het complex van </w:t>
      </w:r>
      <w:r w:rsidR="009014F2">
        <w:rPr>
          <w:rFonts w:ascii="Times New Roman" w:hAnsi="Times New Roman" w:eastAsia="MS Mincho" w:cs="Times New Roman"/>
          <w:shd w:val="clear" w:color="auto" w:fill="FFFFFF"/>
          <w:lang w:eastAsia="nl-NL"/>
        </w:rPr>
        <w:t>m</w:t>
      </w:r>
      <w:r>
        <w:rPr>
          <w:rFonts w:ascii="Times New Roman" w:hAnsi="Times New Roman" w:eastAsia="MS Mincho" w:cs="Times New Roman"/>
          <w:shd w:val="clear" w:color="auto" w:fill="FFFFFF"/>
          <w:lang w:eastAsia="nl-NL"/>
        </w:rPr>
        <w:t xml:space="preserve">aterieel en formeel strafrecht als geheel ter tafel, </w:t>
      </w:r>
      <w:r w:rsidR="005256FF">
        <w:rPr>
          <w:rFonts w:ascii="Times New Roman" w:hAnsi="Times New Roman" w:eastAsia="MS Mincho" w:cs="Times New Roman"/>
          <w:shd w:val="clear" w:color="auto" w:fill="FFFFFF"/>
          <w:lang w:eastAsia="nl-NL"/>
        </w:rPr>
        <w:t xml:space="preserve">maar </w:t>
      </w:r>
      <w:r>
        <w:rPr>
          <w:rFonts w:ascii="Times New Roman" w:hAnsi="Times New Roman" w:eastAsia="MS Mincho" w:cs="Times New Roman"/>
          <w:shd w:val="clear" w:color="auto" w:fill="FFFFFF"/>
          <w:lang w:eastAsia="nl-NL"/>
        </w:rPr>
        <w:t>slechts die v</w:t>
      </w:r>
      <w:r w:rsidR="005256FF">
        <w:rPr>
          <w:rFonts w:ascii="Times New Roman" w:hAnsi="Times New Roman" w:eastAsia="MS Mincho" w:cs="Times New Roman"/>
          <w:shd w:val="clear" w:color="auto" w:fill="FFFFFF"/>
          <w:lang w:eastAsia="nl-NL"/>
        </w:rPr>
        <w:t>an het Wetboek van Strafvordering</w:t>
      </w:r>
      <w:r w:rsidR="007003CD">
        <w:rPr>
          <w:rFonts w:ascii="Times New Roman" w:hAnsi="Times New Roman" w:eastAsia="MS Mincho" w:cs="Times New Roman"/>
          <w:shd w:val="clear" w:color="auto" w:fill="FFFFFF"/>
          <w:lang w:eastAsia="nl-NL"/>
        </w:rPr>
        <w:t xml:space="preserve">. De begeleidende brief, noch de Contourennota geven er blijk van </w:t>
      </w:r>
      <w:r w:rsidR="003E7B5D">
        <w:rPr>
          <w:rFonts w:ascii="Times New Roman" w:hAnsi="Times New Roman" w:eastAsia="MS Mincho" w:cs="Times New Roman"/>
          <w:shd w:val="clear" w:color="auto" w:fill="FFFFFF"/>
          <w:lang w:eastAsia="nl-NL"/>
        </w:rPr>
        <w:t>dat</w:t>
      </w:r>
      <w:r w:rsidR="00C87746">
        <w:rPr>
          <w:rFonts w:ascii="Times New Roman" w:hAnsi="Times New Roman" w:eastAsia="MS Mincho" w:cs="Times New Roman"/>
          <w:shd w:val="clear" w:color="auto" w:fill="FFFFFF"/>
          <w:lang w:eastAsia="nl-NL"/>
        </w:rPr>
        <w:t xml:space="preserve"> bovenbedoelde consequenties van de v</w:t>
      </w:r>
      <w:r>
        <w:rPr>
          <w:rFonts w:ascii="Times New Roman" w:hAnsi="Times New Roman" w:eastAsia="MS Mincho" w:cs="Times New Roman"/>
          <w:shd w:val="clear" w:color="auto" w:fill="FFFFFF"/>
          <w:lang w:eastAsia="nl-NL"/>
        </w:rPr>
        <w:t xml:space="preserve">ervlechting </w:t>
      </w:r>
      <w:r w:rsidR="00C87746">
        <w:rPr>
          <w:rFonts w:ascii="Times New Roman" w:hAnsi="Times New Roman" w:eastAsia="MS Mincho" w:cs="Times New Roman"/>
          <w:shd w:val="clear" w:color="auto" w:fill="FFFFFF"/>
          <w:lang w:eastAsia="nl-NL"/>
        </w:rPr>
        <w:t xml:space="preserve">van het opportuniteitsbeginsel met het materiële strafrecht serieus </w:t>
      </w:r>
      <w:r w:rsidR="003E7B5D">
        <w:rPr>
          <w:rFonts w:ascii="Times New Roman" w:hAnsi="Times New Roman" w:eastAsia="MS Mincho" w:cs="Times New Roman"/>
          <w:shd w:val="clear" w:color="auto" w:fill="FFFFFF"/>
          <w:lang w:eastAsia="nl-NL"/>
        </w:rPr>
        <w:t xml:space="preserve">worden genomen. </w:t>
      </w:r>
      <w:r w:rsidRPr="001C5D2E" w:rsidR="00986B92">
        <w:rPr>
          <w:rFonts w:ascii="Times New Roman" w:hAnsi="Times New Roman" w:eastAsia="MS Mincho" w:cs="Times New Roman"/>
          <w:shd w:val="clear" w:color="auto" w:fill="FFFFFF"/>
          <w:lang w:eastAsia="nl-NL"/>
        </w:rPr>
        <w:t xml:space="preserve">De nota wijst </w:t>
      </w:r>
      <w:r w:rsidR="001C5D2E">
        <w:rPr>
          <w:rFonts w:ascii="Times New Roman" w:hAnsi="Times New Roman" w:eastAsia="MS Mincho" w:cs="Times New Roman"/>
          <w:shd w:val="clear" w:color="auto" w:fill="FFFFFF"/>
          <w:lang w:eastAsia="nl-NL"/>
        </w:rPr>
        <w:t>‘</w:t>
      </w:r>
      <w:r w:rsidRPr="001C5D2E" w:rsidR="001C5D2E">
        <w:rPr>
          <w:rFonts w:ascii="Times New Roman" w:hAnsi="Times New Roman" w:eastAsia="MS Mincho" w:cs="Times New Roman"/>
          <w:shd w:val="clear" w:color="auto" w:fill="FFFFFF"/>
          <w:lang w:eastAsia="nl-NL"/>
        </w:rPr>
        <w:t>slechts</w:t>
      </w:r>
      <w:r w:rsidR="001C5D2E">
        <w:rPr>
          <w:rFonts w:ascii="Times New Roman" w:hAnsi="Times New Roman" w:eastAsia="MS Mincho" w:cs="Times New Roman"/>
          <w:shd w:val="clear" w:color="auto" w:fill="FFFFFF"/>
          <w:lang w:eastAsia="nl-NL"/>
        </w:rPr>
        <w:t xml:space="preserve">’ </w:t>
      </w:r>
      <w:r w:rsidRPr="001C5D2E" w:rsidR="001C5D2E">
        <w:rPr>
          <w:rFonts w:ascii="Times New Roman" w:hAnsi="Times New Roman" w:eastAsia="MS Mincho" w:cs="Times New Roman"/>
          <w:shd w:val="clear" w:color="auto" w:fill="FFFFFF"/>
          <w:lang w:eastAsia="nl-NL"/>
        </w:rPr>
        <w:t>o</w:t>
      </w:r>
      <w:r w:rsidRPr="001C5D2E" w:rsidR="00986B92">
        <w:rPr>
          <w:rFonts w:ascii="Times New Roman" w:hAnsi="Times New Roman" w:eastAsia="MS Mincho" w:cs="Times New Roman"/>
          <w:shd w:val="clear" w:color="auto" w:fill="FFFFFF"/>
          <w:lang w:eastAsia="nl-NL"/>
        </w:rPr>
        <w:t xml:space="preserve">p de relatie met de Nederlandse </w:t>
      </w:r>
      <w:r w:rsidRPr="001C5D2E" w:rsidR="001C5D2E">
        <w:rPr>
          <w:rFonts w:ascii="Times New Roman" w:hAnsi="Times New Roman" w:eastAsia="MS Mincho" w:cs="Times New Roman"/>
          <w:shd w:val="clear" w:color="auto" w:fill="FFFFFF"/>
          <w:lang w:eastAsia="nl-NL"/>
        </w:rPr>
        <w:t xml:space="preserve">strafvordering: </w:t>
      </w:r>
      <w:r w:rsidRPr="001C5D2E" w:rsidR="00986B92">
        <w:rPr>
          <w:rFonts w:ascii="Times New Roman" w:hAnsi="Times New Roman" w:eastAsia="MS Mincho" w:cs="Times New Roman"/>
          <w:shd w:val="clear" w:color="auto" w:fill="FFFFFF"/>
          <w:lang w:eastAsia="nl-NL"/>
        </w:rPr>
        <w:t>“</w:t>
      </w:r>
      <w:r w:rsidRPr="001C5D2E" w:rsidR="00986B92">
        <w:rPr>
          <w:rFonts w:ascii="Times New Roman" w:hAnsi="Times New Roman" w:cs="Times New Roman"/>
        </w:rPr>
        <w:t>Gelet op de verwevenheid van het opportuniteitsbeginsel met de Nederlandse strafvordering zie ik geen aanleiding om in dit belangrijke onderdeel van het stelsel wijziging te brengen.</w:t>
      </w:r>
      <w:r w:rsidRPr="001C5D2E" w:rsidR="00986B92">
        <w:rPr>
          <w:rFonts w:ascii="Times New Roman" w:hAnsi="Times New Roman" w:eastAsia="MS Mincho" w:cs="Times New Roman"/>
          <w:shd w:val="clear" w:color="auto" w:fill="FFFFFF"/>
          <w:lang w:eastAsia="nl-NL"/>
        </w:rPr>
        <w:t>”</w:t>
      </w:r>
      <w:r w:rsidRPr="001C5D2E" w:rsidR="001C5D2E">
        <w:rPr>
          <w:rStyle w:val="FootnoteReference"/>
          <w:rFonts w:ascii="Times New Roman" w:hAnsi="Times New Roman" w:eastAsia="MS Mincho"/>
          <w:shd w:val="clear" w:color="auto" w:fill="FFFFFF"/>
          <w:lang w:eastAsia="nl-NL"/>
        </w:rPr>
        <w:footnoteReference w:id="28"/>
      </w:r>
      <w:r w:rsidRPr="001C5D2E" w:rsidR="00986B92">
        <w:rPr>
          <w:rFonts w:ascii="Times New Roman" w:hAnsi="Times New Roman" w:eastAsia="MS Mincho" w:cs="Times New Roman"/>
          <w:shd w:val="clear" w:color="auto" w:fill="FFFFFF"/>
          <w:lang w:eastAsia="nl-NL"/>
        </w:rPr>
        <w:t xml:space="preserve"> </w:t>
      </w:r>
      <w:r w:rsidR="00B96C37">
        <w:rPr>
          <w:rFonts w:ascii="Times New Roman" w:hAnsi="Times New Roman" w:eastAsia="MS Mincho" w:cs="Times New Roman"/>
          <w:shd w:val="clear" w:color="auto" w:fill="FFFFFF"/>
          <w:lang w:eastAsia="nl-NL"/>
        </w:rPr>
        <w:br/>
      </w:r>
      <w:r w:rsidR="006A2AED">
        <w:rPr>
          <w:rFonts w:ascii="Times New Roman" w:hAnsi="Times New Roman" w:eastAsia="MS Mincho" w:cs="Times New Roman"/>
          <w:shd w:val="clear" w:color="auto" w:fill="FFFFFF"/>
          <w:lang w:eastAsia="nl-NL"/>
        </w:rPr>
        <w:t xml:space="preserve">Nu het opportuniteitsbeginsel maximale ruimte </w:t>
      </w:r>
      <w:r w:rsidR="00B96C37">
        <w:rPr>
          <w:rFonts w:ascii="Times New Roman" w:hAnsi="Times New Roman" w:eastAsia="MS Mincho" w:cs="Times New Roman"/>
          <w:shd w:val="clear" w:color="auto" w:fill="FFFFFF"/>
          <w:lang w:eastAsia="nl-NL"/>
        </w:rPr>
        <w:t xml:space="preserve">biedt </w:t>
      </w:r>
      <w:r w:rsidR="006A2AED">
        <w:rPr>
          <w:rFonts w:ascii="Times New Roman" w:hAnsi="Times New Roman" w:eastAsia="MS Mincho" w:cs="Times New Roman"/>
          <w:shd w:val="clear" w:color="auto" w:fill="FFFFFF"/>
          <w:lang w:eastAsia="nl-NL"/>
        </w:rPr>
        <w:t xml:space="preserve">om in te spelen op actuele maatschappelijke behoeften lijken er vooralsnog </w:t>
      </w:r>
      <w:r w:rsidR="00B96C37">
        <w:rPr>
          <w:rFonts w:ascii="Times New Roman" w:hAnsi="Times New Roman" w:eastAsia="MS Mincho" w:cs="Times New Roman"/>
          <w:shd w:val="clear" w:color="auto" w:fill="FFFFFF"/>
          <w:lang w:eastAsia="nl-NL"/>
        </w:rPr>
        <w:t xml:space="preserve">weinig bezwaren te bestaan tegen dit in onze rechtstraditie verankerde beginsel in wisselwerking met de materieelrechtelijke wetgeving. Desalniettemin liggen er ook gevaren op de loer. </w:t>
      </w:r>
      <w:r w:rsidR="007B043B">
        <w:rPr>
          <w:rFonts w:ascii="Times New Roman" w:hAnsi="Times New Roman" w:eastAsia="MS Mincho" w:cs="Times New Roman"/>
          <w:shd w:val="clear" w:color="auto" w:fill="FFFFFF"/>
          <w:lang w:eastAsia="nl-NL"/>
        </w:rPr>
        <w:t>Allereerst kan de v</w:t>
      </w:r>
      <w:r w:rsidR="00B96C37">
        <w:rPr>
          <w:rFonts w:ascii="Times New Roman" w:hAnsi="Times New Roman" w:eastAsia="MS Mincho" w:cs="Times New Roman"/>
          <w:shd w:val="clear" w:color="auto" w:fill="FFFFFF"/>
          <w:lang w:eastAsia="nl-NL"/>
        </w:rPr>
        <w:t xml:space="preserve">erhouding tussen </w:t>
      </w:r>
      <w:r w:rsidR="00E32221">
        <w:rPr>
          <w:rFonts w:ascii="Times New Roman" w:hAnsi="Times New Roman" w:eastAsia="MS Mincho" w:cs="Times New Roman"/>
          <w:shd w:val="clear" w:color="auto" w:fill="FFFFFF"/>
          <w:lang w:eastAsia="nl-NL"/>
        </w:rPr>
        <w:t>staand vervolgings</w:t>
      </w:r>
      <w:r w:rsidR="00B96C37">
        <w:rPr>
          <w:rFonts w:ascii="Times New Roman" w:hAnsi="Times New Roman" w:eastAsia="MS Mincho" w:cs="Times New Roman"/>
          <w:shd w:val="clear" w:color="auto" w:fill="FFFFFF"/>
          <w:lang w:eastAsia="nl-NL"/>
        </w:rPr>
        <w:t xml:space="preserve">beleid en de materieelrechtelijke wetgeving </w:t>
      </w:r>
      <w:r w:rsidR="001B27A1">
        <w:rPr>
          <w:rFonts w:ascii="Times New Roman" w:hAnsi="Times New Roman" w:eastAsia="MS Mincho" w:cs="Times New Roman"/>
          <w:shd w:val="clear" w:color="auto" w:fill="FFFFFF"/>
          <w:lang w:eastAsia="nl-NL"/>
        </w:rPr>
        <w:t xml:space="preserve">altijd </w:t>
      </w:r>
      <w:r w:rsidR="00B96C37">
        <w:rPr>
          <w:rFonts w:ascii="Times New Roman" w:hAnsi="Times New Roman" w:eastAsia="MS Mincho" w:cs="Times New Roman"/>
          <w:shd w:val="clear" w:color="auto" w:fill="FFFFFF"/>
          <w:lang w:eastAsia="nl-NL"/>
        </w:rPr>
        <w:t xml:space="preserve">onder invloed van politieke verhoudingen sterk onder </w:t>
      </w:r>
      <w:r w:rsidR="00B96C37">
        <w:rPr>
          <w:rFonts w:ascii="Times New Roman" w:hAnsi="Times New Roman" w:eastAsia="MS Mincho" w:cs="Times New Roman"/>
          <w:shd w:val="clear" w:color="auto" w:fill="FFFFFF"/>
          <w:lang w:eastAsia="nl-NL"/>
        </w:rPr>
        <w:lastRenderedPageBreak/>
        <w:t xml:space="preserve">druk komen te staan. </w:t>
      </w:r>
      <w:r w:rsidR="00E270D8">
        <w:rPr>
          <w:rFonts w:ascii="Times New Roman" w:hAnsi="Times New Roman" w:eastAsia="MS Mincho" w:cs="Times New Roman"/>
          <w:shd w:val="clear" w:color="auto" w:fill="FFFFFF"/>
          <w:lang w:eastAsia="nl-NL"/>
        </w:rPr>
        <w:t xml:space="preserve">De </w:t>
      </w:r>
      <w:r w:rsidRPr="007B043B" w:rsidR="00E270D8">
        <w:rPr>
          <w:rFonts w:ascii="Times New Roman" w:hAnsi="Times New Roman" w:eastAsia="MS Mincho" w:cs="Times New Roman"/>
          <w:color w:val="000000" w:themeColor="text1"/>
          <w:shd w:val="clear" w:color="auto" w:fill="FFFFFF"/>
          <w:lang w:eastAsia="nl-NL"/>
        </w:rPr>
        <w:t xml:space="preserve">duurzaamheid </w:t>
      </w:r>
      <w:r w:rsidR="00E270D8">
        <w:rPr>
          <w:rFonts w:ascii="Times New Roman" w:hAnsi="Times New Roman" w:eastAsia="MS Mincho" w:cs="Times New Roman"/>
          <w:color w:val="000000" w:themeColor="text1"/>
          <w:shd w:val="clear" w:color="auto" w:fill="FFFFFF"/>
          <w:lang w:eastAsia="nl-NL"/>
        </w:rPr>
        <w:t xml:space="preserve">van strafrechtelijk beleid </w:t>
      </w:r>
      <w:r w:rsidRPr="007B043B" w:rsidR="00E270D8">
        <w:rPr>
          <w:rFonts w:ascii="Times New Roman" w:hAnsi="Times New Roman" w:eastAsia="MS Mincho" w:cs="Times New Roman"/>
          <w:color w:val="000000" w:themeColor="text1"/>
          <w:shd w:val="clear" w:color="auto" w:fill="FFFFFF"/>
          <w:lang w:eastAsia="nl-NL"/>
        </w:rPr>
        <w:t xml:space="preserve">en de </w:t>
      </w:r>
      <w:r w:rsidR="00E270D8">
        <w:rPr>
          <w:rFonts w:ascii="Times New Roman" w:hAnsi="Times New Roman" w:eastAsia="MS Mincho" w:cs="Times New Roman"/>
          <w:color w:val="000000" w:themeColor="text1"/>
          <w:shd w:val="clear" w:color="auto" w:fill="FFFFFF"/>
          <w:lang w:eastAsia="nl-NL"/>
        </w:rPr>
        <w:t xml:space="preserve">daarmee samenhangende </w:t>
      </w:r>
      <w:r w:rsidRPr="007B043B" w:rsidR="00E270D8">
        <w:rPr>
          <w:rFonts w:ascii="Times New Roman" w:hAnsi="Times New Roman" w:eastAsia="MS Mincho" w:cs="Times New Roman"/>
          <w:color w:val="000000" w:themeColor="text1"/>
          <w:shd w:val="clear" w:color="auto" w:fill="FFFFFF"/>
          <w:lang w:eastAsia="nl-NL"/>
        </w:rPr>
        <w:t>rechtszekerheid van de burger</w:t>
      </w:r>
      <w:r w:rsidR="00E270D8">
        <w:rPr>
          <w:rFonts w:ascii="Times New Roman" w:hAnsi="Times New Roman" w:eastAsia="MS Mincho" w:cs="Times New Roman"/>
          <w:color w:val="000000" w:themeColor="text1"/>
          <w:shd w:val="clear" w:color="auto" w:fill="FFFFFF"/>
          <w:lang w:eastAsia="nl-NL"/>
        </w:rPr>
        <w:t xml:space="preserve"> blijven door de </w:t>
      </w:r>
      <w:r w:rsidR="00E270D8">
        <w:rPr>
          <w:rFonts w:ascii="Times New Roman" w:hAnsi="Times New Roman" w:eastAsia="MS Mincho" w:cs="Times New Roman"/>
          <w:shd w:val="clear" w:color="auto" w:fill="FFFFFF"/>
          <w:lang w:eastAsia="nl-NL"/>
        </w:rPr>
        <w:t>onderlinge afhankelijkheid tussen strafwetgeving, OM-beleid en politieke stellingnames een kwetsbaar bezit.</w:t>
      </w:r>
      <w:r w:rsidR="001B27A1">
        <w:rPr>
          <w:rFonts w:ascii="Times New Roman" w:hAnsi="Times New Roman" w:eastAsia="MS Mincho" w:cs="Times New Roman"/>
          <w:shd w:val="clear" w:color="auto" w:fill="FFFFFF"/>
          <w:lang w:eastAsia="nl-NL"/>
        </w:rPr>
        <w:t xml:space="preserve"> </w:t>
      </w:r>
      <w:r w:rsidR="00057758">
        <w:rPr>
          <w:rFonts w:ascii="Times New Roman" w:hAnsi="Times New Roman" w:eastAsia="MS Mincho" w:cs="Times New Roman"/>
          <w:shd w:val="clear" w:color="auto" w:fill="FFFFFF"/>
          <w:lang w:eastAsia="nl-NL"/>
        </w:rPr>
        <w:t>Ook bij d</w:t>
      </w:r>
      <w:r w:rsidR="001B27A1">
        <w:rPr>
          <w:rFonts w:ascii="Times New Roman" w:hAnsi="Times New Roman" w:eastAsia="MS Mincho" w:cs="Times New Roman"/>
          <w:shd w:val="clear" w:color="auto" w:fill="FFFFFF"/>
          <w:lang w:eastAsia="nl-NL"/>
        </w:rPr>
        <w:t>e inmiddels breed uitgerolde mod</w:t>
      </w:r>
      <w:r w:rsidR="00057758">
        <w:rPr>
          <w:rFonts w:ascii="Times New Roman" w:hAnsi="Times New Roman" w:eastAsia="MS Mincho" w:cs="Times New Roman"/>
          <w:shd w:val="clear" w:color="auto" w:fill="FFFFFF"/>
          <w:lang w:eastAsia="nl-NL"/>
        </w:rPr>
        <w:t xml:space="preserve">aliteit van de strafbeschikking is de relatie tot het materiële strafrecht verzwakt nu de aard en/of de ernst van het strafbare feit voor het gros van de zaken er nauwelijks meer toe doet bij de keuze tussen afdoeningsmodaliteiten. </w:t>
      </w:r>
      <w:r w:rsidR="007B043B">
        <w:rPr>
          <w:rFonts w:ascii="Times New Roman" w:hAnsi="Times New Roman" w:eastAsia="MS Mincho" w:cs="Times New Roman"/>
          <w:shd w:val="clear" w:color="auto" w:fill="FFFFFF"/>
          <w:lang w:eastAsia="nl-NL"/>
        </w:rPr>
        <w:t>Maar ook de (hierna nog nader te bespreken</w:t>
      </w:r>
      <w:r w:rsidR="00E270D8">
        <w:rPr>
          <w:rFonts w:ascii="Times New Roman" w:hAnsi="Times New Roman" w:eastAsia="MS Mincho" w:cs="Times New Roman"/>
          <w:shd w:val="clear" w:color="auto" w:fill="FFFFFF"/>
          <w:lang w:eastAsia="nl-NL"/>
        </w:rPr>
        <w:t>)</w:t>
      </w:r>
      <w:r w:rsidR="007B043B">
        <w:rPr>
          <w:rFonts w:ascii="Times New Roman" w:hAnsi="Times New Roman" w:eastAsia="MS Mincho" w:cs="Times New Roman"/>
          <w:shd w:val="clear" w:color="auto" w:fill="FFFFFF"/>
          <w:lang w:eastAsia="nl-NL"/>
        </w:rPr>
        <w:t xml:space="preserve"> externe systematiek en </w:t>
      </w:r>
      <w:r w:rsidR="00057758">
        <w:rPr>
          <w:rFonts w:ascii="Times New Roman" w:hAnsi="Times New Roman" w:eastAsia="MS Mincho" w:cs="Times New Roman"/>
          <w:shd w:val="clear" w:color="auto" w:fill="FFFFFF"/>
          <w:lang w:eastAsia="nl-NL"/>
        </w:rPr>
        <w:t xml:space="preserve">de </w:t>
      </w:r>
      <w:r w:rsidR="007B043B">
        <w:rPr>
          <w:rFonts w:ascii="Times New Roman" w:hAnsi="Times New Roman" w:eastAsia="MS Mincho" w:cs="Times New Roman"/>
          <w:shd w:val="clear" w:color="auto" w:fill="FFFFFF"/>
          <w:lang w:eastAsia="nl-NL"/>
        </w:rPr>
        <w:t xml:space="preserve">context </w:t>
      </w:r>
      <w:r w:rsidR="00E270D8">
        <w:rPr>
          <w:rFonts w:ascii="Times New Roman" w:hAnsi="Times New Roman" w:eastAsia="MS Mincho" w:cs="Times New Roman"/>
          <w:shd w:val="clear" w:color="auto" w:fill="FFFFFF"/>
          <w:lang w:eastAsia="nl-NL"/>
        </w:rPr>
        <w:t xml:space="preserve">nopen tot aandacht voor het opportuniteitsbeginsel. </w:t>
      </w:r>
      <w:r w:rsidR="00B96C37">
        <w:rPr>
          <w:rFonts w:ascii="Times New Roman" w:hAnsi="Times New Roman" w:eastAsia="MS Mincho" w:cs="Times New Roman"/>
          <w:shd w:val="clear" w:color="auto" w:fill="FFFFFF"/>
          <w:lang w:eastAsia="nl-NL"/>
        </w:rPr>
        <w:t xml:space="preserve">De doorwerking </w:t>
      </w:r>
      <w:r w:rsidR="006A2AED">
        <w:rPr>
          <w:rFonts w:ascii="Times New Roman" w:hAnsi="Times New Roman" w:eastAsia="MS Mincho" w:cs="Times New Roman"/>
          <w:shd w:val="clear" w:color="auto" w:fill="FFFFFF"/>
          <w:lang w:eastAsia="nl-NL"/>
        </w:rPr>
        <w:t>van Europe</w:t>
      </w:r>
      <w:r w:rsidR="00B96C37">
        <w:rPr>
          <w:rFonts w:ascii="Times New Roman" w:hAnsi="Times New Roman" w:eastAsia="MS Mincho" w:cs="Times New Roman"/>
          <w:shd w:val="clear" w:color="auto" w:fill="FFFFFF"/>
          <w:lang w:eastAsia="nl-NL"/>
        </w:rPr>
        <w:t xml:space="preserve">es materieel </w:t>
      </w:r>
      <w:r w:rsidR="006A2AED">
        <w:rPr>
          <w:rFonts w:ascii="Times New Roman" w:hAnsi="Times New Roman" w:eastAsia="MS Mincho" w:cs="Times New Roman"/>
          <w:shd w:val="clear" w:color="auto" w:fill="FFFFFF"/>
          <w:lang w:eastAsia="nl-NL"/>
        </w:rPr>
        <w:t xml:space="preserve">strafrecht </w:t>
      </w:r>
      <w:r w:rsidR="00B96C37">
        <w:rPr>
          <w:rFonts w:ascii="Times New Roman" w:hAnsi="Times New Roman" w:eastAsia="MS Mincho" w:cs="Times New Roman"/>
          <w:shd w:val="clear" w:color="auto" w:fill="FFFFFF"/>
          <w:lang w:eastAsia="nl-NL"/>
        </w:rPr>
        <w:t xml:space="preserve">in </w:t>
      </w:r>
      <w:r w:rsidR="006A2AED">
        <w:rPr>
          <w:rFonts w:ascii="Times New Roman" w:hAnsi="Times New Roman" w:eastAsia="MS Mincho" w:cs="Times New Roman"/>
          <w:shd w:val="clear" w:color="auto" w:fill="FFFFFF"/>
          <w:lang w:eastAsia="nl-NL"/>
        </w:rPr>
        <w:t xml:space="preserve">ons nationaal materieel strafrecht </w:t>
      </w:r>
      <w:r w:rsidR="00B96C37">
        <w:rPr>
          <w:rFonts w:ascii="Times New Roman" w:hAnsi="Times New Roman" w:eastAsia="MS Mincho" w:cs="Times New Roman"/>
          <w:shd w:val="clear" w:color="auto" w:fill="FFFFFF"/>
          <w:lang w:eastAsia="nl-NL"/>
        </w:rPr>
        <w:t xml:space="preserve">roept zowel vragen op over de verhouding tussen Europese regelgever en de nationale wetgever als – in aansluiting daarop – tussen nationale wetgever en het OM. </w:t>
      </w:r>
      <w:r w:rsidR="00AE268D">
        <w:rPr>
          <w:rFonts w:ascii="Times New Roman" w:hAnsi="Times New Roman" w:eastAsia="MS Mincho" w:cs="Times New Roman"/>
          <w:shd w:val="clear" w:color="auto" w:fill="FFFFFF"/>
          <w:lang w:eastAsia="nl-NL"/>
        </w:rPr>
        <w:t xml:space="preserve">En als een </w:t>
      </w:r>
      <w:r w:rsidRPr="007B043B" w:rsidR="00AE268D">
        <w:rPr>
          <w:rFonts w:ascii="Times New Roman" w:hAnsi="Times New Roman" w:eastAsia="MS Mincho" w:cs="Times New Roman"/>
          <w:color w:val="000000" w:themeColor="text1"/>
          <w:shd w:val="clear" w:color="auto" w:fill="FFFFFF"/>
          <w:lang w:eastAsia="nl-NL"/>
        </w:rPr>
        <w:t xml:space="preserve">toekomstig </w:t>
      </w:r>
      <w:r w:rsidRPr="007B043B" w:rsidR="00B96C37">
        <w:rPr>
          <w:rFonts w:ascii="Times New Roman" w:hAnsi="Times New Roman" w:eastAsia="MS Mincho" w:cs="Times New Roman"/>
          <w:color w:val="000000" w:themeColor="text1"/>
          <w:shd w:val="clear" w:color="auto" w:fill="FFFFFF"/>
          <w:lang w:eastAsia="nl-NL"/>
        </w:rPr>
        <w:t xml:space="preserve">Europees OM daadwerkelijk invloed kan </w:t>
      </w:r>
      <w:r w:rsidRPr="007B043B" w:rsidR="00AE268D">
        <w:rPr>
          <w:rFonts w:ascii="Times New Roman" w:hAnsi="Times New Roman" w:eastAsia="MS Mincho" w:cs="Times New Roman"/>
          <w:color w:val="000000" w:themeColor="text1"/>
          <w:shd w:val="clear" w:color="auto" w:fill="FFFFFF"/>
          <w:lang w:eastAsia="nl-NL"/>
        </w:rPr>
        <w:t xml:space="preserve">en zal </w:t>
      </w:r>
      <w:r w:rsidRPr="007B043B" w:rsidR="00B96C37">
        <w:rPr>
          <w:rFonts w:ascii="Times New Roman" w:hAnsi="Times New Roman" w:eastAsia="MS Mincho" w:cs="Times New Roman"/>
          <w:color w:val="000000" w:themeColor="text1"/>
          <w:shd w:val="clear" w:color="auto" w:fill="FFFFFF"/>
          <w:lang w:eastAsia="nl-NL"/>
        </w:rPr>
        <w:t xml:space="preserve">gaan uitoefenen op het nationale vervolgingsbeleid </w:t>
      </w:r>
      <w:r w:rsidRPr="007B043B" w:rsidR="007B043B">
        <w:rPr>
          <w:rFonts w:ascii="Times New Roman" w:hAnsi="Times New Roman" w:eastAsia="MS Mincho" w:cs="Times New Roman"/>
          <w:color w:val="000000" w:themeColor="text1"/>
          <w:shd w:val="clear" w:color="auto" w:fill="FFFFFF"/>
          <w:lang w:eastAsia="nl-NL"/>
        </w:rPr>
        <w:t>komt de verhouding tussen materieel en formeel strafrecht  wellicht nog verder onder druk te staan</w:t>
      </w:r>
      <w:r w:rsidR="001B27A1">
        <w:rPr>
          <w:rFonts w:ascii="Times New Roman" w:hAnsi="Times New Roman" w:eastAsia="MS Mincho" w:cs="Times New Roman"/>
          <w:color w:val="000000" w:themeColor="text1"/>
          <w:shd w:val="clear" w:color="auto" w:fill="FFFFFF"/>
          <w:lang w:eastAsia="nl-NL"/>
        </w:rPr>
        <w:t>.</w:t>
      </w:r>
      <w:r w:rsidRPr="007B043B" w:rsidR="00E32221">
        <w:rPr>
          <w:rStyle w:val="FootnoteReference"/>
          <w:rFonts w:ascii="Times New Roman" w:hAnsi="Times New Roman" w:eastAsia="MS Mincho"/>
          <w:color w:val="000000" w:themeColor="text1"/>
          <w:shd w:val="clear" w:color="auto" w:fill="FFFFFF"/>
          <w:lang w:eastAsia="nl-NL"/>
        </w:rPr>
        <w:footnoteReference w:id="29"/>
      </w:r>
      <w:r w:rsidR="001B27A1">
        <w:rPr>
          <w:rFonts w:ascii="Times New Roman" w:hAnsi="Times New Roman" w:eastAsia="MS Mincho" w:cs="Times New Roman"/>
          <w:color w:val="000000" w:themeColor="text1"/>
          <w:shd w:val="clear" w:color="auto" w:fill="FFFFFF"/>
          <w:lang w:eastAsia="nl-NL"/>
        </w:rPr>
        <w:t xml:space="preserve"> </w:t>
      </w:r>
    </w:p>
    <w:p w:rsidRPr="007B043B" w:rsidR="008B31BB" w:rsidP="007B043B" w:rsidRDefault="00CE41B0">
      <w:pPr>
        <w:pStyle w:val="Default"/>
        <w:rPr>
          <w:rFonts w:ascii="Times New Roman" w:hAnsi="Times New Roman" w:eastAsia="MS Mincho" w:cs="Times New Roman"/>
          <w:color w:val="000000" w:themeColor="text1"/>
          <w:shd w:val="clear" w:color="auto" w:fill="FFFFFF"/>
          <w:lang w:eastAsia="nl-NL"/>
        </w:rPr>
      </w:pPr>
      <w:r>
        <w:rPr>
          <w:rFonts w:ascii="Times New Roman" w:hAnsi="Times New Roman" w:eastAsia="MS Mincho" w:cs="Times New Roman"/>
          <w:color w:val="000000" w:themeColor="text1"/>
          <w:shd w:val="clear" w:color="auto" w:fill="FFFFFF"/>
          <w:lang w:eastAsia="nl-NL"/>
        </w:rPr>
        <w:t>De niet loze betekenis van de verhouding strafrecht- strafvordering, het potentiële risico dat de strafrechtelijke aansprakelijkheid wordt opgerekt door de wisselwerking tussen het materiële strafrecht en het strafprocesrecht, de toenemend invloed van Europese richtlijnen en Europese rechtspraak op zowel het materiële strafrecht als het strafprocesrecht én op de wisselwerking daartussen en de doorwerking van de procestraditie van het opportuniteitsbeginsel op detailniveau van het Wetboek van Strafvordering v</w:t>
      </w:r>
      <w:r w:rsidR="009014F2">
        <w:rPr>
          <w:rFonts w:ascii="Times New Roman" w:hAnsi="Times New Roman" w:eastAsia="MS Mincho" w:cs="Times New Roman"/>
          <w:color w:val="000000" w:themeColor="text1"/>
          <w:shd w:val="clear" w:color="auto" w:fill="FFFFFF"/>
          <w:lang w:eastAsia="nl-NL"/>
        </w:rPr>
        <w:t>ra</w:t>
      </w:r>
      <w:r w:rsidR="000F7303">
        <w:rPr>
          <w:rFonts w:ascii="Times New Roman" w:hAnsi="Times New Roman" w:eastAsia="MS Mincho" w:cs="Times New Roman"/>
          <w:color w:val="000000" w:themeColor="text1"/>
          <w:shd w:val="clear" w:color="auto" w:fill="FFFFFF"/>
          <w:lang w:eastAsia="nl-NL"/>
        </w:rPr>
        <w:t xml:space="preserve">gen </w:t>
      </w:r>
      <w:r w:rsidR="009014F2">
        <w:rPr>
          <w:rFonts w:ascii="Times New Roman" w:hAnsi="Times New Roman" w:eastAsia="MS Mincho" w:cs="Times New Roman"/>
          <w:color w:val="000000" w:themeColor="text1"/>
          <w:shd w:val="clear" w:color="auto" w:fill="FFFFFF"/>
          <w:lang w:eastAsia="nl-NL"/>
        </w:rPr>
        <w:t xml:space="preserve">om meer ‘overdenking’ dan voorzien in de voorstellen tot modernisering. Betrekt men bij dit alles dat het opportuniteitsbeginsel in onze rechtstraditie een sterke plaats heeft en zijn stempel heeft gedrukt op </w:t>
      </w:r>
      <w:r w:rsidR="004404C2">
        <w:rPr>
          <w:rFonts w:ascii="Times New Roman" w:hAnsi="Times New Roman" w:eastAsia="MS Mincho" w:cs="Times New Roman"/>
          <w:color w:val="000000" w:themeColor="text1"/>
          <w:shd w:val="clear" w:color="auto" w:fill="FFFFFF"/>
          <w:lang w:eastAsia="nl-NL"/>
        </w:rPr>
        <w:t xml:space="preserve">het wetboek als geheel, dan kan een ‘overdenking’ ook doorwerken op diverse andere </w:t>
      </w:r>
      <w:r w:rsidR="009014F2">
        <w:rPr>
          <w:rFonts w:ascii="Times New Roman" w:hAnsi="Times New Roman" w:eastAsia="MS Mincho" w:cs="Times New Roman"/>
          <w:color w:val="000000" w:themeColor="text1"/>
          <w:shd w:val="clear" w:color="auto" w:fill="FFFFFF"/>
          <w:lang w:eastAsia="nl-NL"/>
        </w:rPr>
        <w:t>bepalingen in het Wetboek van Strafvordering (denk onder meer aan de art. 12 Sv-procedure en de grond voor niet-ontvankelijkheid in art. 359a Sv)</w:t>
      </w:r>
      <w:r w:rsidR="000F7303">
        <w:rPr>
          <w:rFonts w:ascii="Times New Roman" w:hAnsi="Times New Roman" w:eastAsia="MS Mincho" w:cs="Times New Roman"/>
          <w:color w:val="000000" w:themeColor="text1"/>
          <w:shd w:val="clear" w:color="auto" w:fill="FFFFFF"/>
          <w:lang w:eastAsia="nl-NL"/>
        </w:rPr>
        <w:t xml:space="preserve">. </w:t>
      </w:r>
      <w:r w:rsidR="00900458">
        <w:rPr>
          <w:rFonts w:ascii="Times New Roman" w:hAnsi="Times New Roman" w:eastAsia="MS Mincho" w:cs="Times New Roman"/>
          <w:color w:val="000000" w:themeColor="text1"/>
          <w:shd w:val="clear" w:color="auto" w:fill="FFFFFF"/>
          <w:lang w:eastAsia="nl-NL"/>
        </w:rPr>
        <w:t xml:space="preserve">Kortom, </w:t>
      </w:r>
      <w:r>
        <w:rPr>
          <w:rFonts w:ascii="Times New Roman" w:hAnsi="Times New Roman" w:eastAsia="MS Mincho" w:cs="Times New Roman"/>
          <w:color w:val="000000" w:themeColor="text1"/>
          <w:shd w:val="clear" w:color="auto" w:fill="FFFFFF"/>
          <w:lang w:eastAsia="nl-NL"/>
        </w:rPr>
        <w:t xml:space="preserve">in het licht van de drie </w:t>
      </w:r>
      <w:r w:rsidR="00DA4972">
        <w:rPr>
          <w:rFonts w:ascii="Times New Roman" w:hAnsi="Times New Roman" w:eastAsia="MS Mincho" w:cs="Times New Roman"/>
          <w:color w:val="000000" w:themeColor="text1"/>
          <w:shd w:val="clear" w:color="auto" w:fill="FFFFFF"/>
          <w:lang w:eastAsia="nl-NL"/>
        </w:rPr>
        <w:t xml:space="preserve">ijkpunten laat men met het niet ‘overdenken’ van het </w:t>
      </w:r>
      <w:r>
        <w:rPr>
          <w:rFonts w:ascii="Times New Roman" w:hAnsi="Times New Roman" w:eastAsia="MS Mincho" w:cs="Times New Roman"/>
          <w:color w:val="000000" w:themeColor="text1"/>
          <w:shd w:val="clear" w:color="auto" w:fill="FFFFFF"/>
          <w:lang w:eastAsia="nl-NL"/>
        </w:rPr>
        <w:t>opportuniteitsbeginsel in het moderniseringsproces een</w:t>
      </w:r>
      <w:r w:rsidR="00FF65FF">
        <w:rPr>
          <w:rFonts w:ascii="Times New Roman" w:hAnsi="Times New Roman" w:eastAsia="MS Mincho" w:cs="Times New Roman"/>
          <w:color w:val="000000" w:themeColor="text1"/>
          <w:shd w:val="clear" w:color="auto" w:fill="FFFFFF"/>
          <w:lang w:eastAsia="nl-NL"/>
        </w:rPr>
        <w:t xml:space="preserve">, niet vrijblijvende, </w:t>
      </w:r>
      <w:r>
        <w:rPr>
          <w:rFonts w:ascii="Times New Roman" w:hAnsi="Times New Roman" w:eastAsia="MS Mincho" w:cs="Times New Roman"/>
          <w:color w:val="000000" w:themeColor="text1"/>
          <w:shd w:val="clear" w:color="auto" w:fill="FFFFFF"/>
          <w:lang w:eastAsia="nl-NL"/>
        </w:rPr>
        <w:t>kans lopen</w:t>
      </w:r>
      <w:r w:rsidR="00DA4972">
        <w:rPr>
          <w:rFonts w:ascii="Times New Roman" w:hAnsi="Times New Roman" w:eastAsia="MS Mincho" w:cs="Times New Roman"/>
          <w:color w:val="000000" w:themeColor="text1"/>
          <w:shd w:val="clear" w:color="auto" w:fill="FFFFFF"/>
          <w:lang w:eastAsia="nl-NL"/>
        </w:rPr>
        <w:t>.</w:t>
      </w:r>
      <w:r w:rsidR="00DF6759">
        <w:rPr>
          <w:rFonts w:ascii="Times New Roman" w:hAnsi="Times New Roman" w:eastAsia="MS Mincho" w:cs="Times New Roman"/>
          <w:color w:val="000000" w:themeColor="text1"/>
          <w:shd w:val="clear" w:color="auto" w:fill="FFFFFF"/>
          <w:lang w:eastAsia="nl-NL"/>
        </w:rPr>
        <w:t xml:space="preserve"> </w:t>
      </w:r>
    </w:p>
    <w:p w:rsidRPr="006A2AED" w:rsidR="00A37717" w:rsidP="00637E64" w:rsidRDefault="00A37717">
      <w:pPr>
        <w:pStyle w:val="Default"/>
        <w:rPr>
          <w:rFonts w:ascii="Times New Roman" w:hAnsi="Times New Roman" w:cs="Times New Roman"/>
          <w:color w:val="FF0000"/>
        </w:rPr>
      </w:pPr>
    </w:p>
    <w:p w:rsidRPr="006F3657" w:rsidR="00455EDB" w:rsidP="00455EDB" w:rsidRDefault="00E1269F">
      <w:pPr>
        <w:pStyle w:val="Default"/>
        <w:rPr>
          <w:rFonts w:ascii="Times New Roman" w:hAnsi="Times New Roman" w:eastAsia="MS Mincho" w:cs="Times New Roman"/>
          <w:shd w:val="clear" w:color="auto" w:fill="FFFFFF"/>
          <w:lang w:eastAsia="nl-NL"/>
        </w:rPr>
      </w:pPr>
      <w:r>
        <w:rPr>
          <w:rFonts w:ascii="Times New Roman" w:hAnsi="Times New Roman" w:eastAsia="MS Mincho" w:cs="Times New Roman"/>
          <w:shd w:val="clear" w:color="auto" w:fill="FFFFFF"/>
          <w:lang w:eastAsia="nl-NL"/>
        </w:rPr>
        <w:t xml:space="preserve">Aansluitend op de besproken wisselwerking tussen het formele en het materiële strafrecht </w:t>
      </w:r>
      <w:r w:rsidR="001A4150">
        <w:rPr>
          <w:rFonts w:ascii="Times New Roman" w:hAnsi="Times New Roman" w:eastAsia="MS Mincho" w:cs="Times New Roman"/>
          <w:shd w:val="clear" w:color="auto" w:fill="FFFFFF"/>
          <w:lang w:eastAsia="nl-NL"/>
        </w:rPr>
        <w:t>neme</w:t>
      </w:r>
      <w:r w:rsidR="000F7303">
        <w:rPr>
          <w:rFonts w:ascii="Times New Roman" w:hAnsi="Times New Roman" w:eastAsia="MS Mincho" w:cs="Times New Roman"/>
          <w:shd w:val="clear" w:color="auto" w:fill="FFFFFF"/>
          <w:lang w:eastAsia="nl-NL"/>
        </w:rPr>
        <w:t>n</w:t>
      </w:r>
      <w:r w:rsidR="001A4150">
        <w:rPr>
          <w:rFonts w:ascii="Times New Roman" w:hAnsi="Times New Roman" w:eastAsia="MS Mincho" w:cs="Times New Roman"/>
          <w:shd w:val="clear" w:color="auto" w:fill="FFFFFF"/>
          <w:lang w:eastAsia="nl-NL"/>
        </w:rPr>
        <w:t xml:space="preserve"> we een tweede thema </w:t>
      </w:r>
      <w:r>
        <w:rPr>
          <w:rFonts w:ascii="Times New Roman" w:hAnsi="Times New Roman" w:eastAsia="MS Mincho" w:cs="Times New Roman"/>
          <w:shd w:val="clear" w:color="auto" w:fill="FFFFFF"/>
          <w:lang w:eastAsia="nl-NL"/>
        </w:rPr>
        <w:t>onder de loep</w:t>
      </w:r>
      <w:r w:rsidR="001A4150">
        <w:rPr>
          <w:rFonts w:ascii="Times New Roman" w:hAnsi="Times New Roman" w:eastAsia="MS Mincho" w:cs="Times New Roman"/>
          <w:shd w:val="clear" w:color="auto" w:fill="FFFFFF"/>
          <w:lang w:eastAsia="nl-NL"/>
        </w:rPr>
        <w:t xml:space="preserve"> waar kansen zichtbaar worden. </w:t>
      </w:r>
      <w:r w:rsidRPr="007C5808" w:rsidR="00C735CB">
        <w:rPr>
          <w:rFonts w:ascii="Times New Roman" w:hAnsi="Times New Roman" w:eastAsia="MS Mincho" w:cs="Times New Roman"/>
          <w:shd w:val="clear" w:color="auto" w:fill="FFFFFF"/>
          <w:lang w:eastAsia="nl-NL"/>
        </w:rPr>
        <w:t>De opvatting</w:t>
      </w:r>
      <w:r w:rsidR="00455EDB">
        <w:rPr>
          <w:rFonts w:ascii="Times New Roman" w:hAnsi="Times New Roman" w:eastAsia="MS Mincho" w:cs="Times New Roman"/>
          <w:shd w:val="clear" w:color="auto" w:fill="FFFFFF"/>
          <w:lang w:eastAsia="nl-NL"/>
        </w:rPr>
        <w:t xml:space="preserve">en </w:t>
      </w:r>
      <w:r w:rsidRPr="007C5808" w:rsidR="00C735CB">
        <w:rPr>
          <w:rFonts w:ascii="Times New Roman" w:hAnsi="Times New Roman" w:eastAsia="MS Mincho" w:cs="Times New Roman"/>
          <w:shd w:val="clear" w:color="auto" w:fill="FFFFFF"/>
          <w:lang w:eastAsia="nl-NL"/>
        </w:rPr>
        <w:t>van de wetgever over de aard</w:t>
      </w:r>
      <w:r w:rsidR="006F3657">
        <w:rPr>
          <w:rStyle w:val="FootnoteReference"/>
          <w:rFonts w:ascii="Times New Roman" w:hAnsi="Times New Roman" w:eastAsia="MS Mincho"/>
          <w:shd w:val="clear" w:color="auto" w:fill="FFFFFF"/>
          <w:lang w:eastAsia="nl-NL"/>
        </w:rPr>
        <w:footnoteReference w:id="30"/>
      </w:r>
      <w:r w:rsidRPr="007C5808" w:rsidR="00C735CB">
        <w:rPr>
          <w:rFonts w:ascii="Times New Roman" w:hAnsi="Times New Roman" w:eastAsia="MS Mincho" w:cs="Times New Roman"/>
          <w:shd w:val="clear" w:color="auto" w:fill="FFFFFF"/>
          <w:lang w:eastAsia="nl-NL"/>
        </w:rPr>
        <w:t xml:space="preserve"> en ernst van de normschending, de overtreding van de strafwet, heeft zijn sturend karakter voor het strafvorderlijk vervolg al deels verloren. Voorbeelden uit recente wetgevingsgeschiedenis waarbij het wettelijk strafmaximum werd verhoogd omwille van het mogelijk maken van voorlopige hechtenis zijn daarvoor illustratief.</w:t>
      </w:r>
      <w:r w:rsidRPr="007C5808" w:rsidR="00C735CB">
        <w:rPr>
          <w:rStyle w:val="FootnoteReference"/>
          <w:rFonts w:ascii="Times New Roman" w:hAnsi="Times New Roman" w:eastAsia="MS Mincho"/>
          <w:shd w:val="clear" w:color="auto" w:fill="FFFFFF"/>
          <w:lang w:eastAsia="nl-NL"/>
        </w:rPr>
        <w:footnoteReference w:id="31"/>
      </w:r>
      <w:r w:rsidRPr="007C5808" w:rsidR="00C735CB">
        <w:rPr>
          <w:rFonts w:ascii="Times New Roman" w:hAnsi="Times New Roman" w:eastAsia="MS Mincho" w:cs="Times New Roman"/>
          <w:shd w:val="clear" w:color="auto" w:fill="FFFFFF"/>
          <w:lang w:eastAsia="nl-NL"/>
        </w:rPr>
        <w:t xml:space="preserve"> </w:t>
      </w:r>
      <w:r w:rsidRPr="007C5808" w:rsidR="00C716A5">
        <w:rPr>
          <w:rFonts w:ascii="Times New Roman" w:hAnsi="Times New Roman" w:eastAsia="MS Mincho" w:cs="Times New Roman"/>
          <w:shd w:val="clear" w:color="auto" w:fill="FFFFFF"/>
          <w:lang w:eastAsia="nl-NL"/>
        </w:rPr>
        <w:t xml:space="preserve"> Ook de onderscheiding tussen misdrijven en overtredingen, een principi</w:t>
      </w:r>
      <w:r w:rsidR="00F067BA">
        <w:rPr>
          <w:rFonts w:ascii="Times New Roman" w:hAnsi="Times New Roman" w:eastAsia="MS Mincho" w:cs="Times New Roman"/>
          <w:shd w:val="clear" w:color="auto" w:fill="FFFFFF"/>
          <w:lang w:eastAsia="nl-NL"/>
        </w:rPr>
        <w:t>eel onderscheid in het gedachte</w:t>
      </w:r>
      <w:r w:rsidRPr="007C5808" w:rsidR="00C716A5">
        <w:rPr>
          <w:rFonts w:ascii="Times New Roman" w:hAnsi="Times New Roman" w:eastAsia="MS Mincho" w:cs="Times New Roman"/>
          <w:shd w:val="clear" w:color="auto" w:fill="FFFFFF"/>
          <w:lang w:eastAsia="nl-NL"/>
        </w:rPr>
        <w:t>goed van de normstelling in het materiële strafrecht</w:t>
      </w:r>
      <w:r w:rsidR="00DF6759">
        <w:rPr>
          <w:rFonts w:ascii="Times New Roman" w:hAnsi="Times New Roman" w:eastAsia="MS Mincho" w:cs="Times New Roman"/>
          <w:shd w:val="clear" w:color="auto" w:fill="FFFFFF"/>
          <w:lang w:eastAsia="nl-NL"/>
        </w:rPr>
        <w:t xml:space="preserve">, </w:t>
      </w:r>
      <w:r w:rsidRPr="007C5808" w:rsidR="00C716A5">
        <w:rPr>
          <w:rFonts w:ascii="Times New Roman" w:hAnsi="Times New Roman" w:eastAsia="MS Mincho" w:cs="Times New Roman"/>
          <w:shd w:val="clear" w:color="auto" w:fill="FFFFFF"/>
          <w:lang w:eastAsia="nl-NL"/>
        </w:rPr>
        <w:t xml:space="preserve">heeft nauwelijks meer een weerslag in </w:t>
      </w:r>
      <w:r w:rsidR="00DF6759">
        <w:rPr>
          <w:rFonts w:ascii="Times New Roman" w:hAnsi="Times New Roman" w:eastAsia="MS Mincho" w:cs="Times New Roman"/>
          <w:shd w:val="clear" w:color="auto" w:fill="FFFFFF"/>
          <w:lang w:eastAsia="nl-NL"/>
        </w:rPr>
        <w:t>de tot nu toe geopenbaarde voorstellen voor het gemoderniseerde p</w:t>
      </w:r>
      <w:r w:rsidRPr="007C5808" w:rsidR="00C716A5">
        <w:rPr>
          <w:rFonts w:ascii="Times New Roman" w:hAnsi="Times New Roman" w:eastAsia="MS Mincho" w:cs="Times New Roman"/>
          <w:shd w:val="clear" w:color="auto" w:fill="FFFFFF"/>
          <w:lang w:eastAsia="nl-NL"/>
        </w:rPr>
        <w:t xml:space="preserve">rocesrecht. Of het nu gaat om de </w:t>
      </w:r>
      <w:r>
        <w:rPr>
          <w:rFonts w:ascii="Times New Roman" w:hAnsi="Times New Roman" w:eastAsia="MS Mincho" w:cs="Times New Roman"/>
          <w:shd w:val="clear" w:color="auto" w:fill="FFFFFF"/>
          <w:lang w:eastAsia="nl-NL"/>
        </w:rPr>
        <w:t xml:space="preserve">keuze tussen </w:t>
      </w:r>
      <w:r w:rsidRPr="007C5808" w:rsidR="00C716A5">
        <w:rPr>
          <w:rFonts w:ascii="Times New Roman" w:hAnsi="Times New Roman" w:eastAsia="MS Mincho" w:cs="Times New Roman"/>
          <w:shd w:val="clear" w:color="auto" w:fill="FFFFFF"/>
          <w:lang w:eastAsia="nl-NL"/>
        </w:rPr>
        <w:t xml:space="preserve">berechting door politierechter </w:t>
      </w:r>
      <w:r>
        <w:rPr>
          <w:rFonts w:ascii="Times New Roman" w:hAnsi="Times New Roman" w:eastAsia="MS Mincho" w:cs="Times New Roman"/>
          <w:shd w:val="clear" w:color="auto" w:fill="FFFFFF"/>
          <w:lang w:eastAsia="nl-NL"/>
        </w:rPr>
        <w:t xml:space="preserve">of meervoudige kamer, dan wel </w:t>
      </w:r>
      <w:r w:rsidRPr="007C5808" w:rsidR="00C716A5">
        <w:rPr>
          <w:rFonts w:ascii="Times New Roman" w:hAnsi="Times New Roman" w:eastAsia="MS Mincho" w:cs="Times New Roman"/>
          <w:shd w:val="clear" w:color="auto" w:fill="FFFFFF"/>
          <w:lang w:eastAsia="nl-NL"/>
        </w:rPr>
        <w:t xml:space="preserve">om de bevoegdheid tot het </w:t>
      </w:r>
      <w:r w:rsidRPr="007C5808" w:rsidR="007E332B">
        <w:rPr>
          <w:rFonts w:ascii="Times New Roman" w:hAnsi="Times New Roman" w:eastAsia="MS Mincho" w:cs="Times New Roman"/>
          <w:shd w:val="clear" w:color="auto" w:fill="FFFFFF"/>
          <w:lang w:eastAsia="nl-NL"/>
        </w:rPr>
        <w:t>t</w:t>
      </w:r>
      <w:r w:rsidRPr="007C5808" w:rsidR="00C716A5">
        <w:rPr>
          <w:rFonts w:ascii="Times New Roman" w:hAnsi="Times New Roman" w:eastAsia="MS Mincho" w:cs="Times New Roman"/>
          <w:shd w:val="clear" w:color="auto" w:fill="FFFFFF"/>
          <w:lang w:eastAsia="nl-NL"/>
        </w:rPr>
        <w:t xml:space="preserve">oepassen van een strafbeschikking, de </w:t>
      </w:r>
      <w:r w:rsidRPr="007C5808" w:rsidR="007E332B">
        <w:rPr>
          <w:rFonts w:ascii="Times New Roman" w:hAnsi="Times New Roman" w:eastAsia="MS Mincho" w:cs="Times New Roman"/>
          <w:shd w:val="clear" w:color="auto" w:fill="FFFFFF"/>
          <w:lang w:eastAsia="nl-NL"/>
        </w:rPr>
        <w:t xml:space="preserve">relatie met </w:t>
      </w:r>
      <w:r w:rsidRPr="007C5808" w:rsidR="00C716A5">
        <w:rPr>
          <w:rFonts w:ascii="Times New Roman" w:hAnsi="Times New Roman" w:eastAsia="MS Mincho" w:cs="Times New Roman"/>
          <w:shd w:val="clear" w:color="auto" w:fill="FFFFFF"/>
          <w:lang w:eastAsia="nl-NL"/>
        </w:rPr>
        <w:t>de aard en ernst van het str</w:t>
      </w:r>
      <w:r w:rsidRPr="007C5808" w:rsidR="007E332B">
        <w:rPr>
          <w:rFonts w:ascii="Times New Roman" w:hAnsi="Times New Roman" w:eastAsia="MS Mincho" w:cs="Times New Roman"/>
          <w:shd w:val="clear" w:color="auto" w:fill="FFFFFF"/>
          <w:lang w:eastAsia="nl-NL"/>
        </w:rPr>
        <w:t xml:space="preserve">afbare feit is zo </w:t>
      </w:r>
      <w:r w:rsidRPr="006F3657" w:rsidR="007E332B">
        <w:rPr>
          <w:rFonts w:ascii="Times New Roman" w:hAnsi="Times New Roman" w:eastAsia="MS Mincho" w:cs="Times New Roman"/>
          <w:shd w:val="clear" w:color="auto" w:fill="FFFFFF"/>
          <w:lang w:eastAsia="nl-NL"/>
        </w:rPr>
        <w:t xml:space="preserve">goed als verdwenen. </w:t>
      </w:r>
    </w:p>
    <w:p w:rsidRPr="006F3657" w:rsidR="00BF00A9" w:rsidP="006F3657" w:rsidRDefault="00DF6759">
      <w:pPr>
        <w:pStyle w:val="CommentText"/>
        <w:rPr>
          <w:rFonts w:ascii="Times New Roman" w:hAnsi="Times New Roman" w:eastAsia="MS Mincho" w:cs="Times New Roman"/>
          <w:sz w:val="24"/>
          <w:szCs w:val="24"/>
          <w:shd w:val="clear" w:color="auto" w:fill="FFFFFF"/>
          <w:lang w:eastAsia="nl-NL"/>
        </w:rPr>
      </w:pPr>
      <w:r w:rsidRPr="006F3657">
        <w:rPr>
          <w:rFonts w:ascii="Times New Roman" w:hAnsi="Times New Roman" w:eastAsia="MS Mincho" w:cs="Times New Roman"/>
          <w:sz w:val="24"/>
          <w:szCs w:val="24"/>
          <w:shd w:val="clear" w:color="auto" w:fill="FFFFFF"/>
          <w:lang w:eastAsia="nl-NL"/>
        </w:rPr>
        <w:t>Als voorbeeld kan dienen de</w:t>
      </w:r>
      <w:r w:rsidRPr="006F3657" w:rsidR="00455EDB">
        <w:rPr>
          <w:rFonts w:ascii="Times New Roman" w:hAnsi="Times New Roman" w:eastAsia="MS Mincho" w:cs="Times New Roman"/>
          <w:sz w:val="24"/>
          <w:szCs w:val="24"/>
          <w:shd w:val="clear" w:color="auto" w:fill="FFFFFF"/>
          <w:lang w:eastAsia="nl-NL"/>
        </w:rPr>
        <w:t xml:space="preserve"> b</w:t>
      </w:r>
      <w:r w:rsidRPr="006F3657" w:rsidR="00761E97">
        <w:rPr>
          <w:rFonts w:ascii="Times New Roman" w:hAnsi="Times New Roman" w:eastAsia="MS Mincho" w:cs="Times New Roman"/>
          <w:sz w:val="24"/>
          <w:szCs w:val="24"/>
          <w:shd w:val="clear" w:color="auto" w:fill="FFFFFF"/>
          <w:lang w:eastAsia="nl-NL"/>
        </w:rPr>
        <w:t xml:space="preserve">ij de bespreking van </w:t>
      </w:r>
      <w:r w:rsidRPr="006F3657" w:rsidR="000C450D">
        <w:rPr>
          <w:rFonts w:ascii="Times New Roman" w:hAnsi="Times New Roman" w:eastAsia="MS Mincho" w:cs="Times New Roman"/>
          <w:sz w:val="24"/>
          <w:szCs w:val="24"/>
          <w:shd w:val="clear" w:color="auto" w:fill="FFFFFF"/>
          <w:lang w:eastAsia="nl-NL"/>
        </w:rPr>
        <w:t xml:space="preserve">de herstructurering van het </w:t>
      </w:r>
      <w:r w:rsidRPr="006F3657" w:rsidR="00761E97">
        <w:rPr>
          <w:rFonts w:ascii="Times New Roman" w:hAnsi="Times New Roman" w:eastAsia="MS Mincho" w:cs="Times New Roman"/>
          <w:sz w:val="24"/>
          <w:szCs w:val="24"/>
          <w:shd w:val="clear" w:color="auto" w:fill="FFFFFF"/>
          <w:lang w:eastAsia="nl-NL"/>
        </w:rPr>
        <w:t>voorbereidend onderzoek</w:t>
      </w:r>
      <w:r w:rsidRPr="006F3657" w:rsidR="00C735CB">
        <w:rPr>
          <w:rFonts w:ascii="Times New Roman" w:hAnsi="Times New Roman" w:eastAsia="MS Mincho" w:cs="Times New Roman"/>
          <w:sz w:val="24"/>
          <w:szCs w:val="24"/>
          <w:shd w:val="clear" w:color="auto" w:fill="FFFFFF"/>
          <w:lang w:eastAsia="nl-NL"/>
        </w:rPr>
        <w:t xml:space="preserve"> in de Contourennota </w:t>
      </w:r>
      <w:r w:rsidRPr="006F3657">
        <w:rPr>
          <w:rFonts w:ascii="Times New Roman" w:hAnsi="Times New Roman" w:eastAsia="MS Mincho" w:cs="Times New Roman"/>
          <w:sz w:val="24"/>
          <w:szCs w:val="24"/>
          <w:shd w:val="clear" w:color="auto" w:fill="FFFFFF"/>
          <w:lang w:eastAsia="nl-NL"/>
        </w:rPr>
        <w:t xml:space="preserve">voorgestelde </w:t>
      </w:r>
      <w:r w:rsidRPr="006F3657" w:rsidR="00C735CB">
        <w:rPr>
          <w:rFonts w:ascii="Times New Roman" w:hAnsi="Times New Roman" w:eastAsia="MS Mincho" w:cs="Times New Roman"/>
          <w:sz w:val="24"/>
          <w:szCs w:val="24"/>
          <w:shd w:val="clear" w:color="auto" w:fill="FFFFFF"/>
          <w:lang w:eastAsia="nl-NL"/>
        </w:rPr>
        <w:t xml:space="preserve">vereenvoudiging </w:t>
      </w:r>
      <w:r w:rsidRPr="006F3657">
        <w:rPr>
          <w:rFonts w:ascii="Times New Roman" w:hAnsi="Times New Roman" w:eastAsia="MS Mincho" w:cs="Times New Roman"/>
          <w:sz w:val="24"/>
          <w:szCs w:val="24"/>
          <w:shd w:val="clear" w:color="auto" w:fill="FFFFFF"/>
          <w:lang w:eastAsia="nl-NL"/>
        </w:rPr>
        <w:t xml:space="preserve">van </w:t>
      </w:r>
      <w:r w:rsidRPr="006F3657" w:rsidR="00C735CB">
        <w:rPr>
          <w:rFonts w:ascii="Times New Roman" w:hAnsi="Times New Roman" w:eastAsia="MS Mincho" w:cs="Times New Roman"/>
          <w:sz w:val="24"/>
          <w:szCs w:val="24"/>
          <w:shd w:val="clear" w:color="auto" w:fill="FFFFFF"/>
          <w:lang w:eastAsia="nl-NL"/>
        </w:rPr>
        <w:t>het voorlopige hechtenis-criterium als maatstaf voor de uitoefening van bevoegdheden</w:t>
      </w:r>
      <w:r w:rsidRPr="006F3657" w:rsidR="001A4150">
        <w:rPr>
          <w:rFonts w:ascii="Times New Roman" w:hAnsi="Times New Roman" w:eastAsia="MS Mincho" w:cs="Times New Roman"/>
          <w:sz w:val="24"/>
          <w:szCs w:val="24"/>
          <w:shd w:val="clear" w:color="auto" w:fill="FFFFFF"/>
          <w:lang w:eastAsia="nl-NL"/>
        </w:rPr>
        <w:t xml:space="preserve">. Men stelt voor dat </w:t>
      </w:r>
      <w:r w:rsidRPr="006F3657" w:rsidR="00A85C59">
        <w:rPr>
          <w:rFonts w:ascii="Times New Roman" w:hAnsi="Times New Roman" w:eastAsia="MS Mincho" w:cs="Times New Roman"/>
          <w:sz w:val="24"/>
          <w:szCs w:val="24"/>
          <w:shd w:val="clear" w:color="auto" w:fill="FFFFFF"/>
          <w:lang w:eastAsia="nl-NL"/>
        </w:rPr>
        <w:t>te</w:t>
      </w:r>
      <w:r w:rsidRPr="006F3657" w:rsidR="00C735CB">
        <w:rPr>
          <w:rFonts w:ascii="Times New Roman" w:hAnsi="Times New Roman" w:eastAsia="MS Mincho" w:cs="Times New Roman"/>
          <w:sz w:val="24"/>
          <w:szCs w:val="24"/>
          <w:shd w:val="clear" w:color="auto" w:fill="FFFFFF"/>
          <w:lang w:eastAsia="nl-NL"/>
        </w:rPr>
        <w:t xml:space="preserve"> </w:t>
      </w:r>
      <w:r w:rsidRPr="006F3657" w:rsidR="000C450D">
        <w:rPr>
          <w:rFonts w:ascii="Times New Roman" w:hAnsi="Times New Roman" w:eastAsia="MS Mincho" w:cs="Times New Roman"/>
          <w:sz w:val="24"/>
          <w:szCs w:val="24"/>
          <w:shd w:val="clear" w:color="auto" w:fill="FFFFFF"/>
          <w:lang w:eastAsia="nl-NL"/>
        </w:rPr>
        <w:t xml:space="preserve">vervangen door een beperkte set van </w:t>
      </w:r>
      <w:proofErr w:type="spellStart"/>
      <w:r w:rsidRPr="006F3657" w:rsidR="000C450D">
        <w:rPr>
          <w:rFonts w:ascii="Times New Roman" w:hAnsi="Times New Roman" w:eastAsia="MS Mincho" w:cs="Times New Roman"/>
          <w:sz w:val="24"/>
          <w:szCs w:val="24"/>
          <w:shd w:val="clear" w:color="auto" w:fill="FFFFFF"/>
          <w:lang w:eastAsia="nl-NL"/>
        </w:rPr>
        <w:t>verdenkingscritera</w:t>
      </w:r>
      <w:proofErr w:type="spellEnd"/>
      <w:r w:rsidRPr="006F3657" w:rsidR="000C450D">
        <w:rPr>
          <w:rFonts w:ascii="Times New Roman" w:hAnsi="Times New Roman" w:eastAsia="MS Mincho" w:cs="Times New Roman"/>
          <w:sz w:val="24"/>
          <w:szCs w:val="24"/>
          <w:shd w:val="clear" w:color="auto" w:fill="FFFFFF"/>
          <w:lang w:eastAsia="nl-NL"/>
        </w:rPr>
        <w:t xml:space="preserve">, namelijk een verdeling in vier gradaties van strafbare feiten, gebaseerd – </w:t>
      </w:r>
      <w:r w:rsidRPr="006F3657" w:rsidR="00A85C59">
        <w:rPr>
          <w:rFonts w:ascii="Times New Roman" w:hAnsi="Times New Roman" w:eastAsia="MS Mincho" w:cs="Times New Roman"/>
          <w:sz w:val="24"/>
          <w:szCs w:val="24"/>
          <w:shd w:val="clear" w:color="auto" w:fill="FFFFFF"/>
          <w:lang w:eastAsia="nl-NL"/>
        </w:rPr>
        <w:t xml:space="preserve">overigens </w:t>
      </w:r>
      <w:r w:rsidRPr="006F3657" w:rsidR="000C450D">
        <w:rPr>
          <w:rFonts w:ascii="Times New Roman" w:hAnsi="Times New Roman" w:eastAsia="MS Mincho" w:cs="Times New Roman"/>
          <w:sz w:val="24"/>
          <w:szCs w:val="24"/>
          <w:shd w:val="clear" w:color="auto" w:fill="FFFFFF"/>
          <w:lang w:eastAsia="nl-NL"/>
        </w:rPr>
        <w:t xml:space="preserve">niet consistent – op de </w:t>
      </w:r>
      <w:r w:rsidRPr="006F3657" w:rsidR="004404C2">
        <w:rPr>
          <w:rFonts w:ascii="Times New Roman" w:hAnsi="Times New Roman" w:eastAsia="MS Mincho" w:cs="Times New Roman"/>
          <w:sz w:val="24"/>
          <w:szCs w:val="24"/>
          <w:shd w:val="clear" w:color="auto" w:fill="FFFFFF"/>
          <w:lang w:eastAsia="nl-NL"/>
        </w:rPr>
        <w:t>hoogte van de strafbedreiging.</w:t>
      </w:r>
      <w:r w:rsidRPr="006F3657" w:rsidR="004404C2">
        <w:rPr>
          <w:rStyle w:val="FootnoteReference"/>
          <w:rFonts w:ascii="Times New Roman" w:hAnsi="Times New Roman" w:eastAsia="MS Mincho"/>
          <w:sz w:val="24"/>
          <w:szCs w:val="24"/>
          <w:shd w:val="clear" w:color="auto" w:fill="FFFFFF"/>
          <w:lang w:eastAsia="nl-NL"/>
        </w:rPr>
        <w:footnoteReference w:id="32"/>
      </w:r>
      <w:r w:rsidRPr="006F3657" w:rsidR="000C450D">
        <w:rPr>
          <w:rFonts w:ascii="Times New Roman" w:hAnsi="Times New Roman" w:eastAsia="MS Mincho" w:cs="Times New Roman"/>
          <w:sz w:val="24"/>
          <w:szCs w:val="24"/>
          <w:shd w:val="clear" w:color="auto" w:fill="FFFFFF"/>
          <w:lang w:eastAsia="nl-NL"/>
        </w:rPr>
        <w:t xml:space="preserve"> De </w:t>
      </w:r>
      <w:r w:rsidRPr="006F3657" w:rsidR="000C450D">
        <w:rPr>
          <w:rFonts w:ascii="Times New Roman" w:hAnsi="Times New Roman" w:eastAsia="MS Mincho" w:cs="Times New Roman"/>
          <w:sz w:val="24"/>
          <w:szCs w:val="24"/>
          <w:shd w:val="clear" w:color="auto" w:fill="FFFFFF"/>
          <w:lang w:eastAsia="nl-NL"/>
        </w:rPr>
        <w:lastRenderedPageBreak/>
        <w:t xml:space="preserve">vereenvoudiging wordt aldus wel gekoppeld aan de ernst van het feit in abstracto. </w:t>
      </w:r>
      <w:r w:rsidRPr="006F3657" w:rsidR="00C228F1">
        <w:rPr>
          <w:rFonts w:ascii="Times New Roman" w:hAnsi="Times New Roman" w:eastAsia="MS Mincho" w:cs="Times New Roman"/>
          <w:sz w:val="24"/>
          <w:szCs w:val="24"/>
          <w:shd w:val="clear" w:color="auto" w:fill="FFFFFF"/>
          <w:lang w:eastAsia="nl-NL"/>
        </w:rPr>
        <w:t xml:space="preserve">De aard van het strafbare feit, die nu in de regeling van voorlopige hechtenis wél een rol speelt (zoals de </w:t>
      </w:r>
      <w:r w:rsidRPr="006F3657" w:rsidR="006F3657">
        <w:rPr>
          <w:rFonts w:ascii="Times New Roman" w:hAnsi="Times New Roman" w:eastAsia="MS Mincho" w:cs="Times New Roman"/>
          <w:sz w:val="24"/>
          <w:szCs w:val="24"/>
          <w:shd w:val="clear" w:color="auto" w:fill="FFFFFF"/>
          <w:lang w:eastAsia="nl-NL"/>
        </w:rPr>
        <w:t xml:space="preserve">specifieke </w:t>
      </w:r>
      <w:r w:rsidRPr="006F3657" w:rsidR="00C228F1">
        <w:rPr>
          <w:rFonts w:ascii="Times New Roman" w:hAnsi="Times New Roman" w:eastAsia="MS Mincho" w:cs="Times New Roman"/>
          <w:sz w:val="24"/>
          <w:szCs w:val="24"/>
          <w:shd w:val="clear" w:color="auto" w:fill="FFFFFF"/>
          <w:lang w:eastAsia="nl-NL"/>
        </w:rPr>
        <w:t xml:space="preserve">delicten die worden genoemd in art. 67 lid 1 sub b en c en lid 2 ), lijkt zijn betekenis te verliezen. De normering van de bevoegdheden wordt in de voorstellen wél gekoppeld aan </w:t>
      </w:r>
      <w:r w:rsidRPr="006F3657" w:rsidR="00BF00A9">
        <w:rPr>
          <w:rFonts w:ascii="Times New Roman" w:hAnsi="Times New Roman" w:eastAsia="MS Mincho" w:cs="Times New Roman"/>
          <w:sz w:val="24"/>
          <w:szCs w:val="24"/>
          <w:shd w:val="clear" w:color="auto" w:fill="FFFFFF"/>
          <w:lang w:eastAsia="nl-NL"/>
        </w:rPr>
        <w:t xml:space="preserve">de noties van </w:t>
      </w:r>
      <w:r w:rsidRPr="006F3657" w:rsidR="00C228F1">
        <w:rPr>
          <w:rFonts w:ascii="Times New Roman" w:hAnsi="Times New Roman" w:eastAsia="MS Mincho" w:cs="Times New Roman"/>
          <w:sz w:val="24"/>
          <w:szCs w:val="24"/>
          <w:shd w:val="clear" w:color="auto" w:fill="FFFFFF"/>
          <w:lang w:eastAsia="nl-NL"/>
        </w:rPr>
        <w:t>proportionaliteit en subsidiariteit, maar zonder daarbij de aard en/of ernst van het strafbare feit als wegingsfactor te benoemen.</w:t>
      </w:r>
      <w:r w:rsidRPr="006F3657" w:rsidR="00903E63">
        <w:rPr>
          <w:rStyle w:val="FootnoteReference"/>
          <w:rFonts w:ascii="Times New Roman" w:hAnsi="Times New Roman" w:eastAsia="MS Mincho"/>
          <w:sz w:val="24"/>
          <w:szCs w:val="24"/>
          <w:shd w:val="clear" w:color="auto" w:fill="FFFFFF"/>
          <w:lang w:eastAsia="nl-NL"/>
        </w:rPr>
        <w:footnoteReference w:id="33"/>
      </w:r>
      <w:r w:rsidRPr="006F3657" w:rsidR="00C228F1">
        <w:rPr>
          <w:rFonts w:ascii="Times New Roman" w:hAnsi="Times New Roman" w:eastAsia="MS Mincho" w:cs="Times New Roman"/>
          <w:sz w:val="24"/>
          <w:szCs w:val="24"/>
          <w:shd w:val="clear" w:color="auto" w:fill="FFFFFF"/>
          <w:lang w:eastAsia="nl-NL"/>
        </w:rPr>
        <w:t xml:space="preserve">  </w:t>
      </w:r>
      <w:r w:rsidRPr="006F3657" w:rsidR="00BF00A9">
        <w:rPr>
          <w:rFonts w:ascii="Times New Roman" w:hAnsi="Times New Roman" w:eastAsia="MS Mincho" w:cs="Times New Roman"/>
          <w:sz w:val="24"/>
          <w:szCs w:val="24"/>
          <w:shd w:val="clear" w:color="auto" w:fill="FFFFFF"/>
          <w:lang w:eastAsia="nl-NL"/>
        </w:rPr>
        <w:t xml:space="preserve">Ook waar het de </w:t>
      </w:r>
      <w:proofErr w:type="spellStart"/>
      <w:r w:rsidRPr="006F3657" w:rsidR="00BF00A9">
        <w:rPr>
          <w:rFonts w:ascii="Times New Roman" w:hAnsi="Times New Roman" w:eastAsia="MS Mincho" w:cs="Times New Roman"/>
          <w:sz w:val="24"/>
          <w:szCs w:val="24"/>
          <w:shd w:val="clear" w:color="auto" w:fill="FFFFFF"/>
          <w:lang w:eastAsia="nl-NL"/>
        </w:rPr>
        <w:t>ingrijpendheid</w:t>
      </w:r>
      <w:proofErr w:type="spellEnd"/>
      <w:r w:rsidRPr="006F3657" w:rsidR="00BF00A9">
        <w:rPr>
          <w:rFonts w:ascii="Times New Roman" w:hAnsi="Times New Roman" w:eastAsia="MS Mincho" w:cs="Times New Roman"/>
          <w:sz w:val="24"/>
          <w:szCs w:val="24"/>
          <w:shd w:val="clear" w:color="auto" w:fill="FFFFFF"/>
          <w:lang w:eastAsia="nl-NL"/>
        </w:rPr>
        <w:t xml:space="preserve"> van de bevoegdheden betreft verdwijnt de ernst van het feit uit beeld. </w:t>
      </w:r>
      <w:r w:rsidRPr="006F3657" w:rsidR="00C228F1">
        <w:rPr>
          <w:rFonts w:ascii="Times New Roman" w:hAnsi="Times New Roman" w:eastAsia="MS Mincho" w:cs="Times New Roman"/>
          <w:sz w:val="24"/>
          <w:szCs w:val="24"/>
          <w:shd w:val="clear" w:color="auto" w:fill="FFFFFF"/>
          <w:lang w:eastAsia="nl-NL"/>
        </w:rPr>
        <w:t xml:space="preserve">Het </w:t>
      </w:r>
      <w:r w:rsidRPr="006F3657" w:rsidR="00B36897">
        <w:rPr>
          <w:rFonts w:ascii="Times New Roman" w:hAnsi="Times New Roman" w:eastAsia="MS Mincho" w:cs="Times New Roman"/>
          <w:sz w:val="24"/>
          <w:szCs w:val="24"/>
          <w:shd w:val="clear" w:color="auto" w:fill="FFFFFF"/>
          <w:lang w:eastAsia="nl-NL"/>
        </w:rPr>
        <w:t xml:space="preserve">wetboek van 1926 </w:t>
      </w:r>
      <w:r w:rsidRPr="006F3657" w:rsidR="0086369C">
        <w:rPr>
          <w:rFonts w:ascii="Times New Roman" w:hAnsi="Times New Roman" w:eastAsia="MS Mincho" w:cs="Times New Roman"/>
          <w:sz w:val="24"/>
          <w:szCs w:val="24"/>
          <w:shd w:val="clear" w:color="auto" w:fill="FFFFFF"/>
          <w:lang w:eastAsia="nl-NL"/>
        </w:rPr>
        <w:t>kende t</w:t>
      </w:r>
      <w:r w:rsidRPr="006F3657" w:rsidR="001E4107">
        <w:rPr>
          <w:rFonts w:ascii="Times New Roman" w:hAnsi="Times New Roman" w:eastAsia="MS Mincho" w:cs="Times New Roman"/>
          <w:sz w:val="24"/>
          <w:szCs w:val="24"/>
          <w:shd w:val="clear" w:color="auto" w:fill="FFFFFF"/>
          <w:lang w:eastAsia="nl-NL"/>
        </w:rPr>
        <w:t>wee heldere, met elkaar verbonden principes: (1) h</w:t>
      </w:r>
      <w:r w:rsidRPr="006F3657" w:rsidR="00761E97">
        <w:rPr>
          <w:rFonts w:ascii="Times New Roman" w:hAnsi="Times New Roman" w:eastAsia="MS Mincho" w:cs="Times New Roman"/>
          <w:sz w:val="24"/>
          <w:szCs w:val="24"/>
          <w:shd w:val="clear" w:color="auto" w:fill="FFFFFF"/>
          <w:lang w:eastAsia="nl-NL"/>
        </w:rPr>
        <w:t>oe ernstiger het feit, hoe ingrijpender het dwangmiddel mag zijn</w:t>
      </w:r>
      <w:r w:rsidRPr="006F3657" w:rsidR="001E4107">
        <w:rPr>
          <w:rFonts w:ascii="Times New Roman" w:hAnsi="Times New Roman" w:eastAsia="MS Mincho" w:cs="Times New Roman"/>
          <w:sz w:val="24"/>
          <w:szCs w:val="24"/>
          <w:shd w:val="clear" w:color="auto" w:fill="FFFFFF"/>
          <w:lang w:eastAsia="nl-NL"/>
        </w:rPr>
        <w:t xml:space="preserve"> en (2) h</w:t>
      </w:r>
      <w:r w:rsidRPr="006F3657" w:rsidR="00761E97">
        <w:rPr>
          <w:rFonts w:ascii="Times New Roman" w:hAnsi="Times New Roman" w:eastAsia="MS Mincho" w:cs="Times New Roman"/>
          <w:sz w:val="24"/>
          <w:szCs w:val="24"/>
          <w:shd w:val="clear" w:color="auto" w:fill="FFFFFF"/>
          <w:lang w:eastAsia="nl-NL"/>
        </w:rPr>
        <w:t>oe ingrijpender het dwangmiddel</w:t>
      </w:r>
      <w:r w:rsidRPr="006F3657" w:rsidR="001E4107">
        <w:rPr>
          <w:rFonts w:ascii="Times New Roman" w:hAnsi="Times New Roman" w:eastAsia="MS Mincho" w:cs="Times New Roman"/>
          <w:sz w:val="24"/>
          <w:szCs w:val="24"/>
          <w:shd w:val="clear" w:color="auto" w:fill="FFFFFF"/>
          <w:lang w:eastAsia="nl-NL"/>
        </w:rPr>
        <w:t xml:space="preserve">, hoe hoger de bevoegde autoriteit in de rangorde moet zijn. Daarmee is zowel de </w:t>
      </w:r>
      <w:proofErr w:type="spellStart"/>
      <w:r w:rsidRPr="006F3657" w:rsidR="001E4107">
        <w:rPr>
          <w:rFonts w:ascii="Times New Roman" w:hAnsi="Times New Roman" w:eastAsia="MS Mincho" w:cs="Times New Roman"/>
          <w:sz w:val="24"/>
          <w:szCs w:val="24"/>
          <w:shd w:val="clear" w:color="auto" w:fill="FFFFFF"/>
          <w:lang w:eastAsia="nl-NL"/>
        </w:rPr>
        <w:t>ingrijpendheid</w:t>
      </w:r>
      <w:proofErr w:type="spellEnd"/>
      <w:r w:rsidRPr="006F3657" w:rsidR="001E4107">
        <w:rPr>
          <w:rFonts w:ascii="Times New Roman" w:hAnsi="Times New Roman" w:eastAsia="MS Mincho" w:cs="Times New Roman"/>
          <w:sz w:val="24"/>
          <w:szCs w:val="24"/>
          <w:shd w:val="clear" w:color="auto" w:fill="FFFFFF"/>
          <w:lang w:eastAsia="nl-NL"/>
        </w:rPr>
        <w:t xml:space="preserve"> van het dwangmiddel als het niveau van de justitiële autoriteit gekoppeld aan de ernst van het strafbare feit. </w:t>
      </w:r>
      <w:r w:rsidRPr="006F3657" w:rsidR="00BF00A9">
        <w:rPr>
          <w:rFonts w:ascii="Times New Roman" w:hAnsi="Times New Roman" w:eastAsia="MS Mincho" w:cs="Times New Roman"/>
          <w:sz w:val="24"/>
          <w:szCs w:val="24"/>
          <w:shd w:val="clear" w:color="auto" w:fill="FFFFFF"/>
          <w:lang w:eastAsia="nl-NL"/>
        </w:rPr>
        <w:t xml:space="preserve">Deze relatie </w:t>
      </w:r>
      <w:r w:rsidRPr="006F3657" w:rsidR="0086369C">
        <w:rPr>
          <w:rFonts w:ascii="Times New Roman" w:hAnsi="Times New Roman" w:eastAsia="MS Mincho" w:cs="Times New Roman"/>
          <w:sz w:val="24"/>
          <w:szCs w:val="24"/>
          <w:shd w:val="clear" w:color="auto" w:fill="FFFFFF"/>
          <w:lang w:eastAsia="nl-NL"/>
        </w:rPr>
        <w:t xml:space="preserve">met </w:t>
      </w:r>
      <w:r w:rsidRPr="006F3657" w:rsidR="00C716A5">
        <w:rPr>
          <w:rFonts w:ascii="Times New Roman" w:hAnsi="Times New Roman" w:eastAsia="MS Mincho" w:cs="Times New Roman"/>
          <w:sz w:val="24"/>
          <w:szCs w:val="24"/>
          <w:shd w:val="clear" w:color="auto" w:fill="FFFFFF"/>
          <w:lang w:eastAsia="nl-NL"/>
        </w:rPr>
        <w:t xml:space="preserve">de ernst van het feit </w:t>
      </w:r>
      <w:r w:rsidRPr="006F3657" w:rsidR="001E4107">
        <w:rPr>
          <w:rFonts w:ascii="Times New Roman" w:hAnsi="Times New Roman" w:eastAsia="MS Mincho" w:cs="Times New Roman"/>
          <w:sz w:val="24"/>
          <w:szCs w:val="24"/>
          <w:shd w:val="clear" w:color="auto" w:fill="FFFFFF"/>
          <w:lang w:eastAsia="nl-NL"/>
        </w:rPr>
        <w:t>verdwijnt in de reden</w:t>
      </w:r>
      <w:r w:rsidRPr="006F3657" w:rsidR="00C716A5">
        <w:rPr>
          <w:rFonts w:ascii="Times New Roman" w:hAnsi="Times New Roman" w:eastAsia="MS Mincho" w:cs="Times New Roman"/>
          <w:sz w:val="24"/>
          <w:szCs w:val="24"/>
          <w:shd w:val="clear" w:color="auto" w:fill="FFFFFF"/>
          <w:lang w:eastAsia="nl-NL"/>
        </w:rPr>
        <w:t>e</w:t>
      </w:r>
      <w:r w:rsidRPr="006F3657" w:rsidR="001E4107">
        <w:rPr>
          <w:rFonts w:ascii="Times New Roman" w:hAnsi="Times New Roman" w:eastAsia="MS Mincho" w:cs="Times New Roman"/>
          <w:sz w:val="24"/>
          <w:szCs w:val="24"/>
          <w:shd w:val="clear" w:color="auto" w:fill="FFFFFF"/>
          <w:lang w:eastAsia="nl-NL"/>
        </w:rPr>
        <w:t xml:space="preserve">ring </w:t>
      </w:r>
      <w:r w:rsidRPr="006F3657" w:rsidR="00C716A5">
        <w:rPr>
          <w:rFonts w:ascii="Times New Roman" w:hAnsi="Times New Roman" w:eastAsia="MS Mincho" w:cs="Times New Roman"/>
          <w:sz w:val="24"/>
          <w:szCs w:val="24"/>
          <w:shd w:val="clear" w:color="auto" w:fill="FFFFFF"/>
          <w:lang w:eastAsia="nl-NL"/>
        </w:rPr>
        <w:t xml:space="preserve">die </w:t>
      </w:r>
      <w:r w:rsidRPr="006F3657" w:rsidR="0086369C">
        <w:rPr>
          <w:rFonts w:ascii="Times New Roman" w:hAnsi="Times New Roman" w:eastAsia="MS Mincho" w:cs="Times New Roman"/>
          <w:sz w:val="24"/>
          <w:szCs w:val="24"/>
          <w:shd w:val="clear" w:color="auto" w:fill="FFFFFF"/>
          <w:lang w:eastAsia="nl-NL"/>
        </w:rPr>
        <w:t xml:space="preserve">in het kader van de bevoegdheidsuitoefening </w:t>
      </w:r>
      <w:r w:rsidRPr="006F3657" w:rsidR="00C716A5">
        <w:rPr>
          <w:rFonts w:ascii="Times New Roman" w:hAnsi="Times New Roman" w:eastAsia="MS Mincho" w:cs="Times New Roman"/>
          <w:sz w:val="24"/>
          <w:szCs w:val="24"/>
          <w:shd w:val="clear" w:color="auto" w:fill="FFFFFF"/>
          <w:lang w:eastAsia="nl-NL"/>
        </w:rPr>
        <w:t xml:space="preserve">wordt weergegeven in </w:t>
      </w:r>
      <w:r w:rsidRPr="006F3657" w:rsidR="0086369C">
        <w:rPr>
          <w:rFonts w:ascii="Times New Roman" w:hAnsi="Times New Roman" w:eastAsia="MS Mincho" w:cs="Times New Roman"/>
          <w:sz w:val="24"/>
          <w:szCs w:val="24"/>
          <w:shd w:val="clear" w:color="auto" w:fill="FFFFFF"/>
          <w:lang w:eastAsia="nl-NL"/>
        </w:rPr>
        <w:t>d</w:t>
      </w:r>
      <w:r w:rsidRPr="006F3657" w:rsidR="00C716A5">
        <w:rPr>
          <w:rFonts w:ascii="Times New Roman" w:hAnsi="Times New Roman" w:eastAsia="MS Mincho" w:cs="Times New Roman"/>
          <w:sz w:val="24"/>
          <w:szCs w:val="24"/>
          <w:shd w:val="clear" w:color="auto" w:fill="FFFFFF"/>
          <w:lang w:eastAsia="nl-NL"/>
        </w:rPr>
        <w:t>e Contourennota. “Wanneer een bevoegdheid ingrijpender is, is toestemming van een hogere autoriteit vereist. Ook dat blijft uitgangspunt.”</w:t>
      </w:r>
      <w:r w:rsidRPr="006F3657" w:rsidR="00C716A5">
        <w:rPr>
          <w:rStyle w:val="FootnoteReference"/>
          <w:rFonts w:ascii="Times New Roman" w:hAnsi="Times New Roman" w:eastAsia="MS Mincho"/>
          <w:sz w:val="24"/>
          <w:szCs w:val="24"/>
          <w:shd w:val="clear" w:color="auto" w:fill="FFFFFF"/>
          <w:lang w:eastAsia="nl-NL"/>
        </w:rPr>
        <w:footnoteReference w:id="34"/>
      </w:r>
      <w:r w:rsidRPr="006F3657" w:rsidR="006C3838">
        <w:rPr>
          <w:rFonts w:ascii="Times New Roman" w:hAnsi="Times New Roman" w:eastAsia="MS Mincho" w:cs="Times New Roman"/>
          <w:sz w:val="24"/>
          <w:szCs w:val="24"/>
          <w:shd w:val="clear" w:color="auto" w:fill="FFFFFF"/>
          <w:lang w:eastAsia="nl-NL"/>
        </w:rPr>
        <w:t>.</w:t>
      </w:r>
      <w:r w:rsidRPr="006F3657" w:rsidR="006F3657">
        <w:rPr>
          <w:rFonts w:ascii="Times New Roman" w:hAnsi="Times New Roman" w:cs="Times New Roman"/>
          <w:sz w:val="24"/>
          <w:szCs w:val="24"/>
        </w:rPr>
        <w:t xml:space="preserve"> De toekenning van de bevoegdheid wordt zoals gezegd slechts in abstracto gekoppeld aan de ernst van het feit. Dat impliceert dat de </w:t>
      </w:r>
      <w:proofErr w:type="spellStart"/>
      <w:r w:rsidRPr="006F3657" w:rsidR="006F3657">
        <w:rPr>
          <w:rFonts w:ascii="Times New Roman" w:hAnsi="Times New Roman" w:cs="Times New Roman"/>
          <w:sz w:val="24"/>
          <w:szCs w:val="24"/>
        </w:rPr>
        <w:t>ingrijpendheid</w:t>
      </w:r>
      <w:proofErr w:type="spellEnd"/>
      <w:r w:rsidRPr="006F3657" w:rsidR="006F3657">
        <w:rPr>
          <w:rFonts w:ascii="Times New Roman" w:hAnsi="Times New Roman" w:cs="Times New Roman"/>
          <w:sz w:val="24"/>
          <w:szCs w:val="24"/>
        </w:rPr>
        <w:t xml:space="preserve">  van de bevoegdheid in een concreet geval niet wordt bepaald door de ernst van het </w:t>
      </w:r>
      <w:r w:rsidR="006F3657">
        <w:rPr>
          <w:rFonts w:ascii="Times New Roman" w:hAnsi="Times New Roman" w:cs="Times New Roman"/>
          <w:sz w:val="24"/>
          <w:szCs w:val="24"/>
        </w:rPr>
        <w:t xml:space="preserve">feit, maar hoogstens door de minder </w:t>
      </w:r>
      <w:r w:rsidR="00434920">
        <w:rPr>
          <w:rFonts w:ascii="Times New Roman" w:hAnsi="Times New Roman" w:cs="Times New Roman"/>
          <w:sz w:val="24"/>
          <w:szCs w:val="24"/>
        </w:rPr>
        <w:t xml:space="preserve">geconcretiseerde </w:t>
      </w:r>
      <w:r w:rsidR="006F3657">
        <w:rPr>
          <w:rFonts w:ascii="Times New Roman" w:hAnsi="Times New Roman" w:cs="Times New Roman"/>
          <w:sz w:val="24"/>
          <w:szCs w:val="24"/>
        </w:rPr>
        <w:t>beginsele</w:t>
      </w:r>
      <w:r w:rsidRPr="006F3657" w:rsidR="006F3657">
        <w:rPr>
          <w:rFonts w:ascii="Times New Roman" w:hAnsi="Times New Roman" w:cs="Times New Roman"/>
          <w:sz w:val="24"/>
          <w:szCs w:val="24"/>
        </w:rPr>
        <w:t>n van proportionaliteit en/of subsidiariteit.</w:t>
      </w:r>
      <w:r w:rsidR="00FF65FF">
        <w:rPr>
          <w:rStyle w:val="FootnoteReference"/>
          <w:rFonts w:ascii="Times New Roman" w:hAnsi="Times New Roman"/>
          <w:sz w:val="24"/>
          <w:szCs w:val="24"/>
        </w:rPr>
        <w:footnoteReference w:id="35"/>
      </w:r>
      <w:r w:rsidRPr="006F3657" w:rsidR="006F3657">
        <w:rPr>
          <w:rFonts w:ascii="Times New Roman" w:hAnsi="Times New Roman" w:cs="Times New Roman"/>
          <w:sz w:val="24"/>
          <w:szCs w:val="24"/>
        </w:rPr>
        <w:t xml:space="preserve"> </w:t>
      </w:r>
      <w:r w:rsidRPr="006F3657" w:rsidR="006C3838">
        <w:rPr>
          <w:rFonts w:ascii="Times New Roman" w:hAnsi="Times New Roman" w:eastAsia="MS Mincho" w:cs="Times New Roman"/>
          <w:sz w:val="24"/>
          <w:szCs w:val="24"/>
          <w:shd w:val="clear" w:color="auto" w:fill="FFFFFF"/>
          <w:lang w:eastAsia="nl-NL"/>
        </w:rPr>
        <w:t xml:space="preserve"> </w:t>
      </w:r>
      <w:r w:rsidRPr="006F3657" w:rsidR="00C716A5">
        <w:rPr>
          <w:rFonts w:ascii="Times New Roman" w:hAnsi="Times New Roman" w:eastAsia="MS Mincho" w:cs="Times New Roman"/>
          <w:sz w:val="24"/>
          <w:szCs w:val="24"/>
          <w:shd w:val="clear" w:color="auto" w:fill="FFFFFF"/>
          <w:lang w:eastAsia="nl-NL"/>
        </w:rPr>
        <w:t xml:space="preserve"> </w:t>
      </w:r>
      <w:r w:rsidRPr="006F3657" w:rsidR="0086369C">
        <w:rPr>
          <w:rFonts w:ascii="Times New Roman" w:hAnsi="Times New Roman" w:eastAsia="MS Mincho" w:cs="Times New Roman"/>
          <w:sz w:val="24"/>
          <w:szCs w:val="24"/>
          <w:shd w:val="clear" w:color="auto" w:fill="FFFFFF"/>
          <w:lang w:eastAsia="nl-NL"/>
        </w:rPr>
        <w:br/>
      </w:r>
      <w:r w:rsidRPr="006F3657" w:rsidR="00A52CD8">
        <w:rPr>
          <w:rFonts w:ascii="Times New Roman" w:hAnsi="Times New Roman" w:eastAsia="MS Mincho" w:cs="Times New Roman"/>
          <w:sz w:val="24"/>
          <w:szCs w:val="24"/>
          <w:shd w:val="clear" w:color="auto" w:fill="FFFFFF"/>
          <w:lang w:eastAsia="nl-NL"/>
        </w:rPr>
        <w:t xml:space="preserve">Past het </w:t>
      </w:r>
      <w:r w:rsidRPr="006F3657" w:rsidR="006F5D70">
        <w:rPr>
          <w:rFonts w:ascii="Times New Roman" w:hAnsi="Times New Roman" w:eastAsia="MS Mincho" w:cs="Times New Roman"/>
          <w:sz w:val="24"/>
          <w:szCs w:val="24"/>
          <w:shd w:val="clear" w:color="auto" w:fill="FFFFFF"/>
          <w:lang w:eastAsia="nl-NL"/>
        </w:rPr>
        <w:t xml:space="preserve">‘herstellen en bewaren’ van de </w:t>
      </w:r>
      <w:r w:rsidRPr="006F3657" w:rsidR="0086369C">
        <w:rPr>
          <w:rFonts w:ascii="Times New Roman" w:hAnsi="Times New Roman" w:eastAsia="MS Mincho" w:cs="Times New Roman"/>
          <w:sz w:val="24"/>
          <w:szCs w:val="24"/>
          <w:shd w:val="clear" w:color="auto" w:fill="FFFFFF"/>
          <w:lang w:eastAsia="nl-NL"/>
        </w:rPr>
        <w:t xml:space="preserve">oorspronkelijke band </w:t>
      </w:r>
      <w:r w:rsidRPr="006F3657" w:rsidR="006F5D70">
        <w:rPr>
          <w:rFonts w:ascii="Times New Roman" w:hAnsi="Times New Roman" w:eastAsia="MS Mincho" w:cs="Times New Roman"/>
          <w:sz w:val="24"/>
          <w:szCs w:val="24"/>
          <w:shd w:val="clear" w:color="auto" w:fill="FFFFFF"/>
          <w:lang w:eastAsia="nl-NL"/>
        </w:rPr>
        <w:t xml:space="preserve">tussen de aard en ernst van het strafbare feit en de aard en omvang van </w:t>
      </w:r>
      <w:r w:rsidRPr="006F3657" w:rsidR="00A52CD8">
        <w:rPr>
          <w:rFonts w:ascii="Times New Roman" w:hAnsi="Times New Roman" w:eastAsia="MS Mincho" w:cs="Times New Roman"/>
          <w:sz w:val="24"/>
          <w:szCs w:val="24"/>
          <w:shd w:val="clear" w:color="auto" w:fill="FFFFFF"/>
          <w:lang w:eastAsia="nl-NL"/>
        </w:rPr>
        <w:t xml:space="preserve">aan </w:t>
      </w:r>
      <w:r w:rsidRPr="006F3657" w:rsidR="006F5D70">
        <w:rPr>
          <w:rFonts w:ascii="Times New Roman" w:hAnsi="Times New Roman" w:eastAsia="MS Mincho" w:cs="Times New Roman"/>
          <w:sz w:val="24"/>
          <w:szCs w:val="24"/>
          <w:shd w:val="clear" w:color="auto" w:fill="FFFFFF"/>
          <w:lang w:eastAsia="nl-NL"/>
        </w:rPr>
        <w:t>justitiële organen</w:t>
      </w:r>
      <w:r w:rsidRPr="006F3657" w:rsidR="00B36897">
        <w:rPr>
          <w:rFonts w:ascii="Times New Roman" w:hAnsi="Times New Roman" w:eastAsia="MS Mincho" w:cs="Times New Roman"/>
          <w:sz w:val="24"/>
          <w:szCs w:val="24"/>
          <w:shd w:val="clear" w:color="auto" w:fill="FFFFFF"/>
          <w:lang w:eastAsia="nl-NL"/>
        </w:rPr>
        <w:t xml:space="preserve"> </w:t>
      </w:r>
      <w:r w:rsidRPr="006F3657" w:rsidR="00A52CD8">
        <w:rPr>
          <w:rFonts w:ascii="Times New Roman" w:hAnsi="Times New Roman" w:eastAsia="MS Mincho" w:cs="Times New Roman"/>
          <w:sz w:val="24"/>
          <w:szCs w:val="24"/>
          <w:shd w:val="clear" w:color="auto" w:fill="FFFFFF"/>
          <w:lang w:eastAsia="nl-NL"/>
        </w:rPr>
        <w:t xml:space="preserve">toe te kennen bevoegdheden zowel vanuit de (genuanceerd) primaire rol van het materiële strafrecht en </w:t>
      </w:r>
      <w:r w:rsidRPr="006F3657">
        <w:rPr>
          <w:rFonts w:ascii="Times New Roman" w:hAnsi="Times New Roman" w:eastAsia="MS Mincho" w:cs="Times New Roman"/>
          <w:sz w:val="24"/>
          <w:szCs w:val="24"/>
          <w:shd w:val="clear" w:color="auto" w:fill="FFFFFF"/>
          <w:lang w:eastAsia="nl-NL"/>
        </w:rPr>
        <w:t xml:space="preserve">vanuit </w:t>
      </w:r>
      <w:r w:rsidRPr="006F3657" w:rsidR="00A52CD8">
        <w:rPr>
          <w:rFonts w:ascii="Times New Roman" w:hAnsi="Times New Roman" w:eastAsia="MS Mincho" w:cs="Times New Roman"/>
          <w:sz w:val="24"/>
          <w:szCs w:val="24"/>
          <w:shd w:val="clear" w:color="auto" w:fill="FFFFFF"/>
          <w:lang w:eastAsia="nl-NL"/>
        </w:rPr>
        <w:t xml:space="preserve">de inzichtelijkheid voor zowel justitiële actoren als de </w:t>
      </w:r>
      <w:r w:rsidRPr="006F3657" w:rsidR="00F77B37">
        <w:rPr>
          <w:rFonts w:ascii="Times New Roman" w:hAnsi="Times New Roman" w:eastAsia="MS Mincho" w:cs="Times New Roman"/>
          <w:sz w:val="24"/>
          <w:szCs w:val="24"/>
          <w:shd w:val="clear" w:color="auto" w:fill="FFFFFF"/>
          <w:lang w:eastAsia="nl-NL"/>
        </w:rPr>
        <w:t>burger</w:t>
      </w:r>
      <w:r w:rsidRPr="006F3657" w:rsidR="00A52CD8">
        <w:rPr>
          <w:rFonts w:ascii="Times New Roman" w:hAnsi="Times New Roman" w:eastAsia="MS Mincho" w:cs="Times New Roman"/>
          <w:sz w:val="24"/>
          <w:szCs w:val="24"/>
          <w:shd w:val="clear" w:color="auto" w:fill="FFFFFF"/>
          <w:lang w:eastAsia="nl-NL"/>
        </w:rPr>
        <w:t xml:space="preserve"> niet beter op de in de </w:t>
      </w:r>
      <w:r w:rsidRPr="006F3657" w:rsidR="00BF00A9">
        <w:rPr>
          <w:rFonts w:ascii="Times New Roman" w:hAnsi="Times New Roman" w:eastAsia="MS Mincho" w:cs="Times New Roman"/>
          <w:sz w:val="24"/>
          <w:szCs w:val="24"/>
          <w:shd w:val="clear" w:color="auto" w:fill="FFFFFF"/>
          <w:lang w:eastAsia="nl-NL"/>
        </w:rPr>
        <w:t>Co</w:t>
      </w:r>
      <w:r w:rsidRPr="006F3657" w:rsidR="00A52CD8">
        <w:rPr>
          <w:rFonts w:ascii="Times New Roman" w:hAnsi="Times New Roman" w:eastAsia="MS Mincho" w:cs="Times New Roman"/>
          <w:sz w:val="24"/>
          <w:szCs w:val="24"/>
          <w:shd w:val="clear" w:color="auto" w:fill="FFFFFF"/>
          <w:lang w:eastAsia="nl-NL"/>
        </w:rPr>
        <w:t>n</w:t>
      </w:r>
      <w:r w:rsidRPr="006F3657" w:rsidR="00BF00A9">
        <w:rPr>
          <w:rFonts w:ascii="Times New Roman" w:hAnsi="Times New Roman" w:eastAsia="MS Mincho" w:cs="Times New Roman"/>
          <w:sz w:val="24"/>
          <w:szCs w:val="24"/>
          <w:shd w:val="clear" w:color="auto" w:fill="FFFFFF"/>
          <w:lang w:eastAsia="nl-NL"/>
        </w:rPr>
        <w:t>to</w:t>
      </w:r>
      <w:r w:rsidRPr="006F3657" w:rsidR="00A52CD8">
        <w:rPr>
          <w:rFonts w:ascii="Times New Roman" w:hAnsi="Times New Roman" w:eastAsia="MS Mincho" w:cs="Times New Roman"/>
          <w:sz w:val="24"/>
          <w:szCs w:val="24"/>
          <w:shd w:val="clear" w:color="auto" w:fill="FFFFFF"/>
          <w:lang w:eastAsia="nl-NL"/>
        </w:rPr>
        <w:t>u</w:t>
      </w:r>
      <w:r w:rsidRPr="006F3657" w:rsidR="00BF00A9">
        <w:rPr>
          <w:rFonts w:ascii="Times New Roman" w:hAnsi="Times New Roman" w:eastAsia="MS Mincho" w:cs="Times New Roman"/>
          <w:sz w:val="24"/>
          <w:szCs w:val="24"/>
          <w:shd w:val="clear" w:color="auto" w:fill="FFFFFF"/>
          <w:lang w:eastAsia="nl-NL"/>
        </w:rPr>
        <w:t>ren nota beoogde vereenvoudiging van het stelsel</w:t>
      </w:r>
      <w:r w:rsidRPr="006F3657">
        <w:rPr>
          <w:rFonts w:ascii="Times New Roman" w:hAnsi="Times New Roman" w:eastAsia="MS Mincho" w:cs="Times New Roman"/>
          <w:sz w:val="24"/>
          <w:szCs w:val="24"/>
          <w:shd w:val="clear" w:color="auto" w:fill="FFFFFF"/>
          <w:lang w:eastAsia="nl-NL"/>
        </w:rPr>
        <w:t>?</w:t>
      </w:r>
      <w:r w:rsidRPr="006F3657" w:rsidR="00BF00A9">
        <w:rPr>
          <w:rFonts w:ascii="Times New Roman" w:hAnsi="Times New Roman" w:eastAsia="MS Mincho" w:cs="Times New Roman"/>
          <w:sz w:val="24"/>
          <w:szCs w:val="24"/>
          <w:shd w:val="clear" w:color="auto" w:fill="FFFFFF"/>
          <w:lang w:eastAsia="nl-NL"/>
        </w:rPr>
        <w:t xml:space="preserve"> </w:t>
      </w:r>
      <w:r w:rsidRPr="006F3657" w:rsidR="0055468B">
        <w:rPr>
          <w:rFonts w:ascii="Times New Roman" w:hAnsi="Times New Roman" w:eastAsia="MS Mincho" w:cs="Times New Roman"/>
          <w:sz w:val="24"/>
          <w:szCs w:val="24"/>
          <w:shd w:val="clear" w:color="auto" w:fill="FFFFFF"/>
          <w:lang w:eastAsia="nl-NL"/>
        </w:rPr>
        <w:t xml:space="preserve">Kortom, de kans om deze problematiek systematisch voor het gehele wetboek én in relatie tot het Wetboek van Strafrecht te ‘overdenken’ is geen vrijblijvende kans. </w:t>
      </w:r>
    </w:p>
    <w:p w:rsidRPr="006F3657" w:rsidR="00A52CD8" w:rsidP="00455EDB" w:rsidRDefault="00A52CD8">
      <w:pPr>
        <w:pStyle w:val="Default"/>
        <w:rPr>
          <w:rFonts w:ascii="Times New Roman" w:hAnsi="Times New Roman" w:eastAsia="MS Mincho" w:cs="Times New Roman"/>
          <w:shd w:val="clear" w:color="auto" w:fill="FFFFFF"/>
          <w:lang w:eastAsia="nl-NL"/>
        </w:rPr>
      </w:pPr>
    </w:p>
    <w:p w:rsidRPr="006F3657" w:rsidR="00005AA6" w:rsidP="00F77B37" w:rsidRDefault="003F5276">
      <w:pPr>
        <w:pStyle w:val="ListParagraph"/>
        <w:numPr>
          <w:ilvl w:val="0"/>
          <w:numId w:val="6"/>
        </w:numPr>
        <w:spacing w:before="240" w:after="0" w:line="240" w:lineRule="auto"/>
        <w:rPr>
          <w:rFonts w:ascii="Times New Roman" w:hAnsi="Times New Roman" w:eastAsia="MS Mincho" w:cs="Times New Roman"/>
          <w:color w:val="000000"/>
          <w:sz w:val="24"/>
          <w:szCs w:val="24"/>
          <w:shd w:val="clear" w:color="auto" w:fill="FFFFFF"/>
          <w:lang w:eastAsia="nl-NL"/>
        </w:rPr>
      </w:pPr>
      <w:r w:rsidRPr="006F3657">
        <w:rPr>
          <w:rFonts w:ascii="Times New Roman" w:hAnsi="Times New Roman" w:eastAsia="MS Mincho" w:cs="Times New Roman"/>
          <w:color w:val="000000"/>
          <w:sz w:val="24"/>
          <w:szCs w:val="24"/>
          <w:shd w:val="clear" w:color="auto" w:fill="FFFFFF"/>
          <w:lang w:eastAsia="nl-NL"/>
        </w:rPr>
        <w:t>Intern</w:t>
      </w:r>
      <w:r w:rsidRPr="006F3657" w:rsidR="00142DE9">
        <w:rPr>
          <w:rFonts w:ascii="Times New Roman" w:hAnsi="Times New Roman" w:eastAsia="MS Mincho" w:cs="Times New Roman"/>
          <w:color w:val="000000"/>
          <w:sz w:val="24"/>
          <w:szCs w:val="24"/>
          <w:shd w:val="clear" w:color="auto" w:fill="FFFFFF"/>
          <w:lang w:eastAsia="nl-NL"/>
        </w:rPr>
        <w:t xml:space="preserve">e systematiek </w:t>
      </w:r>
      <w:r w:rsidRPr="006F3657">
        <w:rPr>
          <w:rFonts w:ascii="Times New Roman" w:hAnsi="Times New Roman" w:eastAsia="MS Mincho" w:cs="Times New Roman"/>
          <w:color w:val="000000"/>
          <w:sz w:val="24"/>
          <w:szCs w:val="24"/>
          <w:shd w:val="clear" w:color="auto" w:fill="FFFFFF"/>
          <w:lang w:eastAsia="nl-NL"/>
        </w:rPr>
        <w:t xml:space="preserve">binnen het wetboek van strafvordering </w:t>
      </w:r>
    </w:p>
    <w:p w:rsidR="00D02EA7" w:rsidP="00637E64" w:rsidRDefault="00194071">
      <w:pPr>
        <w:spacing w:before="240" w:after="0" w:line="240" w:lineRule="auto"/>
        <w:rPr>
          <w:rFonts w:ascii="Times New Roman" w:hAnsi="Times New Roman" w:eastAsia="MS Mincho" w:cs="Times New Roman"/>
          <w:i/>
          <w:color w:val="000000"/>
          <w:sz w:val="24"/>
          <w:szCs w:val="24"/>
          <w:shd w:val="clear" w:color="auto" w:fill="FFFFFF"/>
          <w:lang w:eastAsia="nl-NL"/>
        </w:rPr>
      </w:pPr>
      <w:r w:rsidRPr="007C5808">
        <w:rPr>
          <w:rFonts w:ascii="Times New Roman" w:hAnsi="Times New Roman" w:eastAsia="MS Mincho" w:cs="Times New Roman"/>
          <w:i/>
          <w:color w:val="000000"/>
          <w:sz w:val="24"/>
          <w:szCs w:val="24"/>
          <w:shd w:val="clear" w:color="auto" w:fill="FFFFFF"/>
          <w:lang w:eastAsia="nl-NL"/>
        </w:rPr>
        <w:t>Verhouding voor- en eindonderzoek</w:t>
      </w:r>
    </w:p>
    <w:p w:rsidR="00A85C59" w:rsidP="00DD6922" w:rsidRDefault="00D02EA7">
      <w:pPr>
        <w:spacing w:before="240" w:after="0" w:line="240" w:lineRule="auto"/>
        <w:rPr>
          <w:rFonts w:ascii="Times New Roman" w:hAnsi="Times New Roman" w:cs="Times New Roman"/>
          <w:sz w:val="24"/>
          <w:szCs w:val="24"/>
        </w:rPr>
      </w:pPr>
      <w:r w:rsidRPr="007C5808">
        <w:rPr>
          <w:rFonts w:ascii="Times New Roman" w:hAnsi="Times New Roman" w:eastAsia="MS Mincho" w:cs="Times New Roman"/>
          <w:color w:val="000000"/>
          <w:sz w:val="24"/>
          <w:szCs w:val="24"/>
          <w:shd w:val="clear" w:color="auto" w:fill="FFFFFF"/>
          <w:lang w:eastAsia="nl-NL"/>
        </w:rPr>
        <w:t xml:space="preserve">Het </w:t>
      </w:r>
      <w:r>
        <w:rPr>
          <w:rFonts w:ascii="Times New Roman" w:hAnsi="Times New Roman" w:eastAsia="MS Mincho" w:cs="Times New Roman"/>
          <w:color w:val="000000"/>
          <w:sz w:val="24"/>
          <w:szCs w:val="24"/>
          <w:shd w:val="clear" w:color="auto" w:fill="FFFFFF"/>
          <w:lang w:eastAsia="nl-NL"/>
        </w:rPr>
        <w:t>W</w:t>
      </w:r>
      <w:r w:rsidRPr="007C5808">
        <w:rPr>
          <w:rFonts w:ascii="Times New Roman" w:hAnsi="Times New Roman" w:eastAsia="MS Mincho" w:cs="Times New Roman"/>
          <w:color w:val="000000"/>
          <w:sz w:val="24"/>
          <w:szCs w:val="24"/>
          <w:shd w:val="clear" w:color="auto" w:fill="FFFFFF"/>
          <w:lang w:eastAsia="nl-NL"/>
        </w:rPr>
        <w:t xml:space="preserve">etboek </w:t>
      </w:r>
      <w:r>
        <w:rPr>
          <w:rFonts w:ascii="Times New Roman" w:hAnsi="Times New Roman" w:eastAsia="MS Mincho" w:cs="Times New Roman"/>
          <w:color w:val="000000"/>
          <w:sz w:val="24"/>
          <w:szCs w:val="24"/>
          <w:shd w:val="clear" w:color="auto" w:fill="FFFFFF"/>
          <w:lang w:eastAsia="nl-NL"/>
        </w:rPr>
        <w:t xml:space="preserve">van Strafvordering  van 1926 was </w:t>
      </w:r>
      <w:r w:rsidRPr="007C5808">
        <w:rPr>
          <w:rFonts w:ascii="Times New Roman" w:hAnsi="Times New Roman" w:eastAsia="MS Mincho" w:cs="Times New Roman"/>
          <w:color w:val="000000"/>
          <w:sz w:val="24"/>
          <w:szCs w:val="24"/>
          <w:shd w:val="clear" w:color="auto" w:fill="FFFFFF"/>
          <w:lang w:eastAsia="nl-NL"/>
        </w:rPr>
        <w:t xml:space="preserve">opgebouwd </w:t>
      </w:r>
      <w:r w:rsidR="003848AD">
        <w:rPr>
          <w:rFonts w:ascii="Times New Roman" w:hAnsi="Times New Roman" w:eastAsia="MS Mincho" w:cs="Times New Roman"/>
          <w:color w:val="000000"/>
          <w:sz w:val="24"/>
          <w:szCs w:val="24"/>
          <w:shd w:val="clear" w:color="auto" w:fill="FFFFFF"/>
          <w:lang w:eastAsia="nl-NL"/>
        </w:rPr>
        <w:t>rondom e</w:t>
      </w:r>
      <w:r>
        <w:rPr>
          <w:rFonts w:ascii="Times New Roman" w:hAnsi="Times New Roman" w:eastAsia="MS Mincho" w:cs="Times New Roman"/>
          <w:color w:val="000000"/>
          <w:sz w:val="24"/>
          <w:szCs w:val="24"/>
          <w:shd w:val="clear" w:color="auto" w:fill="FFFFFF"/>
          <w:lang w:eastAsia="nl-NL"/>
        </w:rPr>
        <w:t xml:space="preserve">en </w:t>
      </w:r>
      <w:r w:rsidRPr="007C5808">
        <w:rPr>
          <w:rFonts w:ascii="Times New Roman" w:hAnsi="Times New Roman" w:eastAsia="MS Mincho" w:cs="Times New Roman"/>
          <w:color w:val="000000"/>
          <w:sz w:val="24"/>
          <w:szCs w:val="24"/>
          <w:shd w:val="clear" w:color="auto" w:fill="FFFFFF"/>
          <w:lang w:eastAsia="nl-NL"/>
        </w:rPr>
        <w:t xml:space="preserve">helder concept </w:t>
      </w:r>
      <w:r>
        <w:rPr>
          <w:rFonts w:ascii="Times New Roman" w:hAnsi="Times New Roman" w:eastAsia="MS Mincho" w:cs="Times New Roman"/>
          <w:color w:val="000000"/>
          <w:sz w:val="24"/>
          <w:szCs w:val="24"/>
          <w:shd w:val="clear" w:color="auto" w:fill="FFFFFF"/>
          <w:lang w:eastAsia="nl-NL"/>
        </w:rPr>
        <w:t xml:space="preserve">van </w:t>
      </w:r>
      <w:r w:rsidRPr="007C5808">
        <w:rPr>
          <w:rFonts w:ascii="Times New Roman" w:hAnsi="Times New Roman" w:eastAsia="MS Mincho" w:cs="Times New Roman"/>
          <w:color w:val="000000"/>
          <w:sz w:val="24"/>
          <w:szCs w:val="24"/>
          <w:shd w:val="clear" w:color="auto" w:fill="FFFFFF"/>
          <w:lang w:eastAsia="nl-NL"/>
        </w:rPr>
        <w:t>voor- en eindonderzoek</w:t>
      </w:r>
      <w:r w:rsidR="003848AD">
        <w:rPr>
          <w:rFonts w:ascii="Times New Roman" w:hAnsi="Times New Roman" w:eastAsia="MS Mincho" w:cs="Times New Roman"/>
          <w:color w:val="000000"/>
          <w:sz w:val="24"/>
          <w:szCs w:val="24"/>
          <w:shd w:val="clear" w:color="auto" w:fill="FFFFFF"/>
          <w:lang w:eastAsia="nl-NL"/>
        </w:rPr>
        <w:t xml:space="preserve">. </w:t>
      </w:r>
      <w:r w:rsidR="004D58FC">
        <w:rPr>
          <w:rFonts w:ascii="Times New Roman" w:hAnsi="Times New Roman" w:eastAsia="MS Mincho" w:cs="Times New Roman"/>
          <w:color w:val="000000"/>
          <w:sz w:val="24"/>
          <w:szCs w:val="24"/>
          <w:shd w:val="clear" w:color="auto" w:fill="FFFFFF"/>
          <w:lang w:eastAsia="nl-NL"/>
        </w:rPr>
        <w:t xml:space="preserve">Het Wetboek was in zijn opbouw gebaseerd en geconcentreerd op de behandeling van een zaak ter terechtzitting. </w:t>
      </w:r>
      <w:r>
        <w:rPr>
          <w:rFonts w:ascii="Times New Roman" w:hAnsi="Times New Roman" w:eastAsia="MS Mincho" w:cs="Times New Roman"/>
          <w:color w:val="000000"/>
          <w:sz w:val="24"/>
          <w:szCs w:val="24"/>
          <w:shd w:val="clear" w:color="auto" w:fill="FFFFFF"/>
          <w:lang w:eastAsia="nl-NL"/>
        </w:rPr>
        <w:t xml:space="preserve">Sinds de invoering van het wetboek is de verhouding tussen voor- en eindonderzoek </w:t>
      </w:r>
      <w:r w:rsidR="003848AD">
        <w:rPr>
          <w:rFonts w:ascii="Times New Roman" w:hAnsi="Times New Roman" w:eastAsia="MS Mincho" w:cs="Times New Roman"/>
          <w:color w:val="000000"/>
          <w:sz w:val="24"/>
          <w:szCs w:val="24"/>
          <w:shd w:val="clear" w:color="auto" w:fill="FFFFFF"/>
          <w:lang w:eastAsia="nl-NL"/>
        </w:rPr>
        <w:t xml:space="preserve">evenwel </w:t>
      </w:r>
      <w:r>
        <w:rPr>
          <w:rFonts w:ascii="Times New Roman" w:hAnsi="Times New Roman" w:eastAsia="MS Mincho" w:cs="Times New Roman"/>
          <w:color w:val="000000"/>
          <w:sz w:val="24"/>
          <w:szCs w:val="24"/>
          <w:shd w:val="clear" w:color="auto" w:fill="FFFFFF"/>
          <w:lang w:eastAsia="nl-NL"/>
        </w:rPr>
        <w:t xml:space="preserve">voorwerp van schuivende panelen, deels door </w:t>
      </w:r>
      <w:r w:rsidR="007D19E4">
        <w:rPr>
          <w:rFonts w:ascii="Times New Roman" w:hAnsi="Times New Roman" w:eastAsia="MS Mincho" w:cs="Times New Roman"/>
          <w:color w:val="000000"/>
          <w:sz w:val="24"/>
          <w:szCs w:val="24"/>
          <w:shd w:val="clear" w:color="auto" w:fill="FFFFFF"/>
          <w:lang w:eastAsia="nl-NL"/>
        </w:rPr>
        <w:t xml:space="preserve">veranderingen in </w:t>
      </w:r>
      <w:r>
        <w:rPr>
          <w:rFonts w:ascii="Times New Roman" w:hAnsi="Times New Roman" w:eastAsia="MS Mincho" w:cs="Times New Roman"/>
          <w:color w:val="000000"/>
          <w:sz w:val="24"/>
          <w:szCs w:val="24"/>
          <w:shd w:val="clear" w:color="auto" w:fill="FFFFFF"/>
          <w:lang w:eastAsia="nl-NL"/>
        </w:rPr>
        <w:t>de rol van de rechter-commissaris</w:t>
      </w:r>
      <w:r w:rsidR="007D19E4">
        <w:rPr>
          <w:rFonts w:ascii="Times New Roman" w:hAnsi="Times New Roman" w:eastAsia="MS Mincho" w:cs="Times New Roman"/>
          <w:color w:val="000000"/>
          <w:sz w:val="24"/>
          <w:szCs w:val="24"/>
          <w:shd w:val="clear" w:color="auto" w:fill="FFFFFF"/>
          <w:lang w:eastAsia="nl-NL"/>
        </w:rPr>
        <w:t xml:space="preserve"> en het </w:t>
      </w:r>
      <w:r>
        <w:rPr>
          <w:rFonts w:ascii="Times New Roman" w:hAnsi="Times New Roman" w:eastAsia="MS Mincho" w:cs="Times New Roman"/>
          <w:color w:val="000000"/>
          <w:sz w:val="24"/>
          <w:szCs w:val="24"/>
          <w:shd w:val="clear" w:color="auto" w:fill="FFFFFF"/>
          <w:lang w:eastAsia="nl-NL"/>
        </w:rPr>
        <w:t>gerechtelijk vooronderzoek</w:t>
      </w:r>
      <w:r w:rsidR="007D19E4">
        <w:rPr>
          <w:rFonts w:ascii="Times New Roman" w:hAnsi="Times New Roman" w:eastAsia="MS Mincho" w:cs="Times New Roman"/>
          <w:color w:val="000000"/>
          <w:sz w:val="24"/>
          <w:szCs w:val="24"/>
          <w:shd w:val="clear" w:color="auto" w:fill="FFFFFF"/>
          <w:lang w:eastAsia="nl-NL"/>
        </w:rPr>
        <w:t xml:space="preserve"> (waaronder de recente afschaffing daarvan)</w:t>
      </w:r>
      <w:r>
        <w:rPr>
          <w:rFonts w:ascii="Times New Roman" w:hAnsi="Times New Roman" w:eastAsia="MS Mincho" w:cs="Times New Roman"/>
          <w:color w:val="000000"/>
          <w:sz w:val="24"/>
          <w:szCs w:val="24"/>
          <w:shd w:val="clear" w:color="auto" w:fill="FFFFFF"/>
          <w:lang w:eastAsia="nl-NL"/>
        </w:rPr>
        <w:t xml:space="preserve">, </w:t>
      </w:r>
      <w:r w:rsidR="003848AD">
        <w:rPr>
          <w:rFonts w:ascii="Times New Roman" w:hAnsi="Times New Roman" w:eastAsia="MS Mincho" w:cs="Times New Roman"/>
          <w:color w:val="000000"/>
          <w:sz w:val="24"/>
          <w:szCs w:val="24"/>
          <w:shd w:val="clear" w:color="auto" w:fill="FFFFFF"/>
          <w:lang w:eastAsia="nl-NL"/>
        </w:rPr>
        <w:t>deels</w:t>
      </w:r>
      <w:r w:rsidRPr="007C5808" w:rsidR="003848AD">
        <w:rPr>
          <w:rFonts w:ascii="Times New Roman" w:hAnsi="Times New Roman" w:eastAsia="MS Mincho" w:cs="Times New Roman"/>
          <w:color w:val="000000"/>
          <w:sz w:val="24"/>
          <w:szCs w:val="24"/>
          <w:shd w:val="clear" w:color="auto" w:fill="FFFFFF"/>
          <w:lang w:eastAsia="nl-NL"/>
        </w:rPr>
        <w:t xml:space="preserve"> door </w:t>
      </w:r>
      <w:r w:rsidR="007D19E4">
        <w:rPr>
          <w:rFonts w:ascii="Times New Roman" w:hAnsi="Times New Roman" w:eastAsia="MS Mincho" w:cs="Times New Roman"/>
          <w:color w:val="000000"/>
          <w:sz w:val="24"/>
          <w:szCs w:val="24"/>
          <w:shd w:val="clear" w:color="auto" w:fill="FFFFFF"/>
          <w:lang w:eastAsia="nl-NL"/>
        </w:rPr>
        <w:t xml:space="preserve">de gevolgen </w:t>
      </w:r>
      <w:r w:rsidR="00A85C59">
        <w:rPr>
          <w:rFonts w:ascii="Times New Roman" w:hAnsi="Times New Roman" w:eastAsia="MS Mincho" w:cs="Times New Roman"/>
          <w:color w:val="000000"/>
          <w:sz w:val="24"/>
          <w:szCs w:val="24"/>
          <w:shd w:val="clear" w:color="auto" w:fill="FFFFFF"/>
          <w:lang w:eastAsia="nl-NL"/>
        </w:rPr>
        <w:t xml:space="preserve">van </w:t>
      </w:r>
      <w:r w:rsidR="003848AD">
        <w:rPr>
          <w:rFonts w:ascii="Times New Roman" w:hAnsi="Times New Roman" w:eastAsia="MS Mincho" w:cs="Times New Roman"/>
          <w:color w:val="000000"/>
          <w:sz w:val="24"/>
          <w:szCs w:val="24"/>
          <w:shd w:val="clear" w:color="auto" w:fill="FFFFFF"/>
          <w:lang w:eastAsia="nl-NL"/>
        </w:rPr>
        <w:t xml:space="preserve">het </w:t>
      </w:r>
      <w:r w:rsidRPr="007C5808" w:rsidR="003848AD">
        <w:rPr>
          <w:rFonts w:ascii="Times New Roman" w:hAnsi="Times New Roman" w:eastAsia="MS Mincho" w:cs="Times New Roman"/>
          <w:color w:val="000000"/>
          <w:sz w:val="24"/>
          <w:szCs w:val="24"/>
          <w:shd w:val="clear" w:color="auto" w:fill="FFFFFF"/>
          <w:lang w:eastAsia="nl-NL"/>
        </w:rPr>
        <w:t xml:space="preserve">de </w:t>
      </w:r>
      <w:proofErr w:type="spellStart"/>
      <w:r w:rsidRPr="007C5808" w:rsidR="003848AD">
        <w:rPr>
          <w:rFonts w:ascii="Times New Roman" w:hAnsi="Times New Roman" w:eastAsia="MS Mincho" w:cs="Times New Roman"/>
          <w:color w:val="000000"/>
          <w:sz w:val="24"/>
          <w:szCs w:val="24"/>
          <w:shd w:val="clear" w:color="auto" w:fill="FFFFFF"/>
          <w:lang w:eastAsia="nl-NL"/>
        </w:rPr>
        <w:t>auditu</w:t>
      </w:r>
      <w:proofErr w:type="spellEnd"/>
      <w:r w:rsidRPr="007C5808" w:rsidR="003848AD">
        <w:rPr>
          <w:rFonts w:ascii="Times New Roman" w:hAnsi="Times New Roman" w:eastAsia="MS Mincho" w:cs="Times New Roman"/>
          <w:color w:val="000000"/>
          <w:sz w:val="24"/>
          <w:szCs w:val="24"/>
          <w:shd w:val="clear" w:color="auto" w:fill="FFFFFF"/>
          <w:lang w:eastAsia="nl-NL"/>
        </w:rPr>
        <w:t xml:space="preserve">-arrest </w:t>
      </w:r>
      <w:r w:rsidR="003848AD">
        <w:rPr>
          <w:rFonts w:ascii="Times New Roman" w:hAnsi="Times New Roman" w:eastAsia="MS Mincho" w:cs="Times New Roman"/>
          <w:color w:val="000000"/>
          <w:sz w:val="24"/>
          <w:szCs w:val="24"/>
          <w:shd w:val="clear" w:color="auto" w:fill="FFFFFF"/>
          <w:lang w:eastAsia="nl-NL"/>
        </w:rPr>
        <w:t xml:space="preserve">dat het </w:t>
      </w:r>
      <w:r w:rsidRPr="007C5808" w:rsidR="003848AD">
        <w:rPr>
          <w:rFonts w:ascii="Times New Roman" w:hAnsi="Times New Roman" w:eastAsia="MS Mincho" w:cs="Times New Roman"/>
          <w:color w:val="000000"/>
          <w:sz w:val="24"/>
          <w:szCs w:val="24"/>
          <w:shd w:val="clear" w:color="auto" w:fill="FFFFFF"/>
          <w:lang w:eastAsia="nl-NL"/>
        </w:rPr>
        <w:t xml:space="preserve">onmiddellijkheidsbeginsel </w:t>
      </w:r>
      <w:r w:rsidR="003848AD">
        <w:rPr>
          <w:rFonts w:ascii="Times New Roman" w:hAnsi="Times New Roman" w:eastAsia="MS Mincho" w:cs="Times New Roman"/>
          <w:color w:val="000000"/>
          <w:sz w:val="24"/>
          <w:szCs w:val="24"/>
          <w:shd w:val="clear" w:color="auto" w:fill="FFFFFF"/>
          <w:lang w:eastAsia="nl-NL"/>
        </w:rPr>
        <w:t xml:space="preserve">modificeerde, </w:t>
      </w:r>
      <w:r>
        <w:rPr>
          <w:rFonts w:ascii="Times New Roman" w:hAnsi="Times New Roman" w:eastAsia="MS Mincho" w:cs="Times New Roman"/>
          <w:color w:val="000000"/>
          <w:sz w:val="24"/>
          <w:szCs w:val="24"/>
          <w:shd w:val="clear" w:color="auto" w:fill="FFFFFF"/>
          <w:lang w:eastAsia="nl-NL"/>
        </w:rPr>
        <w:t xml:space="preserve">maar bijvoorbeeld ook als gevolg van de verruiming van </w:t>
      </w:r>
      <w:r w:rsidRPr="004D58FC">
        <w:rPr>
          <w:rFonts w:ascii="Times New Roman" w:hAnsi="Times New Roman" w:eastAsia="MS Mincho" w:cs="Times New Roman"/>
          <w:color w:val="000000"/>
          <w:sz w:val="24"/>
          <w:szCs w:val="24"/>
          <w:shd w:val="clear" w:color="auto" w:fill="FFFFFF"/>
          <w:lang w:eastAsia="nl-NL"/>
        </w:rPr>
        <w:t xml:space="preserve">vormen van afdoening buiten geding en de sinds </w:t>
      </w:r>
      <w:r w:rsidR="00434920">
        <w:rPr>
          <w:rFonts w:ascii="Times New Roman" w:hAnsi="Times New Roman" w:eastAsia="MS Mincho" w:cs="Times New Roman"/>
          <w:color w:val="000000"/>
          <w:sz w:val="24"/>
          <w:szCs w:val="24"/>
          <w:shd w:val="clear" w:color="auto" w:fill="FFFFFF"/>
          <w:lang w:eastAsia="nl-NL"/>
        </w:rPr>
        <w:t xml:space="preserve">1926 </w:t>
      </w:r>
      <w:r w:rsidRPr="004D58FC">
        <w:rPr>
          <w:rFonts w:ascii="Times New Roman" w:hAnsi="Times New Roman" w:eastAsia="MS Mincho" w:cs="Times New Roman"/>
          <w:color w:val="000000"/>
          <w:sz w:val="24"/>
          <w:szCs w:val="24"/>
          <w:shd w:val="clear" w:color="auto" w:fill="FFFFFF"/>
          <w:lang w:eastAsia="nl-NL"/>
        </w:rPr>
        <w:t>toegenomen weerbaardere positie van de verdediging.</w:t>
      </w:r>
      <w:r w:rsidRPr="004D58FC" w:rsidR="004D58FC">
        <w:rPr>
          <w:rStyle w:val="FootnoteReference"/>
          <w:rFonts w:ascii="Times New Roman" w:hAnsi="Times New Roman" w:eastAsia="MS Mincho"/>
          <w:color w:val="000000"/>
          <w:sz w:val="24"/>
          <w:szCs w:val="24"/>
          <w:shd w:val="clear" w:color="auto" w:fill="FFFFFF"/>
          <w:lang w:eastAsia="nl-NL"/>
        </w:rPr>
        <w:footnoteReference w:id="36"/>
      </w:r>
      <w:r w:rsidRPr="004D58FC">
        <w:rPr>
          <w:rFonts w:ascii="Times New Roman" w:hAnsi="Times New Roman" w:eastAsia="MS Mincho" w:cs="Times New Roman"/>
          <w:color w:val="000000"/>
          <w:sz w:val="24"/>
          <w:szCs w:val="24"/>
          <w:shd w:val="clear" w:color="auto" w:fill="FFFFFF"/>
          <w:lang w:eastAsia="nl-NL"/>
        </w:rPr>
        <w:t xml:space="preserve"> </w:t>
      </w:r>
      <w:r w:rsidR="00384BFF">
        <w:rPr>
          <w:rFonts w:ascii="Times New Roman" w:hAnsi="Times New Roman" w:eastAsia="MS Mincho" w:cs="Times New Roman"/>
          <w:color w:val="000000"/>
          <w:sz w:val="24"/>
          <w:szCs w:val="24"/>
          <w:shd w:val="clear" w:color="auto" w:fill="FFFFFF"/>
          <w:lang w:eastAsia="nl-NL"/>
        </w:rPr>
        <w:t xml:space="preserve">De verhouding tussen voor- en eindonderzoek is daarenboven ook nauw verweven met onze procestraditie waarin het vooronderzoek als gematigd inquisitoir kan worden </w:t>
      </w:r>
      <w:r w:rsidR="00384BFF">
        <w:rPr>
          <w:rFonts w:ascii="Times New Roman" w:hAnsi="Times New Roman" w:eastAsia="MS Mincho" w:cs="Times New Roman"/>
          <w:color w:val="000000"/>
          <w:sz w:val="24"/>
          <w:szCs w:val="24"/>
          <w:shd w:val="clear" w:color="auto" w:fill="FFFFFF"/>
          <w:lang w:eastAsia="nl-NL"/>
        </w:rPr>
        <w:lastRenderedPageBreak/>
        <w:t>aangeduid en het eindonderzoek als gematigd accusatoir. Ook deze verhouding is in de loop der tijd geleidelijk lichtjes verschoven naar een m</w:t>
      </w:r>
      <w:r w:rsidR="00581AA0">
        <w:rPr>
          <w:rFonts w:ascii="Times New Roman" w:hAnsi="Times New Roman" w:eastAsia="MS Mincho" w:cs="Times New Roman"/>
          <w:color w:val="000000"/>
          <w:sz w:val="24"/>
          <w:szCs w:val="24"/>
          <w:shd w:val="clear" w:color="auto" w:fill="FFFFFF"/>
          <w:lang w:eastAsia="nl-NL"/>
        </w:rPr>
        <w:t xml:space="preserve">eer </w:t>
      </w:r>
      <w:proofErr w:type="spellStart"/>
      <w:r w:rsidR="00384BFF">
        <w:rPr>
          <w:rFonts w:ascii="Times New Roman" w:hAnsi="Times New Roman" w:eastAsia="MS Mincho" w:cs="Times New Roman"/>
          <w:color w:val="000000"/>
          <w:sz w:val="24"/>
          <w:szCs w:val="24"/>
          <w:shd w:val="clear" w:color="auto" w:fill="FFFFFF"/>
          <w:lang w:eastAsia="nl-NL"/>
        </w:rPr>
        <w:t>accusatoir</w:t>
      </w:r>
      <w:r w:rsidR="005023A8">
        <w:rPr>
          <w:rFonts w:ascii="Times New Roman" w:hAnsi="Times New Roman" w:eastAsia="MS Mincho" w:cs="Times New Roman"/>
          <w:color w:val="000000"/>
          <w:sz w:val="24"/>
          <w:szCs w:val="24"/>
          <w:shd w:val="clear" w:color="auto" w:fill="FFFFFF"/>
          <w:lang w:eastAsia="nl-NL"/>
        </w:rPr>
        <w:t>e</w:t>
      </w:r>
      <w:proofErr w:type="spellEnd"/>
      <w:r w:rsidR="00384BFF">
        <w:rPr>
          <w:rFonts w:ascii="Times New Roman" w:hAnsi="Times New Roman" w:eastAsia="MS Mincho" w:cs="Times New Roman"/>
          <w:color w:val="000000"/>
          <w:sz w:val="24"/>
          <w:szCs w:val="24"/>
          <w:shd w:val="clear" w:color="auto" w:fill="FFFFFF"/>
          <w:lang w:eastAsia="nl-NL"/>
        </w:rPr>
        <w:t xml:space="preserve"> proces</w:t>
      </w:r>
      <w:r w:rsidR="005023A8">
        <w:rPr>
          <w:rFonts w:ascii="Times New Roman" w:hAnsi="Times New Roman" w:eastAsia="MS Mincho" w:cs="Times New Roman"/>
          <w:color w:val="000000"/>
          <w:sz w:val="24"/>
          <w:szCs w:val="24"/>
          <w:shd w:val="clear" w:color="auto" w:fill="FFFFFF"/>
          <w:lang w:eastAsia="nl-NL"/>
        </w:rPr>
        <w:t>vorm</w:t>
      </w:r>
      <w:r w:rsidR="00581AA0">
        <w:rPr>
          <w:rStyle w:val="FootnoteReference"/>
          <w:rFonts w:ascii="Times New Roman" w:hAnsi="Times New Roman" w:eastAsia="MS Mincho"/>
          <w:color w:val="000000"/>
          <w:sz w:val="24"/>
          <w:szCs w:val="24"/>
          <w:shd w:val="clear" w:color="auto" w:fill="FFFFFF"/>
          <w:lang w:eastAsia="nl-NL"/>
        </w:rPr>
        <w:footnoteReference w:id="37"/>
      </w:r>
      <w:r w:rsidR="00384BFF">
        <w:rPr>
          <w:rFonts w:ascii="Times New Roman" w:hAnsi="Times New Roman" w:eastAsia="MS Mincho" w:cs="Times New Roman"/>
          <w:color w:val="000000"/>
          <w:sz w:val="24"/>
          <w:szCs w:val="24"/>
          <w:shd w:val="clear" w:color="auto" w:fill="FFFFFF"/>
          <w:lang w:eastAsia="nl-NL"/>
        </w:rPr>
        <w:t>, maar door de wetgever nimmer fundamenteel aan de orde gesteld. Datzelfde geldt voor het met dit thema verweven aspect van de mate waarin het strafproces of de strafprocedure als geheel contradictoir van karakter</w:t>
      </w:r>
      <w:r w:rsidR="00777A7A">
        <w:rPr>
          <w:rFonts w:ascii="Times New Roman" w:hAnsi="Times New Roman" w:eastAsia="MS Mincho" w:cs="Times New Roman"/>
          <w:color w:val="000000"/>
          <w:sz w:val="24"/>
          <w:szCs w:val="24"/>
          <w:shd w:val="clear" w:color="auto" w:fill="FFFFFF"/>
          <w:lang w:eastAsia="nl-NL"/>
        </w:rPr>
        <w:t xml:space="preserve"> moet zijn</w:t>
      </w:r>
      <w:r w:rsidR="00384BFF">
        <w:rPr>
          <w:rFonts w:ascii="Times New Roman" w:hAnsi="Times New Roman" w:eastAsia="MS Mincho" w:cs="Times New Roman"/>
          <w:color w:val="000000"/>
          <w:sz w:val="24"/>
          <w:szCs w:val="24"/>
          <w:shd w:val="clear" w:color="auto" w:fill="FFFFFF"/>
          <w:lang w:eastAsia="nl-NL"/>
        </w:rPr>
        <w:t xml:space="preserve">.  </w:t>
      </w:r>
      <w:r w:rsidR="00384BFF">
        <w:rPr>
          <w:rFonts w:ascii="Times New Roman" w:hAnsi="Times New Roman" w:eastAsia="MS Mincho" w:cs="Times New Roman"/>
          <w:color w:val="000000"/>
          <w:sz w:val="24"/>
          <w:szCs w:val="24"/>
          <w:shd w:val="clear" w:color="auto" w:fill="FFFFFF"/>
          <w:lang w:eastAsia="nl-NL"/>
        </w:rPr>
        <w:br/>
      </w:r>
      <w:r w:rsidRPr="004D58FC" w:rsidR="007D19E4">
        <w:rPr>
          <w:rFonts w:ascii="Times New Roman" w:hAnsi="Times New Roman" w:eastAsia="MS Mincho" w:cs="Times New Roman"/>
          <w:color w:val="000000"/>
          <w:sz w:val="24"/>
          <w:szCs w:val="24"/>
          <w:shd w:val="clear" w:color="auto" w:fill="FFFFFF"/>
          <w:lang w:eastAsia="nl-NL"/>
        </w:rPr>
        <w:t xml:space="preserve">De Contourennota </w:t>
      </w:r>
      <w:r w:rsidRPr="004D58FC" w:rsidR="004D58FC">
        <w:rPr>
          <w:rFonts w:ascii="Times New Roman" w:hAnsi="Times New Roman" w:eastAsia="MS Mincho" w:cs="Times New Roman"/>
          <w:color w:val="000000"/>
          <w:sz w:val="24"/>
          <w:szCs w:val="24"/>
          <w:shd w:val="clear" w:color="auto" w:fill="FFFFFF"/>
          <w:lang w:eastAsia="nl-NL"/>
        </w:rPr>
        <w:t xml:space="preserve">komt </w:t>
      </w:r>
      <w:r w:rsidRPr="004D58FC" w:rsidR="007D19E4">
        <w:rPr>
          <w:rFonts w:ascii="Times New Roman" w:hAnsi="Times New Roman" w:eastAsia="MS Mincho" w:cs="Times New Roman"/>
          <w:color w:val="000000"/>
          <w:sz w:val="24"/>
          <w:szCs w:val="24"/>
          <w:shd w:val="clear" w:color="auto" w:fill="FFFFFF"/>
          <w:lang w:eastAsia="nl-NL"/>
        </w:rPr>
        <w:t xml:space="preserve">wederom </w:t>
      </w:r>
      <w:r w:rsidRPr="004D58FC" w:rsidR="004D58FC">
        <w:rPr>
          <w:rFonts w:ascii="Times New Roman" w:hAnsi="Times New Roman" w:eastAsia="MS Mincho" w:cs="Times New Roman"/>
          <w:color w:val="000000"/>
          <w:sz w:val="24"/>
          <w:szCs w:val="24"/>
          <w:shd w:val="clear" w:color="auto" w:fill="FFFFFF"/>
          <w:lang w:eastAsia="nl-NL"/>
        </w:rPr>
        <w:t xml:space="preserve">met een voorstel tot </w:t>
      </w:r>
      <w:r w:rsidRPr="004D58FC" w:rsidR="007D19E4">
        <w:rPr>
          <w:rFonts w:ascii="Times New Roman" w:hAnsi="Times New Roman" w:eastAsia="MS Mincho" w:cs="Times New Roman"/>
          <w:color w:val="000000"/>
          <w:sz w:val="24"/>
          <w:szCs w:val="24"/>
          <w:shd w:val="clear" w:color="auto" w:fill="FFFFFF"/>
          <w:lang w:eastAsia="nl-NL"/>
        </w:rPr>
        <w:t>een verschuiving in de verhouding</w:t>
      </w:r>
      <w:r w:rsidR="00B4290E">
        <w:rPr>
          <w:rFonts w:ascii="Times New Roman" w:hAnsi="Times New Roman" w:eastAsia="MS Mincho" w:cs="Times New Roman"/>
          <w:color w:val="000000"/>
          <w:sz w:val="24"/>
          <w:szCs w:val="24"/>
          <w:shd w:val="clear" w:color="auto" w:fill="FFFFFF"/>
          <w:lang w:eastAsia="nl-NL"/>
        </w:rPr>
        <w:t xml:space="preserve"> tussen voor- en eindonderzoek</w:t>
      </w:r>
      <w:r w:rsidRPr="004D58FC" w:rsidR="007D19E4">
        <w:rPr>
          <w:rFonts w:ascii="Times New Roman" w:hAnsi="Times New Roman" w:eastAsia="MS Mincho" w:cs="Times New Roman"/>
          <w:color w:val="000000"/>
          <w:sz w:val="24"/>
          <w:szCs w:val="24"/>
          <w:shd w:val="clear" w:color="auto" w:fill="FFFFFF"/>
          <w:lang w:eastAsia="nl-NL"/>
        </w:rPr>
        <w:t xml:space="preserve">: “(…) </w:t>
      </w:r>
      <w:r w:rsidRPr="004D58FC" w:rsidR="007D19E4">
        <w:rPr>
          <w:rFonts w:ascii="Times New Roman" w:hAnsi="Times New Roman" w:cs="Times New Roman"/>
          <w:sz w:val="24"/>
          <w:szCs w:val="24"/>
        </w:rPr>
        <w:t>Een aantal voorstellen vertoont daarnaast een bijzondere samenhang. Het betreft in het bijzonder de voorstellen die specifiek zien op het verloop van het strafproces in geval zaken worden afgedaan door de strafrechter. Die voorstellen kenmerken zich kort gezegd door een “beweging naar voren”: het voorbereidend onderzoek neemt in verhouding tot het onderzoek ter terechtzitting in gewicht toe. Hetzelfde geldt voor het onderzoek ter terechtzitting in eerste aanleg in relatie tot het onderzoek in hoger beroep. (…)”</w:t>
      </w:r>
      <w:r w:rsidRPr="004D58FC" w:rsidR="007D19E4">
        <w:rPr>
          <w:rStyle w:val="FootnoteReference"/>
          <w:rFonts w:ascii="Times New Roman" w:hAnsi="Times New Roman"/>
          <w:sz w:val="24"/>
          <w:szCs w:val="24"/>
        </w:rPr>
        <w:footnoteReference w:id="38"/>
      </w:r>
      <w:r w:rsidRPr="004D58FC" w:rsidR="007D19E4">
        <w:rPr>
          <w:rFonts w:ascii="Times New Roman" w:hAnsi="Times New Roman" w:cs="Times New Roman"/>
          <w:sz w:val="24"/>
          <w:szCs w:val="24"/>
        </w:rPr>
        <w:t xml:space="preserve"> </w:t>
      </w:r>
      <w:r w:rsidR="005F02EF">
        <w:rPr>
          <w:rFonts w:ascii="Times New Roman" w:hAnsi="Times New Roman" w:cs="Times New Roman"/>
          <w:sz w:val="24"/>
          <w:szCs w:val="24"/>
        </w:rPr>
        <w:t xml:space="preserve">Tegelijkertijd geeft de Contourennota met betrekking tot Boek 4: Berechting aan: </w:t>
      </w:r>
      <w:r w:rsidRPr="005F02EF" w:rsidR="005F02EF">
        <w:rPr>
          <w:rFonts w:ascii="Times New Roman" w:hAnsi="Times New Roman" w:cs="Times New Roman"/>
          <w:sz w:val="24"/>
          <w:szCs w:val="24"/>
        </w:rPr>
        <w:t>“Een groot deel van de bestaande bepalingen zal inhoudelijk ongewijzigd blijven, waarbij mogelijk wel enige stroomlijning of herordening plaatsvindt. Vooralsnog meen ik dat met één wetsvoorstel kan worden volstaan. Hierna komen de belangrijkste wijzigingen in de desbetreffende hoofdstukken aan de orde.</w:t>
      </w:r>
      <w:r w:rsidR="005F02EF">
        <w:rPr>
          <w:rFonts w:ascii="Times New Roman" w:hAnsi="Times New Roman" w:cs="Times New Roman"/>
          <w:sz w:val="24"/>
          <w:szCs w:val="24"/>
        </w:rPr>
        <w:t>”</w:t>
      </w:r>
      <w:r w:rsidR="005F02EF">
        <w:rPr>
          <w:rStyle w:val="FootnoteReference"/>
          <w:rFonts w:ascii="Times New Roman" w:hAnsi="Times New Roman"/>
          <w:sz w:val="24"/>
          <w:szCs w:val="24"/>
        </w:rPr>
        <w:footnoteReference w:id="39"/>
      </w:r>
      <w:r w:rsidR="00047FC8">
        <w:rPr>
          <w:rFonts w:ascii="Times New Roman" w:hAnsi="Times New Roman" w:cs="Times New Roman"/>
          <w:sz w:val="24"/>
          <w:szCs w:val="24"/>
        </w:rPr>
        <w:t xml:space="preserve"> De wijzigingen die vervolgens worden genoemd hebben geen relatie tot </w:t>
      </w:r>
      <w:r w:rsidR="00C613EE">
        <w:rPr>
          <w:rFonts w:ascii="Times New Roman" w:hAnsi="Times New Roman" w:cs="Times New Roman"/>
          <w:sz w:val="24"/>
          <w:szCs w:val="24"/>
        </w:rPr>
        <w:t xml:space="preserve">de </w:t>
      </w:r>
      <w:r w:rsidR="00047FC8">
        <w:rPr>
          <w:rFonts w:ascii="Times New Roman" w:hAnsi="Times New Roman" w:cs="Times New Roman"/>
          <w:sz w:val="24"/>
          <w:szCs w:val="24"/>
        </w:rPr>
        <w:t>gevolgen van de genoemde ‘beweging naar voren’</w:t>
      </w:r>
      <w:r w:rsidR="00800F27">
        <w:rPr>
          <w:rFonts w:ascii="Times New Roman" w:hAnsi="Times New Roman" w:cs="Times New Roman"/>
          <w:sz w:val="24"/>
          <w:szCs w:val="24"/>
        </w:rPr>
        <w:t xml:space="preserve">. Wél wordt aangegeven dat de reeds lang bestaand </w:t>
      </w:r>
      <w:r w:rsidR="007F5652">
        <w:rPr>
          <w:rFonts w:ascii="Times New Roman" w:hAnsi="Times New Roman" w:cs="Times New Roman"/>
          <w:sz w:val="24"/>
          <w:szCs w:val="24"/>
        </w:rPr>
        <w:t xml:space="preserve">de </w:t>
      </w:r>
      <w:proofErr w:type="spellStart"/>
      <w:r w:rsidR="00800F27">
        <w:rPr>
          <w:rFonts w:ascii="Times New Roman" w:hAnsi="Times New Roman" w:cs="Times New Roman"/>
          <w:sz w:val="24"/>
          <w:szCs w:val="24"/>
        </w:rPr>
        <w:t>auditu</w:t>
      </w:r>
      <w:proofErr w:type="spellEnd"/>
      <w:r w:rsidR="00800F27">
        <w:rPr>
          <w:rFonts w:ascii="Times New Roman" w:hAnsi="Times New Roman" w:cs="Times New Roman"/>
          <w:sz w:val="24"/>
          <w:szCs w:val="24"/>
        </w:rPr>
        <w:t xml:space="preserve"> jurisprudentie van de Hoge Raad zal worden gecodificeerd.</w:t>
      </w:r>
      <w:r w:rsidR="00800F27">
        <w:rPr>
          <w:rStyle w:val="FootnoteReference"/>
          <w:rFonts w:ascii="Times New Roman" w:hAnsi="Times New Roman"/>
          <w:sz w:val="24"/>
          <w:szCs w:val="24"/>
        </w:rPr>
        <w:footnoteReference w:id="40"/>
      </w:r>
      <w:r w:rsidR="009C41EC">
        <w:rPr>
          <w:rFonts w:ascii="Times New Roman" w:hAnsi="Times New Roman" w:cs="Times New Roman"/>
          <w:sz w:val="24"/>
          <w:szCs w:val="24"/>
        </w:rPr>
        <w:t xml:space="preserve"> In aansluiting daarop vermeldt de Contouren nota in verband met gevallen waarin een cruciale getuige een voor de verdachte belastende verklaring heeft afgelegd en daar later op terugkomt of weigert te verklaren: “Afhankelijk van de omstandigheden van het geval kan het noodzakelijk zijn de getuige ter terechtzitting te horen, opdat de zittingsrechter zelf in staat is de betrouwbaarheid van de verklaring van de getuige te toetsen. (…).</w:t>
      </w:r>
      <w:r w:rsidR="009C41EC">
        <w:rPr>
          <w:rStyle w:val="FootnoteReference"/>
          <w:rFonts w:ascii="Times New Roman" w:hAnsi="Times New Roman"/>
          <w:sz w:val="24"/>
          <w:szCs w:val="24"/>
        </w:rPr>
        <w:footnoteReference w:id="41"/>
      </w:r>
      <w:r w:rsidR="009C41EC">
        <w:rPr>
          <w:rFonts w:ascii="Times New Roman" w:hAnsi="Times New Roman" w:cs="Times New Roman"/>
          <w:sz w:val="24"/>
          <w:szCs w:val="24"/>
        </w:rPr>
        <w:t xml:space="preserve"> </w:t>
      </w:r>
      <w:r w:rsidR="00384BFF">
        <w:rPr>
          <w:rFonts w:ascii="Times New Roman" w:hAnsi="Times New Roman" w:cs="Times New Roman"/>
          <w:sz w:val="24"/>
          <w:szCs w:val="24"/>
        </w:rPr>
        <w:t xml:space="preserve">Hoewel deze beide onderwerpen niet kunnen worden los gedacht van de verhouding voor- en eindonderzoek en een verschuiving daarbinnen wordt de relatie met de ‘beweging naar voren’ niet gelegd.  </w:t>
      </w:r>
      <w:r w:rsidR="004F5CE4">
        <w:rPr>
          <w:rFonts w:ascii="Times New Roman" w:hAnsi="Times New Roman" w:cs="Times New Roman"/>
          <w:sz w:val="24"/>
          <w:szCs w:val="24"/>
        </w:rPr>
        <w:t xml:space="preserve">Volledig terzijde van deze </w:t>
      </w:r>
      <w:r w:rsidR="00EA56CF">
        <w:rPr>
          <w:rFonts w:ascii="Times New Roman" w:hAnsi="Times New Roman" w:cs="Times New Roman"/>
          <w:sz w:val="24"/>
          <w:szCs w:val="24"/>
        </w:rPr>
        <w:t>teksten</w:t>
      </w:r>
      <w:r w:rsidR="004F5CE4">
        <w:rPr>
          <w:rFonts w:ascii="Times New Roman" w:hAnsi="Times New Roman" w:cs="Times New Roman"/>
          <w:sz w:val="24"/>
          <w:szCs w:val="24"/>
        </w:rPr>
        <w:t xml:space="preserve"> wordt in de begeleidende  brief bij de Contourennota een korte paragraaf gewijd aan het contradictoire karakter van het </w:t>
      </w:r>
      <w:r w:rsidR="00EA56CF">
        <w:rPr>
          <w:rFonts w:ascii="Times New Roman" w:hAnsi="Times New Roman" w:cs="Times New Roman"/>
          <w:sz w:val="24"/>
          <w:szCs w:val="24"/>
        </w:rPr>
        <w:t>strafproces</w:t>
      </w:r>
      <w:r w:rsidRPr="00EA56CF" w:rsidR="00EA56CF">
        <w:rPr>
          <w:rFonts w:ascii="Times New Roman" w:hAnsi="Times New Roman" w:cs="Times New Roman"/>
          <w:sz w:val="24"/>
          <w:szCs w:val="24"/>
        </w:rPr>
        <w:t>. “Ik onderschrijf op hoofdlijnen de uitgangspunten die de projectgroep Strafvordering 2001 op het punt van een grotere nadruk op het contradictoir proces heeft geformuleerd. Voorop staat dat de overheid een procedure en procesvoering waarborgt, die voldoet aan normen die voortvloeien uit (grond)rechten; de justitiële autoriteiten hebben daarvoor een eigen in de wet verankerde verantwoordelijkheid. In het contradictoire proces bepaalt de interactie tussen de verschillende procesdeelnemers in zekere mate de agenda van het strafproces, met een nadruk op de mogelijkheid van de verdachte zelf zijn proceshouding te bepalen. Dat begint al tijdens het voorbereidend onderzoek. De keerzijde van de vrijheid van de verdachte om een eigen processuele koers te kiezen is wel dat aan de gemaakte keuzen rechtsgevolgen kunnen worden verbonden.”</w:t>
      </w:r>
      <w:r w:rsidR="00EA56CF">
        <w:rPr>
          <w:rFonts w:ascii="Times New Roman" w:hAnsi="Times New Roman" w:cs="Times New Roman"/>
          <w:sz w:val="24"/>
          <w:szCs w:val="24"/>
        </w:rPr>
        <w:t xml:space="preserve"> </w:t>
      </w:r>
      <w:r w:rsidRPr="00EA56CF" w:rsidR="005023A8">
        <w:rPr>
          <w:rStyle w:val="FootnoteReference"/>
          <w:rFonts w:ascii="Times New Roman" w:hAnsi="Times New Roman"/>
          <w:sz w:val="24"/>
          <w:szCs w:val="24"/>
        </w:rPr>
        <w:footnoteReference w:id="42"/>
      </w:r>
      <w:r w:rsidR="005023A8">
        <w:rPr>
          <w:rFonts w:ascii="Times New Roman" w:hAnsi="Times New Roman" w:cs="Times New Roman"/>
          <w:sz w:val="24"/>
          <w:szCs w:val="24"/>
        </w:rPr>
        <w:t xml:space="preserve"> </w:t>
      </w:r>
      <w:r w:rsidR="00A85C59">
        <w:rPr>
          <w:rFonts w:ascii="Times New Roman" w:hAnsi="Times New Roman" w:cs="Times New Roman"/>
          <w:sz w:val="24"/>
          <w:szCs w:val="24"/>
        </w:rPr>
        <w:t xml:space="preserve">Ook de keuze dat de beslissing over het horen van getuigen ter terechtzitting voortaan door de rechter moet worden genomen en de officier van justitie als voorportaal vervalt past wel in dat contradictoire geding, maar wordt in de beschikbare </w:t>
      </w:r>
      <w:r w:rsidR="00777A7A">
        <w:rPr>
          <w:rFonts w:ascii="Times New Roman" w:hAnsi="Times New Roman" w:cs="Times New Roman"/>
          <w:sz w:val="24"/>
          <w:szCs w:val="24"/>
        </w:rPr>
        <w:t>documenten</w:t>
      </w:r>
      <w:r w:rsidR="00A85C59">
        <w:rPr>
          <w:rFonts w:ascii="Times New Roman" w:hAnsi="Times New Roman" w:cs="Times New Roman"/>
          <w:sz w:val="24"/>
          <w:szCs w:val="24"/>
        </w:rPr>
        <w:t xml:space="preserve"> </w:t>
      </w:r>
      <w:r w:rsidR="00777A7A">
        <w:rPr>
          <w:rFonts w:ascii="Times New Roman" w:hAnsi="Times New Roman" w:cs="Times New Roman"/>
          <w:sz w:val="24"/>
          <w:szCs w:val="24"/>
        </w:rPr>
        <w:t xml:space="preserve">daarmee </w:t>
      </w:r>
      <w:r w:rsidR="00A85C59">
        <w:rPr>
          <w:rFonts w:ascii="Times New Roman" w:hAnsi="Times New Roman" w:cs="Times New Roman"/>
          <w:sz w:val="24"/>
          <w:szCs w:val="24"/>
        </w:rPr>
        <w:t xml:space="preserve">niet </w:t>
      </w:r>
      <w:r w:rsidR="00777A7A">
        <w:rPr>
          <w:rFonts w:ascii="Times New Roman" w:hAnsi="Times New Roman" w:cs="Times New Roman"/>
          <w:sz w:val="24"/>
          <w:szCs w:val="24"/>
        </w:rPr>
        <w:t>i</w:t>
      </w:r>
      <w:r w:rsidR="00A85C59">
        <w:rPr>
          <w:rFonts w:ascii="Times New Roman" w:hAnsi="Times New Roman" w:cs="Times New Roman"/>
          <w:sz w:val="24"/>
          <w:szCs w:val="24"/>
        </w:rPr>
        <w:t xml:space="preserve">n verband gebracht.  </w:t>
      </w:r>
      <w:r w:rsidR="00F067BA">
        <w:rPr>
          <w:rFonts w:ascii="Times New Roman" w:hAnsi="Times New Roman" w:cs="Times New Roman"/>
          <w:sz w:val="24"/>
          <w:szCs w:val="24"/>
        </w:rPr>
        <w:t xml:space="preserve">De </w:t>
      </w:r>
      <w:r w:rsidR="00EA56CF">
        <w:rPr>
          <w:rFonts w:ascii="Times New Roman" w:hAnsi="Times New Roman" w:cs="Times New Roman"/>
          <w:sz w:val="24"/>
          <w:szCs w:val="24"/>
        </w:rPr>
        <w:t xml:space="preserve">weergegeven citaten worden op geen enkele wijze met elkaar in verband gebracht, noch met de ‘beweging naar voren’. </w:t>
      </w:r>
      <w:r w:rsidR="00A85C59">
        <w:rPr>
          <w:rFonts w:ascii="Times New Roman" w:hAnsi="Times New Roman" w:cs="Times New Roman"/>
          <w:sz w:val="24"/>
          <w:szCs w:val="24"/>
        </w:rPr>
        <w:t xml:space="preserve">De kansen om </w:t>
      </w:r>
      <w:r w:rsidR="00A85C59">
        <w:rPr>
          <w:rFonts w:ascii="Times New Roman" w:hAnsi="Times New Roman" w:cs="Times New Roman"/>
          <w:sz w:val="24"/>
          <w:szCs w:val="24"/>
        </w:rPr>
        <w:lastRenderedPageBreak/>
        <w:t xml:space="preserve">verbindingen tussen dergelijke aspecten te maken zijn zowel systematisch als op het niveau van </w:t>
      </w:r>
      <w:r w:rsidR="002F57AC">
        <w:rPr>
          <w:rFonts w:ascii="Times New Roman" w:hAnsi="Times New Roman" w:cs="Times New Roman"/>
          <w:sz w:val="24"/>
          <w:szCs w:val="24"/>
        </w:rPr>
        <w:t>proces</w:t>
      </w:r>
      <w:r w:rsidR="007F5652">
        <w:rPr>
          <w:rFonts w:ascii="Times New Roman" w:hAnsi="Times New Roman" w:cs="Times New Roman"/>
          <w:sz w:val="24"/>
          <w:szCs w:val="24"/>
        </w:rPr>
        <w:t xml:space="preserve">traditie </w:t>
      </w:r>
      <w:r w:rsidR="004404C2">
        <w:rPr>
          <w:rFonts w:ascii="Times New Roman" w:hAnsi="Times New Roman" w:cs="Times New Roman"/>
          <w:sz w:val="24"/>
          <w:szCs w:val="24"/>
        </w:rPr>
        <w:t xml:space="preserve">te </w:t>
      </w:r>
      <w:r w:rsidR="00A85C59">
        <w:rPr>
          <w:rFonts w:ascii="Times New Roman" w:hAnsi="Times New Roman" w:cs="Times New Roman"/>
          <w:sz w:val="24"/>
          <w:szCs w:val="24"/>
        </w:rPr>
        <w:t>fundamenteel om vrijblijvend</w:t>
      </w:r>
      <w:r w:rsidR="002F57AC">
        <w:rPr>
          <w:rFonts w:ascii="Times New Roman" w:hAnsi="Times New Roman" w:cs="Times New Roman"/>
          <w:sz w:val="24"/>
          <w:szCs w:val="24"/>
        </w:rPr>
        <w:t xml:space="preserve"> te laten liggen. </w:t>
      </w:r>
      <w:r w:rsidR="00A85C59">
        <w:rPr>
          <w:rFonts w:ascii="Times New Roman" w:hAnsi="Times New Roman" w:cs="Times New Roman"/>
          <w:sz w:val="24"/>
          <w:szCs w:val="24"/>
        </w:rPr>
        <w:t xml:space="preserve"> </w:t>
      </w:r>
    </w:p>
    <w:p w:rsidR="0055468B" w:rsidP="00637E64" w:rsidRDefault="00EA56CF">
      <w:pPr>
        <w:spacing w:before="240" w:after="0" w:line="240" w:lineRule="auto"/>
        <w:rPr>
          <w:rFonts w:ascii="Times New Roman" w:hAnsi="Times New Roman" w:eastAsia="MS Mincho" w:cs="Times New Roman"/>
          <w:color w:val="000000"/>
          <w:sz w:val="24"/>
          <w:szCs w:val="24"/>
          <w:shd w:val="clear" w:color="auto" w:fill="FFFFFF"/>
          <w:lang w:eastAsia="nl-NL"/>
        </w:rPr>
      </w:pPr>
      <w:r w:rsidRPr="00DD6922">
        <w:rPr>
          <w:rFonts w:ascii="Times New Roman" w:hAnsi="Times New Roman" w:eastAsia="MS Mincho" w:cs="Times New Roman"/>
          <w:sz w:val="24"/>
          <w:szCs w:val="24"/>
          <w:shd w:val="clear" w:color="auto" w:fill="FFFFFF"/>
          <w:lang w:eastAsia="nl-NL"/>
        </w:rPr>
        <w:t xml:space="preserve">Het belang van helderheid over de verhouding voor- en eindonderzoek  doet zich ook gelden op het punt van de eenvoudiger zaken. De keuze voor een efficiënte en haalbare handhaving zal straks – waarschijnlijk nog meer dan nu  – gaan bepalen of er een strafvervolging zal plaatsvinden, of er voorlopige hechtenis zal worden toegepast en of er aanleiding is voor een regiezitting. </w:t>
      </w:r>
      <w:r w:rsidR="005023A8">
        <w:rPr>
          <w:rFonts w:ascii="Times New Roman" w:hAnsi="Times New Roman" w:eastAsia="MS Mincho" w:cs="Times New Roman"/>
          <w:sz w:val="24"/>
          <w:szCs w:val="24"/>
          <w:shd w:val="clear" w:color="auto" w:fill="FFFFFF"/>
          <w:lang w:eastAsia="nl-NL"/>
        </w:rPr>
        <w:t xml:space="preserve">Ter illustratie van potentiële consequenties kan dienen </w:t>
      </w:r>
      <w:r w:rsidRPr="00DD6922">
        <w:rPr>
          <w:rFonts w:ascii="Times New Roman" w:hAnsi="Times New Roman" w:eastAsia="MS Mincho" w:cs="Times New Roman"/>
          <w:sz w:val="24"/>
          <w:szCs w:val="24"/>
          <w:shd w:val="clear" w:color="auto" w:fill="FFFFFF"/>
          <w:lang w:eastAsia="nl-NL"/>
        </w:rPr>
        <w:t>de overweging van de minister in de begeleidende brief bij de Contourennota: “</w:t>
      </w:r>
      <w:r w:rsidRPr="00DD6922">
        <w:rPr>
          <w:rFonts w:ascii="Times New Roman" w:hAnsi="Times New Roman" w:cs="Times New Roman"/>
          <w:sz w:val="24"/>
          <w:szCs w:val="24"/>
        </w:rPr>
        <w:t>Ook in de wat eenvoudiger zaken, waarbij in de regel geen sprake is van voorlopige hechtenis en betrokkenheid van de rechter-commissaris, zet ik in op een goede voorbereiding van de zitting en minder aanhoudingen ter zitting. Dit doel zal worden bereikt door verbetering van de kwaliteit van processen-verbaal, tijdiger verstrekking van (digitale) dossierstukken en eerdere en actievere betrokkenheid van het openbaar ministerie, de verdediging en de rechter. Zij hebben een gedeelde verantwoordelijkheid om in een vroeger stadium dan thans te bezien of het dossier volledig is en zo nodig proactief op te treden, bijvoorbeeld bij de behoefte aan nader onderzoek of het opmaken van een reclasseringsrapport.”</w:t>
      </w:r>
      <w:r w:rsidRPr="00DD6922">
        <w:rPr>
          <w:rStyle w:val="FootnoteReference"/>
          <w:rFonts w:ascii="Times New Roman" w:hAnsi="Times New Roman"/>
          <w:sz w:val="24"/>
          <w:szCs w:val="24"/>
        </w:rPr>
        <w:footnoteReference w:id="43"/>
      </w:r>
      <w:r w:rsidRPr="00DD6922">
        <w:rPr>
          <w:rFonts w:ascii="Times New Roman" w:hAnsi="Times New Roman" w:cs="Times New Roman"/>
          <w:sz w:val="24"/>
          <w:szCs w:val="24"/>
        </w:rPr>
        <w:t xml:space="preserve"> De voorstellen voor de werkwijze in deze fase zijn bepaald niet ‘hard’. De officier kan door de voorgestelde betrokkenheid vooraf veel beter inschatten welk strafbaar feit hij</w:t>
      </w:r>
      <w:r w:rsidR="00F067BA">
        <w:rPr>
          <w:rFonts w:ascii="Times New Roman" w:hAnsi="Times New Roman" w:cs="Times New Roman"/>
          <w:sz w:val="24"/>
          <w:szCs w:val="24"/>
        </w:rPr>
        <w:t xml:space="preserve"> </w:t>
      </w:r>
      <w:r w:rsidRPr="00DD6922">
        <w:rPr>
          <w:rFonts w:ascii="Times New Roman" w:hAnsi="Times New Roman" w:cs="Times New Roman"/>
          <w:sz w:val="24"/>
          <w:szCs w:val="24"/>
        </w:rPr>
        <w:t xml:space="preserve">– met het oog op snelheid en haalbaarheid – het best ten laste kan leggen. Hij kan de verhouding tussen voor- en eindonderzoek benutten </w:t>
      </w:r>
      <w:r w:rsidR="007F5652">
        <w:rPr>
          <w:rFonts w:ascii="Times New Roman" w:hAnsi="Times New Roman" w:cs="Times New Roman"/>
          <w:sz w:val="24"/>
          <w:szCs w:val="24"/>
        </w:rPr>
        <w:t xml:space="preserve">bij </w:t>
      </w:r>
      <w:r w:rsidRPr="00DD6922">
        <w:rPr>
          <w:rFonts w:ascii="Times New Roman" w:hAnsi="Times New Roman" w:cs="Times New Roman"/>
          <w:sz w:val="24"/>
          <w:szCs w:val="24"/>
        </w:rPr>
        <w:t xml:space="preserve">zijn keuze voor een tenlastelegging en </w:t>
      </w:r>
      <w:r w:rsidR="007F5652">
        <w:rPr>
          <w:rFonts w:ascii="Times New Roman" w:hAnsi="Times New Roman" w:cs="Times New Roman"/>
          <w:sz w:val="24"/>
          <w:szCs w:val="24"/>
        </w:rPr>
        <w:t xml:space="preserve">het </w:t>
      </w:r>
      <w:r w:rsidRPr="00DD6922">
        <w:rPr>
          <w:rFonts w:ascii="Times New Roman" w:hAnsi="Times New Roman" w:cs="Times New Roman"/>
          <w:sz w:val="24"/>
          <w:szCs w:val="24"/>
        </w:rPr>
        <w:t>aan</w:t>
      </w:r>
      <w:r w:rsidR="007F5652">
        <w:rPr>
          <w:rFonts w:ascii="Times New Roman" w:hAnsi="Times New Roman" w:cs="Times New Roman"/>
          <w:sz w:val="24"/>
          <w:szCs w:val="24"/>
        </w:rPr>
        <w:t xml:space="preserve"> te </w:t>
      </w:r>
      <w:r w:rsidRPr="00DD6922">
        <w:rPr>
          <w:rFonts w:ascii="Times New Roman" w:hAnsi="Times New Roman" w:cs="Times New Roman"/>
          <w:sz w:val="24"/>
          <w:szCs w:val="24"/>
        </w:rPr>
        <w:t>leveren bewijsmateriaal. Nu de werkwijze op zitting naar verwachting ook voor deze eenvoudiger zaken minder ‘onmiddellijk’ zal worden</w:t>
      </w:r>
      <w:r w:rsidR="004404C2">
        <w:rPr>
          <w:rFonts w:ascii="Times New Roman" w:hAnsi="Times New Roman" w:cs="Times New Roman"/>
          <w:sz w:val="24"/>
          <w:szCs w:val="24"/>
        </w:rPr>
        <w:t xml:space="preserve">, </w:t>
      </w:r>
      <w:r w:rsidRPr="00DD6922">
        <w:rPr>
          <w:rFonts w:ascii="Times New Roman" w:hAnsi="Times New Roman" w:cs="Times New Roman"/>
          <w:sz w:val="24"/>
          <w:szCs w:val="24"/>
        </w:rPr>
        <w:t xml:space="preserve"> </w:t>
      </w:r>
      <w:r w:rsidR="005023A8">
        <w:rPr>
          <w:rFonts w:ascii="Times New Roman" w:hAnsi="Times New Roman" w:cs="Times New Roman"/>
          <w:sz w:val="24"/>
          <w:szCs w:val="24"/>
        </w:rPr>
        <w:t xml:space="preserve">zou </w:t>
      </w:r>
      <w:r w:rsidR="004404C2">
        <w:rPr>
          <w:rFonts w:ascii="Times New Roman" w:hAnsi="Times New Roman" w:cs="Times New Roman"/>
          <w:sz w:val="24"/>
          <w:szCs w:val="24"/>
        </w:rPr>
        <w:t>d</w:t>
      </w:r>
      <w:r w:rsidRPr="00DD6922">
        <w:rPr>
          <w:rFonts w:ascii="Times New Roman" w:hAnsi="Times New Roman" w:cs="Times New Roman"/>
          <w:sz w:val="24"/>
          <w:szCs w:val="24"/>
        </w:rPr>
        <w:t xml:space="preserve">e keuze voor een ‘lichter’ strafbaar feit waarvoor geen regiezitting en geen getuigenverhoren nodig zijn de officier wat betreft snelheid en haalbaarheid wel eens beter </w:t>
      </w:r>
      <w:r w:rsidR="007F5652">
        <w:rPr>
          <w:rFonts w:ascii="Times New Roman" w:hAnsi="Times New Roman" w:cs="Times New Roman"/>
          <w:sz w:val="24"/>
          <w:szCs w:val="24"/>
        </w:rPr>
        <w:t xml:space="preserve">kunnen </w:t>
      </w:r>
      <w:r w:rsidRPr="00DD6922">
        <w:rPr>
          <w:rFonts w:ascii="Times New Roman" w:hAnsi="Times New Roman" w:cs="Times New Roman"/>
          <w:sz w:val="24"/>
          <w:szCs w:val="24"/>
        </w:rPr>
        <w:t>uitkomen. Maar evengoed kan het omgekeerde het geval zijn.</w:t>
      </w:r>
      <w:r w:rsidR="00C157B4">
        <w:rPr>
          <w:rFonts w:ascii="Times New Roman" w:hAnsi="Times New Roman" w:cs="Times New Roman"/>
          <w:sz w:val="24"/>
          <w:szCs w:val="24"/>
        </w:rPr>
        <w:t xml:space="preserve"> </w:t>
      </w:r>
      <w:r w:rsidRPr="007C5808" w:rsidR="00005AA6">
        <w:rPr>
          <w:rFonts w:ascii="Times New Roman" w:hAnsi="Times New Roman" w:eastAsia="MS Mincho" w:cs="Times New Roman"/>
          <w:color w:val="000000"/>
          <w:sz w:val="24"/>
          <w:szCs w:val="24"/>
          <w:shd w:val="clear" w:color="auto" w:fill="FFFFFF"/>
          <w:lang w:eastAsia="nl-NL"/>
        </w:rPr>
        <w:t xml:space="preserve">De verhouding tussen </w:t>
      </w:r>
      <w:r w:rsidR="00C157B4">
        <w:rPr>
          <w:rFonts w:ascii="Times New Roman" w:hAnsi="Times New Roman" w:eastAsia="MS Mincho" w:cs="Times New Roman"/>
          <w:color w:val="000000"/>
          <w:sz w:val="24"/>
          <w:szCs w:val="24"/>
          <w:shd w:val="clear" w:color="auto" w:fill="FFFFFF"/>
          <w:lang w:eastAsia="nl-NL"/>
        </w:rPr>
        <w:t xml:space="preserve">voor- en eindonderzoek </w:t>
      </w:r>
      <w:r w:rsidRPr="007C5808" w:rsidR="00005AA6">
        <w:rPr>
          <w:rFonts w:ascii="Times New Roman" w:hAnsi="Times New Roman" w:eastAsia="MS Mincho" w:cs="Times New Roman"/>
          <w:color w:val="000000"/>
          <w:sz w:val="24"/>
          <w:szCs w:val="24"/>
          <w:shd w:val="clear" w:color="auto" w:fill="FFFFFF"/>
          <w:lang w:eastAsia="nl-NL"/>
        </w:rPr>
        <w:t>kan door wijzigingen op deelonderwerpen volledig uit evenwicht geraken (</w:t>
      </w:r>
      <w:r w:rsidRPr="007C5808" w:rsidR="00194071">
        <w:rPr>
          <w:rFonts w:ascii="Times New Roman" w:hAnsi="Times New Roman" w:eastAsia="MS Mincho" w:cs="Times New Roman"/>
          <w:color w:val="000000"/>
          <w:sz w:val="24"/>
          <w:szCs w:val="24"/>
          <w:shd w:val="clear" w:color="auto" w:fill="FFFFFF"/>
          <w:lang w:eastAsia="nl-NL"/>
        </w:rPr>
        <w:t xml:space="preserve">eisen aan een actieve proceshouding; </w:t>
      </w:r>
      <w:r w:rsidRPr="007C5808" w:rsidR="00005AA6">
        <w:rPr>
          <w:rFonts w:ascii="Times New Roman" w:hAnsi="Times New Roman" w:eastAsia="MS Mincho" w:cs="Times New Roman"/>
          <w:color w:val="000000"/>
          <w:sz w:val="24"/>
          <w:szCs w:val="24"/>
          <w:shd w:val="clear" w:color="auto" w:fill="FFFFFF"/>
          <w:lang w:eastAsia="nl-NL"/>
        </w:rPr>
        <w:t>het recht op hoor en wederhoor</w:t>
      </w:r>
      <w:r w:rsidRPr="007C5808" w:rsidR="00194071">
        <w:rPr>
          <w:rFonts w:ascii="Times New Roman" w:hAnsi="Times New Roman" w:eastAsia="MS Mincho" w:cs="Times New Roman"/>
          <w:color w:val="000000"/>
          <w:sz w:val="24"/>
          <w:szCs w:val="24"/>
          <w:shd w:val="clear" w:color="auto" w:fill="FFFFFF"/>
          <w:lang w:eastAsia="nl-NL"/>
        </w:rPr>
        <w:t xml:space="preserve"> en horen getuigen</w:t>
      </w:r>
      <w:r w:rsidR="007F5652">
        <w:rPr>
          <w:rFonts w:ascii="Times New Roman" w:hAnsi="Times New Roman" w:eastAsia="MS Mincho" w:cs="Times New Roman"/>
          <w:color w:val="000000"/>
          <w:sz w:val="24"/>
          <w:szCs w:val="24"/>
          <w:shd w:val="clear" w:color="auto" w:fill="FFFFFF"/>
          <w:lang w:eastAsia="nl-NL"/>
        </w:rPr>
        <w:t xml:space="preserve">, </w:t>
      </w:r>
      <w:r w:rsidRPr="007C5808" w:rsidR="007F5652">
        <w:rPr>
          <w:rFonts w:ascii="Times New Roman" w:hAnsi="Times New Roman" w:eastAsia="MS Mincho" w:cs="Times New Roman"/>
          <w:color w:val="000000"/>
          <w:sz w:val="24"/>
          <w:szCs w:val="24"/>
          <w:shd w:val="clear" w:color="auto" w:fill="FFFFFF"/>
          <w:lang w:eastAsia="nl-NL"/>
        </w:rPr>
        <w:t>voortbouwend appel, ambtshalve toetsing;</w:t>
      </w:r>
      <w:r w:rsidRPr="007C5808" w:rsidR="00194071">
        <w:rPr>
          <w:rFonts w:ascii="Times New Roman" w:hAnsi="Times New Roman" w:eastAsia="MS Mincho" w:cs="Times New Roman"/>
          <w:color w:val="000000"/>
          <w:sz w:val="24"/>
          <w:szCs w:val="24"/>
          <w:shd w:val="clear" w:color="auto" w:fill="FFFFFF"/>
          <w:lang w:eastAsia="nl-NL"/>
        </w:rPr>
        <w:t>)</w:t>
      </w:r>
      <w:r w:rsidR="0055468B">
        <w:rPr>
          <w:rFonts w:ascii="Times New Roman" w:hAnsi="Times New Roman" w:eastAsia="MS Mincho" w:cs="Times New Roman"/>
          <w:color w:val="000000"/>
          <w:sz w:val="24"/>
          <w:szCs w:val="24"/>
          <w:shd w:val="clear" w:color="auto" w:fill="FFFFFF"/>
          <w:lang w:eastAsia="nl-NL"/>
        </w:rPr>
        <w:t xml:space="preserve">. </w:t>
      </w:r>
    </w:p>
    <w:p w:rsidRPr="00D404C3" w:rsidR="007F5652" w:rsidP="003A4BAE" w:rsidRDefault="003A4BAE">
      <w:pPr>
        <w:spacing w:before="240" w:after="0" w:line="240" w:lineRule="auto"/>
        <w:rPr>
          <w:rFonts w:ascii="Times New Roman" w:hAnsi="Times New Roman" w:eastAsia="MS Mincho" w:cs="Times New Roman"/>
          <w:color w:val="000000" w:themeColor="text1"/>
          <w:sz w:val="24"/>
          <w:szCs w:val="24"/>
          <w:shd w:val="clear" w:color="auto" w:fill="FFFFFF"/>
          <w:lang w:eastAsia="nl-NL"/>
        </w:rPr>
      </w:pPr>
      <w:r>
        <w:rPr>
          <w:rFonts w:ascii="Times New Roman" w:hAnsi="Times New Roman" w:eastAsia="MS Mincho" w:cs="Times New Roman"/>
          <w:color w:val="000000"/>
          <w:sz w:val="24"/>
          <w:szCs w:val="24"/>
          <w:shd w:val="clear" w:color="auto" w:fill="FFFFFF"/>
          <w:lang w:eastAsia="nl-NL"/>
        </w:rPr>
        <w:t>Het onderscheid tussen voor</w:t>
      </w:r>
      <w:r w:rsidR="000F7303">
        <w:rPr>
          <w:rFonts w:ascii="Times New Roman" w:hAnsi="Times New Roman" w:eastAsia="MS Mincho" w:cs="Times New Roman"/>
          <w:color w:val="000000"/>
          <w:sz w:val="24"/>
          <w:szCs w:val="24"/>
          <w:shd w:val="clear" w:color="auto" w:fill="FFFFFF"/>
          <w:lang w:eastAsia="nl-NL"/>
        </w:rPr>
        <w:t>-</w:t>
      </w:r>
      <w:r>
        <w:rPr>
          <w:rFonts w:ascii="Times New Roman" w:hAnsi="Times New Roman" w:eastAsia="MS Mincho" w:cs="Times New Roman"/>
          <w:color w:val="000000"/>
          <w:sz w:val="24"/>
          <w:szCs w:val="24"/>
          <w:shd w:val="clear" w:color="auto" w:fill="FFFFFF"/>
          <w:lang w:eastAsia="nl-NL"/>
        </w:rPr>
        <w:t xml:space="preserve"> en eindonderzoek  kan niet worden los gedacht van de doelstelling van waarheidsvinding, noch van de eisen van een eerlijk proces. Daarmee raakt de keuze voor een ‘beweging naar voren’  aan de rol van alle actoren, aan het onmiddellijkheidsbeginsel, aan het contradictoire karakter, aan de</w:t>
      </w:r>
      <w:r w:rsidR="007F5652">
        <w:rPr>
          <w:rFonts w:ascii="Times New Roman" w:hAnsi="Times New Roman" w:eastAsia="MS Mincho" w:cs="Times New Roman"/>
          <w:color w:val="000000"/>
          <w:sz w:val="24"/>
          <w:szCs w:val="24"/>
          <w:shd w:val="clear" w:color="auto" w:fill="FFFFFF"/>
          <w:lang w:eastAsia="nl-NL"/>
        </w:rPr>
        <w:t xml:space="preserve"> </w:t>
      </w:r>
      <w:r>
        <w:rPr>
          <w:rFonts w:ascii="Times New Roman" w:hAnsi="Times New Roman" w:eastAsia="MS Mincho" w:cs="Times New Roman"/>
          <w:color w:val="000000"/>
          <w:sz w:val="24"/>
          <w:szCs w:val="24"/>
          <w:shd w:val="clear" w:color="auto" w:fill="FFFFFF"/>
          <w:lang w:eastAsia="nl-NL"/>
        </w:rPr>
        <w:t>verhouding inquisitoir-accusatoir, aan de ge</w:t>
      </w:r>
      <w:r w:rsidR="007F5652">
        <w:rPr>
          <w:rFonts w:ascii="Times New Roman" w:hAnsi="Times New Roman" w:eastAsia="MS Mincho" w:cs="Times New Roman"/>
          <w:color w:val="000000"/>
          <w:sz w:val="24"/>
          <w:szCs w:val="24"/>
          <w:shd w:val="clear" w:color="auto" w:fill="FFFFFF"/>
          <w:lang w:eastAsia="nl-NL"/>
        </w:rPr>
        <w:t>volg</w:t>
      </w:r>
      <w:r>
        <w:rPr>
          <w:rFonts w:ascii="Times New Roman" w:hAnsi="Times New Roman" w:eastAsia="MS Mincho" w:cs="Times New Roman"/>
          <w:color w:val="000000"/>
          <w:sz w:val="24"/>
          <w:szCs w:val="24"/>
          <w:shd w:val="clear" w:color="auto" w:fill="FFFFFF"/>
          <w:lang w:eastAsia="nl-NL"/>
        </w:rPr>
        <w:t xml:space="preserve">en van vormverzuimen, aan het bewijsrecht </w:t>
      </w:r>
      <w:r w:rsidR="007F5652">
        <w:rPr>
          <w:rFonts w:ascii="Times New Roman" w:hAnsi="Times New Roman" w:eastAsia="MS Mincho" w:cs="Times New Roman"/>
          <w:color w:val="000000"/>
          <w:sz w:val="24"/>
          <w:szCs w:val="24"/>
          <w:shd w:val="clear" w:color="auto" w:fill="FFFFFF"/>
          <w:lang w:eastAsia="nl-NL"/>
        </w:rPr>
        <w:t>é</w:t>
      </w:r>
      <w:r>
        <w:rPr>
          <w:rFonts w:ascii="Times New Roman" w:hAnsi="Times New Roman" w:eastAsia="MS Mincho" w:cs="Times New Roman"/>
          <w:color w:val="000000"/>
          <w:sz w:val="24"/>
          <w:szCs w:val="24"/>
          <w:shd w:val="clear" w:color="auto" w:fill="FFFFFF"/>
          <w:lang w:eastAsia="nl-NL"/>
        </w:rPr>
        <w:t xml:space="preserve">n aan nog veel meer. </w:t>
      </w:r>
      <w:r w:rsidRPr="00D404C3" w:rsidR="007F5652">
        <w:rPr>
          <w:rFonts w:ascii="Times New Roman" w:hAnsi="Times New Roman" w:eastAsia="MS Mincho" w:cs="Times New Roman"/>
          <w:color w:val="000000" w:themeColor="text1"/>
          <w:sz w:val="24"/>
          <w:szCs w:val="24"/>
          <w:shd w:val="clear" w:color="auto" w:fill="FFFFFF"/>
          <w:lang w:eastAsia="nl-NL"/>
        </w:rPr>
        <w:t>Nemen we daarbij de toenemende internationalisering (en volgens sommigen ook Amerikanisering) in ogenschouw die de afgelopen decennia ons strafprocesrecht en de waardering daarvan behoorlijk heeft beïnvloed en nog steeds beïnvloed</w:t>
      </w:r>
      <w:r w:rsidR="005023A8">
        <w:rPr>
          <w:rFonts w:ascii="Times New Roman" w:hAnsi="Times New Roman" w:eastAsia="MS Mincho" w:cs="Times New Roman"/>
          <w:color w:val="000000" w:themeColor="text1"/>
          <w:sz w:val="24"/>
          <w:szCs w:val="24"/>
          <w:shd w:val="clear" w:color="auto" w:fill="FFFFFF"/>
          <w:lang w:eastAsia="nl-NL"/>
        </w:rPr>
        <w:t>t</w:t>
      </w:r>
      <w:r w:rsidRPr="00D404C3" w:rsidR="007F5652">
        <w:rPr>
          <w:rFonts w:ascii="Times New Roman" w:hAnsi="Times New Roman" w:eastAsia="MS Mincho" w:cs="Times New Roman"/>
          <w:color w:val="000000" w:themeColor="text1"/>
          <w:sz w:val="24"/>
          <w:szCs w:val="24"/>
          <w:shd w:val="clear" w:color="auto" w:fill="FFFFFF"/>
          <w:lang w:eastAsia="nl-NL"/>
        </w:rPr>
        <w:t xml:space="preserve">, dan kunnen we ook het verschil tussen de tradities van het common </w:t>
      </w:r>
      <w:proofErr w:type="spellStart"/>
      <w:r w:rsidRPr="00D404C3" w:rsidR="007F5652">
        <w:rPr>
          <w:rFonts w:ascii="Times New Roman" w:hAnsi="Times New Roman" w:eastAsia="MS Mincho" w:cs="Times New Roman"/>
          <w:color w:val="000000" w:themeColor="text1"/>
          <w:sz w:val="24"/>
          <w:szCs w:val="24"/>
          <w:shd w:val="clear" w:color="auto" w:fill="FFFFFF"/>
          <w:lang w:eastAsia="nl-NL"/>
        </w:rPr>
        <w:t>law</w:t>
      </w:r>
      <w:proofErr w:type="spellEnd"/>
      <w:r w:rsidRPr="00D404C3" w:rsidR="007F5652">
        <w:rPr>
          <w:rFonts w:ascii="Times New Roman" w:hAnsi="Times New Roman" w:eastAsia="MS Mincho" w:cs="Times New Roman"/>
          <w:color w:val="000000" w:themeColor="text1"/>
          <w:sz w:val="24"/>
          <w:szCs w:val="24"/>
          <w:shd w:val="clear" w:color="auto" w:fill="FFFFFF"/>
          <w:lang w:eastAsia="nl-NL"/>
        </w:rPr>
        <w:t xml:space="preserve"> en het </w:t>
      </w:r>
      <w:proofErr w:type="spellStart"/>
      <w:r w:rsidRPr="00D404C3" w:rsidR="007F5652">
        <w:rPr>
          <w:rFonts w:ascii="Times New Roman" w:hAnsi="Times New Roman" w:eastAsia="MS Mincho" w:cs="Times New Roman"/>
          <w:color w:val="000000" w:themeColor="text1"/>
          <w:sz w:val="24"/>
          <w:szCs w:val="24"/>
          <w:shd w:val="clear" w:color="auto" w:fill="FFFFFF"/>
          <w:lang w:eastAsia="nl-NL"/>
        </w:rPr>
        <w:t>civil</w:t>
      </w:r>
      <w:proofErr w:type="spellEnd"/>
      <w:r w:rsidRPr="00D404C3" w:rsidR="007F5652">
        <w:rPr>
          <w:rFonts w:ascii="Times New Roman" w:hAnsi="Times New Roman" w:eastAsia="MS Mincho" w:cs="Times New Roman"/>
          <w:color w:val="000000" w:themeColor="text1"/>
          <w:sz w:val="24"/>
          <w:szCs w:val="24"/>
          <w:shd w:val="clear" w:color="auto" w:fill="FFFFFF"/>
          <w:lang w:eastAsia="nl-NL"/>
        </w:rPr>
        <w:t xml:space="preserve"> </w:t>
      </w:r>
      <w:proofErr w:type="spellStart"/>
      <w:r w:rsidRPr="00D404C3" w:rsidR="007F5652">
        <w:rPr>
          <w:rFonts w:ascii="Times New Roman" w:hAnsi="Times New Roman" w:eastAsia="MS Mincho" w:cs="Times New Roman"/>
          <w:color w:val="000000" w:themeColor="text1"/>
          <w:sz w:val="24"/>
          <w:szCs w:val="24"/>
          <w:shd w:val="clear" w:color="auto" w:fill="FFFFFF"/>
          <w:lang w:eastAsia="nl-NL"/>
        </w:rPr>
        <w:t>law</w:t>
      </w:r>
      <w:proofErr w:type="spellEnd"/>
      <w:r w:rsidRPr="00D404C3" w:rsidR="007F5652">
        <w:rPr>
          <w:rFonts w:ascii="Times New Roman" w:hAnsi="Times New Roman" w:eastAsia="MS Mincho" w:cs="Times New Roman"/>
          <w:color w:val="000000" w:themeColor="text1"/>
          <w:sz w:val="24"/>
          <w:szCs w:val="24"/>
          <w:shd w:val="clear" w:color="auto" w:fill="FFFFFF"/>
          <w:lang w:eastAsia="nl-NL"/>
        </w:rPr>
        <w:t xml:space="preserve"> niet buiten besch</w:t>
      </w:r>
      <w:r w:rsidRPr="00D404C3" w:rsidR="00D404C3">
        <w:rPr>
          <w:rFonts w:ascii="Times New Roman" w:hAnsi="Times New Roman" w:eastAsia="MS Mincho" w:cs="Times New Roman"/>
          <w:color w:val="000000" w:themeColor="text1"/>
          <w:sz w:val="24"/>
          <w:szCs w:val="24"/>
          <w:shd w:val="clear" w:color="auto" w:fill="FFFFFF"/>
          <w:lang w:eastAsia="nl-NL"/>
        </w:rPr>
        <w:t xml:space="preserve">ouwing laten. De sluipenderwijs ingevoegde </w:t>
      </w:r>
      <w:r w:rsidRPr="00D404C3" w:rsidR="007F5652">
        <w:rPr>
          <w:rFonts w:ascii="Times New Roman" w:hAnsi="Times New Roman" w:eastAsia="MS Mincho" w:cs="Times New Roman"/>
          <w:color w:val="000000" w:themeColor="text1"/>
          <w:sz w:val="24"/>
          <w:szCs w:val="24"/>
          <w:shd w:val="clear" w:color="auto" w:fill="FFFFFF"/>
          <w:lang w:eastAsia="nl-NL"/>
        </w:rPr>
        <w:t xml:space="preserve">deelaspecten uit de </w:t>
      </w:r>
      <w:proofErr w:type="spellStart"/>
      <w:r w:rsidRPr="00D404C3" w:rsidR="007F5652">
        <w:rPr>
          <w:rFonts w:ascii="Times New Roman" w:hAnsi="Times New Roman" w:eastAsia="MS Mincho" w:cs="Times New Roman"/>
          <w:color w:val="000000" w:themeColor="text1"/>
          <w:sz w:val="24"/>
          <w:szCs w:val="24"/>
          <w:shd w:val="clear" w:color="auto" w:fill="FFFFFF"/>
          <w:lang w:eastAsia="nl-NL"/>
        </w:rPr>
        <w:t>civil</w:t>
      </w:r>
      <w:proofErr w:type="spellEnd"/>
      <w:r w:rsidRPr="00D404C3" w:rsidR="007F5652">
        <w:rPr>
          <w:rFonts w:ascii="Times New Roman" w:hAnsi="Times New Roman" w:eastAsia="MS Mincho" w:cs="Times New Roman"/>
          <w:color w:val="000000" w:themeColor="text1"/>
          <w:sz w:val="24"/>
          <w:szCs w:val="24"/>
          <w:shd w:val="clear" w:color="auto" w:fill="FFFFFF"/>
          <w:lang w:eastAsia="nl-NL"/>
        </w:rPr>
        <w:t xml:space="preserve"> </w:t>
      </w:r>
      <w:proofErr w:type="spellStart"/>
      <w:r w:rsidRPr="00D404C3" w:rsidR="007F5652">
        <w:rPr>
          <w:rFonts w:ascii="Times New Roman" w:hAnsi="Times New Roman" w:eastAsia="MS Mincho" w:cs="Times New Roman"/>
          <w:color w:val="000000" w:themeColor="text1"/>
          <w:sz w:val="24"/>
          <w:szCs w:val="24"/>
          <w:shd w:val="clear" w:color="auto" w:fill="FFFFFF"/>
          <w:lang w:eastAsia="nl-NL"/>
        </w:rPr>
        <w:t>law</w:t>
      </w:r>
      <w:proofErr w:type="spellEnd"/>
      <w:r w:rsidRPr="00D404C3" w:rsidR="007F5652">
        <w:rPr>
          <w:rFonts w:ascii="Times New Roman" w:hAnsi="Times New Roman" w:eastAsia="MS Mincho" w:cs="Times New Roman"/>
          <w:color w:val="000000" w:themeColor="text1"/>
          <w:sz w:val="24"/>
          <w:szCs w:val="24"/>
          <w:shd w:val="clear" w:color="auto" w:fill="FFFFFF"/>
          <w:lang w:eastAsia="nl-NL"/>
        </w:rPr>
        <w:t xml:space="preserve"> traditie in ons strafprocesrecht </w:t>
      </w:r>
      <w:r w:rsidRPr="00D404C3" w:rsidR="00D404C3">
        <w:rPr>
          <w:rFonts w:ascii="Times New Roman" w:hAnsi="Times New Roman" w:eastAsia="MS Mincho" w:cs="Times New Roman"/>
          <w:color w:val="000000" w:themeColor="text1"/>
          <w:sz w:val="24"/>
          <w:szCs w:val="24"/>
          <w:shd w:val="clear" w:color="auto" w:fill="FFFFFF"/>
          <w:lang w:eastAsia="nl-NL"/>
        </w:rPr>
        <w:t xml:space="preserve">– zoals de betrokken positie van het slachtoffer en de op het terrein van het bewijs actieve verdediging – kunnen eveneens het </w:t>
      </w:r>
      <w:r w:rsidR="004404C2">
        <w:rPr>
          <w:rFonts w:ascii="Times New Roman" w:hAnsi="Times New Roman" w:eastAsia="MS Mincho" w:cs="Times New Roman"/>
          <w:color w:val="000000" w:themeColor="text1"/>
          <w:sz w:val="24"/>
          <w:szCs w:val="24"/>
          <w:shd w:val="clear" w:color="auto" w:fill="FFFFFF"/>
          <w:lang w:eastAsia="nl-NL"/>
        </w:rPr>
        <w:t xml:space="preserve">aloude en in de moderniseringsvoorstellen niet ter discussie gestelde </w:t>
      </w:r>
      <w:r w:rsidRPr="00D404C3" w:rsidR="00D404C3">
        <w:rPr>
          <w:rFonts w:ascii="Times New Roman" w:hAnsi="Times New Roman" w:eastAsia="MS Mincho" w:cs="Times New Roman"/>
          <w:color w:val="000000" w:themeColor="text1"/>
          <w:sz w:val="24"/>
          <w:szCs w:val="24"/>
          <w:shd w:val="clear" w:color="auto" w:fill="FFFFFF"/>
          <w:lang w:eastAsia="nl-NL"/>
        </w:rPr>
        <w:t xml:space="preserve">fundament van ons strafprocesrecht uit evenwicht brengen. </w:t>
      </w:r>
      <w:r w:rsidR="00A10076">
        <w:rPr>
          <w:rStyle w:val="FootnoteReference"/>
          <w:rFonts w:ascii="Times New Roman" w:hAnsi="Times New Roman" w:eastAsia="MS Mincho"/>
          <w:color w:val="000000" w:themeColor="text1"/>
          <w:sz w:val="24"/>
          <w:szCs w:val="24"/>
          <w:shd w:val="clear" w:color="auto" w:fill="FFFFFF"/>
          <w:lang w:eastAsia="nl-NL"/>
        </w:rPr>
        <w:footnoteReference w:id="44"/>
      </w:r>
      <w:r w:rsidRPr="005023A8" w:rsidR="005023A8">
        <w:rPr>
          <w:rFonts w:ascii="Times New Roman" w:hAnsi="Times New Roman" w:eastAsia="MS Mincho" w:cs="Times New Roman"/>
          <w:color w:val="000000"/>
          <w:sz w:val="24"/>
          <w:szCs w:val="24"/>
          <w:shd w:val="clear" w:color="auto" w:fill="FFFFFF"/>
          <w:lang w:eastAsia="nl-NL"/>
        </w:rPr>
        <w:t xml:space="preserve"> </w:t>
      </w:r>
      <w:r w:rsidR="000F26A5">
        <w:rPr>
          <w:rFonts w:ascii="Times New Roman" w:hAnsi="Times New Roman" w:eastAsia="MS Mincho" w:cs="Times New Roman"/>
          <w:color w:val="000000"/>
          <w:sz w:val="24"/>
          <w:szCs w:val="24"/>
          <w:shd w:val="clear" w:color="auto" w:fill="FFFFFF"/>
          <w:lang w:eastAsia="nl-NL"/>
        </w:rPr>
        <w:t>Zoals het restaureren, r</w:t>
      </w:r>
      <w:r w:rsidR="004404C2">
        <w:rPr>
          <w:rFonts w:ascii="Times New Roman" w:hAnsi="Times New Roman" w:eastAsia="MS Mincho" w:cs="Times New Roman"/>
          <w:color w:val="000000"/>
          <w:sz w:val="24"/>
          <w:szCs w:val="24"/>
          <w:shd w:val="clear" w:color="auto" w:fill="FFFFFF"/>
          <w:lang w:eastAsia="nl-NL"/>
        </w:rPr>
        <w:t xml:space="preserve">enoveren, </w:t>
      </w:r>
      <w:r w:rsidR="000F26A5">
        <w:rPr>
          <w:rFonts w:ascii="Times New Roman" w:hAnsi="Times New Roman" w:eastAsia="MS Mincho" w:cs="Times New Roman"/>
          <w:color w:val="000000"/>
          <w:sz w:val="24"/>
          <w:szCs w:val="24"/>
          <w:shd w:val="clear" w:color="auto" w:fill="FFFFFF"/>
          <w:lang w:eastAsia="nl-NL"/>
        </w:rPr>
        <w:t>moderniseren, v</w:t>
      </w:r>
      <w:r w:rsidR="004404C2">
        <w:rPr>
          <w:rFonts w:ascii="Times New Roman" w:hAnsi="Times New Roman" w:eastAsia="MS Mincho" w:cs="Times New Roman"/>
          <w:color w:val="000000"/>
          <w:sz w:val="24"/>
          <w:szCs w:val="24"/>
          <w:shd w:val="clear" w:color="auto" w:fill="FFFFFF"/>
          <w:lang w:eastAsia="nl-NL"/>
        </w:rPr>
        <w:t xml:space="preserve">erbouwen en uitbouwen </w:t>
      </w:r>
      <w:r w:rsidR="000F26A5">
        <w:rPr>
          <w:rFonts w:ascii="Times New Roman" w:hAnsi="Times New Roman" w:eastAsia="MS Mincho" w:cs="Times New Roman"/>
          <w:color w:val="000000"/>
          <w:sz w:val="24"/>
          <w:szCs w:val="24"/>
          <w:shd w:val="clear" w:color="auto" w:fill="FFFFFF"/>
          <w:lang w:eastAsia="nl-NL"/>
        </w:rPr>
        <w:t xml:space="preserve">van een oude villa </w:t>
      </w:r>
      <w:r w:rsidR="004404C2">
        <w:rPr>
          <w:rFonts w:ascii="Times New Roman" w:hAnsi="Times New Roman" w:eastAsia="MS Mincho" w:cs="Times New Roman"/>
          <w:color w:val="000000"/>
          <w:sz w:val="24"/>
          <w:szCs w:val="24"/>
          <w:shd w:val="clear" w:color="auto" w:fill="FFFFFF"/>
          <w:lang w:eastAsia="nl-NL"/>
        </w:rPr>
        <w:t>geen kwaad</w:t>
      </w:r>
      <w:r w:rsidR="000F26A5">
        <w:rPr>
          <w:rFonts w:ascii="Times New Roman" w:hAnsi="Times New Roman" w:eastAsia="MS Mincho" w:cs="Times New Roman"/>
          <w:color w:val="000000"/>
          <w:sz w:val="24"/>
          <w:szCs w:val="24"/>
          <w:shd w:val="clear" w:color="auto" w:fill="FFFFFF"/>
          <w:lang w:eastAsia="nl-NL"/>
        </w:rPr>
        <w:t xml:space="preserve"> kan en zelfs noodzakelijk kan zijn voor het behoud, kan het daarbij verwaarlozen of beschadigen van </w:t>
      </w:r>
      <w:r w:rsidR="009F69EA">
        <w:rPr>
          <w:rFonts w:ascii="Times New Roman" w:hAnsi="Times New Roman" w:eastAsia="MS Mincho" w:cs="Times New Roman"/>
          <w:color w:val="000000"/>
          <w:sz w:val="24"/>
          <w:szCs w:val="24"/>
          <w:shd w:val="clear" w:color="auto" w:fill="FFFFFF"/>
          <w:lang w:eastAsia="nl-NL"/>
        </w:rPr>
        <w:t xml:space="preserve">de fundering </w:t>
      </w:r>
      <w:r w:rsidR="000F26A5">
        <w:rPr>
          <w:rFonts w:ascii="Times New Roman" w:hAnsi="Times New Roman" w:eastAsia="MS Mincho" w:cs="Times New Roman"/>
          <w:color w:val="000000"/>
          <w:sz w:val="24"/>
          <w:szCs w:val="24"/>
          <w:shd w:val="clear" w:color="auto" w:fill="FFFFFF"/>
          <w:lang w:eastAsia="nl-NL"/>
        </w:rPr>
        <w:t xml:space="preserve">vanuit het perspectief van duurzaamheid </w:t>
      </w:r>
      <w:r w:rsidR="000F26A5">
        <w:rPr>
          <w:rFonts w:ascii="Times New Roman" w:hAnsi="Times New Roman" w:eastAsia="MS Mincho" w:cs="Times New Roman"/>
          <w:color w:val="000000"/>
          <w:sz w:val="24"/>
          <w:szCs w:val="24"/>
          <w:shd w:val="clear" w:color="auto" w:fill="FFFFFF"/>
          <w:lang w:eastAsia="nl-NL"/>
        </w:rPr>
        <w:lastRenderedPageBreak/>
        <w:t>(in brede b</w:t>
      </w:r>
      <w:r w:rsidR="009F69EA">
        <w:rPr>
          <w:rFonts w:ascii="Times New Roman" w:hAnsi="Times New Roman" w:eastAsia="MS Mincho" w:cs="Times New Roman"/>
          <w:color w:val="000000"/>
          <w:sz w:val="24"/>
          <w:szCs w:val="24"/>
          <w:shd w:val="clear" w:color="auto" w:fill="FFFFFF"/>
          <w:lang w:eastAsia="nl-NL"/>
        </w:rPr>
        <w:t>e</w:t>
      </w:r>
      <w:r w:rsidR="000F26A5">
        <w:rPr>
          <w:rFonts w:ascii="Times New Roman" w:hAnsi="Times New Roman" w:eastAsia="MS Mincho" w:cs="Times New Roman"/>
          <w:color w:val="000000"/>
          <w:sz w:val="24"/>
          <w:szCs w:val="24"/>
          <w:shd w:val="clear" w:color="auto" w:fill="FFFFFF"/>
          <w:lang w:eastAsia="nl-NL"/>
        </w:rPr>
        <w:t xml:space="preserve">tekenis) funest zijn voor de toekomst.  </w:t>
      </w:r>
      <w:r w:rsidR="005023A8">
        <w:rPr>
          <w:rFonts w:ascii="Times New Roman" w:hAnsi="Times New Roman" w:eastAsia="MS Mincho" w:cs="Times New Roman"/>
          <w:color w:val="000000"/>
          <w:sz w:val="24"/>
          <w:szCs w:val="24"/>
          <w:shd w:val="clear" w:color="auto" w:fill="FFFFFF"/>
          <w:lang w:eastAsia="nl-NL"/>
        </w:rPr>
        <w:t xml:space="preserve">Kortom,  ook op </w:t>
      </w:r>
      <w:r w:rsidR="009F69EA">
        <w:rPr>
          <w:rFonts w:ascii="Times New Roman" w:hAnsi="Times New Roman" w:eastAsia="MS Mincho" w:cs="Times New Roman"/>
          <w:color w:val="000000"/>
          <w:sz w:val="24"/>
          <w:szCs w:val="24"/>
          <w:shd w:val="clear" w:color="auto" w:fill="FFFFFF"/>
          <w:lang w:eastAsia="nl-NL"/>
        </w:rPr>
        <w:t xml:space="preserve">het hier besproken </w:t>
      </w:r>
      <w:r w:rsidR="005023A8">
        <w:rPr>
          <w:rFonts w:ascii="Times New Roman" w:hAnsi="Times New Roman" w:eastAsia="MS Mincho" w:cs="Times New Roman"/>
          <w:color w:val="000000"/>
          <w:sz w:val="24"/>
          <w:szCs w:val="24"/>
          <w:shd w:val="clear" w:color="auto" w:fill="FFFFFF"/>
          <w:lang w:eastAsia="nl-NL"/>
        </w:rPr>
        <w:t xml:space="preserve">thema zijn voor het moderniseringsproces </w:t>
      </w:r>
      <w:r w:rsidR="009F69EA">
        <w:rPr>
          <w:rFonts w:ascii="Times New Roman" w:hAnsi="Times New Roman" w:eastAsia="MS Mincho" w:cs="Times New Roman"/>
          <w:color w:val="000000"/>
          <w:sz w:val="24"/>
          <w:szCs w:val="24"/>
          <w:shd w:val="clear" w:color="auto" w:fill="FFFFFF"/>
          <w:lang w:eastAsia="nl-NL"/>
        </w:rPr>
        <w:t xml:space="preserve">kansen </w:t>
      </w:r>
      <w:r w:rsidR="005023A8">
        <w:rPr>
          <w:rFonts w:ascii="Times New Roman" w:hAnsi="Times New Roman" w:eastAsia="MS Mincho" w:cs="Times New Roman"/>
          <w:color w:val="000000"/>
          <w:sz w:val="24"/>
          <w:szCs w:val="24"/>
          <w:shd w:val="clear" w:color="auto" w:fill="FFFFFF"/>
          <w:lang w:eastAsia="nl-NL"/>
        </w:rPr>
        <w:t>aanwezig die niet vrijblijvend zijn.</w:t>
      </w:r>
    </w:p>
    <w:p w:rsidRPr="00D404C3" w:rsidR="007F5652" w:rsidP="003A4BAE" w:rsidRDefault="007F5652">
      <w:pPr>
        <w:spacing w:before="240" w:after="0" w:line="240" w:lineRule="auto"/>
        <w:rPr>
          <w:rFonts w:ascii="Times New Roman" w:hAnsi="Times New Roman" w:eastAsia="MS Mincho" w:cs="Times New Roman"/>
          <w:color w:val="000000" w:themeColor="text1"/>
          <w:sz w:val="24"/>
          <w:szCs w:val="24"/>
          <w:shd w:val="clear" w:color="auto" w:fill="FFFFFF"/>
          <w:lang w:eastAsia="nl-NL"/>
        </w:rPr>
      </w:pPr>
    </w:p>
    <w:p w:rsidRPr="003A4BAE" w:rsidR="003F5276" w:rsidP="00D404C3" w:rsidRDefault="00D404C3">
      <w:pPr>
        <w:spacing w:before="240" w:after="0" w:line="240" w:lineRule="auto"/>
        <w:rPr>
          <w:rFonts w:ascii="Times New Roman" w:hAnsi="Times New Roman" w:eastAsia="MS Mincho" w:cs="Times New Roman"/>
          <w:color w:val="000000"/>
          <w:sz w:val="24"/>
          <w:szCs w:val="24"/>
          <w:shd w:val="clear" w:color="auto" w:fill="FFFFFF"/>
          <w:lang w:eastAsia="nl-NL"/>
        </w:rPr>
      </w:pPr>
      <w:r w:rsidRPr="00D404C3">
        <w:rPr>
          <w:rFonts w:ascii="Times New Roman" w:hAnsi="Times New Roman" w:eastAsia="MS Mincho" w:cs="Times New Roman"/>
          <w:color w:val="000000" w:themeColor="text1"/>
          <w:sz w:val="24"/>
          <w:szCs w:val="24"/>
          <w:shd w:val="clear" w:color="auto" w:fill="FFFFFF"/>
          <w:lang w:eastAsia="nl-NL"/>
        </w:rPr>
        <w:t>3.</w:t>
      </w:r>
      <w:r w:rsidRPr="00D404C3" w:rsidR="007F5652">
        <w:rPr>
          <w:rFonts w:ascii="Times New Roman" w:hAnsi="Times New Roman" w:eastAsia="MS Mincho" w:cs="Times New Roman"/>
          <w:color w:val="000000" w:themeColor="text1"/>
          <w:sz w:val="24"/>
          <w:szCs w:val="24"/>
          <w:shd w:val="clear" w:color="auto" w:fill="FFFFFF"/>
          <w:lang w:eastAsia="nl-NL"/>
        </w:rPr>
        <w:t xml:space="preserve"> </w:t>
      </w:r>
      <w:r w:rsidRPr="00D404C3" w:rsidR="0068498A">
        <w:rPr>
          <w:rFonts w:ascii="Times New Roman" w:hAnsi="Times New Roman" w:eastAsia="MS Mincho" w:cs="Times New Roman"/>
          <w:color w:val="000000" w:themeColor="text1"/>
          <w:sz w:val="24"/>
          <w:szCs w:val="24"/>
          <w:shd w:val="clear" w:color="auto" w:fill="FFFFFF"/>
          <w:lang w:eastAsia="nl-NL"/>
        </w:rPr>
        <w:t xml:space="preserve">Externe </w:t>
      </w:r>
      <w:r w:rsidRPr="003A4BAE" w:rsidR="0068498A">
        <w:rPr>
          <w:rFonts w:ascii="Times New Roman" w:hAnsi="Times New Roman" w:eastAsia="MS Mincho" w:cs="Times New Roman"/>
          <w:color w:val="000000"/>
          <w:sz w:val="24"/>
          <w:szCs w:val="24"/>
          <w:shd w:val="clear" w:color="auto" w:fill="FFFFFF"/>
          <w:lang w:eastAsia="nl-NL"/>
        </w:rPr>
        <w:t>systematiek</w:t>
      </w:r>
      <w:r w:rsidRPr="003A4BAE" w:rsidR="003F5276">
        <w:rPr>
          <w:rFonts w:ascii="Times New Roman" w:hAnsi="Times New Roman" w:eastAsia="MS Mincho" w:cs="Times New Roman"/>
          <w:color w:val="000000"/>
          <w:sz w:val="24"/>
          <w:szCs w:val="24"/>
          <w:shd w:val="clear" w:color="auto" w:fill="FFFFFF"/>
          <w:lang w:eastAsia="nl-NL"/>
        </w:rPr>
        <w:t xml:space="preserve"> </w:t>
      </w:r>
    </w:p>
    <w:p w:rsidR="008F6D71" w:rsidP="00637E64" w:rsidRDefault="008F6D71">
      <w:pPr>
        <w:spacing w:before="240" w:after="0" w:line="240" w:lineRule="auto"/>
        <w:rPr>
          <w:rFonts w:ascii="Times New Roman" w:hAnsi="Times New Roman" w:eastAsia="MS Mincho" w:cs="Times New Roman"/>
          <w:i/>
          <w:color w:val="000000"/>
          <w:sz w:val="24"/>
          <w:szCs w:val="24"/>
          <w:shd w:val="clear" w:color="auto" w:fill="FFFFFF"/>
          <w:lang w:eastAsia="nl-NL"/>
        </w:rPr>
      </w:pPr>
      <w:r w:rsidRPr="008F6D71">
        <w:rPr>
          <w:rFonts w:ascii="Times New Roman" w:hAnsi="Times New Roman" w:eastAsia="MS Mincho" w:cs="Times New Roman"/>
          <w:i/>
          <w:color w:val="000000"/>
          <w:sz w:val="24"/>
          <w:szCs w:val="24"/>
          <w:shd w:val="clear" w:color="auto" w:fill="FFFFFF"/>
          <w:lang w:eastAsia="nl-NL"/>
        </w:rPr>
        <w:t xml:space="preserve">De </w:t>
      </w:r>
      <w:r w:rsidRPr="008F6D71" w:rsidR="003F5276">
        <w:rPr>
          <w:rFonts w:ascii="Times New Roman" w:hAnsi="Times New Roman" w:eastAsia="MS Mincho" w:cs="Times New Roman"/>
          <w:i/>
          <w:color w:val="000000"/>
          <w:sz w:val="24"/>
          <w:szCs w:val="24"/>
          <w:shd w:val="clear" w:color="auto" w:fill="FFFFFF"/>
          <w:lang w:eastAsia="nl-NL"/>
        </w:rPr>
        <w:t>verhouding</w:t>
      </w:r>
      <w:r w:rsidRPr="008F6D71" w:rsidR="0068498A">
        <w:rPr>
          <w:rFonts w:ascii="Times New Roman" w:hAnsi="Times New Roman" w:eastAsia="MS Mincho" w:cs="Times New Roman"/>
          <w:i/>
          <w:color w:val="000000"/>
          <w:sz w:val="24"/>
          <w:szCs w:val="24"/>
          <w:shd w:val="clear" w:color="auto" w:fill="FFFFFF"/>
          <w:lang w:eastAsia="nl-NL"/>
        </w:rPr>
        <w:t xml:space="preserve"> tot de </w:t>
      </w:r>
      <w:proofErr w:type="spellStart"/>
      <w:r w:rsidRPr="008F6D71" w:rsidR="0068498A">
        <w:rPr>
          <w:rFonts w:ascii="Times New Roman" w:hAnsi="Times New Roman" w:eastAsia="MS Mincho" w:cs="Times New Roman"/>
          <w:i/>
          <w:color w:val="000000"/>
          <w:sz w:val="24"/>
          <w:szCs w:val="24"/>
          <w:shd w:val="clear" w:color="auto" w:fill="FFFFFF"/>
          <w:lang w:eastAsia="nl-NL"/>
        </w:rPr>
        <w:t>A</w:t>
      </w:r>
      <w:r w:rsidR="00F7710D">
        <w:rPr>
          <w:rFonts w:ascii="Times New Roman" w:hAnsi="Times New Roman" w:eastAsia="MS Mincho" w:cs="Times New Roman"/>
          <w:i/>
          <w:color w:val="000000"/>
          <w:sz w:val="24"/>
          <w:szCs w:val="24"/>
          <w:shd w:val="clear" w:color="auto" w:fill="FFFFFF"/>
          <w:lang w:eastAsia="nl-NL"/>
        </w:rPr>
        <w:t>wb</w:t>
      </w:r>
      <w:proofErr w:type="spellEnd"/>
      <w:r w:rsidR="00F7710D">
        <w:rPr>
          <w:rFonts w:ascii="Times New Roman" w:hAnsi="Times New Roman" w:eastAsia="MS Mincho" w:cs="Times New Roman"/>
          <w:i/>
          <w:color w:val="000000"/>
          <w:sz w:val="24"/>
          <w:szCs w:val="24"/>
          <w:shd w:val="clear" w:color="auto" w:fill="FFFFFF"/>
          <w:lang w:eastAsia="nl-NL"/>
        </w:rPr>
        <w:t xml:space="preserve"> </w:t>
      </w:r>
    </w:p>
    <w:p w:rsidRPr="00D65086" w:rsidR="00340516" w:rsidP="006C4094" w:rsidRDefault="003A1D26">
      <w:pPr>
        <w:autoSpaceDE w:val="0"/>
        <w:autoSpaceDN w:val="0"/>
        <w:adjustRightInd w:val="0"/>
        <w:spacing w:after="0" w:line="240" w:lineRule="auto"/>
        <w:rPr>
          <w:rFonts w:ascii="Times New Roman" w:hAnsi="Times New Roman" w:eastAsia="MS Mincho" w:cs="Times New Roman"/>
          <w:color w:val="000000"/>
          <w:sz w:val="24"/>
          <w:szCs w:val="24"/>
          <w:shd w:val="clear" w:color="auto" w:fill="FFFFFF"/>
          <w:lang w:eastAsia="nl-NL"/>
        </w:rPr>
      </w:pPr>
      <w:r>
        <w:rPr>
          <w:rFonts w:ascii="Times New Roman" w:hAnsi="Times New Roman" w:eastAsia="MS Mincho" w:cs="Times New Roman"/>
          <w:color w:val="000000"/>
          <w:sz w:val="24"/>
          <w:szCs w:val="24"/>
          <w:shd w:val="clear" w:color="auto" w:fill="FFFFFF"/>
          <w:lang w:eastAsia="nl-NL"/>
        </w:rPr>
        <w:t>Zoals gezegd is het s</w:t>
      </w:r>
      <w:r w:rsidR="00C83052">
        <w:rPr>
          <w:rFonts w:ascii="Times New Roman" w:hAnsi="Times New Roman" w:eastAsia="MS Mincho" w:cs="Times New Roman"/>
          <w:color w:val="000000"/>
          <w:sz w:val="24"/>
          <w:szCs w:val="24"/>
          <w:shd w:val="clear" w:color="auto" w:fill="FFFFFF"/>
          <w:lang w:eastAsia="nl-NL"/>
        </w:rPr>
        <w:t xml:space="preserve">trafprocesrecht is op diverse </w:t>
      </w:r>
      <w:r w:rsidR="00D65086">
        <w:rPr>
          <w:rFonts w:ascii="Times New Roman" w:hAnsi="Times New Roman" w:eastAsia="MS Mincho" w:cs="Times New Roman"/>
          <w:color w:val="000000"/>
          <w:sz w:val="24"/>
          <w:szCs w:val="24"/>
          <w:shd w:val="clear" w:color="auto" w:fill="FFFFFF"/>
          <w:lang w:eastAsia="nl-NL"/>
        </w:rPr>
        <w:t>manieren ve</w:t>
      </w:r>
      <w:r w:rsidR="00C83052">
        <w:rPr>
          <w:rFonts w:ascii="Times New Roman" w:hAnsi="Times New Roman" w:eastAsia="MS Mincho" w:cs="Times New Roman"/>
          <w:color w:val="000000"/>
          <w:sz w:val="24"/>
          <w:szCs w:val="24"/>
          <w:shd w:val="clear" w:color="auto" w:fill="FFFFFF"/>
          <w:lang w:eastAsia="nl-NL"/>
        </w:rPr>
        <w:t xml:space="preserve">rbonden </w:t>
      </w:r>
      <w:r w:rsidR="006D354F">
        <w:rPr>
          <w:rFonts w:ascii="Times New Roman" w:hAnsi="Times New Roman" w:eastAsia="MS Mincho" w:cs="Times New Roman"/>
          <w:color w:val="000000"/>
          <w:sz w:val="24"/>
          <w:szCs w:val="24"/>
          <w:shd w:val="clear" w:color="auto" w:fill="FFFFFF"/>
          <w:lang w:eastAsia="nl-NL"/>
        </w:rPr>
        <w:t>en deels</w:t>
      </w:r>
      <w:r w:rsidR="00C83052">
        <w:rPr>
          <w:rFonts w:ascii="Times New Roman" w:hAnsi="Times New Roman" w:eastAsia="MS Mincho" w:cs="Times New Roman"/>
          <w:color w:val="000000"/>
          <w:sz w:val="24"/>
          <w:szCs w:val="24"/>
          <w:shd w:val="clear" w:color="auto" w:fill="FFFFFF"/>
          <w:lang w:eastAsia="nl-NL"/>
        </w:rPr>
        <w:t xml:space="preserve"> verweven met andere rechtsdomeinen. Strafrechtelijke en bestuursrechtelijke normen zijn niet zonder meer op basis van hun aard te onderscheiden en </w:t>
      </w:r>
      <w:r w:rsidR="00D65086">
        <w:rPr>
          <w:rFonts w:ascii="Times New Roman" w:hAnsi="Times New Roman" w:eastAsia="MS Mincho" w:cs="Times New Roman"/>
          <w:color w:val="000000"/>
          <w:sz w:val="24"/>
          <w:szCs w:val="24"/>
          <w:shd w:val="clear" w:color="auto" w:fill="FFFFFF"/>
          <w:lang w:eastAsia="nl-NL"/>
        </w:rPr>
        <w:t xml:space="preserve">de </w:t>
      </w:r>
      <w:r w:rsidR="00C83052">
        <w:rPr>
          <w:rFonts w:ascii="Times New Roman" w:hAnsi="Times New Roman" w:eastAsia="MS Mincho" w:cs="Times New Roman"/>
          <w:color w:val="000000"/>
          <w:sz w:val="24"/>
          <w:szCs w:val="24"/>
          <w:shd w:val="clear" w:color="auto" w:fill="FFFFFF"/>
          <w:lang w:eastAsia="nl-NL"/>
        </w:rPr>
        <w:t xml:space="preserve">afdoeningsmodaliteiten </w:t>
      </w:r>
      <w:r w:rsidR="00D65086">
        <w:rPr>
          <w:rFonts w:ascii="Times New Roman" w:hAnsi="Times New Roman" w:eastAsia="MS Mincho" w:cs="Times New Roman"/>
          <w:color w:val="000000"/>
          <w:sz w:val="24"/>
          <w:szCs w:val="24"/>
          <w:shd w:val="clear" w:color="auto" w:fill="FFFFFF"/>
          <w:lang w:eastAsia="nl-NL"/>
        </w:rPr>
        <w:t xml:space="preserve">uit beide domeinen </w:t>
      </w:r>
      <w:r w:rsidR="00C83052">
        <w:rPr>
          <w:rFonts w:ascii="Times New Roman" w:hAnsi="Times New Roman" w:eastAsia="MS Mincho" w:cs="Times New Roman"/>
          <w:color w:val="000000"/>
          <w:sz w:val="24"/>
          <w:szCs w:val="24"/>
          <w:shd w:val="clear" w:color="auto" w:fill="FFFFFF"/>
          <w:lang w:eastAsia="nl-NL"/>
        </w:rPr>
        <w:t xml:space="preserve">lopen deels </w:t>
      </w:r>
      <w:r w:rsidR="00B73CA8">
        <w:rPr>
          <w:rFonts w:ascii="Times New Roman" w:hAnsi="Times New Roman" w:eastAsia="MS Mincho" w:cs="Times New Roman"/>
          <w:color w:val="000000"/>
          <w:sz w:val="24"/>
          <w:szCs w:val="24"/>
          <w:shd w:val="clear" w:color="auto" w:fill="FFFFFF"/>
          <w:lang w:eastAsia="nl-NL"/>
        </w:rPr>
        <w:t xml:space="preserve">in </w:t>
      </w:r>
      <w:r w:rsidR="006D354F">
        <w:rPr>
          <w:rFonts w:ascii="Times New Roman" w:hAnsi="Times New Roman" w:eastAsia="MS Mincho" w:cs="Times New Roman"/>
          <w:color w:val="000000"/>
          <w:sz w:val="24"/>
          <w:szCs w:val="24"/>
          <w:shd w:val="clear" w:color="auto" w:fill="FFFFFF"/>
          <w:lang w:eastAsia="nl-NL"/>
        </w:rPr>
        <w:t>elkaar over.</w:t>
      </w:r>
      <w:r w:rsidR="005023A8">
        <w:rPr>
          <w:rStyle w:val="FootnoteReference"/>
          <w:rFonts w:ascii="Times New Roman" w:hAnsi="Times New Roman" w:eastAsia="MS Mincho"/>
          <w:color w:val="000000"/>
          <w:sz w:val="24"/>
          <w:szCs w:val="24"/>
          <w:shd w:val="clear" w:color="auto" w:fill="FFFFFF"/>
          <w:lang w:eastAsia="nl-NL"/>
        </w:rPr>
        <w:footnoteReference w:id="45"/>
      </w:r>
      <w:r w:rsidR="006D354F">
        <w:rPr>
          <w:rFonts w:ascii="Times New Roman" w:hAnsi="Times New Roman" w:eastAsia="MS Mincho" w:cs="Times New Roman"/>
          <w:color w:val="000000"/>
          <w:sz w:val="24"/>
          <w:szCs w:val="24"/>
          <w:shd w:val="clear" w:color="auto" w:fill="FFFFFF"/>
          <w:lang w:eastAsia="nl-NL"/>
        </w:rPr>
        <w:t xml:space="preserve"> </w:t>
      </w:r>
      <w:r w:rsidR="00340516">
        <w:rPr>
          <w:rFonts w:ascii="Times New Roman" w:hAnsi="Times New Roman" w:eastAsia="MS Mincho" w:cs="Times New Roman"/>
          <w:color w:val="000000"/>
          <w:sz w:val="24"/>
          <w:szCs w:val="24"/>
          <w:shd w:val="clear" w:color="auto" w:fill="FFFFFF"/>
          <w:lang w:eastAsia="nl-NL"/>
        </w:rPr>
        <w:t>In de Contourennota wordt aangegeven dat</w:t>
      </w:r>
      <w:r w:rsidRPr="00D65086" w:rsidR="00340516">
        <w:rPr>
          <w:rFonts w:ascii="Times New Roman" w:hAnsi="Times New Roman" w:eastAsia="MS Mincho" w:cs="Times New Roman"/>
          <w:color w:val="000000"/>
          <w:sz w:val="24"/>
          <w:szCs w:val="24"/>
          <w:shd w:val="clear" w:color="auto" w:fill="FFFFFF"/>
          <w:lang w:eastAsia="nl-NL"/>
        </w:rPr>
        <w:t xml:space="preserve">: “niet is </w:t>
      </w:r>
      <w:r w:rsidRPr="00D65086" w:rsidR="00340516">
        <w:rPr>
          <w:rFonts w:ascii="Times New Roman" w:hAnsi="Times New Roman" w:cs="Times New Roman"/>
          <w:sz w:val="24"/>
          <w:szCs w:val="24"/>
        </w:rPr>
        <w:t>voorzien in een wijziging van de regeling van de strafbeschikking. Deze regeling is, door de Wet OM-afdoening, namelijk recent ingevoerd. Voordat een eventuele inhoudelijke wijziging van de regeling aan de orde is, dient hiermee voldoende ervaring te zijn opgedaan. Ook moeten de uitkomsten worden afgewacht van de evaluatie van de bovengenoemde wet.”</w:t>
      </w:r>
      <w:r w:rsidRPr="00D65086" w:rsidR="00340516">
        <w:rPr>
          <w:rStyle w:val="FootnoteReference"/>
          <w:rFonts w:ascii="Times New Roman" w:hAnsi="Times New Roman" w:eastAsia="MS Mincho"/>
          <w:color w:val="000000"/>
          <w:sz w:val="24"/>
          <w:szCs w:val="24"/>
          <w:shd w:val="clear" w:color="auto" w:fill="FFFFFF"/>
          <w:lang w:eastAsia="nl-NL"/>
        </w:rPr>
        <w:footnoteReference w:id="46"/>
      </w:r>
      <w:r w:rsidR="00D65086">
        <w:rPr>
          <w:rFonts w:ascii="Times New Roman" w:hAnsi="Times New Roman" w:cs="Times New Roman"/>
          <w:sz w:val="24"/>
          <w:szCs w:val="24"/>
        </w:rPr>
        <w:t xml:space="preserve"> Zoals hierboven aangegeven is duurzaamheid van wetgeving, dus ook van de regeling van de strafbeschikking, van groot belang. Maar in dit geval kan de vraag worden gesteld of dat argument </w:t>
      </w:r>
      <w:r w:rsidR="00B00C2D">
        <w:rPr>
          <w:rFonts w:ascii="Times New Roman" w:hAnsi="Times New Roman" w:cs="Times New Roman"/>
          <w:sz w:val="24"/>
          <w:szCs w:val="24"/>
        </w:rPr>
        <w:t xml:space="preserve">en de aangekondigde evaluatie op kan of mag wegen  </w:t>
      </w:r>
      <w:r w:rsidR="00D65086">
        <w:rPr>
          <w:rFonts w:ascii="Times New Roman" w:hAnsi="Times New Roman" w:cs="Times New Roman"/>
          <w:sz w:val="24"/>
          <w:szCs w:val="24"/>
        </w:rPr>
        <w:t xml:space="preserve">tegen </w:t>
      </w:r>
      <w:r w:rsidR="00B00C2D">
        <w:rPr>
          <w:rFonts w:ascii="Times New Roman" w:hAnsi="Times New Roman" w:cs="Times New Roman"/>
          <w:sz w:val="24"/>
          <w:szCs w:val="24"/>
        </w:rPr>
        <w:t>een herbezinning.</w:t>
      </w:r>
      <w:r w:rsidR="00B81980">
        <w:rPr>
          <w:rFonts w:ascii="Times New Roman" w:hAnsi="Times New Roman" w:cs="Times New Roman"/>
          <w:sz w:val="24"/>
          <w:szCs w:val="24"/>
        </w:rPr>
        <w:t xml:space="preserve"> De waarde van een geloofwaardige en legitieme externe systematiek, in </w:t>
      </w:r>
      <w:proofErr w:type="spellStart"/>
      <w:r w:rsidR="00B81980">
        <w:rPr>
          <w:rFonts w:ascii="Times New Roman" w:hAnsi="Times New Roman" w:cs="Times New Roman"/>
          <w:sz w:val="24"/>
          <w:szCs w:val="24"/>
        </w:rPr>
        <w:t>casu</w:t>
      </w:r>
      <w:proofErr w:type="spellEnd"/>
      <w:r w:rsidR="00B81980">
        <w:rPr>
          <w:rFonts w:ascii="Times New Roman" w:hAnsi="Times New Roman" w:cs="Times New Roman"/>
          <w:sz w:val="24"/>
          <w:szCs w:val="24"/>
        </w:rPr>
        <w:t xml:space="preserve"> de verhouding van het strafprocesrecht tot het bestuursrecht, mag in een democratische rechtsstaat namelijk niet worden onderschat.</w:t>
      </w:r>
      <w:r w:rsidR="002D574A">
        <w:rPr>
          <w:rStyle w:val="FootnoteReference"/>
          <w:rFonts w:ascii="Times New Roman" w:hAnsi="Times New Roman"/>
          <w:sz w:val="24"/>
          <w:szCs w:val="24"/>
        </w:rPr>
        <w:footnoteReference w:id="47"/>
      </w:r>
      <w:r w:rsidR="00B81980">
        <w:rPr>
          <w:rFonts w:ascii="Times New Roman" w:hAnsi="Times New Roman" w:cs="Times New Roman"/>
          <w:sz w:val="24"/>
          <w:szCs w:val="24"/>
        </w:rPr>
        <w:t xml:space="preserve"> Ter toelichting kan worden gewezen op </w:t>
      </w:r>
      <w:r w:rsidR="00D65086">
        <w:rPr>
          <w:rFonts w:ascii="Times New Roman" w:hAnsi="Times New Roman" w:cs="Times New Roman"/>
          <w:sz w:val="24"/>
          <w:szCs w:val="24"/>
        </w:rPr>
        <w:t>een recent</w:t>
      </w:r>
      <w:r w:rsidR="00385478">
        <w:rPr>
          <w:rFonts w:ascii="Times New Roman" w:hAnsi="Times New Roman" w:cs="Times New Roman"/>
          <w:sz w:val="24"/>
          <w:szCs w:val="24"/>
        </w:rPr>
        <w:t xml:space="preserve">e publicatie </w:t>
      </w:r>
      <w:r w:rsidR="00B81980">
        <w:rPr>
          <w:rFonts w:ascii="Times New Roman" w:hAnsi="Times New Roman" w:cs="Times New Roman"/>
          <w:sz w:val="24"/>
          <w:szCs w:val="24"/>
        </w:rPr>
        <w:t xml:space="preserve">van Crijns </w:t>
      </w:r>
      <w:r w:rsidR="00385478">
        <w:rPr>
          <w:rFonts w:ascii="Times New Roman" w:hAnsi="Times New Roman" w:cs="Times New Roman"/>
          <w:sz w:val="24"/>
          <w:szCs w:val="24"/>
        </w:rPr>
        <w:t xml:space="preserve">over consistentie </w:t>
      </w:r>
      <w:r w:rsidR="00075921">
        <w:rPr>
          <w:rFonts w:ascii="Times New Roman" w:hAnsi="Times New Roman" w:cs="Times New Roman"/>
          <w:sz w:val="24"/>
          <w:szCs w:val="24"/>
        </w:rPr>
        <w:t xml:space="preserve">tussen </w:t>
      </w:r>
      <w:r w:rsidR="00075921">
        <w:rPr>
          <w:rFonts w:ascii="Times New Roman" w:hAnsi="Times New Roman" w:cs="Times New Roman"/>
          <w:bCs/>
          <w:sz w:val="24"/>
          <w:szCs w:val="24"/>
        </w:rPr>
        <w:t>b</w:t>
      </w:r>
      <w:r w:rsidRPr="00075921" w:rsidR="00075921">
        <w:rPr>
          <w:rFonts w:ascii="Times New Roman" w:hAnsi="Times New Roman" w:cs="Times New Roman"/>
          <w:bCs/>
          <w:sz w:val="24"/>
          <w:szCs w:val="24"/>
        </w:rPr>
        <w:t>estraffing buiten de rechter om in strafrecht en bestuursrecht</w:t>
      </w:r>
      <w:r w:rsidR="00B81980">
        <w:rPr>
          <w:rFonts w:ascii="Times New Roman" w:hAnsi="Times New Roman" w:cs="Times New Roman"/>
          <w:bCs/>
          <w:sz w:val="24"/>
          <w:szCs w:val="24"/>
        </w:rPr>
        <w:t>. Hij buigt zich over de niet consistente verdeling van bestraffing</w:t>
      </w:r>
      <w:r w:rsidR="0091492E">
        <w:rPr>
          <w:rFonts w:ascii="Times New Roman" w:hAnsi="Times New Roman" w:cs="Times New Roman"/>
          <w:bCs/>
          <w:sz w:val="24"/>
          <w:szCs w:val="24"/>
        </w:rPr>
        <w:t>smodaliteiten</w:t>
      </w:r>
      <w:r w:rsidR="00B81980">
        <w:rPr>
          <w:rFonts w:ascii="Times New Roman" w:hAnsi="Times New Roman" w:cs="Times New Roman"/>
          <w:bCs/>
          <w:sz w:val="24"/>
          <w:szCs w:val="24"/>
        </w:rPr>
        <w:t xml:space="preserve"> over deze twee rechtsdomeinen, over </w:t>
      </w:r>
      <w:r w:rsidR="00F7710D">
        <w:rPr>
          <w:rFonts w:ascii="Times New Roman" w:hAnsi="Times New Roman" w:cs="Times New Roman"/>
          <w:bCs/>
          <w:sz w:val="24"/>
          <w:szCs w:val="24"/>
        </w:rPr>
        <w:t xml:space="preserve">de verschillen in </w:t>
      </w:r>
      <w:r w:rsidR="00757F80">
        <w:rPr>
          <w:rFonts w:ascii="Times New Roman" w:hAnsi="Times New Roman" w:cs="Times New Roman"/>
          <w:bCs/>
          <w:sz w:val="24"/>
          <w:szCs w:val="24"/>
        </w:rPr>
        <w:t>rechtswaarborgen</w:t>
      </w:r>
      <w:r w:rsidR="00F7710D">
        <w:rPr>
          <w:rFonts w:ascii="Times New Roman" w:hAnsi="Times New Roman" w:cs="Times New Roman"/>
          <w:bCs/>
          <w:sz w:val="24"/>
          <w:szCs w:val="24"/>
        </w:rPr>
        <w:t xml:space="preserve"> en in </w:t>
      </w:r>
      <w:r w:rsidR="00757F80">
        <w:rPr>
          <w:rFonts w:ascii="Times New Roman" w:hAnsi="Times New Roman" w:cs="Times New Roman"/>
          <w:bCs/>
          <w:sz w:val="24"/>
          <w:szCs w:val="24"/>
        </w:rPr>
        <w:t xml:space="preserve">procesrisico’s en </w:t>
      </w:r>
      <w:r w:rsidR="00B81980">
        <w:rPr>
          <w:rFonts w:ascii="Times New Roman" w:hAnsi="Times New Roman" w:cs="Times New Roman"/>
          <w:bCs/>
          <w:sz w:val="24"/>
          <w:szCs w:val="24"/>
        </w:rPr>
        <w:t xml:space="preserve">over </w:t>
      </w:r>
      <w:r w:rsidR="00757F80">
        <w:rPr>
          <w:rFonts w:ascii="Times New Roman" w:hAnsi="Times New Roman" w:cs="Times New Roman"/>
          <w:bCs/>
          <w:sz w:val="24"/>
          <w:szCs w:val="24"/>
        </w:rPr>
        <w:t xml:space="preserve">het gebrek aan inzichtelijkheid van de elkaar overlappende regelgeving voor de justitiabele. Hij besluit met observaties </w:t>
      </w:r>
      <w:r w:rsidR="00075921">
        <w:rPr>
          <w:rFonts w:ascii="Times New Roman" w:hAnsi="Times New Roman" w:cs="Times New Roman"/>
          <w:bCs/>
          <w:sz w:val="24"/>
          <w:szCs w:val="24"/>
        </w:rPr>
        <w:t xml:space="preserve">die zijns inziens </w:t>
      </w:r>
      <w:r w:rsidRPr="00075921" w:rsidR="00075921">
        <w:rPr>
          <w:rFonts w:ascii="Times New Roman" w:hAnsi="Times New Roman" w:cs="Times New Roman"/>
          <w:bCs/>
          <w:sz w:val="24"/>
          <w:szCs w:val="24"/>
        </w:rPr>
        <w:t>vragen om fundamentele door- en overdenking van het f</w:t>
      </w:r>
      <w:r w:rsidRPr="00075921" w:rsidR="00075921">
        <w:rPr>
          <w:rFonts w:ascii="Times New Roman" w:hAnsi="Times New Roman" w:cs="Times New Roman"/>
          <w:sz w:val="24"/>
          <w:szCs w:val="24"/>
        </w:rPr>
        <w:t>enomeen bestraffend bestuur en de buitengrenzen daarvan</w:t>
      </w:r>
      <w:r w:rsidR="00075921">
        <w:rPr>
          <w:rFonts w:ascii="Times New Roman" w:hAnsi="Times New Roman" w:cs="Times New Roman"/>
          <w:sz w:val="24"/>
          <w:szCs w:val="24"/>
        </w:rPr>
        <w:t xml:space="preserve"> en </w:t>
      </w:r>
      <w:r w:rsidR="00F7710D">
        <w:rPr>
          <w:rFonts w:ascii="Times New Roman" w:hAnsi="Times New Roman" w:cs="Times New Roman"/>
          <w:sz w:val="24"/>
          <w:szCs w:val="24"/>
        </w:rPr>
        <w:t xml:space="preserve">van de vraag </w:t>
      </w:r>
      <w:r w:rsidRPr="00075921" w:rsidR="00075921">
        <w:rPr>
          <w:rFonts w:ascii="Times New Roman" w:hAnsi="Times New Roman" w:cs="Times New Roman"/>
          <w:sz w:val="24"/>
          <w:szCs w:val="24"/>
        </w:rPr>
        <w:t>of en in hoeverre beide instrumenten naast elkaar nog toekomst hebben</w:t>
      </w:r>
      <w:r w:rsidR="00075921">
        <w:rPr>
          <w:rFonts w:ascii="Times New Roman" w:hAnsi="Times New Roman" w:cs="Times New Roman"/>
          <w:sz w:val="24"/>
          <w:szCs w:val="24"/>
        </w:rPr>
        <w:t>.</w:t>
      </w:r>
      <w:r w:rsidR="00F7710D">
        <w:rPr>
          <w:rStyle w:val="FootnoteReference"/>
          <w:rFonts w:ascii="Times New Roman" w:hAnsi="Times New Roman"/>
          <w:sz w:val="24"/>
          <w:szCs w:val="24"/>
        </w:rPr>
        <w:footnoteReference w:id="48"/>
      </w:r>
      <w:r w:rsidR="00075921">
        <w:rPr>
          <w:rFonts w:ascii="Times New Roman" w:hAnsi="Times New Roman" w:cs="Times New Roman"/>
          <w:sz w:val="24"/>
          <w:szCs w:val="24"/>
        </w:rPr>
        <w:t xml:space="preserve"> </w:t>
      </w:r>
      <w:r w:rsidR="0091492E">
        <w:rPr>
          <w:rFonts w:ascii="Times New Roman" w:hAnsi="Times New Roman" w:cs="Times New Roman"/>
          <w:sz w:val="24"/>
          <w:szCs w:val="24"/>
        </w:rPr>
        <w:t>Er is dan vanuit het perspectief van dergelijke – door de democratische rechtsstaat te beschermen – belangen veel voor te zeggen om e</w:t>
      </w:r>
      <w:r w:rsidR="006C4094">
        <w:rPr>
          <w:rFonts w:ascii="Times New Roman" w:hAnsi="Times New Roman" w:cs="Times New Roman"/>
          <w:sz w:val="24"/>
          <w:szCs w:val="24"/>
        </w:rPr>
        <w:t xml:space="preserve">en herbezinning op de systematische verhouding van de beide rechtsdomeinen </w:t>
      </w:r>
      <w:r w:rsidR="00434920">
        <w:rPr>
          <w:rFonts w:ascii="Times New Roman" w:hAnsi="Times New Roman" w:cs="Times New Roman"/>
          <w:sz w:val="24"/>
          <w:szCs w:val="24"/>
        </w:rPr>
        <w:t xml:space="preserve">vooraf </w:t>
      </w:r>
      <w:r w:rsidR="006C4094">
        <w:rPr>
          <w:rFonts w:ascii="Times New Roman" w:hAnsi="Times New Roman" w:cs="Times New Roman"/>
          <w:sz w:val="24"/>
          <w:szCs w:val="24"/>
        </w:rPr>
        <w:t xml:space="preserve">te </w:t>
      </w:r>
      <w:r w:rsidR="0091492E">
        <w:rPr>
          <w:rFonts w:ascii="Times New Roman" w:hAnsi="Times New Roman" w:cs="Times New Roman"/>
          <w:sz w:val="24"/>
          <w:szCs w:val="24"/>
        </w:rPr>
        <w:t xml:space="preserve">laten gaan aan bepaalde stappen in het </w:t>
      </w:r>
      <w:r w:rsidR="002D574A">
        <w:rPr>
          <w:rFonts w:ascii="Times New Roman" w:hAnsi="Times New Roman" w:cs="Times New Roman"/>
          <w:sz w:val="24"/>
          <w:szCs w:val="24"/>
        </w:rPr>
        <w:t xml:space="preserve">moderniseringsprogramma. </w:t>
      </w:r>
      <w:r w:rsidR="0091492E">
        <w:rPr>
          <w:rFonts w:ascii="Times New Roman" w:hAnsi="Times New Roman" w:cs="Times New Roman"/>
          <w:sz w:val="24"/>
          <w:szCs w:val="24"/>
        </w:rPr>
        <w:t>Maar, o</w:t>
      </w:r>
      <w:r w:rsidR="002D574A">
        <w:rPr>
          <w:rFonts w:ascii="Times New Roman" w:hAnsi="Times New Roman" w:cs="Times New Roman"/>
          <w:sz w:val="24"/>
          <w:szCs w:val="24"/>
        </w:rPr>
        <w:t xml:space="preserve">ok vanuit het perspectief van de strafrechtelijke keten is zo’n overdenking </w:t>
      </w:r>
      <w:r w:rsidR="0091492E">
        <w:rPr>
          <w:rFonts w:ascii="Times New Roman" w:hAnsi="Times New Roman" w:cs="Times New Roman"/>
          <w:sz w:val="24"/>
          <w:szCs w:val="24"/>
        </w:rPr>
        <w:t xml:space="preserve">op dit moment </w:t>
      </w:r>
      <w:r w:rsidR="002D574A">
        <w:rPr>
          <w:rFonts w:ascii="Times New Roman" w:hAnsi="Times New Roman" w:cs="Times New Roman"/>
          <w:sz w:val="24"/>
          <w:szCs w:val="24"/>
        </w:rPr>
        <w:t>de moeite</w:t>
      </w:r>
      <w:r w:rsidR="0091492E">
        <w:rPr>
          <w:rFonts w:ascii="Times New Roman" w:hAnsi="Times New Roman" w:cs="Times New Roman"/>
          <w:sz w:val="24"/>
          <w:szCs w:val="24"/>
        </w:rPr>
        <w:t xml:space="preserve"> waard</w:t>
      </w:r>
      <w:r w:rsidR="002D574A">
        <w:rPr>
          <w:rFonts w:ascii="Times New Roman" w:hAnsi="Times New Roman" w:cs="Times New Roman"/>
          <w:sz w:val="24"/>
          <w:szCs w:val="24"/>
        </w:rPr>
        <w:t xml:space="preserve">. </w:t>
      </w:r>
      <w:r w:rsidR="0091492E">
        <w:rPr>
          <w:rFonts w:ascii="Times New Roman" w:hAnsi="Times New Roman" w:cs="Times New Roman"/>
          <w:sz w:val="24"/>
          <w:szCs w:val="24"/>
        </w:rPr>
        <w:t xml:space="preserve">Nu het moderniseringsprogramma kiest </w:t>
      </w:r>
      <w:r w:rsidR="002D574A">
        <w:rPr>
          <w:rFonts w:ascii="Times New Roman" w:hAnsi="Times New Roman" w:cs="Times New Roman"/>
          <w:sz w:val="24"/>
          <w:szCs w:val="24"/>
        </w:rPr>
        <w:t>voor een ‘beweging naar voren’</w:t>
      </w:r>
      <w:r w:rsidR="0091492E">
        <w:rPr>
          <w:rFonts w:ascii="Times New Roman" w:hAnsi="Times New Roman" w:cs="Times New Roman"/>
          <w:sz w:val="24"/>
          <w:szCs w:val="24"/>
        </w:rPr>
        <w:t xml:space="preserve">, kan een verschuiving tussen de bestaande bestuursrechtelijke en strafrechtelijke afdoeningsmodaliteiten zonder meer gevolgen hebben voor de reikwijdte, de invulling en de haalbaarheid van de moderniseringsplannen met betrekking tot het vooronderzoek. </w:t>
      </w:r>
      <w:r w:rsidR="00C1587D">
        <w:rPr>
          <w:rFonts w:ascii="Times New Roman" w:hAnsi="Times New Roman" w:cs="Times New Roman"/>
          <w:sz w:val="24"/>
          <w:szCs w:val="24"/>
        </w:rPr>
        <w:t xml:space="preserve">De </w:t>
      </w:r>
      <w:r w:rsidR="00D404C3">
        <w:rPr>
          <w:rFonts w:ascii="Times New Roman" w:hAnsi="Times New Roman" w:cs="Times New Roman"/>
          <w:sz w:val="24"/>
          <w:szCs w:val="24"/>
        </w:rPr>
        <w:t xml:space="preserve">externe systematiek van wetgeving lijkt hier </w:t>
      </w:r>
      <w:r w:rsidR="00F067BA">
        <w:rPr>
          <w:rFonts w:ascii="Times New Roman" w:hAnsi="Times New Roman" w:cs="Times New Roman"/>
          <w:sz w:val="24"/>
          <w:szCs w:val="24"/>
        </w:rPr>
        <w:t>haar</w:t>
      </w:r>
      <w:r w:rsidR="00D404C3">
        <w:rPr>
          <w:rFonts w:ascii="Times New Roman" w:hAnsi="Times New Roman" w:cs="Times New Roman"/>
          <w:sz w:val="24"/>
          <w:szCs w:val="24"/>
        </w:rPr>
        <w:t xml:space="preserve"> sturende kracht te hebben verloren</w:t>
      </w:r>
      <w:r w:rsidR="00C1587D">
        <w:rPr>
          <w:rFonts w:ascii="Times New Roman" w:hAnsi="Times New Roman" w:cs="Times New Roman"/>
          <w:sz w:val="24"/>
          <w:szCs w:val="24"/>
        </w:rPr>
        <w:t xml:space="preserve">, hetgeen raakt aan de </w:t>
      </w:r>
      <w:r w:rsidR="00434920">
        <w:rPr>
          <w:rFonts w:ascii="Times New Roman" w:hAnsi="Times New Roman" w:cs="Times New Roman"/>
          <w:sz w:val="24"/>
          <w:szCs w:val="24"/>
        </w:rPr>
        <w:t xml:space="preserve">besproken </w:t>
      </w:r>
      <w:r w:rsidR="00C1587D">
        <w:rPr>
          <w:rFonts w:ascii="Times New Roman" w:hAnsi="Times New Roman" w:cs="Times New Roman"/>
          <w:sz w:val="24"/>
          <w:szCs w:val="24"/>
        </w:rPr>
        <w:t>ijkpunten van functie en van context van het Wetboek van Strafvordering</w:t>
      </w:r>
      <w:r w:rsidR="00D404C3">
        <w:rPr>
          <w:rFonts w:ascii="Times New Roman" w:hAnsi="Times New Roman" w:cs="Times New Roman"/>
          <w:sz w:val="24"/>
          <w:szCs w:val="24"/>
        </w:rPr>
        <w:t xml:space="preserve">. </w:t>
      </w:r>
      <w:r w:rsidR="00C1587D">
        <w:rPr>
          <w:rFonts w:ascii="Times New Roman" w:hAnsi="Times New Roman" w:cs="Times New Roman"/>
          <w:sz w:val="24"/>
          <w:szCs w:val="24"/>
        </w:rPr>
        <w:t xml:space="preserve">Ook hier zou men kunnen spreken van een, </w:t>
      </w:r>
      <w:r w:rsidR="00D404C3">
        <w:rPr>
          <w:rFonts w:ascii="Times New Roman" w:hAnsi="Times New Roman" w:cs="Times New Roman"/>
          <w:sz w:val="24"/>
          <w:szCs w:val="24"/>
        </w:rPr>
        <w:t>niet vrijblijvende</w:t>
      </w:r>
      <w:r w:rsidR="009F69EA">
        <w:rPr>
          <w:rFonts w:ascii="Times New Roman" w:hAnsi="Times New Roman" w:cs="Times New Roman"/>
          <w:sz w:val="24"/>
          <w:szCs w:val="24"/>
        </w:rPr>
        <w:t xml:space="preserve">, </w:t>
      </w:r>
      <w:r w:rsidR="00D404C3">
        <w:rPr>
          <w:rFonts w:ascii="Times New Roman" w:hAnsi="Times New Roman" w:cs="Times New Roman"/>
          <w:sz w:val="24"/>
          <w:szCs w:val="24"/>
        </w:rPr>
        <w:t xml:space="preserve">kans om deze problematiek op te pakken. </w:t>
      </w:r>
    </w:p>
    <w:p w:rsidR="0080089F" w:rsidP="00EB5579" w:rsidRDefault="00F7710D">
      <w:pPr>
        <w:spacing w:before="240" w:after="0" w:line="240" w:lineRule="auto"/>
        <w:rPr>
          <w:rFonts w:ascii="Times New Roman" w:hAnsi="Times New Roman" w:eastAsia="MS Mincho" w:cs="Times New Roman"/>
          <w:color w:val="000000"/>
          <w:sz w:val="24"/>
          <w:szCs w:val="24"/>
          <w:shd w:val="clear" w:color="auto" w:fill="FFFFFF"/>
          <w:lang w:eastAsia="nl-NL"/>
        </w:rPr>
      </w:pPr>
      <w:r w:rsidRPr="008F6D71">
        <w:rPr>
          <w:rFonts w:ascii="Times New Roman" w:hAnsi="Times New Roman" w:eastAsia="MS Mincho" w:cs="Times New Roman"/>
          <w:i/>
          <w:color w:val="000000"/>
          <w:sz w:val="24"/>
          <w:szCs w:val="24"/>
          <w:shd w:val="clear" w:color="auto" w:fill="FFFFFF"/>
          <w:lang w:eastAsia="nl-NL"/>
        </w:rPr>
        <w:t xml:space="preserve">De verhouding tot </w:t>
      </w:r>
      <w:r w:rsidR="003349E4">
        <w:rPr>
          <w:rFonts w:ascii="Times New Roman" w:hAnsi="Times New Roman" w:eastAsia="MS Mincho" w:cs="Times New Roman"/>
          <w:i/>
          <w:color w:val="000000"/>
          <w:sz w:val="24"/>
          <w:szCs w:val="24"/>
          <w:shd w:val="clear" w:color="auto" w:fill="FFFFFF"/>
          <w:lang w:eastAsia="nl-NL"/>
        </w:rPr>
        <w:t>het civiele recht</w:t>
      </w:r>
      <w:r w:rsidR="003349E4">
        <w:rPr>
          <w:rFonts w:ascii="Times New Roman" w:hAnsi="Times New Roman" w:eastAsia="MS Mincho" w:cs="Times New Roman"/>
          <w:i/>
          <w:color w:val="000000"/>
          <w:sz w:val="24"/>
          <w:szCs w:val="24"/>
          <w:shd w:val="clear" w:color="auto" w:fill="FFFFFF"/>
          <w:lang w:eastAsia="nl-NL"/>
        </w:rPr>
        <w:br/>
      </w:r>
      <w:r w:rsidR="003349E4">
        <w:rPr>
          <w:rFonts w:ascii="Times New Roman" w:hAnsi="Times New Roman" w:eastAsia="MS Mincho" w:cs="Times New Roman"/>
          <w:color w:val="000000"/>
          <w:sz w:val="24"/>
          <w:szCs w:val="24"/>
          <w:shd w:val="clear" w:color="auto" w:fill="FFFFFF"/>
          <w:lang w:eastAsia="nl-NL"/>
        </w:rPr>
        <w:t>V</w:t>
      </w:r>
      <w:r w:rsidR="006D354F">
        <w:rPr>
          <w:rFonts w:ascii="Times New Roman" w:hAnsi="Times New Roman" w:eastAsia="MS Mincho" w:cs="Times New Roman"/>
          <w:color w:val="000000"/>
          <w:sz w:val="24"/>
          <w:szCs w:val="24"/>
          <w:shd w:val="clear" w:color="auto" w:fill="FFFFFF"/>
          <w:lang w:eastAsia="nl-NL"/>
        </w:rPr>
        <w:t xml:space="preserve">oorbeelden van verwevenheid </w:t>
      </w:r>
      <w:r w:rsidR="003D6E53">
        <w:rPr>
          <w:rFonts w:ascii="Times New Roman" w:hAnsi="Times New Roman" w:eastAsia="MS Mincho" w:cs="Times New Roman"/>
          <w:color w:val="000000"/>
          <w:sz w:val="24"/>
          <w:szCs w:val="24"/>
          <w:shd w:val="clear" w:color="auto" w:fill="FFFFFF"/>
          <w:lang w:eastAsia="nl-NL"/>
        </w:rPr>
        <w:t xml:space="preserve">van het strafprocesrecht </w:t>
      </w:r>
      <w:r w:rsidR="006D354F">
        <w:rPr>
          <w:rFonts w:ascii="Times New Roman" w:hAnsi="Times New Roman" w:eastAsia="MS Mincho" w:cs="Times New Roman"/>
          <w:color w:val="000000"/>
          <w:sz w:val="24"/>
          <w:szCs w:val="24"/>
          <w:shd w:val="clear" w:color="auto" w:fill="FFFFFF"/>
          <w:lang w:eastAsia="nl-NL"/>
        </w:rPr>
        <w:t xml:space="preserve">met het </w:t>
      </w:r>
      <w:r w:rsidR="009774B5">
        <w:rPr>
          <w:rFonts w:ascii="Times New Roman" w:hAnsi="Times New Roman" w:eastAsia="MS Mincho" w:cs="Times New Roman"/>
          <w:color w:val="000000"/>
          <w:sz w:val="24"/>
          <w:szCs w:val="24"/>
          <w:shd w:val="clear" w:color="auto" w:fill="FFFFFF"/>
          <w:lang w:eastAsia="nl-NL"/>
        </w:rPr>
        <w:t xml:space="preserve">civiele recht vindt men onder </w:t>
      </w:r>
      <w:r w:rsidR="009774B5">
        <w:rPr>
          <w:rFonts w:ascii="Times New Roman" w:hAnsi="Times New Roman" w:eastAsia="MS Mincho" w:cs="Times New Roman"/>
          <w:color w:val="000000"/>
          <w:sz w:val="24"/>
          <w:szCs w:val="24"/>
          <w:shd w:val="clear" w:color="auto" w:fill="FFFFFF"/>
          <w:lang w:eastAsia="nl-NL"/>
        </w:rPr>
        <w:lastRenderedPageBreak/>
        <w:t>andere in de regeling van d</w:t>
      </w:r>
      <w:r w:rsidR="006D354F">
        <w:rPr>
          <w:rFonts w:ascii="Times New Roman" w:hAnsi="Times New Roman" w:eastAsia="MS Mincho" w:cs="Times New Roman"/>
          <w:color w:val="000000"/>
          <w:sz w:val="24"/>
          <w:szCs w:val="24"/>
          <w:shd w:val="clear" w:color="auto" w:fill="FFFFFF"/>
          <w:lang w:eastAsia="nl-NL"/>
        </w:rPr>
        <w:t xml:space="preserve">e benadeelde partij en het beslag </w:t>
      </w:r>
      <w:r w:rsidR="009774B5">
        <w:rPr>
          <w:rFonts w:ascii="Times New Roman" w:hAnsi="Times New Roman" w:eastAsia="MS Mincho" w:cs="Times New Roman"/>
          <w:color w:val="000000"/>
          <w:sz w:val="24"/>
          <w:szCs w:val="24"/>
          <w:shd w:val="clear" w:color="auto" w:fill="FFFFFF"/>
          <w:lang w:eastAsia="nl-NL"/>
        </w:rPr>
        <w:t>op voorwerpen.</w:t>
      </w:r>
      <w:r w:rsidR="0009082D">
        <w:rPr>
          <w:rFonts w:ascii="Times New Roman" w:hAnsi="Times New Roman" w:eastAsia="MS Mincho" w:cs="Times New Roman"/>
          <w:color w:val="000000"/>
          <w:sz w:val="24"/>
          <w:szCs w:val="24"/>
          <w:shd w:val="clear" w:color="auto" w:fill="FFFFFF"/>
          <w:lang w:eastAsia="nl-NL"/>
        </w:rPr>
        <w:t xml:space="preserve"> Het burgerlijk recht wordt zo binnengehaald in het strafproces. </w:t>
      </w:r>
      <w:r w:rsidR="00272A4A">
        <w:rPr>
          <w:rFonts w:ascii="Times New Roman" w:hAnsi="Times New Roman" w:eastAsia="MS Mincho" w:cs="Times New Roman"/>
          <w:color w:val="000000"/>
          <w:sz w:val="24"/>
          <w:szCs w:val="24"/>
          <w:shd w:val="clear" w:color="auto" w:fill="FFFFFF"/>
          <w:lang w:eastAsia="nl-NL"/>
        </w:rPr>
        <w:t xml:space="preserve">Ter illustratie een korte schets van </w:t>
      </w:r>
      <w:r w:rsidR="005B1C1A">
        <w:rPr>
          <w:rFonts w:ascii="Times New Roman" w:hAnsi="Times New Roman" w:eastAsia="MS Mincho" w:cs="Times New Roman"/>
          <w:color w:val="000000"/>
          <w:sz w:val="24"/>
          <w:szCs w:val="24"/>
          <w:shd w:val="clear" w:color="auto" w:fill="FFFFFF"/>
          <w:lang w:eastAsia="nl-NL"/>
        </w:rPr>
        <w:t xml:space="preserve">het belang van het bewustzijn van de gevolgen daarvan. </w:t>
      </w:r>
      <w:r w:rsidR="003D6E53">
        <w:rPr>
          <w:rFonts w:ascii="Times New Roman" w:hAnsi="Times New Roman" w:eastAsia="MS Mincho" w:cs="Times New Roman"/>
          <w:color w:val="000000"/>
          <w:sz w:val="24"/>
          <w:szCs w:val="24"/>
          <w:shd w:val="clear" w:color="auto" w:fill="FFFFFF"/>
          <w:lang w:eastAsia="nl-NL"/>
        </w:rPr>
        <w:t xml:space="preserve">Aan de </w:t>
      </w:r>
      <w:r w:rsidR="00D31DB1">
        <w:rPr>
          <w:rFonts w:ascii="Times New Roman" w:hAnsi="Times New Roman" w:eastAsia="MS Mincho" w:cs="Times New Roman"/>
          <w:color w:val="000000"/>
          <w:sz w:val="24"/>
          <w:szCs w:val="24"/>
          <w:shd w:val="clear" w:color="auto" w:fill="FFFFFF"/>
          <w:lang w:eastAsia="nl-NL"/>
        </w:rPr>
        <w:t xml:space="preserve">positie van de benadeelde partij, noch aan de </w:t>
      </w:r>
      <w:r w:rsidR="003D6E53">
        <w:rPr>
          <w:rFonts w:ascii="Times New Roman" w:hAnsi="Times New Roman" w:eastAsia="MS Mincho" w:cs="Times New Roman"/>
          <w:color w:val="000000"/>
          <w:sz w:val="24"/>
          <w:szCs w:val="24"/>
          <w:shd w:val="clear" w:color="auto" w:fill="FFFFFF"/>
          <w:lang w:eastAsia="nl-NL"/>
        </w:rPr>
        <w:t>toepasselijkheid van het civiele recht en het civiele procesrecht op de beoordeling van een vordering is bij de recente invoeging van de regeling in de nieuwe Titel III Het slachtoffer bijzondere aandacht besteed.</w:t>
      </w:r>
      <w:r w:rsidR="00D31DB1">
        <w:rPr>
          <w:rStyle w:val="FootnoteReference"/>
          <w:rFonts w:ascii="Times New Roman" w:hAnsi="Times New Roman" w:eastAsia="MS Mincho"/>
          <w:color w:val="000000"/>
          <w:sz w:val="24"/>
          <w:szCs w:val="24"/>
          <w:shd w:val="clear" w:color="auto" w:fill="FFFFFF"/>
          <w:lang w:eastAsia="nl-NL"/>
        </w:rPr>
        <w:footnoteReference w:id="49"/>
      </w:r>
      <w:r w:rsidR="003D6E53">
        <w:rPr>
          <w:rFonts w:ascii="Times New Roman" w:hAnsi="Times New Roman" w:eastAsia="MS Mincho" w:cs="Times New Roman"/>
          <w:color w:val="000000"/>
          <w:sz w:val="24"/>
          <w:szCs w:val="24"/>
          <w:shd w:val="clear" w:color="auto" w:fill="FFFFFF"/>
          <w:lang w:eastAsia="nl-NL"/>
        </w:rPr>
        <w:t xml:space="preserve"> Onderliggend </w:t>
      </w:r>
      <w:r w:rsidR="00EB5579">
        <w:rPr>
          <w:rFonts w:ascii="Times New Roman" w:hAnsi="Times New Roman" w:eastAsia="MS Mincho" w:cs="Times New Roman"/>
          <w:color w:val="000000"/>
          <w:sz w:val="24"/>
          <w:szCs w:val="24"/>
          <w:shd w:val="clear" w:color="auto" w:fill="FFFFFF"/>
          <w:lang w:eastAsia="nl-NL"/>
        </w:rPr>
        <w:t xml:space="preserve">aan de invoeging </w:t>
      </w:r>
      <w:r w:rsidR="003D6E53">
        <w:rPr>
          <w:rFonts w:ascii="Times New Roman" w:hAnsi="Times New Roman" w:eastAsia="MS Mincho" w:cs="Times New Roman"/>
          <w:color w:val="000000"/>
          <w:sz w:val="24"/>
          <w:szCs w:val="24"/>
          <w:shd w:val="clear" w:color="auto" w:fill="FFFFFF"/>
          <w:lang w:eastAsia="nl-NL"/>
        </w:rPr>
        <w:t>w</w:t>
      </w:r>
      <w:r w:rsidR="00D31DB1">
        <w:rPr>
          <w:rFonts w:ascii="Times New Roman" w:hAnsi="Times New Roman" w:eastAsia="MS Mincho" w:cs="Times New Roman"/>
          <w:color w:val="000000"/>
          <w:sz w:val="24"/>
          <w:szCs w:val="24"/>
          <w:shd w:val="clear" w:color="auto" w:fill="FFFFFF"/>
          <w:lang w:eastAsia="nl-NL"/>
        </w:rPr>
        <w:t xml:space="preserve">as </w:t>
      </w:r>
      <w:r w:rsidR="003D6E53">
        <w:rPr>
          <w:rFonts w:ascii="Times New Roman" w:hAnsi="Times New Roman" w:eastAsia="MS Mincho" w:cs="Times New Roman"/>
          <w:color w:val="000000"/>
          <w:sz w:val="24"/>
          <w:szCs w:val="24"/>
          <w:shd w:val="clear" w:color="auto" w:fill="FFFFFF"/>
          <w:lang w:eastAsia="nl-NL"/>
        </w:rPr>
        <w:t xml:space="preserve">de gedachte dat zo veel mogelijk zaken </w:t>
      </w:r>
      <w:r w:rsidR="00272A4A">
        <w:rPr>
          <w:rFonts w:ascii="Times New Roman" w:hAnsi="Times New Roman" w:eastAsia="MS Mincho" w:cs="Times New Roman"/>
          <w:color w:val="000000"/>
          <w:sz w:val="24"/>
          <w:szCs w:val="24"/>
          <w:shd w:val="clear" w:color="auto" w:fill="FFFFFF"/>
          <w:lang w:eastAsia="nl-NL"/>
        </w:rPr>
        <w:t xml:space="preserve">betreffende schadevergoeding </w:t>
      </w:r>
      <w:r w:rsidR="003D6E53">
        <w:rPr>
          <w:rFonts w:ascii="Times New Roman" w:hAnsi="Times New Roman" w:eastAsia="MS Mincho" w:cs="Times New Roman"/>
          <w:color w:val="000000"/>
          <w:sz w:val="24"/>
          <w:szCs w:val="24"/>
          <w:shd w:val="clear" w:color="auto" w:fill="FFFFFF"/>
          <w:lang w:eastAsia="nl-NL"/>
        </w:rPr>
        <w:t xml:space="preserve">door de </w:t>
      </w:r>
      <w:r w:rsidR="00130AC3">
        <w:rPr>
          <w:rFonts w:ascii="Times New Roman" w:hAnsi="Times New Roman" w:eastAsia="MS Mincho" w:cs="Times New Roman"/>
          <w:color w:val="000000"/>
          <w:sz w:val="24"/>
          <w:szCs w:val="24"/>
          <w:shd w:val="clear" w:color="auto" w:fill="FFFFFF"/>
          <w:lang w:eastAsia="nl-NL"/>
        </w:rPr>
        <w:t>strafrechter</w:t>
      </w:r>
      <w:r w:rsidR="003D6E53">
        <w:rPr>
          <w:rFonts w:ascii="Times New Roman" w:hAnsi="Times New Roman" w:eastAsia="MS Mincho" w:cs="Times New Roman"/>
          <w:color w:val="000000"/>
          <w:sz w:val="24"/>
          <w:szCs w:val="24"/>
          <w:shd w:val="clear" w:color="auto" w:fill="FFFFFF"/>
          <w:lang w:eastAsia="nl-NL"/>
        </w:rPr>
        <w:t xml:space="preserve"> zouden moeten </w:t>
      </w:r>
      <w:r w:rsidR="00130AC3">
        <w:rPr>
          <w:rFonts w:ascii="Times New Roman" w:hAnsi="Times New Roman" w:eastAsia="MS Mincho" w:cs="Times New Roman"/>
          <w:color w:val="000000"/>
          <w:sz w:val="24"/>
          <w:szCs w:val="24"/>
          <w:shd w:val="clear" w:color="auto" w:fill="FFFFFF"/>
          <w:lang w:eastAsia="nl-NL"/>
        </w:rPr>
        <w:t>worden</w:t>
      </w:r>
      <w:r w:rsidR="003D6E53">
        <w:rPr>
          <w:rFonts w:ascii="Times New Roman" w:hAnsi="Times New Roman" w:eastAsia="MS Mincho" w:cs="Times New Roman"/>
          <w:color w:val="000000"/>
          <w:sz w:val="24"/>
          <w:szCs w:val="24"/>
          <w:shd w:val="clear" w:color="auto" w:fill="FFFFFF"/>
          <w:lang w:eastAsia="nl-NL"/>
        </w:rPr>
        <w:t xml:space="preserve"> </w:t>
      </w:r>
      <w:r w:rsidR="00130AC3">
        <w:rPr>
          <w:rFonts w:ascii="Times New Roman" w:hAnsi="Times New Roman" w:eastAsia="MS Mincho" w:cs="Times New Roman"/>
          <w:color w:val="000000"/>
          <w:sz w:val="24"/>
          <w:szCs w:val="24"/>
          <w:shd w:val="clear" w:color="auto" w:fill="FFFFFF"/>
          <w:lang w:eastAsia="nl-NL"/>
        </w:rPr>
        <w:t>afgedaan</w:t>
      </w:r>
      <w:r w:rsidR="0009082D">
        <w:rPr>
          <w:rFonts w:ascii="Times New Roman" w:hAnsi="Times New Roman" w:eastAsia="MS Mincho" w:cs="Times New Roman"/>
          <w:color w:val="000000"/>
          <w:sz w:val="24"/>
          <w:szCs w:val="24"/>
          <w:shd w:val="clear" w:color="auto" w:fill="FFFFFF"/>
          <w:lang w:eastAsia="nl-NL"/>
        </w:rPr>
        <w:t xml:space="preserve">. </w:t>
      </w:r>
      <w:r w:rsidR="00EB5579">
        <w:rPr>
          <w:rFonts w:ascii="Times New Roman" w:hAnsi="Times New Roman" w:eastAsia="MS Mincho" w:cs="Times New Roman"/>
          <w:color w:val="000000"/>
          <w:sz w:val="24"/>
          <w:szCs w:val="24"/>
          <w:shd w:val="clear" w:color="auto" w:fill="FFFFFF"/>
          <w:lang w:eastAsia="nl-NL"/>
        </w:rPr>
        <w:t>Neemt men die gedachte evenwel serieus, dan z</w:t>
      </w:r>
      <w:r w:rsidR="00F06BD5">
        <w:rPr>
          <w:rFonts w:ascii="Times New Roman" w:hAnsi="Times New Roman" w:eastAsia="MS Mincho" w:cs="Times New Roman"/>
          <w:color w:val="000000"/>
          <w:sz w:val="24"/>
          <w:szCs w:val="24"/>
          <w:shd w:val="clear" w:color="auto" w:fill="FFFFFF"/>
          <w:lang w:eastAsia="nl-NL"/>
        </w:rPr>
        <w:t>al d</w:t>
      </w:r>
      <w:r w:rsidR="00EB5579">
        <w:rPr>
          <w:rFonts w:ascii="Times New Roman" w:hAnsi="Times New Roman" w:eastAsia="MS Mincho" w:cs="Times New Roman"/>
          <w:color w:val="000000"/>
          <w:sz w:val="24"/>
          <w:szCs w:val="24"/>
          <w:shd w:val="clear" w:color="auto" w:fill="FFFFFF"/>
          <w:lang w:eastAsia="nl-NL"/>
        </w:rPr>
        <w:t>at onontkoombaar consequenties hebben voor de behandeling van de vordering door de strafrechter ter zitting.</w:t>
      </w:r>
      <w:r w:rsidR="00D404C3">
        <w:rPr>
          <w:rStyle w:val="FootnoteReference"/>
          <w:rFonts w:ascii="Times New Roman" w:hAnsi="Times New Roman" w:eastAsia="MS Mincho"/>
          <w:color w:val="000000"/>
          <w:sz w:val="24"/>
          <w:szCs w:val="24"/>
          <w:shd w:val="clear" w:color="auto" w:fill="FFFFFF"/>
          <w:lang w:eastAsia="nl-NL"/>
        </w:rPr>
        <w:footnoteReference w:id="50"/>
      </w:r>
      <w:r w:rsidR="00EB5579">
        <w:rPr>
          <w:rFonts w:ascii="Times New Roman" w:hAnsi="Times New Roman" w:eastAsia="MS Mincho" w:cs="Times New Roman"/>
          <w:color w:val="000000"/>
          <w:sz w:val="24"/>
          <w:szCs w:val="24"/>
          <w:shd w:val="clear" w:color="auto" w:fill="FFFFFF"/>
          <w:lang w:eastAsia="nl-NL"/>
        </w:rPr>
        <w:t xml:space="preserve"> </w:t>
      </w:r>
      <w:r w:rsidR="005B1C1A">
        <w:rPr>
          <w:rFonts w:ascii="Times New Roman" w:hAnsi="Times New Roman" w:eastAsia="MS Mincho" w:cs="Times New Roman"/>
          <w:color w:val="000000"/>
          <w:sz w:val="24"/>
          <w:szCs w:val="24"/>
          <w:shd w:val="clear" w:color="auto" w:fill="FFFFFF"/>
          <w:lang w:eastAsia="nl-NL"/>
        </w:rPr>
        <w:t xml:space="preserve">De regeling voor de behandeling ter terechtzitting is </w:t>
      </w:r>
      <w:r w:rsidR="00EB5579">
        <w:rPr>
          <w:rFonts w:ascii="Times New Roman" w:hAnsi="Times New Roman" w:eastAsia="MS Mincho" w:cs="Times New Roman"/>
          <w:color w:val="000000"/>
          <w:sz w:val="24"/>
          <w:szCs w:val="24"/>
          <w:shd w:val="clear" w:color="auto" w:fill="FFFFFF"/>
          <w:lang w:eastAsia="nl-NL"/>
        </w:rPr>
        <w:t xml:space="preserve">thans immers </w:t>
      </w:r>
      <w:r w:rsidR="00C04A94">
        <w:rPr>
          <w:rFonts w:ascii="Times New Roman" w:hAnsi="Times New Roman" w:eastAsia="MS Mincho" w:cs="Times New Roman"/>
          <w:color w:val="000000"/>
          <w:sz w:val="24"/>
          <w:szCs w:val="24"/>
          <w:shd w:val="clear" w:color="auto" w:fill="FFFFFF"/>
          <w:lang w:eastAsia="nl-NL"/>
        </w:rPr>
        <w:t>summier.</w:t>
      </w:r>
      <w:r w:rsidRPr="00C04A94" w:rsidR="00C04A94">
        <w:rPr>
          <w:rStyle w:val="FootnoteReference"/>
          <w:rFonts w:ascii="Times New Roman" w:hAnsi="Times New Roman" w:eastAsia="MS Mincho"/>
          <w:color w:val="000000"/>
          <w:sz w:val="24"/>
          <w:szCs w:val="24"/>
          <w:shd w:val="clear" w:color="auto" w:fill="FFFFFF"/>
          <w:lang w:eastAsia="nl-NL"/>
        </w:rPr>
        <w:t xml:space="preserve"> </w:t>
      </w:r>
      <w:r w:rsidR="00C04A94">
        <w:rPr>
          <w:rStyle w:val="FootnoteReference"/>
          <w:rFonts w:ascii="Times New Roman" w:hAnsi="Times New Roman" w:eastAsia="MS Mincho"/>
          <w:color w:val="000000"/>
          <w:sz w:val="24"/>
          <w:szCs w:val="24"/>
          <w:shd w:val="clear" w:color="auto" w:fill="FFFFFF"/>
          <w:lang w:eastAsia="nl-NL"/>
        </w:rPr>
        <w:footnoteReference w:id="51"/>
      </w:r>
      <w:r w:rsidR="005B1C1A">
        <w:rPr>
          <w:rFonts w:ascii="Times New Roman" w:hAnsi="Times New Roman" w:eastAsia="MS Mincho" w:cs="Times New Roman"/>
          <w:color w:val="000000"/>
          <w:sz w:val="24"/>
          <w:szCs w:val="24"/>
          <w:shd w:val="clear" w:color="auto" w:fill="FFFFFF"/>
          <w:lang w:eastAsia="nl-NL"/>
        </w:rPr>
        <w:t xml:space="preserve"> De benadeelde partij mag weliswaar stukken overleggen tot het bewijs en ook vragen stellen, maar van een behandeling gelijkwaardig aan die in een civiele procedure kan binnen de </w:t>
      </w:r>
      <w:r w:rsidR="002B3EA2">
        <w:rPr>
          <w:rFonts w:ascii="Times New Roman" w:hAnsi="Times New Roman" w:eastAsia="MS Mincho" w:cs="Times New Roman"/>
          <w:color w:val="000000"/>
          <w:sz w:val="24"/>
          <w:szCs w:val="24"/>
          <w:shd w:val="clear" w:color="auto" w:fill="FFFFFF"/>
          <w:lang w:eastAsia="nl-NL"/>
        </w:rPr>
        <w:t xml:space="preserve">huidige </w:t>
      </w:r>
      <w:r w:rsidR="005B1C1A">
        <w:rPr>
          <w:rFonts w:ascii="Times New Roman" w:hAnsi="Times New Roman" w:eastAsia="MS Mincho" w:cs="Times New Roman"/>
          <w:color w:val="000000"/>
          <w:sz w:val="24"/>
          <w:szCs w:val="24"/>
          <w:shd w:val="clear" w:color="auto" w:fill="FFFFFF"/>
          <w:lang w:eastAsia="nl-NL"/>
        </w:rPr>
        <w:t>strafprocedure geen sprake zijn.</w:t>
      </w:r>
      <w:r w:rsidR="002B3EA2">
        <w:rPr>
          <w:rFonts w:ascii="Times New Roman" w:hAnsi="Times New Roman" w:eastAsia="MS Mincho" w:cs="Times New Roman"/>
          <w:color w:val="000000"/>
          <w:sz w:val="24"/>
          <w:szCs w:val="24"/>
          <w:shd w:val="clear" w:color="auto" w:fill="FFFFFF"/>
          <w:lang w:eastAsia="nl-NL"/>
        </w:rPr>
        <w:t xml:space="preserve"> </w:t>
      </w:r>
      <w:r w:rsidR="005B1C1A">
        <w:rPr>
          <w:rFonts w:ascii="Times New Roman" w:hAnsi="Times New Roman" w:eastAsia="MS Mincho" w:cs="Times New Roman"/>
          <w:color w:val="000000"/>
          <w:sz w:val="24"/>
          <w:szCs w:val="24"/>
          <w:shd w:val="clear" w:color="auto" w:fill="FFFFFF"/>
          <w:lang w:eastAsia="nl-NL"/>
        </w:rPr>
        <w:t xml:space="preserve">Zowel de </w:t>
      </w:r>
      <w:r w:rsidR="00EB5579">
        <w:rPr>
          <w:rFonts w:ascii="Times New Roman" w:hAnsi="Times New Roman" w:eastAsia="MS Mincho" w:cs="Times New Roman"/>
          <w:color w:val="000000"/>
          <w:sz w:val="24"/>
          <w:szCs w:val="24"/>
          <w:shd w:val="clear" w:color="auto" w:fill="FFFFFF"/>
          <w:lang w:eastAsia="nl-NL"/>
        </w:rPr>
        <w:t xml:space="preserve">strafrechtelijke </w:t>
      </w:r>
      <w:r w:rsidR="005B1C1A">
        <w:rPr>
          <w:rFonts w:ascii="Times New Roman" w:hAnsi="Times New Roman" w:eastAsia="MS Mincho" w:cs="Times New Roman"/>
          <w:color w:val="000000"/>
          <w:sz w:val="24"/>
          <w:szCs w:val="24"/>
          <w:shd w:val="clear" w:color="auto" w:fill="FFFFFF"/>
          <w:lang w:eastAsia="nl-NL"/>
        </w:rPr>
        <w:t>proce</w:t>
      </w:r>
      <w:r w:rsidR="002B3EA2">
        <w:rPr>
          <w:rFonts w:ascii="Times New Roman" w:hAnsi="Times New Roman" w:eastAsia="MS Mincho" w:cs="Times New Roman"/>
          <w:color w:val="000000"/>
          <w:sz w:val="24"/>
          <w:szCs w:val="24"/>
          <w:shd w:val="clear" w:color="auto" w:fill="FFFFFF"/>
          <w:lang w:eastAsia="nl-NL"/>
        </w:rPr>
        <w:t>dure</w:t>
      </w:r>
      <w:r w:rsidR="005B1C1A">
        <w:rPr>
          <w:rFonts w:ascii="Times New Roman" w:hAnsi="Times New Roman" w:eastAsia="MS Mincho" w:cs="Times New Roman"/>
          <w:color w:val="000000"/>
          <w:sz w:val="24"/>
          <w:szCs w:val="24"/>
          <w:shd w:val="clear" w:color="auto" w:fill="FFFFFF"/>
          <w:lang w:eastAsia="nl-NL"/>
        </w:rPr>
        <w:t xml:space="preserve">regels </w:t>
      </w:r>
      <w:r w:rsidR="002B3EA2">
        <w:rPr>
          <w:rFonts w:ascii="Times New Roman" w:hAnsi="Times New Roman" w:eastAsia="MS Mincho" w:cs="Times New Roman"/>
          <w:color w:val="000000"/>
          <w:sz w:val="24"/>
          <w:szCs w:val="24"/>
          <w:shd w:val="clear" w:color="auto" w:fill="FFFFFF"/>
          <w:lang w:eastAsia="nl-NL"/>
        </w:rPr>
        <w:t xml:space="preserve">als de voor behandeling beschikbare tijd </w:t>
      </w:r>
      <w:r w:rsidR="005B1C1A">
        <w:rPr>
          <w:rFonts w:ascii="Times New Roman" w:hAnsi="Times New Roman" w:eastAsia="MS Mincho" w:cs="Times New Roman"/>
          <w:color w:val="000000"/>
          <w:sz w:val="24"/>
          <w:szCs w:val="24"/>
          <w:shd w:val="clear" w:color="auto" w:fill="FFFFFF"/>
          <w:lang w:eastAsia="nl-NL"/>
        </w:rPr>
        <w:t xml:space="preserve">zijn daarop niet </w:t>
      </w:r>
      <w:r w:rsidR="00EB5579">
        <w:rPr>
          <w:rFonts w:ascii="Times New Roman" w:hAnsi="Times New Roman" w:eastAsia="MS Mincho" w:cs="Times New Roman"/>
          <w:color w:val="000000"/>
          <w:sz w:val="24"/>
          <w:szCs w:val="24"/>
          <w:shd w:val="clear" w:color="auto" w:fill="FFFFFF"/>
          <w:lang w:eastAsia="nl-NL"/>
        </w:rPr>
        <w:t>toegesneden.</w:t>
      </w:r>
      <w:r w:rsidRPr="00C04A94" w:rsidR="00C04A94">
        <w:t xml:space="preserve"> </w:t>
      </w:r>
      <w:r w:rsidR="00EB5579">
        <w:rPr>
          <w:rFonts w:ascii="Times New Roman" w:hAnsi="Times New Roman" w:eastAsia="MS Mincho" w:cs="Times New Roman"/>
          <w:color w:val="000000"/>
          <w:sz w:val="24"/>
          <w:szCs w:val="24"/>
          <w:shd w:val="clear" w:color="auto" w:fill="FFFFFF"/>
          <w:lang w:eastAsia="nl-NL"/>
        </w:rPr>
        <w:t>Een potenti</w:t>
      </w:r>
      <w:r w:rsidR="00F06BD5">
        <w:rPr>
          <w:rFonts w:ascii="Times New Roman" w:hAnsi="Times New Roman" w:eastAsia="MS Mincho" w:cs="Times New Roman"/>
          <w:color w:val="000000"/>
          <w:sz w:val="24"/>
          <w:szCs w:val="24"/>
          <w:shd w:val="clear" w:color="auto" w:fill="FFFFFF"/>
          <w:lang w:eastAsia="nl-NL"/>
        </w:rPr>
        <w:t>ë</w:t>
      </w:r>
      <w:r w:rsidR="00EB5579">
        <w:rPr>
          <w:rFonts w:ascii="Times New Roman" w:hAnsi="Times New Roman" w:eastAsia="MS Mincho" w:cs="Times New Roman"/>
          <w:color w:val="000000"/>
          <w:sz w:val="24"/>
          <w:szCs w:val="24"/>
          <w:shd w:val="clear" w:color="auto" w:fill="FFFFFF"/>
          <w:lang w:eastAsia="nl-NL"/>
        </w:rPr>
        <w:t xml:space="preserve">le </w:t>
      </w:r>
      <w:r w:rsidR="00F60D56">
        <w:rPr>
          <w:rFonts w:ascii="Times New Roman" w:hAnsi="Times New Roman" w:eastAsia="MS Mincho" w:cs="Times New Roman"/>
          <w:color w:val="000000"/>
          <w:sz w:val="24"/>
          <w:szCs w:val="24"/>
          <w:shd w:val="clear" w:color="auto" w:fill="FFFFFF"/>
          <w:lang w:eastAsia="nl-NL"/>
        </w:rPr>
        <w:t xml:space="preserve">bijdrage aan een </w:t>
      </w:r>
      <w:r w:rsidR="00EB5579">
        <w:rPr>
          <w:rFonts w:ascii="Times New Roman" w:hAnsi="Times New Roman" w:eastAsia="MS Mincho" w:cs="Times New Roman"/>
          <w:color w:val="000000"/>
          <w:sz w:val="24"/>
          <w:szCs w:val="24"/>
          <w:shd w:val="clear" w:color="auto" w:fill="FFFFFF"/>
          <w:lang w:eastAsia="nl-NL"/>
        </w:rPr>
        <w:t>oplossing</w:t>
      </w:r>
      <w:r w:rsidR="002B3EA2">
        <w:rPr>
          <w:rFonts w:ascii="Times New Roman" w:hAnsi="Times New Roman" w:eastAsia="MS Mincho" w:cs="Times New Roman"/>
          <w:color w:val="000000"/>
          <w:sz w:val="24"/>
          <w:szCs w:val="24"/>
          <w:shd w:val="clear" w:color="auto" w:fill="FFFFFF"/>
          <w:lang w:eastAsia="nl-NL"/>
        </w:rPr>
        <w:t xml:space="preserve"> voor deze discrepantie</w:t>
      </w:r>
      <w:r w:rsidR="00EB5579">
        <w:rPr>
          <w:rFonts w:ascii="Times New Roman" w:hAnsi="Times New Roman" w:eastAsia="MS Mincho" w:cs="Times New Roman"/>
          <w:color w:val="000000"/>
          <w:sz w:val="24"/>
          <w:szCs w:val="24"/>
          <w:shd w:val="clear" w:color="auto" w:fill="FFFFFF"/>
          <w:lang w:eastAsia="nl-NL"/>
        </w:rPr>
        <w:t xml:space="preserve">, </w:t>
      </w:r>
      <w:r w:rsidR="002B3EA2">
        <w:rPr>
          <w:rFonts w:ascii="Times New Roman" w:hAnsi="Times New Roman" w:eastAsia="MS Mincho" w:cs="Times New Roman"/>
          <w:color w:val="000000"/>
          <w:sz w:val="24"/>
          <w:szCs w:val="24"/>
          <w:shd w:val="clear" w:color="auto" w:fill="FFFFFF"/>
          <w:lang w:eastAsia="nl-NL"/>
        </w:rPr>
        <w:t xml:space="preserve">de </w:t>
      </w:r>
      <w:r w:rsidR="00EB5579">
        <w:rPr>
          <w:rFonts w:ascii="Times New Roman" w:hAnsi="Times New Roman" w:eastAsia="MS Mincho" w:cs="Times New Roman"/>
          <w:color w:val="000000"/>
          <w:sz w:val="24"/>
          <w:szCs w:val="24"/>
          <w:shd w:val="clear" w:color="auto" w:fill="FFFFFF"/>
          <w:lang w:eastAsia="nl-NL"/>
        </w:rPr>
        <w:t>invoering van een tweefasen-proces</w:t>
      </w:r>
      <w:r w:rsidR="002B3EA2">
        <w:rPr>
          <w:rFonts w:ascii="Times New Roman" w:hAnsi="Times New Roman" w:eastAsia="MS Mincho" w:cs="Times New Roman"/>
          <w:color w:val="000000"/>
          <w:sz w:val="24"/>
          <w:szCs w:val="24"/>
          <w:shd w:val="clear" w:color="auto" w:fill="FFFFFF"/>
          <w:lang w:eastAsia="nl-NL"/>
        </w:rPr>
        <w:t>,</w:t>
      </w:r>
      <w:r w:rsidR="0080089F">
        <w:rPr>
          <w:rFonts w:ascii="Times New Roman" w:hAnsi="Times New Roman" w:eastAsia="MS Mincho" w:cs="Times New Roman"/>
          <w:color w:val="000000"/>
          <w:sz w:val="24"/>
          <w:szCs w:val="24"/>
          <w:shd w:val="clear" w:color="auto" w:fill="FFFFFF"/>
          <w:lang w:eastAsia="nl-NL"/>
        </w:rPr>
        <w:t xml:space="preserve"> maakt geen deel uit van de plannen in de Contourennota.</w:t>
      </w:r>
      <w:r w:rsidR="00F60D56">
        <w:rPr>
          <w:rStyle w:val="FootnoteReference"/>
          <w:rFonts w:ascii="Times New Roman" w:hAnsi="Times New Roman" w:eastAsia="MS Mincho"/>
          <w:color w:val="000000"/>
          <w:sz w:val="24"/>
          <w:szCs w:val="24"/>
          <w:shd w:val="clear" w:color="auto" w:fill="FFFFFF"/>
          <w:lang w:eastAsia="nl-NL"/>
        </w:rPr>
        <w:footnoteReference w:id="52"/>
      </w:r>
      <w:r w:rsidR="0080089F">
        <w:rPr>
          <w:rFonts w:ascii="Times New Roman" w:hAnsi="Times New Roman" w:eastAsia="MS Mincho" w:cs="Times New Roman"/>
          <w:color w:val="000000"/>
          <w:sz w:val="24"/>
          <w:szCs w:val="24"/>
          <w:shd w:val="clear" w:color="auto" w:fill="FFFFFF"/>
          <w:lang w:eastAsia="nl-NL"/>
        </w:rPr>
        <w:t xml:space="preserve"> </w:t>
      </w:r>
      <w:r w:rsidR="002B3EA2">
        <w:rPr>
          <w:rFonts w:ascii="Times New Roman" w:hAnsi="Times New Roman" w:eastAsia="MS Mincho" w:cs="Times New Roman"/>
          <w:color w:val="000000"/>
          <w:sz w:val="24"/>
          <w:szCs w:val="24"/>
          <w:shd w:val="clear" w:color="auto" w:fill="FFFFFF"/>
          <w:lang w:eastAsia="nl-NL"/>
        </w:rPr>
        <w:t>Ook ten aanzien van de inhoudelijke beoordeling van de vordering zijn discrepanties tussen het civiele recht en de beoordeling van de vordering benadeelde partij te signaleren, zoals bijvoorbeeld ten aanzien van het criterium rechtstreekse schade, ten aanzien van de vereiste causaliteit en ten aanzien van de hoogte van de toe te kennen bedragen.</w:t>
      </w:r>
      <w:r w:rsidR="00C1587D">
        <w:rPr>
          <w:rStyle w:val="FootnoteReference"/>
          <w:rFonts w:ascii="Times New Roman" w:hAnsi="Times New Roman" w:eastAsia="MS Mincho"/>
          <w:color w:val="000000"/>
          <w:sz w:val="24"/>
          <w:szCs w:val="24"/>
          <w:shd w:val="clear" w:color="auto" w:fill="FFFFFF"/>
          <w:lang w:eastAsia="nl-NL"/>
        </w:rPr>
        <w:footnoteReference w:id="53"/>
      </w:r>
      <w:r w:rsidR="002B3EA2">
        <w:rPr>
          <w:rFonts w:ascii="Times New Roman" w:hAnsi="Times New Roman" w:eastAsia="MS Mincho" w:cs="Times New Roman"/>
          <w:color w:val="000000"/>
          <w:sz w:val="24"/>
          <w:szCs w:val="24"/>
          <w:shd w:val="clear" w:color="auto" w:fill="FFFFFF"/>
          <w:lang w:eastAsia="nl-NL"/>
        </w:rPr>
        <w:t xml:space="preserve"> </w:t>
      </w:r>
      <w:r w:rsidR="0080089F">
        <w:rPr>
          <w:rFonts w:ascii="Times New Roman" w:hAnsi="Times New Roman" w:eastAsia="MS Mincho" w:cs="Times New Roman"/>
          <w:color w:val="000000"/>
          <w:sz w:val="24"/>
          <w:szCs w:val="24"/>
          <w:shd w:val="clear" w:color="auto" w:fill="FFFFFF"/>
          <w:lang w:eastAsia="nl-NL"/>
        </w:rPr>
        <w:t xml:space="preserve">Deze thans aanwezige </w:t>
      </w:r>
      <w:r w:rsidR="00EB5579">
        <w:rPr>
          <w:rFonts w:ascii="Times New Roman" w:hAnsi="Times New Roman" w:eastAsia="MS Mincho" w:cs="Times New Roman"/>
          <w:color w:val="000000"/>
          <w:sz w:val="24"/>
          <w:szCs w:val="24"/>
          <w:shd w:val="clear" w:color="auto" w:fill="FFFFFF"/>
          <w:lang w:eastAsia="nl-NL"/>
        </w:rPr>
        <w:t>discrepantie</w:t>
      </w:r>
      <w:r w:rsidR="00F60D56">
        <w:rPr>
          <w:rFonts w:ascii="Times New Roman" w:hAnsi="Times New Roman" w:eastAsia="MS Mincho" w:cs="Times New Roman"/>
          <w:color w:val="000000"/>
          <w:sz w:val="24"/>
          <w:szCs w:val="24"/>
          <w:shd w:val="clear" w:color="auto" w:fill="FFFFFF"/>
          <w:lang w:eastAsia="nl-NL"/>
        </w:rPr>
        <w:t>s</w:t>
      </w:r>
      <w:r w:rsidR="00EB5579">
        <w:rPr>
          <w:rFonts w:ascii="Times New Roman" w:hAnsi="Times New Roman" w:eastAsia="MS Mincho" w:cs="Times New Roman"/>
          <w:color w:val="000000"/>
          <w:sz w:val="24"/>
          <w:szCs w:val="24"/>
          <w:shd w:val="clear" w:color="auto" w:fill="FFFFFF"/>
          <w:lang w:eastAsia="nl-NL"/>
        </w:rPr>
        <w:t xml:space="preserve"> tussen de </w:t>
      </w:r>
      <w:r w:rsidR="0080089F">
        <w:rPr>
          <w:rFonts w:ascii="Times New Roman" w:hAnsi="Times New Roman" w:eastAsia="MS Mincho" w:cs="Times New Roman"/>
          <w:color w:val="000000"/>
          <w:sz w:val="24"/>
          <w:szCs w:val="24"/>
          <w:shd w:val="clear" w:color="auto" w:fill="FFFFFF"/>
          <w:lang w:eastAsia="nl-NL"/>
        </w:rPr>
        <w:t xml:space="preserve">behandeling van een vordering tot schadevergoeding </w:t>
      </w:r>
      <w:r w:rsidR="00F06BD5">
        <w:rPr>
          <w:rFonts w:ascii="Times New Roman" w:hAnsi="Times New Roman" w:eastAsia="MS Mincho" w:cs="Times New Roman"/>
          <w:color w:val="000000"/>
          <w:sz w:val="24"/>
          <w:szCs w:val="24"/>
          <w:shd w:val="clear" w:color="auto" w:fill="FFFFFF"/>
          <w:lang w:eastAsia="nl-NL"/>
        </w:rPr>
        <w:t xml:space="preserve">in het strafprocesrecht en het civiele procesrecht </w:t>
      </w:r>
      <w:r w:rsidR="00F60D56">
        <w:rPr>
          <w:rFonts w:ascii="Times New Roman" w:hAnsi="Times New Roman" w:eastAsia="MS Mincho" w:cs="Times New Roman"/>
          <w:color w:val="000000"/>
          <w:sz w:val="24"/>
          <w:szCs w:val="24"/>
          <w:shd w:val="clear" w:color="auto" w:fill="FFFFFF"/>
          <w:lang w:eastAsia="nl-NL"/>
        </w:rPr>
        <w:t xml:space="preserve">zijn </w:t>
      </w:r>
      <w:r w:rsidR="00EC2F8F">
        <w:rPr>
          <w:rFonts w:ascii="Times New Roman" w:hAnsi="Times New Roman" w:eastAsia="MS Mincho" w:cs="Times New Roman"/>
          <w:color w:val="000000"/>
          <w:sz w:val="24"/>
          <w:szCs w:val="24"/>
          <w:shd w:val="clear" w:color="auto" w:fill="FFFFFF"/>
          <w:lang w:eastAsia="nl-NL"/>
        </w:rPr>
        <w:t>vanuit systematisch oogpunt, m</w:t>
      </w:r>
      <w:r w:rsidR="0080089F">
        <w:rPr>
          <w:rFonts w:ascii="Times New Roman" w:hAnsi="Times New Roman" w:eastAsia="MS Mincho" w:cs="Times New Roman"/>
          <w:color w:val="000000"/>
          <w:sz w:val="24"/>
          <w:szCs w:val="24"/>
          <w:shd w:val="clear" w:color="auto" w:fill="FFFFFF"/>
          <w:lang w:eastAsia="nl-NL"/>
        </w:rPr>
        <w:t xml:space="preserve">aar ook vanuit </w:t>
      </w:r>
      <w:r w:rsidR="002B3EA2">
        <w:rPr>
          <w:rFonts w:ascii="Times New Roman" w:hAnsi="Times New Roman" w:eastAsia="MS Mincho" w:cs="Times New Roman"/>
          <w:color w:val="000000"/>
          <w:sz w:val="24"/>
          <w:szCs w:val="24"/>
          <w:shd w:val="clear" w:color="auto" w:fill="FFFFFF"/>
          <w:lang w:eastAsia="nl-NL"/>
        </w:rPr>
        <w:t>het oogpunt van rechtsgelijkheid</w:t>
      </w:r>
      <w:r w:rsidR="0080089F">
        <w:rPr>
          <w:rFonts w:ascii="Times New Roman" w:hAnsi="Times New Roman" w:eastAsia="MS Mincho" w:cs="Times New Roman"/>
          <w:color w:val="000000"/>
          <w:sz w:val="24"/>
          <w:szCs w:val="24"/>
          <w:shd w:val="clear" w:color="auto" w:fill="FFFFFF"/>
          <w:lang w:eastAsia="nl-NL"/>
        </w:rPr>
        <w:t xml:space="preserve"> en rechtszekerh</w:t>
      </w:r>
      <w:r w:rsidR="000F7303">
        <w:rPr>
          <w:rFonts w:ascii="Times New Roman" w:hAnsi="Times New Roman" w:eastAsia="MS Mincho" w:cs="Times New Roman"/>
          <w:color w:val="000000"/>
          <w:sz w:val="24"/>
          <w:szCs w:val="24"/>
          <w:shd w:val="clear" w:color="auto" w:fill="FFFFFF"/>
          <w:lang w:eastAsia="nl-NL"/>
        </w:rPr>
        <w:t>eid niet goed te verantwoorden.</w:t>
      </w:r>
      <w:r w:rsidR="009F69EA">
        <w:rPr>
          <w:rStyle w:val="FootnoteReference"/>
          <w:rFonts w:ascii="Times New Roman" w:hAnsi="Times New Roman" w:eastAsia="MS Mincho"/>
          <w:color w:val="000000"/>
          <w:sz w:val="24"/>
          <w:szCs w:val="24"/>
          <w:shd w:val="clear" w:color="auto" w:fill="FFFFFF"/>
          <w:lang w:eastAsia="nl-NL"/>
        </w:rPr>
        <w:footnoteReference w:id="54"/>
      </w:r>
      <w:r w:rsidR="000F7303">
        <w:rPr>
          <w:rFonts w:ascii="Times New Roman" w:hAnsi="Times New Roman" w:eastAsia="MS Mincho" w:cs="Times New Roman"/>
          <w:color w:val="000000"/>
          <w:sz w:val="24"/>
          <w:szCs w:val="24"/>
          <w:shd w:val="clear" w:color="auto" w:fill="FFFFFF"/>
          <w:lang w:eastAsia="nl-NL"/>
        </w:rPr>
        <w:t xml:space="preserve"> </w:t>
      </w:r>
      <w:r w:rsidR="00EC2F8F">
        <w:rPr>
          <w:rFonts w:ascii="Times New Roman" w:hAnsi="Times New Roman" w:eastAsia="MS Mincho" w:cs="Times New Roman"/>
          <w:color w:val="000000"/>
          <w:sz w:val="24"/>
          <w:szCs w:val="24"/>
          <w:shd w:val="clear" w:color="auto" w:fill="FFFFFF"/>
          <w:lang w:eastAsia="nl-NL"/>
        </w:rPr>
        <w:t>Een gemiste kans?</w:t>
      </w:r>
    </w:p>
    <w:p w:rsidRPr="007C5808" w:rsidR="003F5276" w:rsidP="00637E64" w:rsidRDefault="00F60D56">
      <w:pPr>
        <w:spacing w:before="240" w:after="0" w:line="240" w:lineRule="auto"/>
        <w:rPr>
          <w:rFonts w:ascii="Times New Roman" w:hAnsi="Times New Roman" w:eastAsia="MS Mincho" w:cs="Times New Roman"/>
          <w:color w:val="000000"/>
          <w:sz w:val="24"/>
          <w:szCs w:val="24"/>
          <w:shd w:val="clear" w:color="auto" w:fill="FFFFFF"/>
          <w:lang w:eastAsia="nl-NL"/>
        </w:rPr>
      </w:pPr>
      <w:r w:rsidRPr="00F60D56">
        <w:rPr>
          <w:rFonts w:ascii="Times New Roman" w:hAnsi="Times New Roman" w:eastAsia="MS Mincho" w:cs="Times New Roman"/>
          <w:i/>
          <w:color w:val="000000"/>
          <w:sz w:val="24"/>
          <w:szCs w:val="24"/>
          <w:shd w:val="clear" w:color="auto" w:fill="FFFFFF"/>
          <w:lang w:eastAsia="nl-NL"/>
        </w:rPr>
        <w:t xml:space="preserve">De verhouding tot Europese ontwikkelingen </w:t>
      </w:r>
      <w:r>
        <w:rPr>
          <w:rFonts w:ascii="Times New Roman" w:hAnsi="Times New Roman" w:eastAsia="MS Mincho" w:cs="Times New Roman"/>
          <w:i/>
          <w:color w:val="000000"/>
          <w:sz w:val="24"/>
          <w:szCs w:val="24"/>
          <w:shd w:val="clear" w:color="auto" w:fill="FFFFFF"/>
          <w:lang w:eastAsia="nl-NL"/>
        </w:rPr>
        <w:br/>
      </w:r>
      <w:r w:rsidRPr="007C5808" w:rsidR="003F5276">
        <w:rPr>
          <w:rFonts w:ascii="Times New Roman" w:hAnsi="Times New Roman" w:eastAsia="MS Mincho" w:cs="Times New Roman"/>
          <w:color w:val="000000"/>
          <w:sz w:val="24"/>
          <w:szCs w:val="24"/>
          <w:shd w:val="clear" w:color="auto" w:fill="FFFFFF"/>
          <w:lang w:eastAsia="nl-NL"/>
        </w:rPr>
        <w:t>Europese ontwikkelingen</w:t>
      </w:r>
      <w:r>
        <w:rPr>
          <w:rFonts w:ascii="Times New Roman" w:hAnsi="Times New Roman" w:eastAsia="MS Mincho" w:cs="Times New Roman"/>
          <w:color w:val="000000"/>
          <w:sz w:val="24"/>
          <w:szCs w:val="24"/>
          <w:shd w:val="clear" w:color="auto" w:fill="FFFFFF"/>
          <w:lang w:eastAsia="nl-NL"/>
        </w:rPr>
        <w:t xml:space="preserve"> op het terrein van het strafproces zijn ingrijpend </w:t>
      </w:r>
      <w:r w:rsidR="00A10076">
        <w:rPr>
          <w:rFonts w:ascii="Times New Roman" w:hAnsi="Times New Roman" w:eastAsia="MS Mincho" w:cs="Times New Roman"/>
          <w:color w:val="000000"/>
          <w:sz w:val="24"/>
          <w:szCs w:val="24"/>
          <w:shd w:val="clear" w:color="auto" w:fill="FFFFFF"/>
          <w:lang w:eastAsia="nl-NL"/>
        </w:rPr>
        <w:t xml:space="preserve">en kunnen dat nog meer </w:t>
      </w:r>
      <w:r>
        <w:rPr>
          <w:rFonts w:ascii="Times New Roman" w:hAnsi="Times New Roman" w:eastAsia="MS Mincho" w:cs="Times New Roman"/>
          <w:color w:val="000000"/>
          <w:sz w:val="24"/>
          <w:szCs w:val="24"/>
          <w:shd w:val="clear" w:color="auto" w:fill="FFFFFF"/>
          <w:lang w:eastAsia="nl-NL"/>
        </w:rPr>
        <w:t xml:space="preserve">worden. De  uitbreiding van bevoegdheden van opsporingsinstanties, de bewijsverkrijging, Europese samenwerking, de in het vooruitzicht liggende oprichting van het Europees OM en de rol die het Europese Hof </w:t>
      </w:r>
      <w:r w:rsidR="00BF5AB7">
        <w:rPr>
          <w:rFonts w:ascii="Times New Roman" w:hAnsi="Times New Roman" w:eastAsia="MS Mincho" w:cs="Times New Roman"/>
          <w:color w:val="000000"/>
          <w:sz w:val="24"/>
          <w:szCs w:val="24"/>
          <w:shd w:val="clear" w:color="auto" w:fill="FFFFFF"/>
          <w:lang w:eastAsia="nl-NL"/>
        </w:rPr>
        <w:t>van Justitie</w:t>
      </w:r>
      <w:r w:rsidR="00C04A94">
        <w:rPr>
          <w:rFonts w:ascii="Times New Roman" w:hAnsi="Times New Roman" w:eastAsia="MS Mincho" w:cs="Times New Roman"/>
          <w:color w:val="000000"/>
          <w:sz w:val="24"/>
          <w:szCs w:val="24"/>
          <w:shd w:val="clear" w:color="auto" w:fill="FFFFFF"/>
          <w:lang w:eastAsia="nl-NL"/>
        </w:rPr>
        <w:t xml:space="preserve"> </w:t>
      </w:r>
      <w:r>
        <w:rPr>
          <w:rFonts w:ascii="Times New Roman" w:hAnsi="Times New Roman" w:eastAsia="MS Mincho" w:cs="Times New Roman"/>
          <w:color w:val="000000"/>
          <w:sz w:val="24"/>
          <w:szCs w:val="24"/>
          <w:shd w:val="clear" w:color="auto" w:fill="FFFFFF"/>
          <w:lang w:eastAsia="nl-NL"/>
        </w:rPr>
        <w:t xml:space="preserve">speelt ten aanzien van de handhaving </w:t>
      </w:r>
      <w:r w:rsidR="009F69EA">
        <w:rPr>
          <w:rFonts w:ascii="Times New Roman" w:hAnsi="Times New Roman" w:eastAsia="MS Mincho" w:cs="Times New Roman"/>
          <w:color w:val="000000"/>
          <w:sz w:val="24"/>
          <w:szCs w:val="24"/>
          <w:shd w:val="clear" w:color="auto" w:fill="FFFFFF"/>
          <w:lang w:eastAsia="nl-NL"/>
        </w:rPr>
        <w:t xml:space="preserve">heeft inmiddels </w:t>
      </w:r>
      <w:r>
        <w:rPr>
          <w:rFonts w:ascii="Times New Roman" w:hAnsi="Times New Roman" w:eastAsia="MS Mincho" w:cs="Times New Roman"/>
          <w:color w:val="000000"/>
          <w:sz w:val="24"/>
          <w:szCs w:val="24"/>
          <w:shd w:val="clear" w:color="auto" w:fill="FFFFFF"/>
          <w:lang w:eastAsia="nl-NL"/>
        </w:rPr>
        <w:t xml:space="preserve">sporen </w:t>
      </w:r>
      <w:r w:rsidR="009F69EA">
        <w:rPr>
          <w:rFonts w:ascii="Times New Roman" w:hAnsi="Times New Roman" w:eastAsia="MS Mincho" w:cs="Times New Roman"/>
          <w:color w:val="000000"/>
          <w:sz w:val="24"/>
          <w:szCs w:val="24"/>
          <w:shd w:val="clear" w:color="auto" w:fill="FFFFFF"/>
          <w:lang w:eastAsia="nl-NL"/>
        </w:rPr>
        <w:t>getro</w:t>
      </w:r>
      <w:r>
        <w:rPr>
          <w:rFonts w:ascii="Times New Roman" w:hAnsi="Times New Roman" w:eastAsia="MS Mincho" w:cs="Times New Roman"/>
          <w:color w:val="000000"/>
          <w:sz w:val="24"/>
          <w:szCs w:val="24"/>
          <w:shd w:val="clear" w:color="auto" w:fill="FFFFFF"/>
          <w:lang w:eastAsia="nl-NL"/>
        </w:rPr>
        <w:t xml:space="preserve">kken in </w:t>
      </w:r>
      <w:r w:rsidR="009F69EA">
        <w:rPr>
          <w:rFonts w:ascii="Times New Roman" w:hAnsi="Times New Roman" w:eastAsia="MS Mincho" w:cs="Times New Roman"/>
          <w:color w:val="000000"/>
          <w:sz w:val="24"/>
          <w:szCs w:val="24"/>
          <w:shd w:val="clear" w:color="auto" w:fill="FFFFFF"/>
          <w:lang w:eastAsia="nl-NL"/>
        </w:rPr>
        <w:t xml:space="preserve">ons </w:t>
      </w:r>
      <w:r>
        <w:rPr>
          <w:rFonts w:ascii="Times New Roman" w:hAnsi="Times New Roman" w:eastAsia="MS Mincho" w:cs="Times New Roman"/>
          <w:color w:val="000000"/>
          <w:sz w:val="24"/>
          <w:szCs w:val="24"/>
          <w:shd w:val="clear" w:color="auto" w:fill="FFFFFF"/>
          <w:lang w:eastAsia="nl-NL"/>
        </w:rPr>
        <w:t xml:space="preserve">nationale stelsel van strafprocesrecht. </w:t>
      </w:r>
      <w:r w:rsidR="00BF5AB7">
        <w:rPr>
          <w:rFonts w:ascii="Times New Roman" w:hAnsi="Times New Roman" w:eastAsia="MS Mincho" w:cs="Times New Roman"/>
          <w:color w:val="000000"/>
          <w:sz w:val="24"/>
          <w:szCs w:val="24"/>
          <w:shd w:val="clear" w:color="auto" w:fill="FFFFFF"/>
          <w:lang w:eastAsia="nl-NL"/>
        </w:rPr>
        <w:t>Met de b</w:t>
      </w:r>
      <w:r>
        <w:rPr>
          <w:rFonts w:ascii="Times New Roman" w:hAnsi="Times New Roman" w:eastAsia="MS Mincho" w:cs="Times New Roman"/>
          <w:color w:val="000000"/>
          <w:sz w:val="24"/>
          <w:szCs w:val="24"/>
          <w:shd w:val="clear" w:color="auto" w:fill="FFFFFF"/>
          <w:lang w:eastAsia="nl-NL"/>
        </w:rPr>
        <w:t>etekenis van het EVRM en de EHR</w:t>
      </w:r>
      <w:r w:rsidR="00BF5AB7">
        <w:rPr>
          <w:rFonts w:ascii="Times New Roman" w:hAnsi="Times New Roman" w:eastAsia="MS Mincho" w:cs="Times New Roman"/>
          <w:color w:val="000000"/>
          <w:sz w:val="24"/>
          <w:szCs w:val="24"/>
          <w:shd w:val="clear" w:color="auto" w:fill="FFFFFF"/>
          <w:lang w:eastAsia="nl-NL"/>
        </w:rPr>
        <w:t>M</w:t>
      </w:r>
      <w:r>
        <w:rPr>
          <w:rFonts w:ascii="Times New Roman" w:hAnsi="Times New Roman" w:eastAsia="MS Mincho" w:cs="Times New Roman"/>
          <w:color w:val="000000"/>
          <w:sz w:val="24"/>
          <w:szCs w:val="24"/>
          <w:shd w:val="clear" w:color="auto" w:fill="FFFFFF"/>
          <w:lang w:eastAsia="nl-NL"/>
        </w:rPr>
        <w:t xml:space="preserve">-rechtspraak </w:t>
      </w:r>
      <w:r w:rsidR="00BF5AB7">
        <w:rPr>
          <w:rFonts w:ascii="Times New Roman" w:hAnsi="Times New Roman" w:eastAsia="MS Mincho" w:cs="Times New Roman"/>
          <w:color w:val="000000"/>
          <w:sz w:val="24"/>
          <w:szCs w:val="24"/>
          <w:shd w:val="clear" w:color="auto" w:fill="FFFFFF"/>
          <w:lang w:eastAsia="nl-NL"/>
        </w:rPr>
        <w:t>op de normering van strafvorderlijke bevoegdheidsuitoefening zijn we inmiddels vertrouwd. De doorwerking van de EHRM-rechtspraak is daarmee nog niet ten einde. De positieve verplichtingen die het EHRM inleest in diverse bepalingen van het EVRM brengt niet alleen verplichtingen mee op het niveau van strafbaarstelling, maar ook op het niveau van de handhaving van overtreding van reeds bestaande strafbepalingen</w:t>
      </w:r>
      <w:r w:rsidR="00315999">
        <w:rPr>
          <w:rFonts w:ascii="Times New Roman" w:hAnsi="Times New Roman" w:eastAsia="MS Mincho" w:cs="Times New Roman"/>
          <w:color w:val="000000"/>
          <w:sz w:val="24"/>
          <w:szCs w:val="24"/>
          <w:shd w:val="clear" w:color="auto" w:fill="FFFFFF"/>
          <w:lang w:eastAsia="nl-NL"/>
        </w:rPr>
        <w:t>.</w:t>
      </w:r>
      <w:r w:rsidR="00315999">
        <w:rPr>
          <w:rStyle w:val="FootnoteReference"/>
          <w:rFonts w:ascii="Times New Roman" w:hAnsi="Times New Roman" w:eastAsia="MS Mincho"/>
          <w:color w:val="000000"/>
          <w:sz w:val="24"/>
          <w:szCs w:val="24"/>
          <w:shd w:val="clear" w:color="auto" w:fill="FFFFFF"/>
          <w:lang w:eastAsia="nl-NL"/>
        </w:rPr>
        <w:footnoteReference w:id="55"/>
      </w:r>
      <w:r w:rsidR="00315999">
        <w:rPr>
          <w:rFonts w:ascii="Times New Roman" w:hAnsi="Times New Roman" w:eastAsia="MS Mincho" w:cs="Times New Roman"/>
          <w:color w:val="000000"/>
          <w:sz w:val="24"/>
          <w:szCs w:val="24"/>
          <w:shd w:val="clear" w:color="auto" w:fill="FFFFFF"/>
          <w:lang w:eastAsia="nl-NL"/>
        </w:rPr>
        <w:t xml:space="preserve"> </w:t>
      </w:r>
      <w:r w:rsidR="00A10076">
        <w:rPr>
          <w:rFonts w:ascii="Times New Roman" w:hAnsi="Times New Roman" w:eastAsia="MS Mincho" w:cs="Times New Roman"/>
          <w:color w:val="000000"/>
          <w:sz w:val="24"/>
          <w:szCs w:val="24"/>
          <w:shd w:val="clear" w:color="auto" w:fill="FFFFFF"/>
          <w:lang w:eastAsia="nl-NL"/>
        </w:rPr>
        <w:t xml:space="preserve">Ook hier kan serieus de vraag </w:t>
      </w:r>
      <w:r w:rsidR="00A10076">
        <w:rPr>
          <w:rFonts w:ascii="Times New Roman" w:hAnsi="Times New Roman" w:eastAsia="MS Mincho" w:cs="Times New Roman"/>
          <w:color w:val="000000"/>
          <w:sz w:val="24"/>
          <w:szCs w:val="24"/>
          <w:shd w:val="clear" w:color="auto" w:fill="FFFFFF"/>
          <w:lang w:eastAsia="nl-NL"/>
        </w:rPr>
        <w:lastRenderedPageBreak/>
        <w:t xml:space="preserve">aan de orde worden gesteld of de met deze ontwikkelingen gepaard gaande gevolgen voor het Nederlandse strafprocesrecht niet systematischer moeten worden ‘overdacht’. </w:t>
      </w:r>
      <w:r w:rsidR="008E605D">
        <w:rPr>
          <w:rStyle w:val="FootnoteReference"/>
          <w:rFonts w:ascii="Times New Roman" w:hAnsi="Times New Roman" w:eastAsia="MS Mincho"/>
          <w:color w:val="000000"/>
          <w:sz w:val="24"/>
          <w:szCs w:val="24"/>
          <w:shd w:val="clear" w:color="auto" w:fill="FFFFFF"/>
          <w:lang w:eastAsia="nl-NL"/>
        </w:rPr>
        <w:footnoteReference w:id="56"/>
      </w:r>
      <w:r w:rsidR="00A10076">
        <w:rPr>
          <w:rFonts w:ascii="Times New Roman" w:hAnsi="Times New Roman" w:eastAsia="MS Mincho" w:cs="Times New Roman"/>
          <w:color w:val="000000"/>
          <w:sz w:val="24"/>
          <w:szCs w:val="24"/>
          <w:shd w:val="clear" w:color="auto" w:fill="FFFFFF"/>
          <w:lang w:eastAsia="nl-NL"/>
        </w:rPr>
        <w:t xml:space="preserve">Een kans om niet te laten lopen. </w:t>
      </w:r>
    </w:p>
    <w:p w:rsidRPr="00507617" w:rsidR="00093470" w:rsidP="00637E64" w:rsidRDefault="00093470">
      <w:pPr>
        <w:spacing w:before="240" w:after="0" w:line="240" w:lineRule="auto"/>
        <w:rPr>
          <w:rFonts w:ascii="Times New Roman" w:hAnsi="Times New Roman" w:eastAsia="MS Mincho" w:cs="Times New Roman"/>
          <w:b/>
          <w:color w:val="000000"/>
          <w:sz w:val="28"/>
          <w:szCs w:val="28"/>
          <w:shd w:val="clear" w:color="auto" w:fill="FFFFFF"/>
          <w:lang w:eastAsia="nl-NL"/>
        </w:rPr>
      </w:pPr>
      <w:r w:rsidRPr="00507617">
        <w:rPr>
          <w:rFonts w:ascii="Times New Roman" w:hAnsi="Times New Roman" w:eastAsia="MS Mincho" w:cs="Times New Roman"/>
          <w:b/>
          <w:color w:val="000000"/>
          <w:sz w:val="28"/>
          <w:szCs w:val="28"/>
          <w:shd w:val="clear" w:color="auto" w:fill="FFFFFF"/>
          <w:lang w:eastAsia="nl-NL"/>
        </w:rPr>
        <w:t xml:space="preserve">Tot slot </w:t>
      </w:r>
    </w:p>
    <w:p w:rsidR="00FC5A0F" w:rsidP="00637E64" w:rsidRDefault="0006036B">
      <w:pPr>
        <w:spacing w:before="240" w:after="0" w:line="240" w:lineRule="auto"/>
        <w:rPr>
          <w:rFonts w:ascii="Times New Roman" w:hAnsi="Times New Roman" w:eastAsia="MS Mincho" w:cs="Times New Roman"/>
          <w:color w:val="000000"/>
          <w:sz w:val="24"/>
          <w:szCs w:val="24"/>
          <w:shd w:val="clear" w:color="auto" w:fill="FFFFFF"/>
          <w:lang w:eastAsia="nl-NL"/>
        </w:rPr>
      </w:pPr>
      <w:r w:rsidRPr="00507617">
        <w:rPr>
          <w:rFonts w:ascii="Times New Roman" w:hAnsi="Times New Roman" w:eastAsia="MS Mincho" w:cs="Times New Roman"/>
          <w:color w:val="000000"/>
          <w:sz w:val="24"/>
          <w:szCs w:val="24"/>
          <w:shd w:val="clear" w:color="auto" w:fill="FFFFFF"/>
          <w:lang w:eastAsia="nl-NL"/>
        </w:rPr>
        <w:t xml:space="preserve">In par. 3 van deze tekst </w:t>
      </w:r>
      <w:r w:rsidR="00507617">
        <w:rPr>
          <w:rFonts w:ascii="Times New Roman" w:hAnsi="Times New Roman" w:eastAsia="MS Mincho" w:cs="Times New Roman"/>
          <w:color w:val="000000"/>
          <w:sz w:val="24"/>
          <w:szCs w:val="24"/>
          <w:shd w:val="clear" w:color="auto" w:fill="FFFFFF"/>
          <w:lang w:eastAsia="nl-NL"/>
        </w:rPr>
        <w:t xml:space="preserve">werd de vraag gesteld </w:t>
      </w:r>
      <w:r w:rsidR="00AE5089">
        <w:rPr>
          <w:rFonts w:ascii="Times New Roman" w:hAnsi="Times New Roman" w:eastAsia="MS Mincho" w:cs="Times New Roman"/>
          <w:color w:val="000000"/>
          <w:sz w:val="24"/>
          <w:szCs w:val="24"/>
          <w:shd w:val="clear" w:color="auto" w:fill="FFFFFF"/>
          <w:lang w:eastAsia="nl-NL"/>
        </w:rPr>
        <w:t xml:space="preserve">waar het </w:t>
      </w:r>
      <w:r w:rsidRPr="00507617" w:rsidR="002B105D">
        <w:rPr>
          <w:rFonts w:ascii="Times New Roman" w:hAnsi="Times New Roman" w:eastAsia="MS Mincho" w:cs="Times New Roman"/>
          <w:color w:val="000000"/>
          <w:sz w:val="24"/>
          <w:szCs w:val="24"/>
          <w:shd w:val="clear" w:color="auto" w:fill="FFFFFF"/>
          <w:lang w:eastAsia="nl-NL"/>
        </w:rPr>
        <w:t xml:space="preserve">moderniseringsprogramma </w:t>
      </w:r>
      <w:r w:rsidRPr="00507617">
        <w:rPr>
          <w:rFonts w:ascii="Times New Roman" w:hAnsi="Times New Roman" w:eastAsia="MS Mincho" w:cs="Times New Roman"/>
          <w:color w:val="000000"/>
          <w:sz w:val="24"/>
          <w:szCs w:val="24"/>
          <w:shd w:val="clear" w:color="auto" w:fill="FFFFFF"/>
          <w:lang w:eastAsia="nl-NL"/>
        </w:rPr>
        <w:t xml:space="preserve">staat </w:t>
      </w:r>
      <w:r w:rsidR="00AE5089">
        <w:rPr>
          <w:rFonts w:ascii="Times New Roman" w:hAnsi="Times New Roman" w:eastAsia="MS Mincho" w:cs="Times New Roman"/>
          <w:color w:val="000000"/>
          <w:sz w:val="24"/>
          <w:szCs w:val="24"/>
          <w:shd w:val="clear" w:color="auto" w:fill="FFFFFF"/>
          <w:lang w:eastAsia="nl-NL"/>
        </w:rPr>
        <w:t xml:space="preserve">op de schaal </w:t>
      </w:r>
      <w:r w:rsidRPr="00507617">
        <w:rPr>
          <w:rFonts w:ascii="Times New Roman" w:hAnsi="Times New Roman" w:eastAsia="MS Mincho" w:cs="Times New Roman"/>
          <w:color w:val="000000"/>
          <w:sz w:val="24"/>
          <w:szCs w:val="24"/>
          <w:shd w:val="clear" w:color="auto" w:fill="FFFFFF"/>
          <w:lang w:eastAsia="nl-NL"/>
        </w:rPr>
        <w:t xml:space="preserve">tussen codificatie en actualisering. </w:t>
      </w:r>
      <w:r w:rsidR="00FC5A0F">
        <w:rPr>
          <w:rFonts w:ascii="Times New Roman" w:hAnsi="Times New Roman" w:eastAsia="MS Mincho" w:cs="Times New Roman"/>
          <w:color w:val="000000"/>
          <w:sz w:val="24"/>
          <w:szCs w:val="24"/>
          <w:shd w:val="clear" w:color="auto" w:fill="FFFFFF"/>
          <w:lang w:eastAsia="nl-NL"/>
        </w:rPr>
        <w:t xml:space="preserve">Deze vraag laat zich niet eenvoudig beantwoorden. </w:t>
      </w:r>
      <w:r w:rsidR="00507617">
        <w:rPr>
          <w:rFonts w:ascii="Times New Roman" w:hAnsi="Times New Roman" w:eastAsia="MS Mincho" w:cs="Times New Roman"/>
          <w:color w:val="000000"/>
          <w:sz w:val="24"/>
          <w:szCs w:val="24"/>
          <w:shd w:val="clear" w:color="auto" w:fill="FFFFFF"/>
          <w:lang w:eastAsia="nl-NL"/>
        </w:rPr>
        <w:t xml:space="preserve">De Contourennota en de begeleidende brief </w:t>
      </w:r>
      <w:r w:rsidR="00FC5A0F">
        <w:rPr>
          <w:rFonts w:ascii="Times New Roman" w:hAnsi="Times New Roman" w:eastAsia="MS Mincho" w:cs="Times New Roman"/>
          <w:color w:val="000000"/>
          <w:sz w:val="24"/>
          <w:szCs w:val="24"/>
          <w:shd w:val="clear" w:color="auto" w:fill="FFFFFF"/>
          <w:lang w:eastAsia="nl-NL"/>
        </w:rPr>
        <w:t xml:space="preserve">vormen een voorbeeldige illustratie </w:t>
      </w:r>
      <w:r w:rsidR="00507617">
        <w:rPr>
          <w:rFonts w:ascii="Times New Roman" w:hAnsi="Times New Roman" w:eastAsia="MS Mincho" w:cs="Times New Roman"/>
          <w:color w:val="000000"/>
          <w:sz w:val="24"/>
          <w:szCs w:val="24"/>
          <w:shd w:val="clear" w:color="auto" w:fill="FFFFFF"/>
          <w:lang w:eastAsia="nl-NL"/>
        </w:rPr>
        <w:t>van een kundig en diplomatiek taalspel, waarbij de ware aard van de ingenomen posities, uitgangspunten en conclusies zich niet eenvoudig laat doorzien. Voor de overzichtelijkheid wreekt zich de zeer gedifferentieerde aard van de voorste</w:t>
      </w:r>
      <w:r w:rsidR="00FC5A0F">
        <w:rPr>
          <w:rFonts w:ascii="Times New Roman" w:hAnsi="Times New Roman" w:eastAsia="MS Mincho" w:cs="Times New Roman"/>
          <w:color w:val="000000"/>
          <w:sz w:val="24"/>
          <w:szCs w:val="24"/>
          <w:shd w:val="clear" w:color="auto" w:fill="FFFFFF"/>
          <w:lang w:eastAsia="nl-NL"/>
        </w:rPr>
        <w:t>l</w:t>
      </w:r>
      <w:r w:rsidR="00507617">
        <w:rPr>
          <w:rFonts w:ascii="Times New Roman" w:hAnsi="Times New Roman" w:eastAsia="MS Mincho" w:cs="Times New Roman"/>
          <w:color w:val="000000"/>
          <w:sz w:val="24"/>
          <w:szCs w:val="24"/>
          <w:shd w:val="clear" w:color="auto" w:fill="FFFFFF"/>
          <w:lang w:eastAsia="nl-NL"/>
        </w:rPr>
        <w:t>len, voor de inzichtelijkheid het ontbreken van samenhang en verbindingen tussen de besproken thema’s.</w:t>
      </w:r>
      <w:r w:rsidR="00FC5A0F">
        <w:rPr>
          <w:rFonts w:ascii="Times New Roman" w:hAnsi="Times New Roman" w:eastAsia="MS Mincho" w:cs="Times New Roman"/>
          <w:color w:val="000000"/>
          <w:sz w:val="24"/>
          <w:szCs w:val="24"/>
          <w:shd w:val="clear" w:color="auto" w:fill="FFFFFF"/>
          <w:lang w:eastAsia="nl-NL"/>
        </w:rPr>
        <w:t xml:space="preserve"> Deze bezwaren zijn overigens alleszins begrijpelijk in het licht van het stadium waarin de documenten werden geproduceerd. </w:t>
      </w:r>
    </w:p>
    <w:p w:rsidRPr="007C5808" w:rsidR="00206F93" w:rsidP="00C00845" w:rsidRDefault="00F067BA">
      <w:pPr>
        <w:spacing w:before="240" w:after="0" w:line="240" w:lineRule="auto"/>
        <w:rPr>
          <w:rFonts w:ascii="Times New Roman" w:hAnsi="Times New Roman" w:cs="Times New Roman"/>
          <w:i/>
          <w:sz w:val="24"/>
          <w:szCs w:val="24"/>
        </w:rPr>
      </w:pPr>
      <w:r>
        <w:rPr>
          <w:rFonts w:ascii="Times New Roman" w:hAnsi="Times New Roman" w:eastAsia="MS Mincho" w:cs="Times New Roman"/>
          <w:color w:val="000000"/>
          <w:sz w:val="24"/>
          <w:szCs w:val="24"/>
          <w:shd w:val="clear" w:color="auto" w:fill="FFFFFF"/>
          <w:lang w:eastAsia="nl-NL"/>
        </w:rPr>
        <w:t xml:space="preserve">De </w:t>
      </w:r>
      <w:r w:rsidRPr="00507617">
        <w:rPr>
          <w:rFonts w:ascii="Times New Roman" w:hAnsi="Times New Roman" w:eastAsia="MS Mincho" w:cs="Times New Roman"/>
          <w:color w:val="000000"/>
          <w:sz w:val="24"/>
          <w:szCs w:val="24"/>
          <w:shd w:val="clear" w:color="auto" w:fill="FFFFFF"/>
          <w:lang w:eastAsia="nl-NL"/>
        </w:rPr>
        <w:t xml:space="preserve">voorbeelden </w:t>
      </w:r>
      <w:r>
        <w:rPr>
          <w:rFonts w:ascii="Times New Roman" w:hAnsi="Times New Roman" w:eastAsia="MS Mincho" w:cs="Times New Roman"/>
          <w:color w:val="000000"/>
          <w:sz w:val="24"/>
          <w:szCs w:val="24"/>
          <w:shd w:val="clear" w:color="auto" w:fill="FFFFFF"/>
          <w:lang w:eastAsia="nl-NL"/>
        </w:rPr>
        <w:t xml:space="preserve">die zijn besproken </w:t>
      </w:r>
      <w:r w:rsidRPr="00507617">
        <w:rPr>
          <w:rFonts w:ascii="Times New Roman" w:hAnsi="Times New Roman" w:eastAsia="MS Mincho" w:cs="Times New Roman"/>
          <w:color w:val="000000"/>
          <w:sz w:val="24"/>
          <w:szCs w:val="24"/>
          <w:shd w:val="clear" w:color="auto" w:fill="FFFFFF"/>
          <w:lang w:eastAsia="nl-NL"/>
        </w:rPr>
        <w:t>i</w:t>
      </w:r>
      <w:r>
        <w:rPr>
          <w:rFonts w:ascii="Times New Roman" w:hAnsi="Times New Roman" w:eastAsia="MS Mincho" w:cs="Times New Roman"/>
          <w:color w:val="000000"/>
          <w:sz w:val="24"/>
          <w:szCs w:val="24"/>
          <w:shd w:val="clear" w:color="auto" w:fill="FFFFFF"/>
          <w:lang w:eastAsia="nl-NL"/>
        </w:rPr>
        <w:t xml:space="preserve">llustreren dat er kansen worden gemist die naar hun aard en binnen de context van de modernisering van </w:t>
      </w:r>
      <w:r w:rsidR="00A813E7">
        <w:rPr>
          <w:rFonts w:ascii="Times New Roman" w:hAnsi="Times New Roman" w:eastAsia="MS Mincho" w:cs="Times New Roman"/>
          <w:color w:val="000000"/>
          <w:sz w:val="24"/>
          <w:szCs w:val="24"/>
          <w:shd w:val="clear" w:color="auto" w:fill="FFFFFF"/>
          <w:lang w:eastAsia="nl-NL"/>
        </w:rPr>
        <w:t xml:space="preserve">ons </w:t>
      </w:r>
      <w:r>
        <w:rPr>
          <w:rFonts w:ascii="Times New Roman" w:hAnsi="Times New Roman" w:eastAsia="MS Mincho" w:cs="Times New Roman"/>
          <w:color w:val="000000"/>
          <w:sz w:val="24"/>
          <w:szCs w:val="24"/>
          <w:shd w:val="clear" w:color="auto" w:fill="FFFFFF"/>
          <w:lang w:eastAsia="nl-NL"/>
        </w:rPr>
        <w:t xml:space="preserve">Wetboek van Strafvordering </w:t>
      </w:r>
      <w:r w:rsidRPr="00507617">
        <w:rPr>
          <w:rFonts w:ascii="Times New Roman" w:hAnsi="Times New Roman" w:eastAsia="MS Mincho" w:cs="Times New Roman"/>
          <w:color w:val="000000"/>
          <w:sz w:val="24"/>
          <w:szCs w:val="24"/>
          <w:shd w:val="clear" w:color="auto" w:fill="FFFFFF"/>
          <w:lang w:eastAsia="nl-NL"/>
        </w:rPr>
        <w:t>niet vrijblijvend</w:t>
      </w:r>
      <w:r>
        <w:rPr>
          <w:rFonts w:ascii="Times New Roman" w:hAnsi="Times New Roman" w:eastAsia="MS Mincho" w:cs="Times New Roman"/>
          <w:color w:val="000000"/>
          <w:sz w:val="24"/>
          <w:szCs w:val="24"/>
          <w:shd w:val="clear" w:color="auto" w:fill="FFFFFF"/>
          <w:lang w:eastAsia="nl-NL"/>
        </w:rPr>
        <w:t xml:space="preserve"> zijn</w:t>
      </w:r>
      <w:r w:rsidR="00A813E7">
        <w:rPr>
          <w:rFonts w:ascii="Times New Roman" w:hAnsi="Times New Roman" w:eastAsia="MS Mincho" w:cs="Times New Roman"/>
          <w:color w:val="000000"/>
          <w:sz w:val="24"/>
          <w:szCs w:val="24"/>
          <w:shd w:val="clear" w:color="auto" w:fill="FFFFFF"/>
          <w:lang w:eastAsia="nl-NL"/>
        </w:rPr>
        <w:t xml:space="preserve">. </w:t>
      </w:r>
      <w:r w:rsidR="00AE5145">
        <w:rPr>
          <w:rFonts w:ascii="Times New Roman" w:hAnsi="Times New Roman" w:eastAsia="MS Mincho" w:cs="Times New Roman"/>
          <w:color w:val="000000"/>
          <w:sz w:val="24"/>
          <w:szCs w:val="24"/>
          <w:shd w:val="clear" w:color="auto" w:fill="FFFFFF"/>
          <w:lang w:eastAsia="nl-NL"/>
        </w:rPr>
        <w:t xml:space="preserve">Anders gezegd, </w:t>
      </w:r>
      <w:r w:rsidRPr="00507617">
        <w:rPr>
          <w:rFonts w:ascii="Times New Roman" w:hAnsi="Times New Roman" w:eastAsia="MS Mincho" w:cs="Times New Roman"/>
          <w:color w:val="000000"/>
          <w:sz w:val="24"/>
          <w:szCs w:val="24"/>
          <w:shd w:val="clear" w:color="auto" w:fill="FFFFFF"/>
          <w:lang w:eastAsia="nl-NL"/>
        </w:rPr>
        <w:t xml:space="preserve">het beeld </w:t>
      </w:r>
      <w:r w:rsidR="00AE5145">
        <w:rPr>
          <w:rFonts w:ascii="Times New Roman" w:hAnsi="Times New Roman" w:eastAsia="MS Mincho" w:cs="Times New Roman"/>
          <w:color w:val="000000"/>
          <w:sz w:val="24"/>
          <w:szCs w:val="24"/>
          <w:shd w:val="clear" w:color="auto" w:fill="FFFFFF"/>
          <w:lang w:eastAsia="nl-NL"/>
        </w:rPr>
        <w:t xml:space="preserve">dringt zich </w:t>
      </w:r>
      <w:r w:rsidRPr="00507617">
        <w:rPr>
          <w:rFonts w:ascii="Times New Roman" w:hAnsi="Times New Roman" w:eastAsia="MS Mincho" w:cs="Times New Roman"/>
          <w:color w:val="000000"/>
          <w:sz w:val="24"/>
          <w:szCs w:val="24"/>
          <w:shd w:val="clear" w:color="auto" w:fill="FFFFFF"/>
          <w:lang w:eastAsia="nl-NL"/>
        </w:rPr>
        <w:t>op van een modernisering die de toets aan de in par. 2 geformuleerde ijkpunten (nog) niet (voldoende)</w:t>
      </w:r>
      <w:r>
        <w:rPr>
          <w:rFonts w:ascii="Times New Roman" w:hAnsi="Times New Roman" w:eastAsia="MS Mincho" w:cs="Times New Roman"/>
          <w:color w:val="000000"/>
          <w:sz w:val="24"/>
          <w:szCs w:val="24"/>
          <w:shd w:val="clear" w:color="auto" w:fill="FFFFFF"/>
          <w:lang w:eastAsia="nl-NL"/>
        </w:rPr>
        <w:t xml:space="preserve"> </w:t>
      </w:r>
      <w:r w:rsidRPr="00507617">
        <w:rPr>
          <w:rFonts w:ascii="Times New Roman" w:hAnsi="Times New Roman" w:eastAsia="MS Mincho" w:cs="Times New Roman"/>
          <w:color w:val="000000"/>
          <w:sz w:val="24"/>
          <w:szCs w:val="24"/>
          <w:shd w:val="clear" w:color="auto" w:fill="FFFFFF"/>
          <w:lang w:eastAsia="nl-NL"/>
        </w:rPr>
        <w:t xml:space="preserve">kan doorstaan. </w:t>
      </w:r>
      <w:r w:rsidR="00A813E7">
        <w:rPr>
          <w:rFonts w:ascii="Times New Roman" w:hAnsi="Times New Roman" w:eastAsia="MS Mincho" w:cs="Times New Roman"/>
          <w:color w:val="000000"/>
          <w:sz w:val="24"/>
          <w:szCs w:val="24"/>
          <w:shd w:val="clear" w:color="auto" w:fill="FFFFFF"/>
          <w:lang w:eastAsia="nl-NL"/>
        </w:rPr>
        <w:t xml:space="preserve">Die ijkpunten dienen zoals gezegd </w:t>
      </w:r>
      <w:r w:rsidRPr="007C5808" w:rsidR="00A813E7">
        <w:rPr>
          <w:rFonts w:ascii="Times New Roman" w:hAnsi="Times New Roman" w:eastAsia="MS Mincho" w:cs="Times New Roman"/>
          <w:color w:val="000000"/>
          <w:sz w:val="24"/>
          <w:szCs w:val="24"/>
          <w:shd w:val="clear" w:color="auto" w:fill="FFFFFF"/>
          <w:lang w:eastAsia="nl-NL"/>
        </w:rPr>
        <w:t>duurzaamheid</w:t>
      </w:r>
      <w:r w:rsidR="00A813E7">
        <w:rPr>
          <w:rFonts w:ascii="Times New Roman" w:hAnsi="Times New Roman" w:eastAsia="MS Mincho" w:cs="Times New Roman"/>
          <w:color w:val="000000"/>
          <w:sz w:val="24"/>
          <w:szCs w:val="24"/>
          <w:shd w:val="clear" w:color="auto" w:fill="FFFFFF"/>
          <w:lang w:eastAsia="nl-NL"/>
        </w:rPr>
        <w:t xml:space="preserve">, </w:t>
      </w:r>
      <w:r w:rsidRPr="007C5808" w:rsidR="00A813E7">
        <w:rPr>
          <w:rFonts w:ascii="Times New Roman" w:hAnsi="Times New Roman" w:eastAsia="MS Mincho" w:cs="Times New Roman"/>
          <w:color w:val="000000"/>
          <w:sz w:val="24"/>
          <w:szCs w:val="24"/>
          <w:shd w:val="clear" w:color="auto" w:fill="FFFFFF"/>
          <w:lang w:eastAsia="nl-NL"/>
        </w:rPr>
        <w:t xml:space="preserve">continuïteit, </w:t>
      </w:r>
      <w:r w:rsidR="00A813E7">
        <w:rPr>
          <w:rFonts w:ascii="Times New Roman" w:hAnsi="Times New Roman" w:eastAsia="MS Mincho" w:cs="Times New Roman"/>
          <w:color w:val="000000"/>
          <w:sz w:val="24"/>
          <w:szCs w:val="24"/>
          <w:shd w:val="clear" w:color="auto" w:fill="FFFFFF"/>
          <w:lang w:eastAsia="nl-NL"/>
        </w:rPr>
        <w:t xml:space="preserve">coherentie, </w:t>
      </w:r>
      <w:r w:rsidRPr="007C5808" w:rsidR="00A813E7">
        <w:rPr>
          <w:rFonts w:ascii="Times New Roman" w:hAnsi="Times New Roman" w:eastAsia="MS Mincho" w:cs="Times New Roman"/>
          <w:color w:val="000000"/>
          <w:sz w:val="24"/>
          <w:szCs w:val="24"/>
          <w:shd w:val="clear" w:color="auto" w:fill="FFFFFF"/>
          <w:lang w:eastAsia="nl-NL"/>
        </w:rPr>
        <w:t xml:space="preserve">consistentie, samenhang, </w:t>
      </w:r>
      <w:r w:rsidR="00A813E7">
        <w:rPr>
          <w:rFonts w:ascii="Times New Roman" w:hAnsi="Times New Roman" w:eastAsia="MS Mincho" w:cs="Times New Roman"/>
          <w:color w:val="000000"/>
          <w:sz w:val="24"/>
          <w:szCs w:val="24"/>
          <w:shd w:val="clear" w:color="auto" w:fill="FFFFFF"/>
          <w:lang w:eastAsia="nl-NL"/>
        </w:rPr>
        <w:t>r</w:t>
      </w:r>
      <w:r w:rsidRPr="007C5808" w:rsidR="00A813E7">
        <w:rPr>
          <w:rFonts w:ascii="Times New Roman" w:hAnsi="Times New Roman" w:eastAsia="MS Mincho" w:cs="Times New Roman"/>
          <w:color w:val="000000"/>
          <w:sz w:val="24"/>
          <w:szCs w:val="24"/>
          <w:shd w:val="clear" w:color="auto" w:fill="FFFFFF"/>
          <w:lang w:eastAsia="nl-NL"/>
        </w:rPr>
        <w:t>echtszekerheid/voorspelbaarheid</w:t>
      </w:r>
      <w:r w:rsidR="00A813E7">
        <w:rPr>
          <w:rFonts w:ascii="Times New Roman" w:hAnsi="Times New Roman" w:eastAsia="MS Mincho" w:cs="Times New Roman"/>
          <w:color w:val="000000"/>
          <w:sz w:val="24"/>
          <w:szCs w:val="24"/>
          <w:shd w:val="clear" w:color="auto" w:fill="FFFFFF"/>
          <w:lang w:eastAsia="nl-NL"/>
        </w:rPr>
        <w:t xml:space="preserve"> en h</w:t>
      </w:r>
      <w:r w:rsidRPr="007C5808" w:rsidR="00A813E7">
        <w:rPr>
          <w:rFonts w:ascii="Times New Roman" w:hAnsi="Times New Roman" w:eastAsia="MS Mincho" w:cs="Times New Roman"/>
          <w:color w:val="000000"/>
          <w:sz w:val="24"/>
          <w:szCs w:val="24"/>
          <w:shd w:val="clear" w:color="auto" w:fill="FFFFFF"/>
          <w:lang w:eastAsia="nl-NL"/>
        </w:rPr>
        <w:t>erkenbaarheid</w:t>
      </w:r>
      <w:r w:rsidR="00A813E7">
        <w:rPr>
          <w:rFonts w:ascii="Times New Roman" w:hAnsi="Times New Roman" w:eastAsia="MS Mincho" w:cs="Times New Roman"/>
          <w:color w:val="000000"/>
          <w:sz w:val="24"/>
          <w:szCs w:val="24"/>
          <w:shd w:val="clear" w:color="auto" w:fill="FFFFFF"/>
          <w:lang w:eastAsia="nl-NL"/>
        </w:rPr>
        <w:t xml:space="preserve">. </w:t>
      </w:r>
      <w:r w:rsidRPr="00507617" w:rsidR="00A813E7">
        <w:rPr>
          <w:rFonts w:ascii="Times New Roman" w:hAnsi="Times New Roman" w:eastAsia="MS Mincho" w:cs="Times New Roman"/>
          <w:color w:val="000000"/>
          <w:sz w:val="24"/>
          <w:szCs w:val="24"/>
          <w:shd w:val="clear" w:color="auto" w:fill="FFFFFF"/>
          <w:lang w:eastAsia="nl-NL"/>
        </w:rPr>
        <w:t xml:space="preserve"> </w:t>
      </w:r>
      <w:r w:rsidR="00A813E7">
        <w:rPr>
          <w:rFonts w:ascii="Times New Roman" w:hAnsi="Times New Roman" w:eastAsia="MS Mincho" w:cs="Times New Roman"/>
          <w:color w:val="000000"/>
          <w:sz w:val="24"/>
          <w:szCs w:val="24"/>
          <w:shd w:val="clear" w:color="auto" w:fill="FFFFFF"/>
          <w:lang w:eastAsia="nl-NL"/>
        </w:rPr>
        <w:t xml:space="preserve">Deze </w:t>
      </w:r>
      <w:r w:rsidRPr="00507617">
        <w:rPr>
          <w:rFonts w:ascii="Times New Roman" w:hAnsi="Times New Roman" w:eastAsia="MS Mincho" w:cs="Times New Roman"/>
          <w:color w:val="000000"/>
          <w:sz w:val="24"/>
          <w:szCs w:val="24"/>
          <w:shd w:val="clear" w:color="auto" w:fill="FFFFFF"/>
          <w:lang w:eastAsia="nl-NL"/>
        </w:rPr>
        <w:t xml:space="preserve">belangen </w:t>
      </w:r>
      <w:r w:rsidR="00A813E7">
        <w:rPr>
          <w:rFonts w:ascii="Times New Roman" w:hAnsi="Times New Roman" w:eastAsia="MS Mincho" w:cs="Times New Roman"/>
          <w:color w:val="000000"/>
          <w:sz w:val="24"/>
          <w:szCs w:val="24"/>
          <w:shd w:val="clear" w:color="auto" w:fill="FFFFFF"/>
          <w:lang w:eastAsia="nl-NL"/>
        </w:rPr>
        <w:t xml:space="preserve">blijken (vooralsnog) </w:t>
      </w:r>
      <w:r w:rsidRPr="00507617">
        <w:rPr>
          <w:rFonts w:ascii="Times New Roman" w:hAnsi="Times New Roman" w:eastAsia="MS Mincho" w:cs="Times New Roman"/>
          <w:color w:val="000000"/>
          <w:sz w:val="24"/>
          <w:szCs w:val="24"/>
          <w:shd w:val="clear" w:color="auto" w:fill="FFFFFF"/>
          <w:lang w:eastAsia="nl-NL"/>
        </w:rPr>
        <w:t xml:space="preserve">niet zodanig </w:t>
      </w:r>
      <w:r w:rsidR="00A813E7">
        <w:rPr>
          <w:rFonts w:ascii="Times New Roman" w:hAnsi="Times New Roman" w:eastAsia="MS Mincho" w:cs="Times New Roman"/>
          <w:color w:val="000000"/>
          <w:sz w:val="24"/>
          <w:szCs w:val="24"/>
          <w:shd w:val="clear" w:color="auto" w:fill="FFFFFF"/>
          <w:lang w:eastAsia="nl-NL"/>
        </w:rPr>
        <w:t xml:space="preserve">te worden </w:t>
      </w:r>
      <w:r w:rsidRPr="00507617">
        <w:rPr>
          <w:rFonts w:ascii="Times New Roman" w:hAnsi="Times New Roman" w:eastAsia="MS Mincho" w:cs="Times New Roman"/>
          <w:color w:val="000000"/>
          <w:sz w:val="24"/>
          <w:szCs w:val="24"/>
          <w:shd w:val="clear" w:color="auto" w:fill="FFFFFF"/>
          <w:lang w:eastAsia="nl-NL"/>
        </w:rPr>
        <w:t xml:space="preserve">gewaarborgd dat het </w:t>
      </w:r>
      <w:r w:rsidR="00A813E7">
        <w:rPr>
          <w:rFonts w:ascii="Times New Roman" w:hAnsi="Times New Roman" w:eastAsia="MS Mincho" w:cs="Times New Roman"/>
          <w:color w:val="000000"/>
          <w:sz w:val="24"/>
          <w:szCs w:val="24"/>
          <w:shd w:val="clear" w:color="auto" w:fill="FFFFFF"/>
          <w:lang w:eastAsia="nl-NL"/>
        </w:rPr>
        <w:t xml:space="preserve">gemoderniseerde </w:t>
      </w:r>
      <w:r w:rsidRPr="00507617">
        <w:rPr>
          <w:rFonts w:ascii="Times New Roman" w:hAnsi="Times New Roman" w:eastAsia="MS Mincho" w:cs="Times New Roman"/>
          <w:color w:val="000000"/>
          <w:sz w:val="24"/>
          <w:szCs w:val="24"/>
          <w:shd w:val="clear" w:color="auto" w:fill="FFFFFF"/>
          <w:lang w:eastAsia="nl-NL"/>
        </w:rPr>
        <w:t xml:space="preserve">wetboek als codificatie in een democratische rechtsstaat de </w:t>
      </w:r>
      <w:r w:rsidRPr="00A813E7">
        <w:rPr>
          <w:rFonts w:ascii="Times New Roman" w:hAnsi="Times New Roman" w:eastAsia="MS Mincho" w:cs="Times New Roman"/>
          <w:i/>
          <w:color w:val="000000"/>
          <w:sz w:val="24"/>
          <w:szCs w:val="24"/>
          <w:shd w:val="clear" w:color="auto" w:fill="FFFFFF"/>
          <w:lang w:eastAsia="nl-NL"/>
        </w:rPr>
        <w:t>functie</w:t>
      </w:r>
      <w:r w:rsidRPr="00507617">
        <w:rPr>
          <w:rFonts w:ascii="Times New Roman" w:hAnsi="Times New Roman" w:eastAsia="MS Mincho" w:cs="Times New Roman"/>
          <w:color w:val="000000"/>
          <w:sz w:val="24"/>
          <w:szCs w:val="24"/>
          <w:shd w:val="clear" w:color="auto" w:fill="FFFFFF"/>
          <w:lang w:eastAsia="nl-NL"/>
        </w:rPr>
        <w:t xml:space="preserve"> van </w:t>
      </w:r>
      <w:r w:rsidR="00A813E7">
        <w:rPr>
          <w:rFonts w:ascii="Times New Roman" w:hAnsi="Times New Roman" w:eastAsia="MS Mincho" w:cs="Times New Roman"/>
          <w:color w:val="000000"/>
          <w:sz w:val="24"/>
          <w:szCs w:val="24"/>
          <w:shd w:val="clear" w:color="auto" w:fill="FFFFFF"/>
          <w:lang w:eastAsia="nl-NL"/>
        </w:rPr>
        <w:t xml:space="preserve">een </w:t>
      </w:r>
      <w:r w:rsidRPr="00507617">
        <w:rPr>
          <w:rFonts w:ascii="Times New Roman" w:hAnsi="Times New Roman" w:eastAsia="MS Mincho" w:cs="Times New Roman"/>
          <w:color w:val="000000"/>
          <w:sz w:val="24"/>
          <w:szCs w:val="24"/>
          <w:shd w:val="clear" w:color="auto" w:fill="FFFFFF"/>
          <w:lang w:eastAsia="nl-NL"/>
        </w:rPr>
        <w:t xml:space="preserve">Wetboek van Strafvordering waarmaakt, de </w:t>
      </w:r>
      <w:r w:rsidRPr="00A813E7">
        <w:rPr>
          <w:rFonts w:ascii="Times New Roman" w:hAnsi="Times New Roman" w:eastAsia="MS Mincho" w:cs="Times New Roman"/>
          <w:i/>
          <w:color w:val="000000"/>
          <w:sz w:val="24"/>
          <w:szCs w:val="24"/>
          <w:shd w:val="clear" w:color="auto" w:fill="FFFFFF"/>
          <w:lang w:eastAsia="nl-NL"/>
        </w:rPr>
        <w:t>rechtstraditie</w:t>
      </w:r>
      <w:r w:rsidRPr="00507617">
        <w:rPr>
          <w:rFonts w:ascii="Times New Roman" w:hAnsi="Times New Roman" w:eastAsia="MS Mincho" w:cs="Times New Roman"/>
          <w:color w:val="000000"/>
          <w:sz w:val="24"/>
          <w:szCs w:val="24"/>
          <w:shd w:val="clear" w:color="auto" w:fill="FFFFFF"/>
          <w:lang w:eastAsia="nl-NL"/>
        </w:rPr>
        <w:t xml:space="preserve"> waarin het wetboek is geworteld en vorm heeft gekregen respecteer</w:t>
      </w:r>
      <w:r>
        <w:rPr>
          <w:rFonts w:ascii="Times New Roman" w:hAnsi="Times New Roman" w:eastAsia="MS Mincho" w:cs="Times New Roman"/>
          <w:color w:val="000000"/>
          <w:sz w:val="24"/>
          <w:szCs w:val="24"/>
          <w:shd w:val="clear" w:color="auto" w:fill="FFFFFF"/>
          <w:lang w:eastAsia="nl-NL"/>
        </w:rPr>
        <w:t>t</w:t>
      </w:r>
      <w:r w:rsidRPr="00507617">
        <w:rPr>
          <w:rFonts w:ascii="Times New Roman" w:hAnsi="Times New Roman" w:eastAsia="MS Mincho" w:cs="Times New Roman"/>
          <w:color w:val="000000"/>
          <w:sz w:val="24"/>
          <w:szCs w:val="24"/>
          <w:shd w:val="clear" w:color="auto" w:fill="FFFFFF"/>
          <w:lang w:eastAsia="nl-NL"/>
        </w:rPr>
        <w:t xml:space="preserve"> of beargumenteerd verwerp</w:t>
      </w:r>
      <w:r>
        <w:rPr>
          <w:rFonts w:ascii="Times New Roman" w:hAnsi="Times New Roman" w:eastAsia="MS Mincho" w:cs="Times New Roman"/>
          <w:color w:val="000000"/>
          <w:sz w:val="24"/>
          <w:szCs w:val="24"/>
          <w:shd w:val="clear" w:color="auto" w:fill="FFFFFF"/>
          <w:lang w:eastAsia="nl-NL"/>
        </w:rPr>
        <w:t>t</w:t>
      </w:r>
      <w:r w:rsidRPr="00507617">
        <w:rPr>
          <w:rFonts w:ascii="Times New Roman" w:hAnsi="Times New Roman" w:eastAsia="MS Mincho" w:cs="Times New Roman"/>
          <w:color w:val="000000"/>
          <w:sz w:val="24"/>
          <w:szCs w:val="24"/>
          <w:shd w:val="clear" w:color="auto" w:fill="FFFFFF"/>
          <w:lang w:eastAsia="nl-NL"/>
        </w:rPr>
        <w:t xml:space="preserve"> en de </w:t>
      </w:r>
      <w:r w:rsidRPr="00A813E7">
        <w:rPr>
          <w:rFonts w:ascii="Times New Roman" w:hAnsi="Times New Roman" w:eastAsia="MS Mincho" w:cs="Times New Roman"/>
          <w:i/>
          <w:color w:val="000000"/>
          <w:sz w:val="24"/>
          <w:szCs w:val="24"/>
          <w:shd w:val="clear" w:color="auto" w:fill="FFFFFF"/>
          <w:lang w:eastAsia="nl-NL"/>
        </w:rPr>
        <w:t>context</w:t>
      </w:r>
      <w:r w:rsidRPr="00507617">
        <w:rPr>
          <w:rFonts w:ascii="Times New Roman" w:hAnsi="Times New Roman" w:eastAsia="MS Mincho" w:cs="Times New Roman"/>
          <w:color w:val="000000"/>
          <w:sz w:val="24"/>
          <w:szCs w:val="24"/>
          <w:shd w:val="clear" w:color="auto" w:fill="FFFFFF"/>
          <w:lang w:eastAsia="nl-NL"/>
        </w:rPr>
        <w:t xml:space="preserve"> waarbinnen het wetboek nu en </w:t>
      </w:r>
      <w:r w:rsidR="00A813E7">
        <w:rPr>
          <w:rFonts w:ascii="Times New Roman" w:hAnsi="Times New Roman" w:eastAsia="MS Mincho" w:cs="Times New Roman"/>
          <w:color w:val="000000"/>
          <w:sz w:val="24"/>
          <w:szCs w:val="24"/>
          <w:shd w:val="clear" w:color="auto" w:fill="FFFFFF"/>
          <w:lang w:eastAsia="nl-NL"/>
        </w:rPr>
        <w:t xml:space="preserve">in </w:t>
      </w:r>
      <w:r w:rsidRPr="00507617">
        <w:rPr>
          <w:rFonts w:ascii="Times New Roman" w:hAnsi="Times New Roman" w:eastAsia="MS Mincho" w:cs="Times New Roman"/>
          <w:color w:val="000000"/>
          <w:sz w:val="24"/>
          <w:szCs w:val="24"/>
          <w:shd w:val="clear" w:color="auto" w:fill="FFFFFF"/>
          <w:lang w:eastAsia="nl-NL"/>
        </w:rPr>
        <w:t xml:space="preserve">de toekomst moet functioneren in volle omvang </w:t>
      </w:r>
      <w:r>
        <w:rPr>
          <w:rFonts w:ascii="Times New Roman" w:hAnsi="Times New Roman" w:eastAsia="MS Mincho" w:cs="Times New Roman"/>
          <w:color w:val="000000"/>
          <w:sz w:val="24"/>
          <w:szCs w:val="24"/>
          <w:shd w:val="clear" w:color="auto" w:fill="FFFFFF"/>
          <w:lang w:eastAsia="nl-NL"/>
        </w:rPr>
        <w:t xml:space="preserve">onder ogen ziet. </w:t>
      </w:r>
      <w:r>
        <w:rPr>
          <w:rFonts w:ascii="Times New Roman" w:hAnsi="Times New Roman" w:eastAsia="MS Mincho" w:cs="Times New Roman"/>
          <w:color w:val="000000"/>
          <w:sz w:val="24"/>
          <w:szCs w:val="24"/>
          <w:shd w:val="clear" w:color="auto" w:fill="FFFFFF"/>
          <w:lang w:eastAsia="nl-NL"/>
        </w:rPr>
        <w:br/>
      </w:r>
      <w:r w:rsidR="00890AEA">
        <w:rPr>
          <w:rFonts w:ascii="Times New Roman" w:hAnsi="Times New Roman" w:eastAsia="MS Mincho" w:cs="Times New Roman"/>
          <w:color w:val="000000"/>
          <w:sz w:val="24"/>
          <w:szCs w:val="24"/>
          <w:shd w:val="clear" w:color="auto" w:fill="FFFFFF"/>
          <w:lang w:eastAsia="nl-NL"/>
        </w:rPr>
        <w:t xml:space="preserve">Laten we hopen dat de diffuusheid van het taalspel geen afspiegeling vormt van de ware aard van de moderniseringsoperatie. De kansen die open liggen zijn immers zoals betoogd niet vrijblijvend en keuzes daarover  zouden daarom ook niet in het midden mogen blijven. </w:t>
      </w:r>
      <w:r w:rsidR="00641811">
        <w:rPr>
          <w:rFonts w:ascii="Times New Roman" w:hAnsi="Times New Roman" w:eastAsia="MS Mincho" w:cs="Times New Roman"/>
          <w:color w:val="000000"/>
          <w:sz w:val="24"/>
          <w:szCs w:val="24"/>
          <w:shd w:val="clear" w:color="auto" w:fill="FFFFFF"/>
          <w:lang w:eastAsia="nl-NL"/>
        </w:rPr>
        <w:t xml:space="preserve">Het </w:t>
      </w:r>
      <w:r w:rsidR="000B0C46">
        <w:rPr>
          <w:rFonts w:ascii="Times New Roman" w:hAnsi="Times New Roman" w:eastAsia="MS Mincho" w:cs="Times New Roman"/>
          <w:color w:val="000000"/>
          <w:sz w:val="24"/>
          <w:szCs w:val="24"/>
          <w:shd w:val="clear" w:color="auto" w:fill="FFFFFF"/>
          <w:lang w:eastAsia="nl-NL"/>
        </w:rPr>
        <w:t xml:space="preserve">oorspronkelijk zo mooie oude </w:t>
      </w:r>
      <w:r w:rsidR="00641811">
        <w:rPr>
          <w:rFonts w:ascii="Times New Roman" w:hAnsi="Times New Roman" w:eastAsia="MS Mincho" w:cs="Times New Roman"/>
          <w:color w:val="000000"/>
          <w:sz w:val="24"/>
          <w:szCs w:val="24"/>
          <w:shd w:val="clear" w:color="auto" w:fill="FFFFFF"/>
          <w:lang w:eastAsia="nl-NL"/>
        </w:rPr>
        <w:t xml:space="preserve">bouwwerk </w:t>
      </w:r>
      <w:r w:rsidR="00AE5089">
        <w:rPr>
          <w:rFonts w:ascii="Times New Roman" w:hAnsi="Times New Roman" w:eastAsia="MS Mincho" w:cs="Times New Roman"/>
          <w:color w:val="000000"/>
          <w:sz w:val="24"/>
          <w:szCs w:val="24"/>
          <w:shd w:val="clear" w:color="auto" w:fill="FFFFFF"/>
          <w:lang w:eastAsia="nl-NL"/>
        </w:rPr>
        <w:t xml:space="preserve">uit 1926 </w:t>
      </w:r>
      <w:r w:rsidR="000B0C46">
        <w:rPr>
          <w:rFonts w:ascii="Times New Roman" w:hAnsi="Times New Roman" w:eastAsia="MS Mincho" w:cs="Times New Roman"/>
          <w:color w:val="000000"/>
          <w:sz w:val="24"/>
          <w:szCs w:val="24"/>
          <w:shd w:val="clear" w:color="auto" w:fill="FFFFFF"/>
          <w:lang w:eastAsia="nl-NL"/>
        </w:rPr>
        <w:t xml:space="preserve">verdient het om te worden aangepakt, maar niet zonder de fundamenten </w:t>
      </w:r>
      <w:r w:rsidR="00641811">
        <w:rPr>
          <w:rFonts w:ascii="Times New Roman" w:hAnsi="Times New Roman" w:eastAsia="MS Mincho" w:cs="Times New Roman"/>
          <w:color w:val="000000"/>
          <w:sz w:val="24"/>
          <w:szCs w:val="24"/>
          <w:shd w:val="clear" w:color="auto" w:fill="FFFFFF"/>
          <w:lang w:eastAsia="nl-NL"/>
        </w:rPr>
        <w:t>daar</w:t>
      </w:r>
      <w:r w:rsidR="000B0C46">
        <w:rPr>
          <w:rFonts w:ascii="Times New Roman" w:hAnsi="Times New Roman" w:eastAsia="MS Mincho" w:cs="Times New Roman"/>
          <w:color w:val="000000"/>
          <w:sz w:val="24"/>
          <w:szCs w:val="24"/>
          <w:shd w:val="clear" w:color="auto" w:fill="FFFFFF"/>
          <w:lang w:eastAsia="nl-NL"/>
        </w:rPr>
        <w:t xml:space="preserve">van </w:t>
      </w:r>
      <w:r w:rsidR="00AE5089">
        <w:rPr>
          <w:rFonts w:ascii="Times New Roman" w:hAnsi="Times New Roman" w:eastAsia="MS Mincho" w:cs="Times New Roman"/>
          <w:color w:val="000000"/>
          <w:sz w:val="24"/>
          <w:szCs w:val="24"/>
          <w:shd w:val="clear" w:color="auto" w:fill="FFFFFF"/>
          <w:lang w:eastAsia="nl-NL"/>
        </w:rPr>
        <w:t xml:space="preserve">te </w:t>
      </w:r>
      <w:r w:rsidR="000B0C46">
        <w:rPr>
          <w:rFonts w:ascii="Times New Roman" w:hAnsi="Times New Roman" w:eastAsia="MS Mincho" w:cs="Times New Roman"/>
          <w:color w:val="000000"/>
          <w:sz w:val="24"/>
          <w:szCs w:val="24"/>
          <w:shd w:val="clear" w:color="auto" w:fill="FFFFFF"/>
          <w:lang w:eastAsia="nl-NL"/>
        </w:rPr>
        <w:t>respecteren</w:t>
      </w:r>
      <w:r w:rsidR="00890AEA">
        <w:rPr>
          <w:rFonts w:ascii="Times New Roman" w:hAnsi="Times New Roman" w:eastAsia="MS Mincho" w:cs="Times New Roman"/>
          <w:color w:val="000000"/>
          <w:sz w:val="24"/>
          <w:szCs w:val="24"/>
          <w:shd w:val="clear" w:color="auto" w:fill="FFFFFF"/>
          <w:lang w:eastAsia="nl-NL"/>
        </w:rPr>
        <w:t>, o</w:t>
      </w:r>
      <w:r w:rsidR="00AE5089">
        <w:rPr>
          <w:rFonts w:ascii="Times New Roman" w:hAnsi="Times New Roman" w:eastAsia="MS Mincho" w:cs="Times New Roman"/>
          <w:color w:val="000000"/>
          <w:sz w:val="24"/>
          <w:szCs w:val="24"/>
          <w:shd w:val="clear" w:color="auto" w:fill="FFFFFF"/>
          <w:lang w:eastAsia="nl-NL"/>
        </w:rPr>
        <w:t xml:space="preserve">fwel – en daar staat </w:t>
      </w:r>
      <w:r w:rsidR="00890AEA">
        <w:rPr>
          <w:rFonts w:ascii="Times New Roman" w:hAnsi="Times New Roman" w:eastAsia="MS Mincho" w:cs="Times New Roman"/>
          <w:color w:val="000000"/>
          <w:sz w:val="24"/>
          <w:szCs w:val="24"/>
          <w:shd w:val="clear" w:color="auto" w:fill="FFFFFF"/>
          <w:lang w:eastAsia="nl-NL"/>
        </w:rPr>
        <w:t xml:space="preserve">geen principieel argument </w:t>
      </w:r>
      <w:r w:rsidR="00AE5089">
        <w:rPr>
          <w:rFonts w:ascii="Times New Roman" w:hAnsi="Times New Roman" w:eastAsia="MS Mincho" w:cs="Times New Roman"/>
          <w:color w:val="000000"/>
          <w:sz w:val="24"/>
          <w:szCs w:val="24"/>
          <w:shd w:val="clear" w:color="auto" w:fill="FFFFFF"/>
          <w:lang w:eastAsia="nl-NL"/>
        </w:rPr>
        <w:t xml:space="preserve">aan </w:t>
      </w:r>
      <w:r w:rsidR="00890AEA">
        <w:rPr>
          <w:rFonts w:ascii="Times New Roman" w:hAnsi="Times New Roman" w:eastAsia="MS Mincho" w:cs="Times New Roman"/>
          <w:color w:val="000000"/>
          <w:sz w:val="24"/>
          <w:szCs w:val="24"/>
          <w:shd w:val="clear" w:color="auto" w:fill="FFFFFF"/>
          <w:lang w:eastAsia="nl-NL"/>
        </w:rPr>
        <w:t xml:space="preserve">in </w:t>
      </w:r>
      <w:r w:rsidR="00AE5089">
        <w:rPr>
          <w:rFonts w:ascii="Times New Roman" w:hAnsi="Times New Roman" w:eastAsia="MS Mincho" w:cs="Times New Roman"/>
          <w:color w:val="000000"/>
          <w:sz w:val="24"/>
          <w:szCs w:val="24"/>
          <w:shd w:val="clear" w:color="auto" w:fill="FFFFFF"/>
          <w:lang w:eastAsia="nl-NL"/>
        </w:rPr>
        <w:t xml:space="preserve">de weg – de fundamenten </w:t>
      </w:r>
      <w:r w:rsidR="00890AEA">
        <w:rPr>
          <w:rFonts w:ascii="Times New Roman" w:hAnsi="Times New Roman" w:eastAsia="MS Mincho" w:cs="Times New Roman"/>
          <w:color w:val="000000"/>
          <w:sz w:val="24"/>
          <w:szCs w:val="24"/>
          <w:shd w:val="clear" w:color="auto" w:fill="FFFFFF"/>
          <w:lang w:eastAsia="nl-NL"/>
        </w:rPr>
        <w:t xml:space="preserve">van dat oude bouwwerk </w:t>
      </w:r>
      <w:r w:rsidR="000B0C46">
        <w:rPr>
          <w:rFonts w:ascii="Times New Roman" w:hAnsi="Times New Roman" w:eastAsia="MS Mincho" w:cs="Times New Roman"/>
          <w:color w:val="000000"/>
          <w:sz w:val="24"/>
          <w:szCs w:val="24"/>
          <w:shd w:val="clear" w:color="auto" w:fill="FFFFFF"/>
          <w:lang w:eastAsia="nl-NL"/>
        </w:rPr>
        <w:t xml:space="preserve">serieus </w:t>
      </w:r>
      <w:r w:rsidR="00AE5089">
        <w:rPr>
          <w:rFonts w:ascii="Times New Roman" w:hAnsi="Times New Roman" w:eastAsia="MS Mincho" w:cs="Times New Roman"/>
          <w:color w:val="000000"/>
          <w:sz w:val="24"/>
          <w:szCs w:val="24"/>
          <w:shd w:val="clear" w:color="auto" w:fill="FFFFFF"/>
          <w:lang w:eastAsia="nl-NL"/>
        </w:rPr>
        <w:t xml:space="preserve">te onderwerpen aan </w:t>
      </w:r>
      <w:r w:rsidR="000B0C46">
        <w:rPr>
          <w:rFonts w:ascii="Times New Roman" w:hAnsi="Times New Roman" w:eastAsia="MS Mincho" w:cs="Times New Roman"/>
          <w:color w:val="000000"/>
          <w:sz w:val="24"/>
          <w:szCs w:val="24"/>
          <w:shd w:val="clear" w:color="auto" w:fill="FFFFFF"/>
          <w:lang w:eastAsia="nl-NL"/>
        </w:rPr>
        <w:t xml:space="preserve">een </w:t>
      </w:r>
      <w:r w:rsidR="00E0505F">
        <w:rPr>
          <w:rFonts w:ascii="Times New Roman" w:hAnsi="Times New Roman" w:eastAsia="MS Mincho" w:cs="Times New Roman"/>
          <w:color w:val="000000"/>
          <w:sz w:val="24"/>
          <w:szCs w:val="24"/>
          <w:shd w:val="clear" w:color="auto" w:fill="FFFFFF"/>
          <w:lang w:eastAsia="nl-NL"/>
        </w:rPr>
        <w:t>samenhangende i</w:t>
      </w:r>
      <w:r w:rsidR="000B0C46">
        <w:rPr>
          <w:rFonts w:ascii="Times New Roman" w:hAnsi="Times New Roman" w:eastAsia="MS Mincho" w:cs="Times New Roman"/>
          <w:color w:val="000000"/>
          <w:sz w:val="24"/>
          <w:szCs w:val="24"/>
          <w:shd w:val="clear" w:color="auto" w:fill="FFFFFF"/>
          <w:lang w:eastAsia="nl-NL"/>
        </w:rPr>
        <w:t xml:space="preserve">nspectie </w:t>
      </w:r>
      <w:r w:rsidR="00AE5089">
        <w:rPr>
          <w:rFonts w:ascii="Times New Roman" w:hAnsi="Times New Roman" w:eastAsia="MS Mincho" w:cs="Times New Roman"/>
          <w:color w:val="000000"/>
          <w:sz w:val="24"/>
          <w:szCs w:val="24"/>
          <w:shd w:val="clear" w:color="auto" w:fill="FFFFFF"/>
          <w:lang w:eastAsia="nl-NL"/>
        </w:rPr>
        <w:t>met het oog op de toereikendheid</w:t>
      </w:r>
      <w:r w:rsidR="00890AEA">
        <w:rPr>
          <w:rFonts w:ascii="Times New Roman" w:hAnsi="Times New Roman" w:eastAsia="MS Mincho" w:cs="Times New Roman"/>
          <w:color w:val="000000"/>
          <w:sz w:val="24"/>
          <w:szCs w:val="24"/>
          <w:shd w:val="clear" w:color="auto" w:fill="FFFFFF"/>
          <w:lang w:eastAsia="nl-NL"/>
        </w:rPr>
        <w:t xml:space="preserve"> daarvan voor het te dragen bouwwerk. </w:t>
      </w:r>
      <w:r w:rsidR="001423BE">
        <w:rPr>
          <w:rFonts w:ascii="Times New Roman" w:hAnsi="Times New Roman" w:eastAsia="MS Mincho" w:cs="Times New Roman"/>
          <w:color w:val="000000"/>
          <w:sz w:val="24"/>
          <w:szCs w:val="24"/>
          <w:shd w:val="clear" w:color="auto" w:fill="FFFFFF"/>
          <w:lang w:eastAsia="nl-NL"/>
        </w:rPr>
        <w:t xml:space="preserve">Het risico is </w:t>
      </w:r>
      <w:r w:rsidR="000B0C46">
        <w:rPr>
          <w:rFonts w:ascii="Times New Roman" w:hAnsi="Times New Roman" w:eastAsia="MS Mincho" w:cs="Times New Roman"/>
          <w:color w:val="000000"/>
          <w:sz w:val="24"/>
          <w:szCs w:val="24"/>
          <w:shd w:val="clear" w:color="auto" w:fill="FFFFFF"/>
          <w:lang w:eastAsia="nl-NL"/>
        </w:rPr>
        <w:t>bovendien g</w:t>
      </w:r>
      <w:r w:rsidR="001D7CA9">
        <w:rPr>
          <w:rFonts w:ascii="Times New Roman" w:hAnsi="Times New Roman" w:eastAsia="MS Mincho" w:cs="Times New Roman"/>
          <w:color w:val="000000"/>
          <w:sz w:val="24"/>
          <w:szCs w:val="24"/>
          <w:shd w:val="clear" w:color="auto" w:fill="FFFFFF"/>
          <w:lang w:eastAsia="nl-NL"/>
        </w:rPr>
        <w:t xml:space="preserve">root </w:t>
      </w:r>
      <w:r w:rsidR="00581AA0">
        <w:rPr>
          <w:rFonts w:ascii="Times New Roman" w:hAnsi="Times New Roman" w:cs="Times New Roman"/>
          <w:sz w:val="24"/>
          <w:szCs w:val="24"/>
        </w:rPr>
        <w:t>dat – n</w:t>
      </w:r>
      <w:r w:rsidRPr="001423BE" w:rsidR="001423BE">
        <w:rPr>
          <w:rFonts w:ascii="Times New Roman" w:hAnsi="Times New Roman" w:cs="Times New Roman"/>
          <w:sz w:val="24"/>
          <w:szCs w:val="24"/>
        </w:rPr>
        <w:t xml:space="preserve">a </w:t>
      </w:r>
      <w:r w:rsidR="00C00845">
        <w:rPr>
          <w:rFonts w:ascii="Times New Roman" w:hAnsi="Times New Roman" w:cs="Times New Roman"/>
          <w:sz w:val="24"/>
          <w:szCs w:val="24"/>
        </w:rPr>
        <w:t xml:space="preserve">afronding van </w:t>
      </w:r>
      <w:r w:rsidRPr="001423BE" w:rsidR="001423BE">
        <w:rPr>
          <w:rFonts w:ascii="Times New Roman" w:hAnsi="Times New Roman" w:cs="Times New Roman"/>
          <w:sz w:val="24"/>
          <w:szCs w:val="24"/>
        </w:rPr>
        <w:t xml:space="preserve">een zo grote moderniseringsoperatie als de </w:t>
      </w:r>
      <w:r w:rsidR="001D7CA9">
        <w:rPr>
          <w:rFonts w:ascii="Times New Roman" w:hAnsi="Times New Roman" w:cs="Times New Roman"/>
          <w:sz w:val="24"/>
          <w:szCs w:val="24"/>
        </w:rPr>
        <w:t>onderhavige  – e</w:t>
      </w:r>
      <w:r w:rsidRPr="001423BE" w:rsidR="001423BE">
        <w:rPr>
          <w:rFonts w:ascii="Times New Roman" w:hAnsi="Times New Roman" w:cs="Times New Roman"/>
          <w:sz w:val="24"/>
          <w:szCs w:val="24"/>
        </w:rPr>
        <w:t>en daadwerkelijke bezinning op noodzakelijke en/of wen</w:t>
      </w:r>
      <w:r w:rsidR="00581AA0">
        <w:rPr>
          <w:rFonts w:ascii="Times New Roman" w:hAnsi="Times New Roman" w:cs="Times New Roman"/>
          <w:sz w:val="24"/>
          <w:szCs w:val="24"/>
        </w:rPr>
        <w:t>selijke wijzingen in samenhang met an</w:t>
      </w:r>
      <w:r w:rsidRPr="001423BE" w:rsidR="001423BE">
        <w:rPr>
          <w:rFonts w:ascii="Times New Roman" w:hAnsi="Times New Roman" w:cs="Times New Roman"/>
          <w:sz w:val="24"/>
          <w:szCs w:val="24"/>
        </w:rPr>
        <w:t>dere wet- en regelgeving, met actuele opvattingen over legaliteit</w:t>
      </w:r>
      <w:r w:rsidR="001D7CA9">
        <w:rPr>
          <w:rFonts w:ascii="Times New Roman" w:hAnsi="Times New Roman" w:cs="Times New Roman"/>
          <w:sz w:val="24"/>
          <w:szCs w:val="24"/>
        </w:rPr>
        <w:t xml:space="preserve"> en schuivende verhoudingen </w:t>
      </w:r>
      <w:r w:rsidR="00581AA0">
        <w:rPr>
          <w:rFonts w:ascii="Times New Roman" w:hAnsi="Times New Roman" w:cs="Times New Roman"/>
          <w:sz w:val="24"/>
          <w:szCs w:val="24"/>
        </w:rPr>
        <w:t>tussen nationale wetgever en internationale regelgevers</w:t>
      </w:r>
      <w:r w:rsidR="001D7CA9">
        <w:rPr>
          <w:rFonts w:ascii="Times New Roman" w:hAnsi="Times New Roman" w:cs="Times New Roman"/>
          <w:sz w:val="24"/>
          <w:szCs w:val="24"/>
        </w:rPr>
        <w:t xml:space="preserve">, alsmede </w:t>
      </w:r>
      <w:r w:rsidR="00F25AC8">
        <w:rPr>
          <w:rFonts w:ascii="Times New Roman" w:hAnsi="Times New Roman" w:cs="Times New Roman"/>
          <w:sz w:val="24"/>
          <w:szCs w:val="24"/>
        </w:rPr>
        <w:t xml:space="preserve">tussen </w:t>
      </w:r>
      <w:r w:rsidRPr="001423BE" w:rsidR="001423BE">
        <w:rPr>
          <w:rFonts w:ascii="Times New Roman" w:hAnsi="Times New Roman" w:cs="Times New Roman"/>
          <w:sz w:val="24"/>
          <w:szCs w:val="24"/>
        </w:rPr>
        <w:t>wetgever, handhaver, rechter, verdachte en slachtoffer,</w:t>
      </w:r>
      <w:r w:rsidR="00581AA0">
        <w:rPr>
          <w:rFonts w:ascii="Times New Roman" w:hAnsi="Times New Roman" w:cs="Times New Roman"/>
          <w:sz w:val="24"/>
          <w:szCs w:val="24"/>
        </w:rPr>
        <w:t xml:space="preserve"> én </w:t>
      </w:r>
      <w:r w:rsidRPr="001423BE" w:rsidR="001423BE">
        <w:rPr>
          <w:rFonts w:ascii="Times New Roman" w:hAnsi="Times New Roman" w:cs="Times New Roman"/>
          <w:sz w:val="24"/>
          <w:szCs w:val="24"/>
        </w:rPr>
        <w:t xml:space="preserve">in het licht van heldere keuzes voor een procescultuur, </w:t>
      </w:r>
      <w:r w:rsidR="00F87C1E">
        <w:rPr>
          <w:rFonts w:ascii="Times New Roman" w:hAnsi="Times New Roman" w:cs="Times New Roman"/>
          <w:sz w:val="24"/>
          <w:szCs w:val="24"/>
        </w:rPr>
        <w:t xml:space="preserve">de </w:t>
      </w:r>
      <w:r w:rsidRPr="001423BE" w:rsidR="001423BE">
        <w:rPr>
          <w:rFonts w:ascii="Times New Roman" w:hAnsi="Times New Roman" w:cs="Times New Roman"/>
          <w:sz w:val="24"/>
          <w:szCs w:val="24"/>
        </w:rPr>
        <w:t xml:space="preserve">komende decennia niet meer niet aan de orde zal komen. </w:t>
      </w:r>
      <w:r w:rsidR="00C00845">
        <w:rPr>
          <w:rFonts w:ascii="Times New Roman" w:hAnsi="Times New Roman" w:cs="Times New Roman"/>
          <w:sz w:val="24"/>
          <w:szCs w:val="24"/>
        </w:rPr>
        <w:br/>
      </w:r>
      <w:r w:rsidR="00E85A9D">
        <w:rPr>
          <w:rFonts w:ascii="Times New Roman" w:hAnsi="Times New Roman" w:cs="Times New Roman"/>
          <w:sz w:val="24"/>
          <w:szCs w:val="24"/>
        </w:rPr>
        <w:t xml:space="preserve">Het </w:t>
      </w:r>
      <w:r w:rsidRPr="00E85A9D" w:rsidR="00206F93">
        <w:rPr>
          <w:rFonts w:ascii="Times New Roman" w:hAnsi="Times New Roman" w:cs="Times New Roman"/>
          <w:sz w:val="24"/>
          <w:szCs w:val="24"/>
        </w:rPr>
        <w:t>is nog niet te laat</w:t>
      </w:r>
      <w:r w:rsidR="00E85A9D">
        <w:rPr>
          <w:rFonts w:ascii="Times New Roman" w:hAnsi="Times New Roman" w:cs="Times New Roman"/>
          <w:sz w:val="24"/>
          <w:szCs w:val="24"/>
        </w:rPr>
        <w:t>.</w:t>
      </w:r>
    </w:p>
    <w:p w:rsidRPr="007C5808" w:rsidR="002615B7" w:rsidP="00637E64" w:rsidRDefault="002615B7">
      <w:pPr>
        <w:spacing w:line="240" w:lineRule="auto"/>
        <w:rPr>
          <w:rFonts w:ascii="Times New Roman" w:hAnsi="Times New Roman" w:cs="Times New Roman"/>
          <w:i/>
          <w:sz w:val="24"/>
          <w:szCs w:val="24"/>
        </w:rPr>
      </w:pPr>
    </w:p>
    <w:sectPr w:rsidRPr="007C5808" w:rsidR="002615B7" w:rsidSect="0006036B">
      <w:footerReference w:type="default" r:id="rId9"/>
      <w:pgSz w:w="12240" w:h="15840"/>
      <w:pgMar w:top="851" w:right="1417" w:bottom="1417" w:left="141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19A" w:rsidRDefault="0078019A" w:rsidP="004A1251">
      <w:pPr>
        <w:spacing w:after="0" w:line="240" w:lineRule="auto"/>
      </w:pPr>
      <w:r>
        <w:separator/>
      </w:r>
    </w:p>
  </w:endnote>
  <w:endnote w:type="continuationSeparator" w:id="0">
    <w:p w:rsidR="0078019A" w:rsidRDefault="0078019A" w:rsidP="004A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225307"/>
      <w:docPartObj>
        <w:docPartGallery w:val="Page Numbers (Bottom of Page)"/>
        <w:docPartUnique/>
      </w:docPartObj>
    </w:sdtPr>
    <w:sdtEndPr>
      <w:rPr>
        <w:noProof/>
      </w:rPr>
    </w:sdtEndPr>
    <w:sdtContent>
      <w:p w:rsidR="0078019A" w:rsidRDefault="0078019A">
        <w:pPr>
          <w:pStyle w:val="Footer"/>
          <w:jc w:val="right"/>
        </w:pPr>
        <w:r>
          <w:fldChar w:fldCharType="begin"/>
        </w:r>
        <w:r>
          <w:instrText xml:space="preserve"> PAGE   \* MERGEFORMAT </w:instrText>
        </w:r>
        <w:r>
          <w:fldChar w:fldCharType="separate"/>
        </w:r>
        <w:r w:rsidR="00770EE4">
          <w:rPr>
            <w:noProof/>
          </w:rPr>
          <w:t>13</w:t>
        </w:r>
        <w:r>
          <w:rPr>
            <w:noProof/>
          </w:rPr>
          <w:fldChar w:fldCharType="end"/>
        </w:r>
      </w:p>
    </w:sdtContent>
  </w:sdt>
  <w:p w:rsidR="0078019A" w:rsidRDefault="00780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19A" w:rsidRDefault="0078019A" w:rsidP="004A1251">
      <w:pPr>
        <w:spacing w:after="0" w:line="240" w:lineRule="auto"/>
      </w:pPr>
      <w:r>
        <w:separator/>
      </w:r>
    </w:p>
  </w:footnote>
  <w:footnote w:type="continuationSeparator" w:id="0">
    <w:p w:rsidR="0078019A" w:rsidRDefault="0078019A" w:rsidP="004A1251">
      <w:pPr>
        <w:spacing w:after="0" w:line="240" w:lineRule="auto"/>
      </w:pPr>
      <w:r>
        <w:continuationSeparator/>
      </w:r>
    </w:p>
  </w:footnote>
  <w:footnote w:id="1">
    <w:p w:rsidR="0078019A" w:rsidRDefault="0078019A">
      <w:pPr>
        <w:pStyle w:val="FootnoteText"/>
      </w:pPr>
      <w:r>
        <w:rPr>
          <w:rStyle w:val="FootnoteReference"/>
        </w:rPr>
        <w:footnoteRef/>
      </w:r>
      <w:r>
        <w:t xml:space="preserve"> </w:t>
      </w:r>
      <w:r w:rsidRPr="003F4A63">
        <w:rPr>
          <w:rFonts w:ascii="Times New Roman" w:hAnsi="Times New Roman" w:cs="Times New Roman"/>
        </w:rPr>
        <w:t>Met dank aan Mojan Samadi en Marieke Dubelaar voor hun kritisch en opbouwend commentaar.</w:t>
      </w:r>
    </w:p>
  </w:footnote>
  <w:footnote w:id="2">
    <w:p w:rsidR="0078019A" w:rsidRPr="00C42EC6" w:rsidRDefault="0078019A">
      <w:pPr>
        <w:pStyle w:val="FootnoteText"/>
        <w:rPr>
          <w:rFonts w:ascii="Times New Roman" w:hAnsi="Times New Roman" w:cs="Times New Roman"/>
        </w:rPr>
      </w:pPr>
      <w:r w:rsidRPr="00C42EC6">
        <w:rPr>
          <w:rStyle w:val="FootnoteReference"/>
          <w:rFonts w:ascii="Times New Roman" w:hAnsi="Times New Roman"/>
        </w:rPr>
        <w:footnoteRef/>
      </w:r>
      <w:r w:rsidRPr="00C42EC6">
        <w:rPr>
          <w:rFonts w:ascii="Times New Roman" w:hAnsi="Times New Roman" w:cs="Times New Roman"/>
        </w:rPr>
        <w:t xml:space="preserve"> </w:t>
      </w:r>
      <w:r w:rsidRPr="00C42EC6">
        <w:rPr>
          <w:rFonts w:ascii="Times New Roman" w:eastAsia="MS Mincho" w:hAnsi="Times New Roman" w:cs="Times New Roman"/>
          <w:color w:val="000000"/>
          <w:shd w:val="clear" w:color="auto" w:fill="FFFFFF"/>
          <w:lang w:eastAsia="nl-NL"/>
        </w:rPr>
        <w:t>Kamerstukken II 2013/14, 29 279, p. 3.</w:t>
      </w:r>
    </w:p>
  </w:footnote>
  <w:footnote w:id="3">
    <w:p w:rsidR="0078019A" w:rsidRPr="00C42EC6" w:rsidRDefault="0078019A">
      <w:pPr>
        <w:pStyle w:val="FootnoteText"/>
        <w:rPr>
          <w:rFonts w:ascii="Times New Roman" w:hAnsi="Times New Roman" w:cs="Times New Roman"/>
        </w:rPr>
      </w:pPr>
      <w:r w:rsidRPr="00C42EC6">
        <w:rPr>
          <w:rStyle w:val="FootnoteReference"/>
          <w:rFonts w:ascii="Times New Roman" w:hAnsi="Times New Roman"/>
        </w:rPr>
        <w:footnoteRef/>
      </w:r>
      <w:r w:rsidRPr="00C42EC6">
        <w:rPr>
          <w:rFonts w:ascii="Times New Roman" w:hAnsi="Times New Roman" w:cs="Times New Roman"/>
        </w:rPr>
        <w:t xml:space="preserve"> </w:t>
      </w:r>
      <w:r>
        <w:rPr>
          <w:rFonts w:ascii="Times New Roman" w:hAnsi="Times New Roman" w:cs="Times New Roman"/>
        </w:rPr>
        <w:t>Dit document en a</w:t>
      </w:r>
      <w:r w:rsidRPr="00C42EC6">
        <w:rPr>
          <w:rFonts w:ascii="Times New Roman" w:hAnsi="Times New Roman" w:cs="Times New Roman"/>
        </w:rPr>
        <w:t xml:space="preserve">lle </w:t>
      </w:r>
      <w:r>
        <w:rPr>
          <w:rFonts w:ascii="Times New Roman" w:hAnsi="Times New Roman" w:cs="Times New Roman"/>
        </w:rPr>
        <w:t xml:space="preserve">overige voor dit onderwerp </w:t>
      </w:r>
      <w:r w:rsidRPr="00C42EC6">
        <w:rPr>
          <w:rFonts w:ascii="Times New Roman" w:hAnsi="Times New Roman" w:cs="Times New Roman"/>
        </w:rPr>
        <w:t xml:space="preserve">relevante documenten zijn via </w:t>
      </w:r>
      <w:r>
        <w:rPr>
          <w:rFonts w:ascii="Times New Roman" w:hAnsi="Times New Roman" w:cs="Times New Roman"/>
        </w:rPr>
        <w:t>d</w:t>
      </w:r>
      <w:r w:rsidRPr="00C42EC6">
        <w:rPr>
          <w:rFonts w:ascii="Times New Roman" w:hAnsi="Times New Roman" w:cs="Times New Roman"/>
        </w:rPr>
        <w:t xml:space="preserve">e website van het Ministerie van Veiligheid en Justitie toegankelijk. </w:t>
      </w:r>
    </w:p>
  </w:footnote>
  <w:footnote w:id="4">
    <w:p w:rsidR="0078019A" w:rsidRPr="00C42EC6" w:rsidRDefault="0078019A">
      <w:pPr>
        <w:pStyle w:val="FootnoteText"/>
        <w:rPr>
          <w:rFonts w:ascii="Times New Roman" w:hAnsi="Times New Roman" w:cs="Times New Roman"/>
        </w:rPr>
      </w:pPr>
      <w:r w:rsidRPr="00C42EC6">
        <w:rPr>
          <w:rStyle w:val="FootnoteReference"/>
          <w:rFonts w:ascii="Times New Roman" w:hAnsi="Times New Roman"/>
        </w:rPr>
        <w:footnoteRef/>
      </w:r>
      <w:r w:rsidRPr="00C42EC6">
        <w:rPr>
          <w:rFonts w:ascii="Times New Roman" w:hAnsi="Times New Roman" w:cs="Times New Roman"/>
        </w:rPr>
        <w:t xml:space="preserve"> Zie voor de basis van VPS: Kamerstukken II 2012/13, 29 279, </w:t>
      </w:r>
      <w:proofErr w:type="spellStart"/>
      <w:r w:rsidRPr="00C42EC6">
        <w:rPr>
          <w:rFonts w:ascii="Times New Roman" w:hAnsi="Times New Roman" w:cs="Times New Roman"/>
        </w:rPr>
        <w:t>nrs</w:t>
      </w:r>
      <w:proofErr w:type="spellEnd"/>
      <w:r w:rsidRPr="00C42EC6">
        <w:rPr>
          <w:rFonts w:ascii="Times New Roman" w:hAnsi="Times New Roman" w:cs="Times New Roman"/>
        </w:rPr>
        <w:t>,</w:t>
      </w:r>
      <w:r>
        <w:rPr>
          <w:rFonts w:ascii="Times New Roman" w:hAnsi="Times New Roman" w:cs="Times New Roman"/>
        </w:rPr>
        <w:t xml:space="preserve"> </w:t>
      </w:r>
      <w:r w:rsidRPr="00C42EC6">
        <w:rPr>
          <w:rFonts w:ascii="Times New Roman" w:hAnsi="Times New Roman" w:cs="Times New Roman"/>
        </w:rPr>
        <w:t xml:space="preserve">156 en 165). </w:t>
      </w:r>
    </w:p>
  </w:footnote>
  <w:footnote w:id="5">
    <w:p w:rsidR="0078019A" w:rsidRPr="00C42EC6" w:rsidRDefault="0078019A">
      <w:pPr>
        <w:pStyle w:val="FootnoteText"/>
        <w:rPr>
          <w:rFonts w:ascii="Times New Roman" w:hAnsi="Times New Roman" w:cs="Times New Roman"/>
        </w:rPr>
      </w:pPr>
      <w:r w:rsidRPr="00C42EC6">
        <w:rPr>
          <w:rStyle w:val="FootnoteReference"/>
          <w:rFonts w:ascii="Times New Roman" w:hAnsi="Times New Roman"/>
        </w:rPr>
        <w:footnoteRef/>
      </w:r>
      <w:r w:rsidRPr="00C42EC6">
        <w:rPr>
          <w:rFonts w:ascii="Times New Roman" w:hAnsi="Times New Roman" w:cs="Times New Roman"/>
        </w:rPr>
        <w:t xml:space="preserve"> Kamerstukken I 2012/13 33 400 VI, G p. 9.</w:t>
      </w:r>
    </w:p>
  </w:footnote>
  <w:footnote w:id="6">
    <w:p w:rsidR="0078019A" w:rsidRPr="008943DE" w:rsidRDefault="0078019A">
      <w:pPr>
        <w:pStyle w:val="FootnoteText"/>
        <w:rPr>
          <w:rFonts w:ascii="Times New Roman" w:hAnsi="Times New Roman" w:cs="Times New Roman"/>
        </w:rPr>
      </w:pPr>
      <w:r w:rsidRPr="008943DE">
        <w:rPr>
          <w:rStyle w:val="FootnoteReference"/>
          <w:rFonts w:ascii="Times New Roman" w:hAnsi="Times New Roman"/>
        </w:rPr>
        <w:footnoteRef/>
      </w:r>
      <w:r w:rsidRPr="008943DE">
        <w:rPr>
          <w:rFonts w:ascii="Times New Roman" w:hAnsi="Times New Roman" w:cs="Times New Roman"/>
        </w:rPr>
        <w:t xml:space="preserve"> Zie de brief van de Minister van Justitie van 22 oktober 2003, Kamerstukken II 2003/04, 29 271, nr. i, p 1-23. </w:t>
      </w:r>
    </w:p>
  </w:footnote>
  <w:footnote w:id="7">
    <w:p w:rsidR="0078019A" w:rsidRPr="008943DE" w:rsidRDefault="0078019A">
      <w:pPr>
        <w:pStyle w:val="FootnoteText"/>
        <w:rPr>
          <w:rFonts w:ascii="Times New Roman" w:hAnsi="Times New Roman" w:cs="Times New Roman"/>
        </w:rPr>
      </w:pPr>
      <w:r w:rsidRPr="008943DE">
        <w:rPr>
          <w:rStyle w:val="FootnoteReference"/>
          <w:rFonts w:ascii="Times New Roman" w:hAnsi="Times New Roman"/>
        </w:rPr>
        <w:footnoteRef/>
      </w:r>
      <w:r w:rsidRPr="008943DE">
        <w:rPr>
          <w:rFonts w:ascii="Times New Roman" w:hAnsi="Times New Roman" w:cs="Times New Roman"/>
        </w:rPr>
        <w:t xml:space="preserve"> M.S, Groenhuijsen en G. Knigge (red.): </w:t>
      </w:r>
      <w:r w:rsidRPr="008943DE">
        <w:rPr>
          <w:rFonts w:ascii="Times New Roman" w:hAnsi="Times New Roman" w:cs="Times New Roman"/>
          <w:i/>
        </w:rPr>
        <w:t>Het onderzoek ter terechtzitting</w:t>
      </w:r>
      <w:r w:rsidRPr="008943DE">
        <w:rPr>
          <w:rFonts w:ascii="Times New Roman" w:hAnsi="Times New Roman" w:cs="Times New Roman"/>
        </w:rPr>
        <w:t xml:space="preserve">, eerste </w:t>
      </w:r>
      <w:proofErr w:type="spellStart"/>
      <w:r w:rsidRPr="008943DE">
        <w:rPr>
          <w:rFonts w:ascii="Times New Roman" w:hAnsi="Times New Roman" w:cs="Times New Roman"/>
        </w:rPr>
        <w:t>interimrapport</w:t>
      </w:r>
      <w:proofErr w:type="spellEnd"/>
      <w:r w:rsidRPr="008943DE">
        <w:rPr>
          <w:rFonts w:ascii="Times New Roman" w:hAnsi="Times New Roman" w:cs="Times New Roman"/>
        </w:rPr>
        <w:t xml:space="preserve"> onderzoeksproject Strafvordering 2001; </w:t>
      </w:r>
      <w:r w:rsidRPr="008943DE">
        <w:rPr>
          <w:rFonts w:ascii="Times New Roman" w:hAnsi="Times New Roman" w:cs="Times New Roman"/>
          <w:i/>
        </w:rPr>
        <w:t>Het vooronderzoek in strafzaken</w:t>
      </w:r>
      <w:r w:rsidRPr="008943DE">
        <w:rPr>
          <w:rFonts w:ascii="Times New Roman" w:hAnsi="Times New Roman" w:cs="Times New Roman"/>
        </w:rPr>
        <w:t xml:space="preserve">, tweede </w:t>
      </w:r>
      <w:proofErr w:type="spellStart"/>
      <w:r w:rsidRPr="008943DE">
        <w:rPr>
          <w:rFonts w:ascii="Times New Roman" w:hAnsi="Times New Roman" w:cs="Times New Roman"/>
        </w:rPr>
        <w:t>interimrapport</w:t>
      </w:r>
      <w:proofErr w:type="spellEnd"/>
      <w:r w:rsidRPr="008943DE">
        <w:rPr>
          <w:rFonts w:ascii="Times New Roman" w:hAnsi="Times New Roman" w:cs="Times New Roman"/>
        </w:rPr>
        <w:t xml:space="preserve"> onderzoeksproject Strafvordering 2001 (2001); </w:t>
      </w:r>
      <w:r w:rsidRPr="008943DE">
        <w:rPr>
          <w:rFonts w:ascii="Times New Roman" w:hAnsi="Times New Roman" w:cs="Times New Roman"/>
          <w:i/>
        </w:rPr>
        <w:t>Dwangmiddelen en rechtsmiddelen</w:t>
      </w:r>
      <w:r w:rsidRPr="008943DE">
        <w:rPr>
          <w:rFonts w:ascii="Times New Roman" w:hAnsi="Times New Roman" w:cs="Times New Roman"/>
        </w:rPr>
        <w:t xml:space="preserve">, derde </w:t>
      </w:r>
      <w:proofErr w:type="spellStart"/>
      <w:r w:rsidRPr="008943DE">
        <w:rPr>
          <w:rFonts w:ascii="Times New Roman" w:hAnsi="Times New Roman" w:cs="Times New Roman"/>
        </w:rPr>
        <w:t>interimrapport</w:t>
      </w:r>
      <w:proofErr w:type="spellEnd"/>
      <w:r w:rsidRPr="008943DE">
        <w:rPr>
          <w:rFonts w:ascii="Times New Roman" w:hAnsi="Times New Roman" w:cs="Times New Roman"/>
        </w:rPr>
        <w:t xml:space="preserve"> onderzoeksproject Strafvordering 2001 (2002); </w:t>
      </w:r>
      <w:r w:rsidRPr="008943DE">
        <w:rPr>
          <w:rFonts w:ascii="Times New Roman" w:hAnsi="Times New Roman" w:cs="Times New Roman"/>
          <w:i/>
        </w:rPr>
        <w:t>Afronding en verantwoording</w:t>
      </w:r>
      <w:r w:rsidRPr="008943DE">
        <w:rPr>
          <w:rFonts w:ascii="Times New Roman" w:hAnsi="Times New Roman" w:cs="Times New Roman"/>
        </w:rPr>
        <w:t xml:space="preserve">, eindrapport onderzoeksproject Strafvordering 2001 (2004); Deventer: Kluwer. </w:t>
      </w:r>
    </w:p>
  </w:footnote>
  <w:footnote w:id="8">
    <w:p w:rsidR="0078019A" w:rsidRPr="008943DE" w:rsidRDefault="0078019A">
      <w:pPr>
        <w:pStyle w:val="FootnoteText"/>
        <w:rPr>
          <w:rFonts w:ascii="Times New Roman" w:hAnsi="Times New Roman" w:cs="Times New Roman"/>
        </w:rPr>
      </w:pPr>
      <w:r w:rsidRPr="008943DE">
        <w:rPr>
          <w:rStyle w:val="FootnoteReference"/>
          <w:rFonts w:ascii="Times New Roman" w:hAnsi="Times New Roman"/>
        </w:rPr>
        <w:footnoteRef/>
      </w:r>
      <w:r w:rsidRPr="008943DE">
        <w:rPr>
          <w:rFonts w:ascii="Times New Roman" w:hAnsi="Times New Roman" w:cs="Times New Roman"/>
        </w:rPr>
        <w:t xml:space="preserve"> Deze hier geciteerde doelstelling – voor zover mij bekend in de meest beknopte en toch tamelijk complete formulering –</w:t>
      </w:r>
      <w:r>
        <w:rPr>
          <w:rFonts w:ascii="Times New Roman" w:hAnsi="Times New Roman" w:cs="Times New Roman"/>
        </w:rPr>
        <w:t xml:space="preserve"> </w:t>
      </w:r>
      <w:r w:rsidRPr="008943DE">
        <w:rPr>
          <w:rFonts w:ascii="Times New Roman" w:hAnsi="Times New Roman" w:cs="Times New Roman"/>
        </w:rPr>
        <w:t>wordt gebezigd in een notitie van de Directie Wetgeving en Juridische zaken, Sector Straf- en sanctierecht, Werkwijze Wetgevingsprogramma Versterking Prestaties Strafrechtsketen (VPS) voor de wetsvoorstellen tot herziening</w:t>
      </w:r>
      <w:r>
        <w:rPr>
          <w:rFonts w:ascii="Times New Roman" w:hAnsi="Times New Roman" w:cs="Times New Roman"/>
        </w:rPr>
        <w:t xml:space="preserve"> </w:t>
      </w:r>
      <w:r w:rsidRPr="008943DE">
        <w:rPr>
          <w:rFonts w:ascii="Times New Roman" w:hAnsi="Times New Roman" w:cs="Times New Roman"/>
        </w:rPr>
        <w:t>van</w:t>
      </w:r>
      <w:r>
        <w:rPr>
          <w:rFonts w:ascii="Times New Roman" w:hAnsi="Times New Roman" w:cs="Times New Roman"/>
        </w:rPr>
        <w:t xml:space="preserve"> </w:t>
      </w:r>
      <w:r w:rsidRPr="008943DE">
        <w:rPr>
          <w:rFonts w:ascii="Times New Roman" w:hAnsi="Times New Roman" w:cs="Times New Roman"/>
        </w:rPr>
        <w:t xml:space="preserve">het Wetboek van Strafvordering, 17 maart 2014. </w:t>
      </w:r>
    </w:p>
  </w:footnote>
  <w:footnote w:id="9">
    <w:p w:rsidR="0078019A" w:rsidRDefault="0078019A">
      <w:pPr>
        <w:pStyle w:val="FootnoteText"/>
      </w:pPr>
      <w:r w:rsidRPr="008718B9">
        <w:rPr>
          <w:rStyle w:val="FootnoteReference"/>
          <w:rFonts w:ascii="Times New Roman" w:hAnsi="Times New Roman"/>
        </w:rPr>
        <w:footnoteRef/>
      </w:r>
      <w:r w:rsidRPr="008718B9">
        <w:rPr>
          <w:rFonts w:ascii="Times New Roman" w:hAnsi="Times New Roman" w:cs="Times New Roman"/>
        </w:rPr>
        <w:t xml:space="preserve"> Uitwerking van kwaliteitseisen van wetgeving vanuit sociaalwetenschappelijke achtergrond blijven derhalve buiten beschouwin</w:t>
      </w:r>
      <w:r>
        <w:rPr>
          <w:rFonts w:ascii="Times New Roman" w:hAnsi="Times New Roman" w:cs="Times New Roman"/>
        </w:rPr>
        <w:t xml:space="preserve">g. </w:t>
      </w:r>
    </w:p>
  </w:footnote>
  <w:footnote w:id="10">
    <w:p w:rsidR="0078019A" w:rsidRPr="00420449" w:rsidRDefault="0078019A" w:rsidP="00420449">
      <w:pPr>
        <w:pStyle w:val="FootnoteText"/>
        <w:rPr>
          <w:rFonts w:ascii="Times New Roman" w:hAnsi="Times New Roman" w:cs="Times New Roman"/>
        </w:rPr>
      </w:pPr>
      <w:r w:rsidRPr="00420449">
        <w:rPr>
          <w:rStyle w:val="FootnoteReference"/>
          <w:rFonts w:ascii="Times New Roman" w:hAnsi="Times New Roman"/>
        </w:rPr>
        <w:footnoteRef/>
      </w:r>
      <w:r w:rsidRPr="00420449">
        <w:rPr>
          <w:rFonts w:ascii="Times New Roman" w:hAnsi="Times New Roman" w:cs="Times New Roman"/>
        </w:rPr>
        <w:t xml:space="preserve"> Deze uitgangspositie brengt mee dat deze bijdrage op enkele punten zal raken aan de thematiek die door J.M. ten Voorde is besproken in zijn zeer lezenswaardige bijdrage: </w:t>
      </w:r>
      <w:r>
        <w:rPr>
          <w:rFonts w:ascii="Times New Roman" w:hAnsi="Times New Roman" w:cs="Times New Roman"/>
        </w:rPr>
        <w:t>‘</w:t>
      </w:r>
      <w:r w:rsidRPr="00420449">
        <w:rPr>
          <w:rFonts w:ascii="Times New Roman" w:hAnsi="Times New Roman" w:cs="Times New Roman"/>
        </w:rPr>
        <w:t xml:space="preserve">Wat Van der Steur kan leren van </w:t>
      </w:r>
      <w:proofErr w:type="spellStart"/>
      <w:r w:rsidRPr="00420449">
        <w:rPr>
          <w:rFonts w:ascii="Times New Roman" w:hAnsi="Times New Roman" w:cs="Times New Roman"/>
        </w:rPr>
        <w:t>Fullers</w:t>
      </w:r>
      <w:proofErr w:type="spellEnd"/>
      <w:r w:rsidRPr="00420449">
        <w:rPr>
          <w:rFonts w:ascii="Times New Roman" w:hAnsi="Times New Roman" w:cs="Times New Roman"/>
        </w:rPr>
        <w:t xml:space="preserve"> koning Rex</w:t>
      </w:r>
      <w:r>
        <w:rPr>
          <w:rFonts w:ascii="Times New Roman" w:hAnsi="Times New Roman" w:cs="Times New Roman"/>
        </w:rPr>
        <w:t>’’</w:t>
      </w:r>
      <w:r w:rsidRPr="00420449">
        <w:rPr>
          <w:rFonts w:ascii="Times New Roman" w:hAnsi="Times New Roman" w:cs="Times New Roman"/>
        </w:rPr>
        <w:t xml:space="preserve">, </w:t>
      </w:r>
      <w:r w:rsidRPr="00420449">
        <w:rPr>
          <w:rFonts w:ascii="Times New Roman" w:hAnsi="Times New Roman" w:cs="Times New Roman"/>
          <w:i/>
        </w:rPr>
        <w:t>Strafblad 2015</w:t>
      </w:r>
      <w:r w:rsidRPr="00420449">
        <w:rPr>
          <w:rFonts w:ascii="Times New Roman" w:hAnsi="Times New Roman" w:cs="Times New Roman"/>
        </w:rPr>
        <w:t xml:space="preserve">, nr. 2, p.77-85. Het perspectief van de onderhavige bijdrage wijkt evenwel af van het zijne door de hierna benoemde </w:t>
      </w:r>
      <w:r w:rsidRPr="00420449">
        <w:rPr>
          <w:rFonts w:ascii="Times New Roman" w:eastAsia="MS Mincho" w:hAnsi="Times New Roman" w:cs="Times New Roman"/>
          <w:color w:val="000000"/>
          <w:shd w:val="clear" w:color="auto" w:fill="FFFFFF"/>
          <w:lang w:eastAsia="nl-NL"/>
        </w:rPr>
        <w:t>keuze voor dogmatische, systematische en proces-culturele aspecten van het strafproces.</w:t>
      </w:r>
    </w:p>
  </w:footnote>
  <w:footnote w:id="11">
    <w:p w:rsidR="0078019A" w:rsidRPr="004507DA" w:rsidRDefault="0078019A" w:rsidP="00AD1C63">
      <w:pPr>
        <w:pStyle w:val="FootnoteText"/>
        <w:rPr>
          <w:rFonts w:ascii="Times New Roman" w:hAnsi="Times New Roman" w:cs="Times New Roman"/>
          <w:lang w:val="en-GB"/>
        </w:rPr>
      </w:pPr>
      <w:r>
        <w:rPr>
          <w:rStyle w:val="FootnoteReference"/>
        </w:rPr>
        <w:footnoteRef/>
      </w:r>
      <w:r>
        <w:t xml:space="preserve"> </w:t>
      </w:r>
      <w:r w:rsidRPr="00BC4ED4">
        <w:rPr>
          <w:rFonts w:ascii="Times New Roman" w:hAnsi="Times New Roman" w:cs="Times New Roman"/>
        </w:rPr>
        <w:t xml:space="preserve">Witteveen benoemt </w:t>
      </w:r>
      <w:r>
        <w:rPr>
          <w:rFonts w:ascii="Times New Roman" w:hAnsi="Times New Roman" w:cs="Times New Roman"/>
        </w:rPr>
        <w:t xml:space="preserve">een deel van de </w:t>
      </w:r>
      <w:r w:rsidRPr="00BC4ED4">
        <w:rPr>
          <w:rFonts w:ascii="Times New Roman" w:hAnsi="Times New Roman" w:cs="Times New Roman"/>
        </w:rPr>
        <w:t>hier be</w:t>
      </w:r>
      <w:r>
        <w:rPr>
          <w:rFonts w:ascii="Times New Roman" w:hAnsi="Times New Roman" w:cs="Times New Roman"/>
        </w:rPr>
        <w:t>doelde b</w:t>
      </w:r>
      <w:r w:rsidRPr="00BC4ED4">
        <w:rPr>
          <w:rFonts w:ascii="Times New Roman" w:hAnsi="Times New Roman" w:cs="Times New Roman"/>
        </w:rPr>
        <w:t>elang</w:t>
      </w:r>
      <w:r>
        <w:rPr>
          <w:rFonts w:ascii="Times New Roman" w:hAnsi="Times New Roman" w:cs="Times New Roman"/>
        </w:rPr>
        <w:t xml:space="preserve">en tezamen </w:t>
      </w:r>
      <w:r w:rsidRPr="00BC4ED4">
        <w:rPr>
          <w:rFonts w:ascii="Times New Roman" w:hAnsi="Times New Roman" w:cs="Times New Roman"/>
        </w:rPr>
        <w:t xml:space="preserve">in termen van duurzaamheid van wetgeving. Zie daarvoor </w:t>
      </w:r>
      <w:proofErr w:type="spellStart"/>
      <w:r w:rsidRPr="00BC4ED4">
        <w:rPr>
          <w:rFonts w:ascii="Times New Roman" w:hAnsi="Times New Roman" w:cs="Times New Roman"/>
        </w:rPr>
        <w:t>W.J.Witteveen</w:t>
      </w:r>
      <w:proofErr w:type="spellEnd"/>
      <w:r w:rsidRPr="00BC4ED4">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hfst</w:t>
      </w:r>
      <w:proofErr w:type="spellEnd"/>
      <w:r>
        <w:rPr>
          <w:rFonts w:ascii="Times New Roman" w:hAnsi="Times New Roman" w:cs="Times New Roman"/>
        </w:rPr>
        <w:t xml:space="preserve">. 24-26 en in </w:t>
      </w:r>
      <w:r w:rsidRPr="004507DA">
        <w:rPr>
          <w:rFonts w:ascii="Times New Roman" w:hAnsi="Times New Roman" w:cs="Times New Roman"/>
          <w:i/>
        </w:rPr>
        <w:t>De wet als kunstwerk</w:t>
      </w:r>
      <w:r w:rsidRPr="00BC4ED4">
        <w:rPr>
          <w:rFonts w:ascii="Times New Roman" w:hAnsi="Times New Roman" w:cs="Times New Roman"/>
        </w:rPr>
        <w:t>, Amsterdam: Boom 2014</w:t>
      </w:r>
      <w:r>
        <w:rPr>
          <w:rFonts w:ascii="Times New Roman" w:hAnsi="Times New Roman" w:cs="Times New Roman"/>
        </w:rPr>
        <w:t>,</w:t>
      </w:r>
      <w:r w:rsidRPr="004507DA">
        <w:rPr>
          <w:rFonts w:ascii="Times New Roman" w:hAnsi="Times New Roman" w:cs="Times New Roman"/>
        </w:rPr>
        <w:t xml:space="preserve"> </w:t>
      </w:r>
      <w:proofErr w:type="spellStart"/>
      <w:r>
        <w:rPr>
          <w:rFonts w:ascii="Times New Roman" w:hAnsi="Times New Roman" w:cs="Times New Roman"/>
        </w:rPr>
        <w:t>hfst</w:t>
      </w:r>
      <w:proofErr w:type="spellEnd"/>
      <w:r>
        <w:rPr>
          <w:rFonts w:ascii="Times New Roman" w:hAnsi="Times New Roman" w:cs="Times New Roman"/>
        </w:rPr>
        <w:t xml:space="preserve">. </w:t>
      </w:r>
      <w:r w:rsidRPr="000F3196">
        <w:rPr>
          <w:rFonts w:ascii="Times New Roman" w:hAnsi="Times New Roman" w:cs="Times New Roman"/>
          <w:lang w:val="en-GB"/>
        </w:rPr>
        <w:t xml:space="preserve">24-26. </w:t>
      </w:r>
      <w:proofErr w:type="spellStart"/>
      <w:r w:rsidRPr="004507DA">
        <w:rPr>
          <w:rFonts w:ascii="Times New Roman" w:hAnsi="Times New Roman" w:cs="Times New Roman"/>
          <w:lang w:val="en-GB"/>
        </w:rPr>
        <w:t>Dit</w:t>
      </w:r>
      <w:proofErr w:type="spellEnd"/>
      <w:r w:rsidRPr="004507DA">
        <w:rPr>
          <w:rFonts w:ascii="Times New Roman" w:hAnsi="Times New Roman" w:cs="Times New Roman"/>
          <w:lang w:val="en-GB"/>
        </w:rPr>
        <w:t xml:space="preserve"> </w:t>
      </w:r>
      <w:proofErr w:type="spellStart"/>
      <w:r w:rsidRPr="004507DA">
        <w:rPr>
          <w:rFonts w:ascii="Times New Roman" w:hAnsi="Times New Roman" w:cs="Times New Roman"/>
          <w:lang w:val="en-GB"/>
        </w:rPr>
        <w:t>geldt</w:t>
      </w:r>
      <w:proofErr w:type="spellEnd"/>
      <w:r w:rsidRPr="004507DA">
        <w:rPr>
          <w:rFonts w:ascii="Times New Roman" w:hAnsi="Times New Roman" w:cs="Times New Roman"/>
          <w:lang w:val="en-GB"/>
        </w:rPr>
        <w:t xml:space="preserve"> </w:t>
      </w:r>
      <w:proofErr w:type="spellStart"/>
      <w:r w:rsidRPr="004507DA">
        <w:rPr>
          <w:rFonts w:ascii="Times New Roman" w:hAnsi="Times New Roman" w:cs="Times New Roman"/>
          <w:lang w:val="en-GB"/>
        </w:rPr>
        <w:t>ook</w:t>
      </w:r>
      <w:proofErr w:type="spellEnd"/>
      <w:r w:rsidRPr="004507DA">
        <w:rPr>
          <w:rFonts w:ascii="Times New Roman" w:hAnsi="Times New Roman" w:cs="Times New Roman"/>
          <w:lang w:val="en-GB"/>
        </w:rPr>
        <w:t xml:space="preserve"> </w:t>
      </w:r>
      <w:proofErr w:type="spellStart"/>
      <w:r w:rsidRPr="004507DA">
        <w:rPr>
          <w:rFonts w:ascii="Times New Roman" w:hAnsi="Times New Roman" w:cs="Times New Roman"/>
          <w:lang w:val="en-GB"/>
        </w:rPr>
        <w:t>voor</w:t>
      </w:r>
      <w:proofErr w:type="spellEnd"/>
      <w:r w:rsidRPr="004507DA">
        <w:rPr>
          <w:rFonts w:ascii="Times New Roman" w:hAnsi="Times New Roman" w:cs="Times New Roman"/>
          <w:lang w:val="en-GB"/>
        </w:rPr>
        <w:t xml:space="preserve"> </w:t>
      </w:r>
      <w:r>
        <w:rPr>
          <w:rFonts w:ascii="Times New Roman" w:hAnsi="Times New Roman" w:cs="Times New Roman"/>
          <w:lang w:val="en-GB"/>
        </w:rPr>
        <w:t xml:space="preserve">Fuller, in </w:t>
      </w:r>
      <w:proofErr w:type="spellStart"/>
      <w:r w:rsidRPr="004507DA">
        <w:rPr>
          <w:rFonts w:ascii="Times New Roman" w:hAnsi="Times New Roman" w:cs="Times New Roman"/>
          <w:lang w:val="en-GB"/>
        </w:rPr>
        <w:t>L.Fuller</w:t>
      </w:r>
      <w:proofErr w:type="spellEnd"/>
      <w:r w:rsidRPr="004507DA">
        <w:rPr>
          <w:rFonts w:ascii="Times New Roman" w:hAnsi="Times New Roman" w:cs="Times New Roman"/>
          <w:lang w:val="en-GB"/>
        </w:rPr>
        <w:t xml:space="preserve">, </w:t>
      </w:r>
      <w:r w:rsidRPr="0078019A">
        <w:rPr>
          <w:rFonts w:ascii="Times New Roman" w:hAnsi="Times New Roman" w:cs="Times New Roman"/>
          <w:i/>
          <w:lang w:val="en-GB"/>
        </w:rPr>
        <w:t>The Morality of Law</w:t>
      </w:r>
      <w:r w:rsidRPr="004507DA">
        <w:rPr>
          <w:rFonts w:ascii="Times New Roman" w:hAnsi="Times New Roman" w:cs="Times New Roman"/>
          <w:lang w:val="en-GB"/>
        </w:rPr>
        <w:t xml:space="preserve">, </w:t>
      </w:r>
      <w:r w:rsidRPr="00AD1C63">
        <w:rPr>
          <w:rFonts w:ascii="Times New Roman" w:hAnsi="Times New Roman" w:cs="Times New Roman"/>
          <w:lang w:val="en-GB"/>
        </w:rPr>
        <w:t>New Hav</w:t>
      </w:r>
      <w:r>
        <w:rPr>
          <w:rFonts w:ascii="Times New Roman" w:hAnsi="Times New Roman" w:cs="Times New Roman"/>
          <w:lang w:val="en-GB"/>
        </w:rPr>
        <w:t>en/</w:t>
      </w:r>
      <w:proofErr w:type="spellStart"/>
      <w:r>
        <w:rPr>
          <w:rFonts w:ascii="Times New Roman" w:hAnsi="Times New Roman" w:cs="Times New Roman"/>
          <w:lang w:val="en-GB"/>
        </w:rPr>
        <w:t>Londen</w:t>
      </w:r>
      <w:proofErr w:type="spellEnd"/>
      <w:r>
        <w:rPr>
          <w:rFonts w:ascii="Times New Roman" w:hAnsi="Times New Roman" w:cs="Times New Roman"/>
          <w:lang w:val="en-GB"/>
        </w:rPr>
        <w:t>: Yale University Press, 1969, p. 80.</w:t>
      </w:r>
    </w:p>
  </w:footnote>
  <w:footnote w:id="12">
    <w:p w:rsidR="0078019A" w:rsidRDefault="0078019A" w:rsidP="00E24B16">
      <w:pPr>
        <w:pStyle w:val="FootnoteText"/>
      </w:pPr>
      <w:r w:rsidRPr="002267BC">
        <w:rPr>
          <w:rStyle w:val="FootnoteReference"/>
          <w:rFonts w:ascii="Times New Roman" w:hAnsi="Times New Roman"/>
        </w:rPr>
        <w:footnoteRef/>
      </w:r>
      <w:r w:rsidRPr="002267BC">
        <w:rPr>
          <w:rFonts w:ascii="Times New Roman" w:hAnsi="Times New Roman" w:cs="Times New Roman"/>
        </w:rPr>
        <w:t xml:space="preserve"> Daarbij </w:t>
      </w:r>
      <w:r w:rsidRPr="002267BC">
        <w:rPr>
          <w:rFonts w:ascii="Times New Roman" w:eastAsia="MS Mincho" w:hAnsi="Times New Roman" w:cs="Times New Roman"/>
          <w:color w:val="000000"/>
          <w:shd w:val="clear" w:color="auto" w:fill="FFFFFF"/>
          <w:lang w:eastAsia="nl-NL"/>
        </w:rPr>
        <w:t xml:space="preserve">moet al bij voorbaat worden aangegeven dat het materiaal waarop deze bijdrage is gebaseerd is beperkt tot </w:t>
      </w:r>
      <w:proofErr w:type="spellStart"/>
      <w:r w:rsidRPr="002267BC">
        <w:rPr>
          <w:rFonts w:ascii="Times New Roman" w:eastAsia="MS Mincho" w:hAnsi="Times New Roman" w:cs="Times New Roman"/>
          <w:color w:val="000000"/>
          <w:shd w:val="clear" w:color="auto" w:fill="FFFFFF"/>
          <w:lang w:eastAsia="nl-NL"/>
        </w:rPr>
        <w:t>tot</w:t>
      </w:r>
      <w:proofErr w:type="spellEnd"/>
      <w:r w:rsidRPr="002267BC">
        <w:rPr>
          <w:rFonts w:ascii="Times New Roman" w:eastAsia="MS Mincho" w:hAnsi="Times New Roman" w:cs="Times New Roman"/>
          <w:color w:val="000000"/>
          <w:shd w:val="clear" w:color="auto" w:fill="FFFFFF"/>
          <w:lang w:eastAsia="nl-NL"/>
        </w:rPr>
        <w:t xml:space="preserve"> nu toe gepubliceerde documenten,</w:t>
      </w:r>
      <w:r>
        <w:rPr>
          <w:rFonts w:ascii="Times New Roman" w:eastAsia="MS Mincho" w:hAnsi="Times New Roman" w:cs="Times New Roman"/>
          <w:color w:val="000000"/>
          <w:shd w:val="clear" w:color="auto" w:fill="FFFFFF"/>
          <w:lang w:eastAsia="nl-NL"/>
        </w:rPr>
        <w:t xml:space="preserve"> </w:t>
      </w:r>
      <w:r w:rsidRPr="002267BC">
        <w:rPr>
          <w:rFonts w:ascii="Times New Roman" w:eastAsia="MS Mincho" w:hAnsi="Times New Roman" w:cs="Times New Roman"/>
          <w:color w:val="000000"/>
          <w:shd w:val="clear" w:color="auto" w:fill="FFFFFF"/>
          <w:lang w:eastAsia="nl-NL"/>
        </w:rPr>
        <w:t>hetgeen het risico met zich meebrengt dat de werkers in het vooronder een deel van de gesignaleerde aspecten reeds heeft opgepakt.</w:t>
      </w:r>
    </w:p>
  </w:footnote>
  <w:footnote w:id="13">
    <w:p w:rsidR="0078019A" w:rsidRPr="00D11F08" w:rsidRDefault="0078019A">
      <w:pPr>
        <w:pStyle w:val="FootnoteText"/>
        <w:rPr>
          <w:rFonts w:ascii="Times New Roman" w:hAnsi="Times New Roman" w:cs="Times New Roman"/>
        </w:rPr>
      </w:pPr>
      <w:r w:rsidRPr="00D11F08">
        <w:rPr>
          <w:rStyle w:val="FootnoteReference"/>
          <w:rFonts w:ascii="Times New Roman" w:hAnsi="Times New Roman"/>
        </w:rPr>
        <w:footnoteRef/>
      </w:r>
      <w:r w:rsidRPr="00D11F08">
        <w:rPr>
          <w:rFonts w:ascii="Times New Roman" w:hAnsi="Times New Roman" w:cs="Times New Roman"/>
        </w:rPr>
        <w:t xml:space="preserve"> Zie hier</w:t>
      </w:r>
      <w:r>
        <w:rPr>
          <w:rFonts w:ascii="Times New Roman" w:hAnsi="Times New Roman" w:cs="Times New Roman"/>
        </w:rPr>
        <w:t xml:space="preserve">over </w:t>
      </w:r>
      <w:r w:rsidRPr="00D11F08">
        <w:rPr>
          <w:rFonts w:ascii="Times New Roman" w:hAnsi="Times New Roman" w:cs="Times New Roman"/>
        </w:rPr>
        <w:t xml:space="preserve">onder meer C.P.M. Cleiren, </w:t>
      </w:r>
      <w:r w:rsidRPr="00D11F08">
        <w:rPr>
          <w:rFonts w:ascii="Times New Roman" w:hAnsi="Times New Roman" w:cs="Times New Roman"/>
          <w:i/>
        </w:rPr>
        <w:t>De openheid van de wet, de geslotenheid van het recht</w:t>
      </w:r>
      <w:r w:rsidRPr="00D11F08">
        <w:rPr>
          <w:rFonts w:ascii="Times New Roman" w:hAnsi="Times New Roman" w:cs="Times New Roman"/>
        </w:rPr>
        <w:t>, Arnhem: Gouda Quint 1992.</w:t>
      </w:r>
    </w:p>
  </w:footnote>
  <w:footnote w:id="14">
    <w:p w:rsidR="0078019A" w:rsidRDefault="0078019A">
      <w:pPr>
        <w:pStyle w:val="FootnoteText"/>
      </w:pPr>
      <w:r>
        <w:rPr>
          <w:rStyle w:val="FootnoteReference"/>
        </w:rPr>
        <w:footnoteRef/>
      </w:r>
      <w:r>
        <w:t xml:space="preserve"> </w:t>
      </w:r>
      <w:r w:rsidRPr="00D11F08">
        <w:rPr>
          <w:rFonts w:ascii="Times New Roman" w:hAnsi="Times New Roman" w:cs="Times New Roman"/>
        </w:rPr>
        <w:t>Zie hier</w:t>
      </w:r>
      <w:r>
        <w:rPr>
          <w:rFonts w:ascii="Times New Roman" w:hAnsi="Times New Roman" w:cs="Times New Roman"/>
        </w:rPr>
        <w:t xml:space="preserve">over </w:t>
      </w:r>
      <w:r w:rsidRPr="00D11F08">
        <w:rPr>
          <w:rFonts w:ascii="Times New Roman" w:hAnsi="Times New Roman" w:cs="Times New Roman"/>
        </w:rPr>
        <w:t>onder meer C.P.M. Cleiren</w:t>
      </w:r>
      <w:r>
        <w:rPr>
          <w:rFonts w:ascii="Times New Roman" w:hAnsi="Times New Roman" w:cs="Times New Roman"/>
        </w:rPr>
        <w:t xml:space="preserve">, </w:t>
      </w:r>
      <w:r w:rsidRPr="000B1073">
        <w:rPr>
          <w:rFonts w:ascii="Times New Roman" w:hAnsi="Times New Roman" w:cs="Times New Roman"/>
          <w:i/>
        </w:rPr>
        <w:t>Evolueren naar meer horizontale en multidimensionale verhoudingen in het strafrecht</w:t>
      </w:r>
      <w:r>
        <w:rPr>
          <w:rFonts w:ascii="Times New Roman" w:hAnsi="Times New Roman" w:cs="Times New Roman"/>
        </w:rPr>
        <w:t>, Mechelen: Wolters Kluwer 2010.</w:t>
      </w:r>
    </w:p>
  </w:footnote>
  <w:footnote w:id="15">
    <w:p w:rsidR="0078019A" w:rsidRDefault="0078019A" w:rsidP="00D94CD9">
      <w:pPr>
        <w:pStyle w:val="FootnoteText1"/>
      </w:pPr>
      <w:r w:rsidRPr="004E1C6A">
        <w:rPr>
          <w:rStyle w:val="FootnoteReference"/>
          <w:rFonts w:ascii="Times New Roman" w:hAnsi="Times New Roman"/>
        </w:rPr>
        <w:footnoteRef/>
      </w:r>
      <w:r w:rsidRPr="004E1C6A">
        <w:rPr>
          <w:rFonts w:ascii="Times New Roman" w:hAnsi="Times New Roman"/>
        </w:rPr>
        <w:t xml:space="preserve"> Met het oog op de doelstelling van deze bijdrage komen deze laatstgenoemde aspecten </w:t>
      </w:r>
      <w:r>
        <w:rPr>
          <w:rFonts w:ascii="Times New Roman" w:hAnsi="Times New Roman"/>
        </w:rPr>
        <w:t xml:space="preserve">niet expliciet </w:t>
      </w:r>
      <w:r w:rsidRPr="004E1C6A">
        <w:rPr>
          <w:rFonts w:ascii="Times New Roman" w:hAnsi="Times New Roman"/>
        </w:rPr>
        <w:t xml:space="preserve">aan bod. </w:t>
      </w:r>
    </w:p>
  </w:footnote>
  <w:footnote w:id="16">
    <w:p w:rsidR="0078019A" w:rsidRPr="00622959" w:rsidRDefault="0078019A">
      <w:pPr>
        <w:pStyle w:val="FootnoteText"/>
        <w:rPr>
          <w:rFonts w:ascii="Times New Roman" w:hAnsi="Times New Roman" w:cs="Times New Roman"/>
        </w:rPr>
      </w:pPr>
      <w:r w:rsidRPr="00622959">
        <w:rPr>
          <w:rStyle w:val="FootnoteReference"/>
          <w:rFonts w:ascii="Times New Roman" w:hAnsi="Times New Roman"/>
        </w:rPr>
        <w:footnoteRef/>
      </w:r>
      <w:r w:rsidRPr="00622959">
        <w:rPr>
          <w:rFonts w:ascii="Times New Roman" w:hAnsi="Times New Roman" w:cs="Times New Roman"/>
        </w:rPr>
        <w:t xml:space="preserve"> </w:t>
      </w:r>
      <w:r>
        <w:rPr>
          <w:rFonts w:ascii="Times New Roman" w:hAnsi="Times New Roman" w:cs="Times New Roman"/>
        </w:rPr>
        <w:t xml:space="preserve">Kamerstukken II 1977-1978, 15 046, nr. 3 Bijl. II Nader rapport, p. 11. Zie voor een interpretatie van codificatie ook Willem Witteveen, </w:t>
      </w:r>
      <w:r w:rsidRPr="00E25BD3">
        <w:rPr>
          <w:rFonts w:ascii="Times New Roman" w:hAnsi="Times New Roman" w:cs="Times New Roman"/>
          <w:i/>
        </w:rPr>
        <w:t>De wet als kunstwerk</w:t>
      </w:r>
      <w:r>
        <w:rPr>
          <w:rFonts w:ascii="Times New Roman" w:hAnsi="Times New Roman" w:cs="Times New Roman"/>
        </w:rPr>
        <w:t xml:space="preserve">, Amsterdam: Boom 2014, p. 234-235 en </w:t>
      </w:r>
      <w:r w:rsidRPr="00622959">
        <w:rPr>
          <w:rFonts w:ascii="Times New Roman" w:hAnsi="Times New Roman" w:cs="Times New Roman"/>
        </w:rPr>
        <w:t xml:space="preserve">J.F. Nijboer, </w:t>
      </w:r>
      <w:r w:rsidRPr="00622959">
        <w:rPr>
          <w:rFonts w:ascii="Times New Roman" w:hAnsi="Times New Roman" w:cs="Times New Roman"/>
          <w:i/>
        </w:rPr>
        <w:t>De doolhof van de Nederlandse strafwetgeving</w:t>
      </w:r>
      <w:r w:rsidRPr="00622959">
        <w:rPr>
          <w:rFonts w:ascii="Times New Roman" w:hAnsi="Times New Roman" w:cs="Times New Roman"/>
        </w:rPr>
        <w:t>, Groningen</w:t>
      </w:r>
      <w:r>
        <w:rPr>
          <w:rFonts w:ascii="Times New Roman" w:hAnsi="Times New Roman" w:cs="Times New Roman"/>
        </w:rPr>
        <w:t xml:space="preserve">: Wolters-Noordhoff </w:t>
      </w:r>
      <w:r w:rsidRPr="00622959">
        <w:rPr>
          <w:rFonts w:ascii="Times New Roman" w:hAnsi="Times New Roman" w:cs="Times New Roman"/>
        </w:rPr>
        <w:t>1987,</w:t>
      </w:r>
      <w:r>
        <w:rPr>
          <w:rFonts w:ascii="Times New Roman" w:hAnsi="Times New Roman" w:cs="Times New Roman"/>
        </w:rPr>
        <w:t xml:space="preserve"> </w:t>
      </w:r>
      <w:proofErr w:type="spellStart"/>
      <w:r w:rsidRPr="00622959">
        <w:rPr>
          <w:rFonts w:ascii="Times New Roman" w:hAnsi="Times New Roman" w:cs="Times New Roman"/>
        </w:rPr>
        <w:t>hfst</w:t>
      </w:r>
      <w:proofErr w:type="spellEnd"/>
      <w:r>
        <w:rPr>
          <w:rFonts w:ascii="Times New Roman" w:hAnsi="Times New Roman" w:cs="Times New Roman"/>
        </w:rPr>
        <w:t xml:space="preserve">. </w:t>
      </w:r>
      <w:r w:rsidRPr="00622959">
        <w:rPr>
          <w:rFonts w:ascii="Times New Roman" w:hAnsi="Times New Roman" w:cs="Times New Roman"/>
        </w:rPr>
        <w:t xml:space="preserve">2, i.h.b. pag. 43. </w:t>
      </w:r>
    </w:p>
  </w:footnote>
  <w:footnote w:id="17">
    <w:p w:rsidR="0078019A" w:rsidRPr="00622959" w:rsidRDefault="0078019A">
      <w:pPr>
        <w:pStyle w:val="FootnoteText"/>
        <w:rPr>
          <w:rFonts w:ascii="Times New Roman" w:hAnsi="Times New Roman" w:cs="Times New Roman"/>
        </w:rPr>
      </w:pPr>
      <w:r w:rsidRPr="00622959">
        <w:rPr>
          <w:rStyle w:val="FootnoteReference"/>
          <w:rFonts w:ascii="Times New Roman" w:hAnsi="Times New Roman"/>
        </w:rPr>
        <w:footnoteRef/>
      </w:r>
      <w:r w:rsidRPr="00622959">
        <w:rPr>
          <w:rFonts w:ascii="Times New Roman" w:hAnsi="Times New Roman" w:cs="Times New Roman"/>
        </w:rPr>
        <w:t xml:space="preserve"> </w:t>
      </w:r>
      <w:r>
        <w:rPr>
          <w:rFonts w:ascii="Times New Roman" w:hAnsi="Times New Roman" w:cs="Times New Roman"/>
        </w:rPr>
        <w:t xml:space="preserve">Zie de bijdragen in </w:t>
      </w:r>
      <w:r w:rsidRPr="00617308">
        <w:rPr>
          <w:rFonts w:ascii="Times New Roman" w:hAnsi="Times New Roman" w:cs="Times New Roman"/>
          <w:i/>
        </w:rPr>
        <w:t xml:space="preserve">D.R. Doorenbos, </w:t>
      </w:r>
      <w:proofErr w:type="spellStart"/>
      <w:r w:rsidRPr="00617308">
        <w:rPr>
          <w:rFonts w:ascii="Times New Roman" w:hAnsi="Times New Roman" w:cs="Times New Roman"/>
          <w:i/>
        </w:rPr>
        <w:t>R.J.Verwij</w:t>
      </w:r>
      <w:proofErr w:type="spellEnd"/>
      <w:r w:rsidRPr="00617308">
        <w:rPr>
          <w:rFonts w:ascii="Times New Roman" w:hAnsi="Times New Roman" w:cs="Times New Roman"/>
          <w:i/>
        </w:rPr>
        <w:t xml:space="preserve"> (red.) </w:t>
      </w:r>
      <w:proofErr w:type="spellStart"/>
      <w:r w:rsidRPr="00617308">
        <w:rPr>
          <w:rFonts w:ascii="Times New Roman" w:hAnsi="Times New Roman" w:cs="Times New Roman"/>
          <w:i/>
        </w:rPr>
        <w:t>Hercodificatie</w:t>
      </w:r>
      <w:proofErr w:type="spellEnd"/>
      <w:r w:rsidRPr="00617308">
        <w:rPr>
          <w:rFonts w:ascii="Times New Roman" w:hAnsi="Times New Roman" w:cs="Times New Roman"/>
          <w:i/>
        </w:rPr>
        <w:t xml:space="preserve"> Wetboek van Strafvordering, Tijd voor een herziening?</w:t>
      </w:r>
      <w:r w:rsidRPr="00622959">
        <w:rPr>
          <w:rFonts w:ascii="Times New Roman" w:hAnsi="Times New Roman" w:cs="Times New Roman"/>
        </w:rPr>
        <w:t xml:space="preserve"> Nijmegen</w:t>
      </w:r>
      <w:r>
        <w:rPr>
          <w:rFonts w:ascii="Times New Roman" w:hAnsi="Times New Roman" w:cs="Times New Roman"/>
        </w:rPr>
        <w:t>:</w:t>
      </w:r>
      <w:r w:rsidRPr="00622959">
        <w:rPr>
          <w:rFonts w:ascii="Times New Roman" w:hAnsi="Times New Roman" w:cs="Times New Roman"/>
        </w:rPr>
        <w:t xml:space="preserve"> Ars </w:t>
      </w:r>
      <w:proofErr w:type="spellStart"/>
      <w:r w:rsidRPr="00622959">
        <w:rPr>
          <w:rFonts w:ascii="Times New Roman" w:hAnsi="Times New Roman" w:cs="Times New Roman"/>
        </w:rPr>
        <w:t>Aequi</w:t>
      </w:r>
      <w:proofErr w:type="spellEnd"/>
      <w:r w:rsidRPr="00622959">
        <w:rPr>
          <w:rFonts w:ascii="Times New Roman" w:hAnsi="Times New Roman" w:cs="Times New Roman"/>
        </w:rPr>
        <w:t xml:space="preserve"> </w:t>
      </w:r>
      <w:proofErr w:type="spellStart"/>
      <w:r w:rsidRPr="00622959">
        <w:rPr>
          <w:rFonts w:ascii="Times New Roman" w:hAnsi="Times New Roman" w:cs="Times New Roman"/>
        </w:rPr>
        <w:t>Libri</w:t>
      </w:r>
      <w:proofErr w:type="spellEnd"/>
      <w:r w:rsidRPr="00622959">
        <w:rPr>
          <w:rFonts w:ascii="Times New Roman" w:hAnsi="Times New Roman" w:cs="Times New Roman"/>
        </w:rPr>
        <w:t xml:space="preserve">, 1991. </w:t>
      </w:r>
    </w:p>
  </w:footnote>
  <w:footnote w:id="18">
    <w:p w:rsidR="0078019A" w:rsidRPr="00617308" w:rsidRDefault="0078019A">
      <w:pPr>
        <w:pStyle w:val="FootnoteText"/>
        <w:rPr>
          <w:rFonts w:ascii="Times New Roman" w:hAnsi="Times New Roman" w:cs="Times New Roman"/>
        </w:rPr>
      </w:pPr>
      <w:r w:rsidRPr="00617308">
        <w:rPr>
          <w:rStyle w:val="FootnoteReference"/>
          <w:rFonts w:ascii="Times New Roman" w:hAnsi="Times New Roman"/>
        </w:rPr>
        <w:footnoteRef/>
      </w:r>
      <w:r>
        <w:rPr>
          <w:rFonts w:ascii="Times New Roman" w:hAnsi="Times New Roman" w:cs="Times New Roman"/>
        </w:rPr>
        <w:t xml:space="preserve"> Zie de bijdragen van E.M.H. Hirsch Ballin en L.C.M. Meijers in </w:t>
      </w:r>
      <w:r w:rsidRPr="00622959">
        <w:rPr>
          <w:rFonts w:ascii="Times New Roman" w:hAnsi="Times New Roman" w:cs="Times New Roman"/>
        </w:rPr>
        <w:t>D.R.</w:t>
      </w:r>
      <w:r>
        <w:rPr>
          <w:rFonts w:ascii="Times New Roman" w:hAnsi="Times New Roman" w:cs="Times New Roman"/>
        </w:rPr>
        <w:t xml:space="preserve"> </w:t>
      </w:r>
      <w:r w:rsidRPr="00622959">
        <w:rPr>
          <w:rFonts w:ascii="Times New Roman" w:hAnsi="Times New Roman" w:cs="Times New Roman"/>
        </w:rPr>
        <w:t xml:space="preserve">Doorenbos, </w:t>
      </w:r>
      <w:proofErr w:type="spellStart"/>
      <w:r w:rsidRPr="00622959">
        <w:rPr>
          <w:rFonts w:ascii="Times New Roman" w:hAnsi="Times New Roman" w:cs="Times New Roman"/>
        </w:rPr>
        <w:t>R.J.Verwij</w:t>
      </w:r>
      <w:proofErr w:type="spellEnd"/>
      <w:r>
        <w:rPr>
          <w:rFonts w:ascii="Times New Roman" w:hAnsi="Times New Roman" w:cs="Times New Roman"/>
        </w:rPr>
        <w:t xml:space="preserve"> </w:t>
      </w:r>
      <w:r w:rsidRPr="00622959">
        <w:rPr>
          <w:rFonts w:ascii="Times New Roman" w:hAnsi="Times New Roman" w:cs="Times New Roman"/>
        </w:rPr>
        <w:t xml:space="preserve">(red.) </w:t>
      </w:r>
      <w:proofErr w:type="spellStart"/>
      <w:r w:rsidRPr="00617308">
        <w:rPr>
          <w:rFonts w:ascii="Times New Roman" w:hAnsi="Times New Roman" w:cs="Times New Roman"/>
          <w:i/>
        </w:rPr>
        <w:t>Hercodificatie</w:t>
      </w:r>
      <w:proofErr w:type="spellEnd"/>
      <w:r w:rsidRPr="00617308">
        <w:rPr>
          <w:rFonts w:ascii="Times New Roman" w:hAnsi="Times New Roman" w:cs="Times New Roman"/>
          <w:i/>
        </w:rPr>
        <w:t xml:space="preserve"> Wetboek van Strafvordering, Tijd voor een herziening?</w:t>
      </w:r>
      <w:r w:rsidRPr="00622959">
        <w:rPr>
          <w:rFonts w:ascii="Times New Roman" w:hAnsi="Times New Roman" w:cs="Times New Roman"/>
        </w:rPr>
        <w:t xml:space="preserve"> Nijmegen</w:t>
      </w:r>
      <w:r>
        <w:rPr>
          <w:rFonts w:ascii="Times New Roman" w:hAnsi="Times New Roman" w:cs="Times New Roman"/>
        </w:rPr>
        <w:t xml:space="preserve">: </w:t>
      </w:r>
      <w:r w:rsidRPr="00622959">
        <w:rPr>
          <w:rFonts w:ascii="Times New Roman" w:hAnsi="Times New Roman" w:cs="Times New Roman"/>
        </w:rPr>
        <w:t xml:space="preserve">Ars </w:t>
      </w:r>
      <w:proofErr w:type="spellStart"/>
      <w:r w:rsidRPr="00622959">
        <w:rPr>
          <w:rFonts w:ascii="Times New Roman" w:hAnsi="Times New Roman" w:cs="Times New Roman"/>
        </w:rPr>
        <w:t>Aequi</w:t>
      </w:r>
      <w:proofErr w:type="spellEnd"/>
      <w:r w:rsidRPr="00622959">
        <w:rPr>
          <w:rFonts w:ascii="Times New Roman" w:hAnsi="Times New Roman" w:cs="Times New Roman"/>
        </w:rPr>
        <w:t xml:space="preserve"> </w:t>
      </w:r>
      <w:proofErr w:type="spellStart"/>
      <w:r w:rsidRPr="00622959">
        <w:rPr>
          <w:rFonts w:ascii="Times New Roman" w:hAnsi="Times New Roman" w:cs="Times New Roman"/>
        </w:rPr>
        <w:t>Libri</w:t>
      </w:r>
      <w:proofErr w:type="spellEnd"/>
      <w:r w:rsidRPr="00622959">
        <w:rPr>
          <w:rFonts w:ascii="Times New Roman" w:hAnsi="Times New Roman" w:cs="Times New Roman"/>
        </w:rPr>
        <w:t>, 1991</w:t>
      </w:r>
      <w:r>
        <w:rPr>
          <w:rFonts w:ascii="Times New Roman" w:hAnsi="Times New Roman" w:cs="Times New Roman"/>
        </w:rPr>
        <w:t>, p. 14-34, resp. p. 61-68.</w:t>
      </w:r>
      <w:r w:rsidRPr="00617308">
        <w:rPr>
          <w:rFonts w:ascii="Times New Roman" w:hAnsi="Times New Roman" w:cs="Times New Roman"/>
        </w:rPr>
        <w:t xml:space="preserve"> </w:t>
      </w:r>
    </w:p>
  </w:footnote>
  <w:footnote w:id="19">
    <w:p w:rsidR="0078019A" w:rsidRPr="00622959" w:rsidRDefault="0078019A" w:rsidP="00617308">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sidRPr="00622959">
        <w:rPr>
          <w:rFonts w:ascii="Times New Roman" w:hAnsi="Times New Roman" w:cs="Times New Roman"/>
          <w:sz w:val="20"/>
          <w:szCs w:val="20"/>
        </w:rPr>
        <w:t>Naar de Commissie herijking Wetboek van Strafvordering, de commissie Moons</w:t>
      </w:r>
      <w:r>
        <w:rPr>
          <w:rFonts w:ascii="Times New Roman" w:hAnsi="Times New Roman" w:cs="Times New Roman"/>
          <w:sz w:val="20"/>
          <w:szCs w:val="20"/>
        </w:rPr>
        <w:t>.</w:t>
      </w:r>
      <w:r w:rsidRPr="00622959">
        <w:rPr>
          <w:rFonts w:ascii="Times New Roman" w:hAnsi="Times New Roman" w:cs="Times New Roman"/>
          <w:sz w:val="20"/>
          <w:szCs w:val="20"/>
        </w:rPr>
        <w:t xml:space="preserve"> De</w:t>
      </w:r>
      <w:r>
        <w:rPr>
          <w:rFonts w:ascii="Times New Roman" w:hAnsi="Times New Roman" w:cs="Times New Roman"/>
          <w:sz w:val="20"/>
          <w:szCs w:val="20"/>
        </w:rPr>
        <w:t>ze</w:t>
      </w:r>
      <w:r w:rsidRPr="00622959">
        <w:rPr>
          <w:rFonts w:ascii="Times New Roman" w:hAnsi="Times New Roman" w:cs="Times New Roman"/>
          <w:sz w:val="20"/>
          <w:szCs w:val="20"/>
        </w:rPr>
        <w:t xml:space="preserve"> Commissie werd in oktober 1988 geïnstalleerd met bedoeling na te gaan of het </w:t>
      </w:r>
      <w:proofErr w:type="spellStart"/>
      <w:r w:rsidRPr="00622959">
        <w:rPr>
          <w:rFonts w:ascii="Times New Roman" w:hAnsi="Times New Roman" w:cs="Times New Roman"/>
          <w:sz w:val="20"/>
          <w:szCs w:val="20"/>
        </w:rPr>
        <w:t>WvSv</w:t>
      </w:r>
      <w:proofErr w:type="spellEnd"/>
      <w:r w:rsidRPr="00622959">
        <w:rPr>
          <w:rFonts w:ascii="Times New Roman" w:hAnsi="Times New Roman" w:cs="Times New Roman"/>
          <w:sz w:val="20"/>
          <w:szCs w:val="20"/>
        </w:rPr>
        <w:t xml:space="preserve"> en in het bijzonder het gerechtelijk vooronderzoek, nog voldeed</w:t>
      </w:r>
      <w:r>
        <w:rPr>
          <w:rFonts w:ascii="Times New Roman" w:hAnsi="Times New Roman" w:cs="Times New Roman"/>
          <w:sz w:val="20"/>
          <w:szCs w:val="20"/>
        </w:rPr>
        <w:t xml:space="preserve"> </w:t>
      </w:r>
      <w:r w:rsidRPr="00622959">
        <w:rPr>
          <w:rFonts w:ascii="Times New Roman" w:hAnsi="Times New Roman" w:cs="Times New Roman"/>
          <w:sz w:val="20"/>
          <w:szCs w:val="20"/>
        </w:rPr>
        <w:t xml:space="preserve">in het kader van de criminaliteitsbestrijding en </w:t>
      </w:r>
      <w:r w:rsidRPr="00622959">
        <w:rPr>
          <w:rFonts w:ascii="Times New Roman" w:hAnsi="Times New Roman" w:cs="Times New Roman"/>
        </w:rPr>
        <w:t xml:space="preserve">het </w:t>
      </w:r>
      <w:proofErr w:type="spellStart"/>
      <w:r w:rsidRPr="00622959">
        <w:rPr>
          <w:rFonts w:ascii="Times New Roman" w:hAnsi="Times New Roman" w:cs="Times New Roman"/>
        </w:rPr>
        <w:t>due</w:t>
      </w:r>
      <w:proofErr w:type="spellEnd"/>
      <w:r w:rsidRPr="00622959">
        <w:rPr>
          <w:rFonts w:ascii="Times New Roman" w:hAnsi="Times New Roman" w:cs="Times New Roman"/>
        </w:rPr>
        <w:t>-</w:t>
      </w:r>
      <w:proofErr w:type="spellStart"/>
      <w:r w:rsidRPr="00622959">
        <w:rPr>
          <w:rFonts w:ascii="Times New Roman" w:hAnsi="Times New Roman" w:cs="Times New Roman"/>
        </w:rPr>
        <w:t>process</w:t>
      </w:r>
      <w:proofErr w:type="spellEnd"/>
      <w:r w:rsidRPr="00622959">
        <w:rPr>
          <w:rFonts w:ascii="Times New Roman" w:hAnsi="Times New Roman" w:cs="Times New Roman"/>
        </w:rPr>
        <w:t xml:space="preserve">-belang </w:t>
      </w:r>
      <w:r w:rsidRPr="00622959">
        <w:rPr>
          <w:rFonts w:ascii="Times New Roman" w:hAnsi="Times New Roman" w:cs="Times New Roman"/>
          <w:sz w:val="20"/>
          <w:szCs w:val="20"/>
        </w:rPr>
        <w:t>niet over accentu</w:t>
      </w:r>
      <w:r>
        <w:rPr>
          <w:rFonts w:ascii="Times New Roman" w:hAnsi="Times New Roman" w:cs="Times New Roman"/>
          <w:sz w:val="20"/>
          <w:szCs w:val="20"/>
        </w:rPr>
        <w:t xml:space="preserve">eerde. </w:t>
      </w:r>
    </w:p>
    <w:p w:rsidR="0078019A" w:rsidRDefault="0078019A" w:rsidP="00617308">
      <w:pPr>
        <w:pStyle w:val="FootnoteText"/>
      </w:pPr>
      <w:r w:rsidRPr="00622959">
        <w:rPr>
          <w:rFonts w:ascii="Times New Roman" w:hAnsi="Times New Roman" w:cs="Times New Roman"/>
        </w:rPr>
        <w:t>van b</w:t>
      </w:r>
      <w:r w:rsidR="00FF65FF">
        <w:rPr>
          <w:rFonts w:ascii="Times New Roman" w:hAnsi="Times New Roman" w:cs="Times New Roman"/>
        </w:rPr>
        <w:t>ood</w:t>
      </w:r>
      <w:r w:rsidRPr="00622959">
        <w:rPr>
          <w:rFonts w:ascii="Times New Roman" w:hAnsi="Times New Roman" w:cs="Times New Roman"/>
        </w:rPr>
        <w:t>. In de looptijd van het werk van de commissie is ook de overeenstemming met het EHRM tot de opdracht gaan behoren.</w:t>
      </w:r>
      <w:r>
        <w:rPr>
          <w:rFonts w:ascii="Times New Roman" w:hAnsi="Times New Roman" w:cs="Times New Roman"/>
        </w:rPr>
        <w:t xml:space="preserve"> De commissie publiceerde tien rapporten in: </w:t>
      </w:r>
      <w:r w:rsidRPr="00E226DB">
        <w:rPr>
          <w:rFonts w:ascii="Times New Roman" w:eastAsia="MS Mincho" w:hAnsi="Times New Roman" w:cs="Times New Roman"/>
          <w:color w:val="000000"/>
          <w:shd w:val="clear" w:color="auto" w:fill="FFFFFF"/>
          <w:lang w:eastAsia="nl-NL"/>
        </w:rPr>
        <w:t>Herziening van het gerechtelijk vooronderzoek. Een rapport van de Commissie herijking Wetboek van Strafvordering, Arnhem</w:t>
      </w:r>
      <w:r>
        <w:rPr>
          <w:rFonts w:ascii="Times New Roman" w:eastAsia="MS Mincho" w:hAnsi="Times New Roman" w:cs="Times New Roman"/>
          <w:color w:val="000000"/>
          <w:shd w:val="clear" w:color="auto" w:fill="FFFFFF"/>
          <w:lang w:eastAsia="nl-NL"/>
        </w:rPr>
        <w:t xml:space="preserve">, Gouda Quint1990; G.J.M. Corstens (red.), </w:t>
      </w:r>
      <w:r w:rsidRPr="00361A3C">
        <w:rPr>
          <w:rFonts w:ascii="Times New Roman" w:eastAsia="MS Mincho" w:hAnsi="Times New Roman" w:cs="Times New Roman"/>
          <w:i/>
          <w:color w:val="000000"/>
          <w:shd w:val="clear" w:color="auto" w:fill="FFFFFF"/>
          <w:lang w:eastAsia="nl-NL"/>
        </w:rPr>
        <w:t>Rapporten herijking strafvordering 1989-1992</w:t>
      </w:r>
      <w:r w:rsidRPr="00E226DB">
        <w:rPr>
          <w:rFonts w:ascii="Times New Roman" w:eastAsia="MS Mincho" w:hAnsi="Times New Roman" w:cs="Times New Roman"/>
          <w:color w:val="000000"/>
          <w:shd w:val="clear" w:color="auto" w:fill="FFFFFF"/>
          <w:lang w:eastAsia="nl-NL"/>
        </w:rPr>
        <w:t>, Arnhem</w:t>
      </w:r>
      <w:r>
        <w:rPr>
          <w:rFonts w:ascii="Times New Roman" w:eastAsia="MS Mincho" w:hAnsi="Times New Roman" w:cs="Times New Roman"/>
          <w:color w:val="000000"/>
          <w:shd w:val="clear" w:color="auto" w:fill="FFFFFF"/>
          <w:lang w:eastAsia="nl-NL"/>
        </w:rPr>
        <w:t>: Gouda Quint</w:t>
      </w:r>
      <w:r w:rsidRPr="00E226DB">
        <w:rPr>
          <w:rFonts w:ascii="Times New Roman" w:eastAsia="MS Mincho" w:hAnsi="Times New Roman" w:cs="Times New Roman"/>
          <w:color w:val="000000"/>
          <w:shd w:val="clear" w:color="auto" w:fill="FFFFFF"/>
          <w:lang w:eastAsia="nl-NL"/>
        </w:rPr>
        <w:t xml:space="preserve">1993 en G.J.M. Corstens (red.), </w:t>
      </w:r>
      <w:r w:rsidRPr="00361A3C">
        <w:rPr>
          <w:rFonts w:ascii="Times New Roman" w:eastAsia="MS Mincho" w:hAnsi="Times New Roman" w:cs="Times New Roman"/>
          <w:i/>
          <w:color w:val="000000"/>
          <w:shd w:val="clear" w:color="auto" w:fill="FFFFFF"/>
          <w:lang w:eastAsia="nl-NL"/>
        </w:rPr>
        <w:t>Rapporten herijking strafvordering 1993</w:t>
      </w:r>
      <w:r w:rsidRPr="00E226DB">
        <w:rPr>
          <w:rFonts w:ascii="Times New Roman" w:eastAsia="MS Mincho" w:hAnsi="Times New Roman" w:cs="Times New Roman"/>
          <w:color w:val="000000"/>
          <w:shd w:val="clear" w:color="auto" w:fill="FFFFFF"/>
          <w:lang w:eastAsia="nl-NL"/>
        </w:rPr>
        <w:t>, Arnhem</w:t>
      </w:r>
      <w:r>
        <w:rPr>
          <w:rFonts w:ascii="Times New Roman" w:eastAsia="MS Mincho" w:hAnsi="Times New Roman" w:cs="Times New Roman"/>
          <w:color w:val="000000"/>
          <w:shd w:val="clear" w:color="auto" w:fill="FFFFFF"/>
          <w:lang w:eastAsia="nl-NL"/>
        </w:rPr>
        <w:t>: Goud Quint</w:t>
      </w:r>
      <w:r w:rsidRPr="00E226DB">
        <w:rPr>
          <w:rFonts w:ascii="Times New Roman" w:eastAsia="MS Mincho" w:hAnsi="Times New Roman" w:cs="Times New Roman"/>
          <w:color w:val="000000"/>
          <w:shd w:val="clear" w:color="auto" w:fill="FFFFFF"/>
          <w:lang w:eastAsia="nl-NL"/>
        </w:rPr>
        <w:t>1993.</w:t>
      </w:r>
      <w:r>
        <w:rPr>
          <w:rFonts w:ascii="Times New Roman" w:eastAsia="MS Mincho" w:hAnsi="Times New Roman" w:cs="Times New Roman"/>
          <w:color w:val="000000"/>
          <w:sz w:val="28"/>
          <w:szCs w:val="28"/>
          <w:shd w:val="clear" w:color="auto" w:fill="FFFFFF"/>
          <w:lang w:eastAsia="nl-NL"/>
        </w:rPr>
        <w:t xml:space="preserve"> </w:t>
      </w:r>
      <w:r>
        <w:rPr>
          <w:rFonts w:ascii="Times New Roman" w:hAnsi="Times New Roman" w:cs="Times New Roman"/>
        </w:rPr>
        <w:t xml:space="preserve">Zie over de consequenties van de voorstellen en deels doorgevoerde wijzigingen voor de verdediging A.A. Franken, </w:t>
      </w:r>
      <w:r w:rsidRPr="009037CA">
        <w:rPr>
          <w:rFonts w:ascii="Times New Roman" w:hAnsi="Times New Roman" w:cs="Times New Roman"/>
          <w:i/>
        </w:rPr>
        <w:t>Strafvordering op drift</w:t>
      </w:r>
      <w:r>
        <w:rPr>
          <w:rFonts w:ascii="Times New Roman" w:hAnsi="Times New Roman" w:cs="Times New Roman"/>
        </w:rPr>
        <w:t xml:space="preserve">, Arnhem: Gouda Quint 1994. In de discussiestukken betreffende de modernisering van 2014 wordt in de inleidende notitie overigens gesproken over de herijkingsoperatie. </w:t>
      </w:r>
    </w:p>
  </w:footnote>
  <w:footnote w:id="20">
    <w:p w:rsidR="0078019A" w:rsidRPr="00617308" w:rsidRDefault="0078019A">
      <w:pPr>
        <w:pStyle w:val="FootnoteText"/>
        <w:rPr>
          <w:rFonts w:ascii="Times New Roman" w:hAnsi="Times New Roman" w:cs="Times New Roman"/>
        </w:rPr>
      </w:pPr>
      <w:r>
        <w:rPr>
          <w:rStyle w:val="FootnoteReference"/>
        </w:rPr>
        <w:footnoteRef/>
      </w:r>
      <w:r>
        <w:t xml:space="preserve"> </w:t>
      </w:r>
      <w:r w:rsidRPr="00617308">
        <w:rPr>
          <w:rFonts w:ascii="Times New Roman" w:hAnsi="Times New Roman" w:cs="Times New Roman"/>
        </w:rPr>
        <w:t>M.S. Groenhuijsen, Naar een geïntegreerde herziening,</w:t>
      </w:r>
      <w:r>
        <w:rPr>
          <w:rFonts w:ascii="Times New Roman" w:hAnsi="Times New Roman" w:cs="Times New Roman"/>
        </w:rPr>
        <w:t xml:space="preserve"> </w:t>
      </w:r>
      <w:r w:rsidRPr="00617308">
        <w:rPr>
          <w:rFonts w:ascii="Times New Roman" w:hAnsi="Times New Roman" w:cs="Times New Roman"/>
        </w:rPr>
        <w:t xml:space="preserve">in: </w:t>
      </w:r>
      <w:r w:rsidRPr="00617308">
        <w:rPr>
          <w:rFonts w:ascii="Times New Roman" w:hAnsi="Times New Roman" w:cs="Times New Roman"/>
          <w:i/>
        </w:rPr>
        <w:t xml:space="preserve">D.R. Doorenbos, </w:t>
      </w:r>
      <w:proofErr w:type="spellStart"/>
      <w:r w:rsidRPr="00617308">
        <w:rPr>
          <w:rFonts w:ascii="Times New Roman" w:hAnsi="Times New Roman" w:cs="Times New Roman"/>
          <w:i/>
        </w:rPr>
        <w:t>R.J.Verwij</w:t>
      </w:r>
      <w:proofErr w:type="spellEnd"/>
      <w:r w:rsidRPr="00617308">
        <w:rPr>
          <w:rFonts w:ascii="Times New Roman" w:hAnsi="Times New Roman" w:cs="Times New Roman"/>
          <w:i/>
        </w:rPr>
        <w:t xml:space="preserve"> (red.) </w:t>
      </w:r>
      <w:proofErr w:type="spellStart"/>
      <w:r w:rsidRPr="00617308">
        <w:rPr>
          <w:rFonts w:ascii="Times New Roman" w:hAnsi="Times New Roman" w:cs="Times New Roman"/>
          <w:i/>
        </w:rPr>
        <w:t>Hercodificatie</w:t>
      </w:r>
      <w:proofErr w:type="spellEnd"/>
      <w:r w:rsidRPr="00617308">
        <w:rPr>
          <w:rFonts w:ascii="Times New Roman" w:hAnsi="Times New Roman" w:cs="Times New Roman"/>
          <w:i/>
        </w:rPr>
        <w:t xml:space="preserve"> Wetboek van Strafvordering, Tijd voor een herziening?</w:t>
      </w:r>
      <w:r w:rsidRPr="00617308">
        <w:rPr>
          <w:rFonts w:ascii="Times New Roman" w:hAnsi="Times New Roman" w:cs="Times New Roman"/>
        </w:rPr>
        <w:t xml:space="preserve"> Nijmegen</w:t>
      </w:r>
      <w:r>
        <w:rPr>
          <w:rFonts w:ascii="Times New Roman" w:hAnsi="Times New Roman" w:cs="Times New Roman"/>
        </w:rPr>
        <w:t xml:space="preserve">: </w:t>
      </w:r>
      <w:r w:rsidRPr="00617308">
        <w:rPr>
          <w:rFonts w:ascii="Times New Roman" w:hAnsi="Times New Roman" w:cs="Times New Roman"/>
        </w:rPr>
        <w:t xml:space="preserve">Ars </w:t>
      </w:r>
      <w:proofErr w:type="spellStart"/>
      <w:r w:rsidRPr="00617308">
        <w:rPr>
          <w:rFonts w:ascii="Times New Roman" w:hAnsi="Times New Roman" w:cs="Times New Roman"/>
        </w:rPr>
        <w:t>Aequi</w:t>
      </w:r>
      <w:proofErr w:type="spellEnd"/>
      <w:r w:rsidRPr="00617308">
        <w:rPr>
          <w:rFonts w:ascii="Times New Roman" w:hAnsi="Times New Roman" w:cs="Times New Roman"/>
        </w:rPr>
        <w:t xml:space="preserve"> </w:t>
      </w:r>
      <w:proofErr w:type="spellStart"/>
      <w:r w:rsidRPr="00617308">
        <w:rPr>
          <w:rFonts w:ascii="Times New Roman" w:hAnsi="Times New Roman" w:cs="Times New Roman"/>
        </w:rPr>
        <w:t>Libri</w:t>
      </w:r>
      <w:proofErr w:type="spellEnd"/>
      <w:r w:rsidRPr="00617308">
        <w:rPr>
          <w:rFonts w:ascii="Times New Roman" w:hAnsi="Times New Roman" w:cs="Times New Roman"/>
        </w:rPr>
        <w:t xml:space="preserve"> 1991</w:t>
      </w:r>
      <w:r>
        <w:rPr>
          <w:rFonts w:ascii="Times New Roman" w:hAnsi="Times New Roman" w:cs="Times New Roman"/>
        </w:rPr>
        <w:t xml:space="preserve">. In de hierboven reeds genoemde </w:t>
      </w:r>
      <w:r w:rsidRPr="00035245">
        <w:rPr>
          <w:rFonts w:ascii="Times New Roman" w:hAnsi="Times New Roman" w:cs="Times New Roman"/>
        </w:rPr>
        <w:t>notitie van de Directie Wetgeving en Juridische zaken, Sector Straf- en sanctierecht, Werkwijze Wetgevingsprogramma Versterking Prestaties Strafrechtsketen (VPS) voor de wetsvoorstellen tot herziening</w:t>
      </w:r>
      <w:r>
        <w:rPr>
          <w:rFonts w:ascii="Times New Roman" w:hAnsi="Times New Roman" w:cs="Times New Roman"/>
        </w:rPr>
        <w:t xml:space="preserve"> </w:t>
      </w:r>
      <w:r w:rsidRPr="00035245">
        <w:rPr>
          <w:rFonts w:ascii="Times New Roman" w:hAnsi="Times New Roman" w:cs="Times New Roman"/>
        </w:rPr>
        <w:t>van</w:t>
      </w:r>
      <w:r>
        <w:rPr>
          <w:rFonts w:ascii="Times New Roman" w:hAnsi="Times New Roman" w:cs="Times New Roman"/>
        </w:rPr>
        <w:t xml:space="preserve"> </w:t>
      </w:r>
      <w:r w:rsidRPr="00035245">
        <w:rPr>
          <w:rFonts w:ascii="Times New Roman" w:hAnsi="Times New Roman" w:cs="Times New Roman"/>
        </w:rPr>
        <w:t>het Wetboek van Strafvordering, 17 maart 2014</w:t>
      </w:r>
      <w:r>
        <w:rPr>
          <w:rFonts w:ascii="Times New Roman" w:hAnsi="Times New Roman" w:cs="Times New Roman"/>
        </w:rPr>
        <w:t>, wordt eveneens gesproken over herziening van strafvordering, hetgeen gepreciseerd wordt met de woorden herstructureren en moderniseren.</w:t>
      </w:r>
    </w:p>
  </w:footnote>
  <w:footnote w:id="21">
    <w:p w:rsidR="0078019A" w:rsidRPr="00B35F84" w:rsidRDefault="0078019A">
      <w:pPr>
        <w:pStyle w:val="FootnoteText"/>
        <w:rPr>
          <w:rFonts w:ascii="Times New Roman" w:hAnsi="Times New Roman" w:cs="Times New Roman"/>
        </w:rPr>
      </w:pPr>
      <w:r w:rsidRPr="00B35F84">
        <w:rPr>
          <w:rStyle w:val="FootnoteReference"/>
          <w:rFonts w:ascii="Times New Roman" w:hAnsi="Times New Roman"/>
        </w:rPr>
        <w:footnoteRef/>
      </w:r>
      <w:r w:rsidRPr="00B35F84">
        <w:rPr>
          <w:rFonts w:ascii="Times New Roman" w:hAnsi="Times New Roman" w:cs="Times New Roman"/>
        </w:rPr>
        <w:t xml:space="preserve"> De term partiële wijziging komt men regelmatig tegen in de naamgeving van een wetsvoorstel. </w:t>
      </w:r>
    </w:p>
  </w:footnote>
  <w:footnote w:id="22">
    <w:p w:rsidR="0078019A" w:rsidRPr="0088340E" w:rsidRDefault="0078019A">
      <w:pPr>
        <w:pStyle w:val="FootnoteText"/>
        <w:rPr>
          <w:rFonts w:ascii="Times New Roman" w:hAnsi="Times New Roman" w:cs="Times New Roman"/>
        </w:rPr>
      </w:pPr>
      <w:r w:rsidRPr="0088340E">
        <w:rPr>
          <w:rStyle w:val="FootnoteReference"/>
          <w:rFonts w:ascii="Times New Roman" w:hAnsi="Times New Roman"/>
        </w:rPr>
        <w:footnoteRef/>
      </w:r>
      <w:r w:rsidRPr="0088340E">
        <w:rPr>
          <w:rFonts w:ascii="Times New Roman" w:hAnsi="Times New Roman" w:cs="Times New Roman"/>
        </w:rPr>
        <w:t xml:space="preserve"> Er is hier gekozen om de verhouding tussen het strafprocesrecht en het penitentiair recht niet aan de orde te stellen. Een herbezinning over de positie van dat rechtsdomein binnen de beide wetboeken (S</w:t>
      </w:r>
      <w:r>
        <w:rPr>
          <w:rFonts w:ascii="Times New Roman" w:hAnsi="Times New Roman" w:cs="Times New Roman"/>
        </w:rPr>
        <w:t>v</w:t>
      </w:r>
      <w:r w:rsidRPr="0088340E">
        <w:rPr>
          <w:rFonts w:ascii="Times New Roman" w:hAnsi="Times New Roman" w:cs="Times New Roman"/>
        </w:rPr>
        <w:t xml:space="preserve"> en S</w:t>
      </w:r>
      <w:r>
        <w:rPr>
          <w:rFonts w:ascii="Times New Roman" w:hAnsi="Times New Roman" w:cs="Times New Roman"/>
        </w:rPr>
        <w:t>r</w:t>
      </w:r>
      <w:r w:rsidRPr="0088340E">
        <w:rPr>
          <w:rFonts w:ascii="Times New Roman" w:hAnsi="Times New Roman" w:cs="Times New Roman"/>
        </w:rPr>
        <w:t xml:space="preserve">) is al vaker aan de orde gesteld. Zie </w:t>
      </w:r>
      <w:r>
        <w:rPr>
          <w:rFonts w:ascii="Times New Roman" w:hAnsi="Times New Roman" w:cs="Times New Roman"/>
        </w:rPr>
        <w:t xml:space="preserve">hierover </w:t>
      </w:r>
      <w:r w:rsidRPr="0088340E">
        <w:rPr>
          <w:rFonts w:ascii="Times New Roman" w:hAnsi="Times New Roman" w:cs="Times New Roman"/>
        </w:rPr>
        <w:t xml:space="preserve">onder meer J.F. Nijboer, a.w. 1987 en J. de Hullu, </w:t>
      </w:r>
      <w:r w:rsidRPr="002F33E8">
        <w:rPr>
          <w:rFonts w:ascii="Times New Roman" w:hAnsi="Times New Roman" w:cs="Times New Roman"/>
          <w:i/>
        </w:rPr>
        <w:t>Materieel strafrecht</w:t>
      </w:r>
      <w:r w:rsidRPr="002F33E8">
        <w:rPr>
          <w:rFonts w:ascii="Times New Roman" w:hAnsi="Times New Roman" w:cs="Times New Roman"/>
        </w:rPr>
        <w:t xml:space="preserve">, Deventer: Wolters Kluwer 2015, </w:t>
      </w:r>
      <w:proofErr w:type="spellStart"/>
      <w:r>
        <w:rPr>
          <w:rFonts w:ascii="Times New Roman" w:hAnsi="Times New Roman" w:cs="Times New Roman"/>
        </w:rPr>
        <w:t>hf</w:t>
      </w:r>
      <w:r w:rsidRPr="0088340E">
        <w:rPr>
          <w:rFonts w:ascii="Times New Roman" w:hAnsi="Times New Roman" w:cs="Times New Roman"/>
        </w:rPr>
        <w:t>st</w:t>
      </w:r>
      <w:proofErr w:type="spellEnd"/>
      <w:r w:rsidRPr="0088340E">
        <w:rPr>
          <w:rFonts w:ascii="Times New Roman" w:hAnsi="Times New Roman" w:cs="Times New Roman"/>
        </w:rPr>
        <w:t xml:space="preserve">. IX. </w:t>
      </w:r>
    </w:p>
  </w:footnote>
  <w:footnote w:id="23">
    <w:p w:rsidR="0078019A" w:rsidRPr="002F33E8" w:rsidRDefault="0078019A" w:rsidP="00A85448">
      <w:pPr>
        <w:pStyle w:val="FootnoteText"/>
        <w:rPr>
          <w:rFonts w:ascii="Times New Roman" w:hAnsi="Times New Roman" w:cs="Times New Roman"/>
        </w:rPr>
      </w:pPr>
      <w:r w:rsidRPr="0088340E">
        <w:rPr>
          <w:rStyle w:val="FootnoteReference"/>
          <w:rFonts w:ascii="Times New Roman" w:hAnsi="Times New Roman"/>
        </w:rPr>
        <w:footnoteRef/>
      </w:r>
      <w:r w:rsidRPr="0088340E">
        <w:rPr>
          <w:rFonts w:ascii="Times New Roman" w:hAnsi="Times New Roman" w:cs="Times New Roman"/>
        </w:rPr>
        <w:t xml:space="preserve"> Zie hierover onder meer M.S, Groenhuijsen en G. Knigge (red.): </w:t>
      </w:r>
      <w:r w:rsidRPr="0088340E">
        <w:rPr>
          <w:rFonts w:ascii="Times New Roman" w:hAnsi="Times New Roman" w:cs="Times New Roman"/>
          <w:i/>
        </w:rPr>
        <w:t>Het onderzoek ter terechtzitting</w:t>
      </w:r>
      <w:r w:rsidRPr="008943DE">
        <w:rPr>
          <w:rFonts w:ascii="Times New Roman" w:hAnsi="Times New Roman" w:cs="Times New Roman"/>
        </w:rPr>
        <w:t xml:space="preserve">, eerste </w:t>
      </w:r>
      <w:proofErr w:type="spellStart"/>
      <w:r w:rsidRPr="008943DE">
        <w:rPr>
          <w:rFonts w:ascii="Times New Roman" w:hAnsi="Times New Roman" w:cs="Times New Roman"/>
        </w:rPr>
        <w:t>interimrapport</w:t>
      </w:r>
      <w:proofErr w:type="spellEnd"/>
      <w:r w:rsidRPr="008943DE">
        <w:rPr>
          <w:rFonts w:ascii="Times New Roman" w:hAnsi="Times New Roman" w:cs="Times New Roman"/>
        </w:rPr>
        <w:t xml:space="preserve"> onderzoeksproject Strafvordering 2001; </w:t>
      </w:r>
      <w:r>
        <w:rPr>
          <w:rFonts w:ascii="Times New Roman" w:hAnsi="Times New Roman" w:cs="Times New Roman"/>
        </w:rPr>
        <w:t xml:space="preserve">Tilburg, KUB en </w:t>
      </w:r>
      <w:r w:rsidRPr="002F33E8">
        <w:rPr>
          <w:rFonts w:ascii="Times New Roman" w:hAnsi="Times New Roman" w:cs="Times New Roman"/>
        </w:rPr>
        <w:t xml:space="preserve">J.de Hullu, </w:t>
      </w:r>
      <w:r>
        <w:rPr>
          <w:rFonts w:ascii="Times New Roman" w:hAnsi="Times New Roman" w:cs="Times New Roman"/>
        </w:rPr>
        <w:t xml:space="preserve">a.w. 2015, </w:t>
      </w:r>
      <w:proofErr w:type="spellStart"/>
      <w:r>
        <w:rPr>
          <w:rFonts w:ascii="Times New Roman" w:hAnsi="Times New Roman" w:cs="Times New Roman"/>
        </w:rPr>
        <w:t>hfst</w:t>
      </w:r>
      <w:proofErr w:type="spellEnd"/>
      <w:r>
        <w:rPr>
          <w:rFonts w:ascii="Times New Roman" w:hAnsi="Times New Roman" w:cs="Times New Roman"/>
        </w:rPr>
        <w:t xml:space="preserve">. </w:t>
      </w:r>
      <w:r w:rsidRPr="002F33E8">
        <w:rPr>
          <w:rFonts w:ascii="Times New Roman" w:hAnsi="Times New Roman" w:cs="Times New Roman"/>
        </w:rPr>
        <w:t xml:space="preserve">I.3.1.2. </w:t>
      </w:r>
    </w:p>
  </w:footnote>
  <w:footnote w:id="24">
    <w:p w:rsidR="0078019A" w:rsidRPr="00CD36E8" w:rsidRDefault="0078019A" w:rsidP="0094276B">
      <w:pPr>
        <w:pStyle w:val="FootnoteText"/>
        <w:rPr>
          <w:rFonts w:ascii="Times New Roman" w:hAnsi="Times New Roman" w:cs="Times New Roman"/>
        </w:rPr>
      </w:pPr>
      <w:r w:rsidRPr="00CD36E8">
        <w:rPr>
          <w:rStyle w:val="FootnoteReference"/>
          <w:rFonts w:ascii="Times New Roman" w:hAnsi="Times New Roman"/>
        </w:rPr>
        <w:footnoteRef/>
      </w:r>
      <w:r w:rsidRPr="00CD36E8">
        <w:rPr>
          <w:rFonts w:ascii="Times New Roman" w:hAnsi="Times New Roman" w:cs="Times New Roman"/>
        </w:rPr>
        <w:t xml:space="preserve"> </w:t>
      </w:r>
      <w:proofErr w:type="spellStart"/>
      <w:r w:rsidRPr="00CD36E8">
        <w:rPr>
          <w:rFonts w:ascii="Times New Roman" w:hAnsi="Times New Roman" w:cs="Times New Roman"/>
        </w:rPr>
        <w:t>W.Geelhoed</w:t>
      </w:r>
      <w:proofErr w:type="spellEnd"/>
      <w:r w:rsidRPr="00CD36E8">
        <w:rPr>
          <w:rFonts w:ascii="Times New Roman" w:hAnsi="Times New Roman" w:cs="Times New Roman"/>
        </w:rPr>
        <w:t xml:space="preserve">, </w:t>
      </w:r>
      <w:r w:rsidRPr="00CD36E8">
        <w:rPr>
          <w:rFonts w:ascii="Times New Roman" w:hAnsi="Times New Roman" w:cs="Times New Roman"/>
          <w:i/>
        </w:rPr>
        <w:t>Het opportuniteitsbeginsel en het recht van de Europese Unie</w:t>
      </w:r>
      <w:r w:rsidRPr="00CD36E8">
        <w:rPr>
          <w:rFonts w:ascii="Times New Roman" w:hAnsi="Times New Roman" w:cs="Times New Roman"/>
        </w:rPr>
        <w:t>, Deventer: Kluwer 2013</w:t>
      </w:r>
      <w:r>
        <w:rPr>
          <w:rFonts w:ascii="Times New Roman" w:hAnsi="Times New Roman" w:cs="Times New Roman"/>
        </w:rPr>
        <w:t xml:space="preserve">, </w:t>
      </w:r>
      <w:proofErr w:type="spellStart"/>
      <w:r>
        <w:rPr>
          <w:rFonts w:ascii="Times New Roman" w:hAnsi="Times New Roman" w:cs="Times New Roman"/>
        </w:rPr>
        <w:t>hfst</w:t>
      </w:r>
      <w:proofErr w:type="spellEnd"/>
      <w:r>
        <w:rPr>
          <w:rFonts w:ascii="Times New Roman" w:hAnsi="Times New Roman" w:cs="Times New Roman"/>
        </w:rPr>
        <w:t xml:space="preserve">. 6. </w:t>
      </w:r>
    </w:p>
  </w:footnote>
  <w:footnote w:id="25">
    <w:p w:rsidR="0078019A" w:rsidRDefault="0078019A">
      <w:pPr>
        <w:pStyle w:val="FootnoteText"/>
      </w:pPr>
      <w:r>
        <w:rPr>
          <w:rStyle w:val="FootnoteReference"/>
        </w:rPr>
        <w:footnoteRef/>
      </w:r>
      <w:r>
        <w:t xml:space="preserve"> </w:t>
      </w:r>
      <w:r w:rsidRPr="0094276B">
        <w:rPr>
          <w:rFonts w:ascii="Times New Roman" w:hAnsi="Times New Roman" w:cs="Times New Roman"/>
        </w:rPr>
        <w:t>Idem, p. 375.</w:t>
      </w:r>
    </w:p>
  </w:footnote>
  <w:footnote w:id="26">
    <w:p w:rsidR="0078019A" w:rsidRPr="00A27CE3" w:rsidRDefault="0078019A">
      <w:pPr>
        <w:pStyle w:val="FootnoteText"/>
        <w:rPr>
          <w:rFonts w:ascii="Times New Roman" w:hAnsi="Times New Roman" w:cs="Times New Roman"/>
        </w:rPr>
      </w:pPr>
      <w:r w:rsidRPr="00A27CE3">
        <w:rPr>
          <w:rStyle w:val="FootnoteReference"/>
          <w:rFonts w:ascii="Times New Roman" w:hAnsi="Times New Roman"/>
        </w:rPr>
        <w:footnoteRef/>
      </w:r>
      <w:r w:rsidRPr="00A27CE3">
        <w:rPr>
          <w:rFonts w:ascii="Times New Roman" w:hAnsi="Times New Roman" w:cs="Times New Roman"/>
        </w:rPr>
        <w:t xml:space="preserve"> </w:t>
      </w:r>
      <w:r w:rsidRPr="00A27CE3">
        <w:rPr>
          <w:rFonts w:ascii="Times New Roman" w:eastAsia="MS Mincho" w:hAnsi="Times New Roman" w:cs="Times New Roman"/>
          <w:color w:val="000000"/>
          <w:shd w:val="clear" w:color="auto" w:fill="FFFFFF"/>
          <w:lang w:eastAsia="nl-NL"/>
        </w:rPr>
        <w:t xml:space="preserve">Deze mitigerende werking op </w:t>
      </w:r>
      <w:r w:rsidR="00696185">
        <w:rPr>
          <w:rFonts w:ascii="Times New Roman" w:eastAsia="MS Mincho" w:hAnsi="Times New Roman" w:cs="Times New Roman"/>
          <w:color w:val="000000"/>
          <w:shd w:val="clear" w:color="auto" w:fill="FFFFFF"/>
          <w:lang w:eastAsia="nl-NL"/>
        </w:rPr>
        <w:t xml:space="preserve">het niveau van delicten </w:t>
      </w:r>
      <w:r w:rsidRPr="00A27CE3">
        <w:rPr>
          <w:rFonts w:ascii="Times New Roman" w:eastAsia="MS Mincho" w:hAnsi="Times New Roman" w:cs="Times New Roman"/>
          <w:color w:val="000000"/>
          <w:shd w:val="clear" w:color="auto" w:fill="FFFFFF"/>
          <w:lang w:eastAsia="nl-NL"/>
        </w:rPr>
        <w:t xml:space="preserve">werd in 1886 al aan het opportuniteitsbeginsel toegedacht, H.J. </w:t>
      </w:r>
      <w:proofErr w:type="spellStart"/>
      <w:r w:rsidRPr="00A27CE3">
        <w:rPr>
          <w:rFonts w:ascii="Times New Roman" w:eastAsia="MS Mincho" w:hAnsi="Times New Roman" w:cs="Times New Roman"/>
          <w:color w:val="000000"/>
          <w:shd w:val="clear" w:color="auto" w:fill="FFFFFF"/>
          <w:lang w:eastAsia="nl-NL"/>
        </w:rPr>
        <w:t>Smidt</w:t>
      </w:r>
      <w:proofErr w:type="spellEnd"/>
      <w:r w:rsidRPr="00A27CE3">
        <w:rPr>
          <w:rFonts w:ascii="Times New Roman" w:eastAsia="MS Mincho" w:hAnsi="Times New Roman" w:cs="Times New Roman"/>
          <w:color w:val="000000"/>
          <w:shd w:val="clear" w:color="auto" w:fill="FFFFFF"/>
          <w:lang w:eastAsia="nl-NL"/>
        </w:rPr>
        <w:t xml:space="preserve"> &amp; E.A. </w:t>
      </w:r>
      <w:proofErr w:type="spellStart"/>
      <w:r w:rsidRPr="00A27CE3">
        <w:rPr>
          <w:rFonts w:ascii="Times New Roman" w:eastAsia="MS Mincho" w:hAnsi="Times New Roman" w:cs="Times New Roman"/>
          <w:color w:val="000000"/>
          <w:shd w:val="clear" w:color="auto" w:fill="FFFFFF"/>
          <w:lang w:eastAsia="nl-NL"/>
        </w:rPr>
        <w:t>Smidt</w:t>
      </w:r>
      <w:proofErr w:type="spellEnd"/>
      <w:r w:rsidRPr="00A27CE3">
        <w:rPr>
          <w:rFonts w:ascii="Times New Roman" w:eastAsia="MS Mincho" w:hAnsi="Times New Roman" w:cs="Times New Roman"/>
          <w:color w:val="000000"/>
          <w:shd w:val="clear" w:color="auto" w:fill="FFFFFF"/>
          <w:lang w:eastAsia="nl-NL"/>
        </w:rPr>
        <w:t xml:space="preserve">, </w:t>
      </w:r>
      <w:r w:rsidRPr="008B31BB">
        <w:rPr>
          <w:rFonts w:ascii="Times New Roman" w:eastAsia="MS Mincho" w:hAnsi="Times New Roman" w:cs="Times New Roman"/>
          <w:i/>
          <w:color w:val="000000"/>
          <w:shd w:val="clear" w:color="auto" w:fill="FFFFFF"/>
          <w:lang w:eastAsia="nl-NL"/>
        </w:rPr>
        <w:t>Wetboek van Strafvordering met de geschiedenis der wijzigingen daarin gebracht bij de invoering van het nieuwe Wetboek van Strafrecht</w:t>
      </w:r>
      <w:r w:rsidRPr="00A27CE3">
        <w:rPr>
          <w:rFonts w:ascii="Times New Roman" w:eastAsia="MS Mincho" w:hAnsi="Times New Roman" w:cs="Times New Roman"/>
          <w:color w:val="000000"/>
          <w:shd w:val="clear" w:color="auto" w:fill="FFFFFF"/>
          <w:lang w:eastAsia="nl-NL"/>
        </w:rPr>
        <w:t xml:space="preserve">, Haarlem: </w:t>
      </w:r>
      <w:proofErr w:type="spellStart"/>
      <w:r w:rsidRPr="00A27CE3">
        <w:rPr>
          <w:rFonts w:ascii="Times New Roman" w:eastAsia="MS Mincho" w:hAnsi="Times New Roman" w:cs="Times New Roman"/>
          <w:color w:val="000000"/>
          <w:shd w:val="clear" w:color="auto" w:fill="FFFFFF"/>
          <w:lang w:eastAsia="nl-NL"/>
        </w:rPr>
        <w:t>H.D.TjeenkWillink</w:t>
      </w:r>
      <w:proofErr w:type="spellEnd"/>
      <w:r w:rsidRPr="00A27CE3">
        <w:rPr>
          <w:rFonts w:ascii="Times New Roman" w:eastAsia="MS Mincho" w:hAnsi="Times New Roman" w:cs="Times New Roman"/>
          <w:color w:val="000000"/>
          <w:shd w:val="clear" w:color="auto" w:fill="FFFFFF"/>
          <w:lang w:eastAsia="nl-NL"/>
        </w:rPr>
        <w:t xml:space="preserve"> 1886-1887, p. 2. </w:t>
      </w:r>
    </w:p>
  </w:footnote>
  <w:footnote w:id="27">
    <w:p w:rsidR="0078019A" w:rsidRPr="007003CD" w:rsidRDefault="0078019A">
      <w:pPr>
        <w:pStyle w:val="FootnoteText"/>
        <w:rPr>
          <w:rFonts w:ascii="Times New Roman" w:hAnsi="Times New Roman" w:cs="Times New Roman"/>
        </w:rPr>
      </w:pPr>
      <w:r w:rsidRPr="007003CD">
        <w:rPr>
          <w:rStyle w:val="FootnoteReference"/>
          <w:rFonts w:ascii="Times New Roman" w:hAnsi="Times New Roman"/>
        </w:rPr>
        <w:footnoteRef/>
      </w:r>
      <w:r w:rsidRPr="007003CD">
        <w:rPr>
          <w:rFonts w:ascii="Times New Roman" w:hAnsi="Times New Roman" w:cs="Times New Roman"/>
        </w:rPr>
        <w:t xml:space="preserve"> Een begrenzing waaraan zowel wetgever als rechtsprekende macht (kunnen) bijdragen. </w:t>
      </w:r>
    </w:p>
  </w:footnote>
  <w:footnote w:id="28">
    <w:p w:rsidR="0078019A" w:rsidRPr="001C5D2E" w:rsidRDefault="0078019A" w:rsidP="001B27A1">
      <w:pPr>
        <w:pStyle w:val="Default"/>
        <w:rPr>
          <w:rFonts w:ascii="Times New Roman" w:hAnsi="Times New Roman" w:cs="Times New Roman"/>
        </w:rPr>
      </w:pPr>
      <w:r w:rsidRPr="001C5D2E">
        <w:rPr>
          <w:rStyle w:val="FootnoteReference"/>
          <w:rFonts w:ascii="Times New Roman" w:hAnsi="Times New Roman"/>
          <w:sz w:val="20"/>
          <w:szCs w:val="20"/>
        </w:rPr>
        <w:footnoteRef/>
      </w:r>
      <w:r w:rsidRPr="001C5D2E">
        <w:rPr>
          <w:rFonts w:ascii="Times New Roman" w:hAnsi="Times New Roman" w:cs="Times New Roman"/>
          <w:sz w:val="20"/>
          <w:szCs w:val="20"/>
        </w:rPr>
        <w:t xml:space="preserve"> Contourennota p. 57</w:t>
      </w:r>
      <w:r>
        <w:rPr>
          <w:rFonts w:ascii="Times New Roman" w:hAnsi="Times New Roman" w:cs="Times New Roman"/>
          <w:sz w:val="20"/>
          <w:szCs w:val="20"/>
        </w:rPr>
        <w:t>.</w:t>
      </w:r>
      <w:r w:rsidRPr="001C5D2E">
        <w:rPr>
          <w:rFonts w:ascii="Times New Roman" w:hAnsi="Times New Roman" w:cs="Times New Roman"/>
          <w:sz w:val="20"/>
          <w:szCs w:val="20"/>
        </w:rPr>
        <w:t xml:space="preserve"> Voorts wordt daar vermeld:</w:t>
      </w:r>
      <w:r>
        <w:rPr>
          <w:rFonts w:ascii="Times New Roman" w:hAnsi="Times New Roman" w:cs="Times New Roman"/>
          <w:sz w:val="20"/>
          <w:szCs w:val="20"/>
        </w:rPr>
        <w:t xml:space="preserve"> </w:t>
      </w:r>
      <w:r w:rsidRPr="001C5D2E">
        <w:rPr>
          <w:rFonts w:ascii="Times New Roman" w:eastAsia="MS Mincho" w:hAnsi="Times New Roman" w:cs="Times New Roman"/>
          <w:sz w:val="20"/>
          <w:szCs w:val="20"/>
          <w:shd w:val="clear" w:color="auto" w:fill="FFFFFF"/>
          <w:lang w:eastAsia="nl-NL"/>
        </w:rPr>
        <w:t>“</w:t>
      </w:r>
      <w:r w:rsidRPr="001C5D2E">
        <w:rPr>
          <w:rFonts w:ascii="Times New Roman" w:hAnsi="Times New Roman" w:cs="Times New Roman"/>
          <w:sz w:val="20"/>
          <w:szCs w:val="20"/>
        </w:rPr>
        <w:t>In het vernieuwde wetboek blijft het opportuniteitsbeginsel gehandhaafd. Gelet op de verwevenheid van het opportuniteitsbeginsel met de Nederlandse strafvordering zie ik geen aanleiding om in dit belangrijke onderdeel van het stelsel wijziging te brengen. Het OM behoudt het vervolgingsmonopolie.”</w:t>
      </w:r>
    </w:p>
  </w:footnote>
  <w:footnote w:id="29">
    <w:p w:rsidR="0078019A" w:rsidRDefault="0078019A">
      <w:pPr>
        <w:pStyle w:val="FootnoteText"/>
      </w:pPr>
      <w:r w:rsidRPr="00E32221">
        <w:rPr>
          <w:rStyle w:val="FootnoteReference"/>
          <w:rFonts w:ascii="Times New Roman" w:hAnsi="Times New Roman"/>
        </w:rPr>
        <w:footnoteRef/>
      </w:r>
      <w:r w:rsidRPr="00E32221">
        <w:rPr>
          <w:rFonts w:ascii="Times New Roman" w:hAnsi="Times New Roman" w:cs="Times New Roman"/>
        </w:rPr>
        <w:t xml:space="preserve"> Zie hierover ook </w:t>
      </w:r>
      <w:proofErr w:type="spellStart"/>
      <w:r w:rsidRPr="00E32221">
        <w:rPr>
          <w:rFonts w:ascii="Times New Roman" w:hAnsi="Times New Roman" w:cs="Times New Roman"/>
        </w:rPr>
        <w:t>W.Geelhoed</w:t>
      </w:r>
      <w:proofErr w:type="spellEnd"/>
      <w:r w:rsidRPr="00E32221">
        <w:rPr>
          <w:rFonts w:ascii="Times New Roman" w:hAnsi="Times New Roman" w:cs="Times New Roman"/>
        </w:rPr>
        <w:t xml:space="preserve">, a.w. 2013, hfdst.7. </w:t>
      </w:r>
    </w:p>
  </w:footnote>
  <w:footnote w:id="30">
    <w:p w:rsidR="0078019A" w:rsidRPr="006F3657" w:rsidRDefault="0078019A">
      <w:pPr>
        <w:pStyle w:val="FootnoteText"/>
        <w:rPr>
          <w:rFonts w:ascii="Times New Roman" w:hAnsi="Times New Roman" w:cs="Times New Roman"/>
        </w:rPr>
      </w:pPr>
      <w:r w:rsidRPr="006F3657">
        <w:rPr>
          <w:rStyle w:val="FootnoteReference"/>
          <w:rFonts w:ascii="Times New Roman" w:hAnsi="Times New Roman"/>
        </w:rPr>
        <w:footnoteRef/>
      </w:r>
      <w:r w:rsidRPr="006F3657">
        <w:rPr>
          <w:rFonts w:ascii="Times New Roman" w:hAnsi="Times New Roman" w:cs="Times New Roman"/>
        </w:rPr>
        <w:t xml:space="preserve"> Bij aard wordt hier met name gedoeld op he</w:t>
      </w:r>
      <w:r w:rsidR="00FF65FF">
        <w:rPr>
          <w:rFonts w:ascii="Times New Roman" w:hAnsi="Times New Roman" w:cs="Times New Roman"/>
        </w:rPr>
        <w:t>t</w:t>
      </w:r>
      <w:r w:rsidRPr="006F3657">
        <w:rPr>
          <w:rFonts w:ascii="Times New Roman" w:hAnsi="Times New Roman" w:cs="Times New Roman"/>
        </w:rPr>
        <w:t xml:space="preserve"> met de strafbepaling te beschermen rechtsgoed (denk bijvoorbeeld aan een misdrijf tegen het leven of een misdrijf tegen de openbare orde).</w:t>
      </w:r>
    </w:p>
  </w:footnote>
  <w:footnote w:id="31">
    <w:p w:rsidR="0078019A" w:rsidRPr="00C735CB" w:rsidRDefault="0078019A" w:rsidP="00C735CB">
      <w:pPr>
        <w:pStyle w:val="FootnoteText"/>
        <w:rPr>
          <w:rFonts w:ascii="Times New Roman" w:hAnsi="Times New Roman" w:cs="Times New Roman"/>
        </w:rPr>
      </w:pPr>
      <w:r w:rsidRPr="00C735CB">
        <w:rPr>
          <w:rStyle w:val="FootnoteReference"/>
          <w:rFonts w:ascii="Times New Roman" w:hAnsi="Times New Roman"/>
        </w:rPr>
        <w:footnoteRef/>
      </w:r>
      <w:r w:rsidRPr="00C735CB">
        <w:rPr>
          <w:rFonts w:ascii="Times New Roman" w:hAnsi="Times New Roman" w:cs="Times New Roman"/>
        </w:rPr>
        <w:t xml:space="preserve"> </w:t>
      </w:r>
      <w:r w:rsidRPr="00C735CB">
        <w:rPr>
          <w:rFonts w:ascii="Times New Roman" w:eastAsia="MS Mincho" w:hAnsi="Times New Roman" w:cs="Times New Roman"/>
          <w:color w:val="000000"/>
          <w:shd w:val="clear" w:color="auto" w:fill="FFFFFF"/>
          <w:lang w:eastAsia="nl-NL"/>
        </w:rPr>
        <w:t xml:space="preserve">Dit gegeven wordt overigens ook in de Contourennota – maar wel om heel andere redenen dan het primaire karakter van het strafrecht – kritisch besproken in de </w:t>
      </w:r>
      <w:r>
        <w:rPr>
          <w:rFonts w:ascii="Times New Roman" w:eastAsia="MS Mincho" w:hAnsi="Times New Roman" w:cs="Times New Roman"/>
          <w:color w:val="000000"/>
          <w:shd w:val="clear" w:color="auto" w:fill="FFFFFF"/>
          <w:lang w:eastAsia="nl-NL"/>
        </w:rPr>
        <w:t>C</w:t>
      </w:r>
      <w:r w:rsidRPr="00C735CB">
        <w:rPr>
          <w:rFonts w:ascii="Times New Roman" w:hAnsi="Times New Roman" w:cs="Times New Roman"/>
        </w:rPr>
        <w:t>ontourennota</w:t>
      </w:r>
      <w:r w:rsidR="00770EE4">
        <w:rPr>
          <w:rFonts w:ascii="Times New Roman" w:hAnsi="Times New Roman" w:cs="Times New Roman"/>
        </w:rPr>
        <w:t>,</w:t>
      </w:r>
      <w:r w:rsidRPr="00C735CB">
        <w:rPr>
          <w:rFonts w:ascii="Times New Roman" w:hAnsi="Times New Roman" w:cs="Times New Roman"/>
        </w:rPr>
        <w:t xml:space="preserve"> p. 42. </w:t>
      </w:r>
    </w:p>
  </w:footnote>
  <w:footnote w:id="32">
    <w:p w:rsidR="0078019A" w:rsidRPr="004404C2" w:rsidRDefault="0078019A">
      <w:pPr>
        <w:pStyle w:val="FootnoteText"/>
        <w:rPr>
          <w:rFonts w:ascii="Times New Roman" w:hAnsi="Times New Roman" w:cs="Times New Roman"/>
        </w:rPr>
      </w:pPr>
      <w:r w:rsidRPr="004404C2">
        <w:rPr>
          <w:rStyle w:val="FootnoteReference"/>
          <w:rFonts w:ascii="Times New Roman" w:hAnsi="Times New Roman"/>
        </w:rPr>
        <w:footnoteRef/>
      </w:r>
      <w:r w:rsidRPr="004404C2">
        <w:rPr>
          <w:rFonts w:ascii="Times New Roman" w:hAnsi="Times New Roman" w:cs="Times New Roman"/>
        </w:rPr>
        <w:t xml:space="preserve"> Idem.</w:t>
      </w:r>
    </w:p>
  </w:footnote>
  <w:footnote w:id="33">
    <w:p w:rsidR="0078019A" w:rsidRDefault="0078019A">
      <w:pPr>
        <w:pStyle w:val="FootnoteText"/>
      </w:pPr>
      <w:r w:rsidRPr="00903E63">
        <w:rPr>
          <w:rStyle w:val="FootnoteReference"/>
          <w:rFonts w:ascii="Times New Roman" w:hAnsi="Times New Roman"/>
        </w:rPr>
        <w:footnoteRef/>
      </w:r>
      <w:r w:rsidRPr="00903E63">
        <w:rPr>
          <w:rFonts w:ascii="Times New Roman" w:hAnsi="Times New Roman" w:cs="Times New Roman"/>
        </w:rPr>
        <w:t xml:space="preserve"> In de discussiestukken uit 2014 met betrekking tot de modernisering van het wetboek wordt de aard en de ernst van het feit nog wel een rol in abstracto toegekend. In de Contourennota lijkt de rol beperkt tot de abstracte ernst van het feit, deels ‘opgehangen’ aan de maximaal bedreigde – en dus </w:t>
      </w:r>
      <w:r w:rsidR="00FF65FF" w:rsidRPr="00903E63">
        <w:rPr>
          <w:rFonts w:ascii="Times New Roman" w:hAnsi="Times New Roman" w:cs="Times New Roman"/>
        </w:rPr>
        <w:t>abstracte</w:t>
      </w:r>
      <w:r w:rsidRPr="00903E63">
        <w:rPr>
          <w:rFonts w:ascii="Times New Roman" w:hAnsi="Times New Roman" w:cs="Times New Roman"/>
        </w:rPr>
        <w:t xml:space="preserve"> - gevangenisstraf</w:t>
      </w:r>
      <w:r>
        <w:t xml:space="preserve">. </w:t>
      </w:r>
    </w:p>
  </w:footnote>
  <w:footnote w:id="34">
    <w:p w:rsidR="0078019A" w:rsidRDefault="0078019A">
      <w:pPr>
        <w:pStyle w:val="FootnoteText"/>
      </w:pPr>
      <w:r>
        <w:rPr>
          <w:rStyle w:val="FootnoteReference"/>
        </w:rPr>
        <w:footnoteRef/>
      </w:r>
      <w:r>
        <w:t xml:space="preserve"> </w:t>
      </w:r>
      <w:r w:rsidRPr="00C735CB">
        <w:rPr>
          <w:rFonts w:ascii="Times New Roman" w:eastAsia="MS Mincho" w:hAnsi="Times New Roman" w:cs="Times New Roman"/>
          <w:color w:val="000000"/>
          <w:shd w:val="clear" w:color="auto" w:fill="FFFFFF"/>
          <w:lang w:eastAsia="nl-NL"/>
        </w:rPr>
        <w:t>Contourennota</w:t>
      </w:r>
      <w:r w:rsidR="00770EE4">
        <w:rPr>
          <w:rFonts w:ascii="Times New Roman" w:eastAsia="MS Mincho" w:hAnsi="Times New Roman" w:cs="Times New Roman"/>
          <w:color w:val="000000"/>
          <w:shd w:val="clear" w:color="auto" w:fill="FFFFFF"/>
          <w:lang w:eastAsia="nl-NL"/>
        </w:rPr>
        <w:t>,</w:t>
      </w:r>
      <w:r>
        <w:rPr>
          <w:rFonts w:ascii="Times New Roman" w:eastAsia="MS Mincho" w:hAnsi="Times New Roman" w:cs="Times New Roman"/>
          <w:color w:val="000000"/>
          <w:shd w:val="clear" w:color="auto" w:fill="FFFFFF"/>
          <w:lang w:eastAsia="nl-NL"/>
        </w:rPr>
        <w:t xml:space="preserve"> p. 42-43.</w:t>
      </w:r>
    </w:p>
  </w:footnote>
  <w:footnote w:id="35">
    <w:p w:rsidR="00FF65FF" w:rsidRPr="00FF65FF" w:rsidRDefault="00FF65FF">
      <w:pPr>
        <w:pStyle w:val="FootnoteText"/>
        <w:rPr>
          <w:rFonts w:ascii="Times New Roman" w:hAnsi="Times New Roman" w:cs="Times New Roman"/>
        </w:rPr>
      </w:pPr>
      <w:r w:rsidRPr="00FF65FF">
        <w:rPr>
          <w:rStyle w:val="FootnoteReference"/>
          <w:rFonts w:ascii="Times New Roman" w:hAnsi="Times New Roman"/>
        </w:rPr>
        <w:footnoteRef/>
      </w:r>
      <w:r w:rsidRPr="00FF65FF">
        <w:rPr>
          <w:rFonts w:ascii="Times New Roman" w:hAnsi="Times New Roman" w:cs="Times New Roman"/>
        </w:rPr>
        <w:t xml:space="preserve"> In de weging volgens de beginselen van proportionaliteit en subsidiariteit kunnen bijvoorbeeld ook </w:t>
      </w:r>
      <w:r w:rsidR="00770EE4">
        <w:rPr>
          <w:rFonts w:ascii="Times New Roman" w:hAnsi="Times New Roman" w:cs="Times New Roman"/>
        </w:rPr>
        <w:t xml:space="preserve">andere </w:t>
      </w:r>
      <w:r w:rsidRPr="00FF65FF">
        <w:rPr>
          <w:rFonts w:ascii="Times New Roman" w:hAnsi="Times New Roman" w:cs="Times New Roman"/>
        </w:rPr>
        <w:t xml:space="preserve">concrete  afwegingsfactoren een rol spelen, zoals de recidivefactor en de relatie tussen dader en slachtoffer. </w:t>
      </w:r>
    </w:p>
  </w:footnote>
  <w:footnote w:id="36">
    <w:p w:rsidR="0078019A" w:rsidRDefault="0078019A">
      <w:pPr>
        <w:pStyle w:val="FootnoteText"/>
      </w:pPr>
      <w:r w:rsidRPr="004D58FC">
        <w:rPr>
          <w:rStyle w:val="FootnoteReference"/>
          <w:rFonts w:ascii="Times New Roman" w:hAnsi="Times New Roman"/>
        </w:rPr>
        <w:footnoteRef/>
      </w:r>
      <w:r w:rsidRPr="004D58FC">
        <w:rPr>
          <w:rFonts w:ascii="Times New Roman" w:hAnsi="Times New Roman" w:cs="Times New Roman"/>
        </w:rPr>
        <w:t xml:space="preserve"> Als één van de mijlpalen in die discussies wordt vaak verwezen naar de tekst van </w:t>
      </w:r>
      <w:proofErr w:type="spellStart"/>
      <w:r w:rsidRPr="004D58FC">
        <w:rPr>
          <w:rFonts w:ascii="Times New Roman" w:hAnsi="Times New Roman" w:cs="Times New Roman"/>
        </w:rPr>
        <w:t>W.Pompe</w:t>
      </w:r>
      <w:proofErr w:type="spellEnd"/>
      <w:r w:rsidRPr="004D58FC">
        <w:rPr>
          <w:rFonts w:ascii="Times New Roman" w:hAnsi="Times New Roman" w:cs="Times New Roman"/>
        </w:rPr>
        <w:t xml:space="preserve">, </w:t>
      </w:r>
      <w:r w:rsidRPr="004D58FC">
        <w:rPr>
          <w:rFonts w:ascii="Times New Roman" w:hAnsi="Times New Roman" w:cs="Times New Roman"/>
          <w:i/>
        </w:rPr>
        <w:t xml:space="preserve">Vooronderzoek of eindonderzoek beslissend? </w:t>
      </w:r>
      <w:r w:rsidRPr="004D58FC">
        <w:rPr>
          <w:rFonts w:ascii="Times New Roman" w:hAnsi="Times New Roman" w:cs="Times New Roman"/>
        </w:rPr>
        <w:t xml:space="preserve">Tijdschrift voor Strafrecht, LXVIII, afl.3, Leiden: E.J. </w:t>
      </w:r>
      <w:proofErr w:type="spellStart"/>
      <w:r w:rsidRPr="004D58FC">
        <w:rPr>
          <w:rFonts w:ascii="Times New Roman" w:hAnsi="Times New Roman" w:cs="Times New Roman"/>
        </w:rPr>
        <w:t>Brill</w:t>
      </w:r>
      <w:proofErr w:type="spellEnd"/>
      <w:r w:rsidRPr="004D58FC">
        <w:rPr>
          <w:rFonts w:ascii="Times New Roman" w:hAnsi="Times New Roman" w:cs="Times New Roman"/>
        </w:rPr>
        <w:t xml:space="preserve"> 1959. </w:t>
      </w:r>
    </w:p>
  </w:footnote>
  <w:footnote w:id="37">
    <w:p w:rsidR="0078019A" w:rsidRPr="005023A8" w:rsidRDefault="0078019A">
      <w:pPr>
        <w:pStyle w:val="FootnoteText"/>
        <w:rPr>
          <w:rFonts w:ascii="Times New Roman" w:hAnsi="Times New Roman" w:cs="Times New Roman"/>
        </w:rPr>
      </w:pPr>
      <w:r w:rsidRPr="005023A8">
        <w:rPr>
          <w:rStyle w:val="FootnoteReference"/>
          <w:rFonts w:ascii="Times New Roman" w:hAnsi="Times New Roman"/>
        </w:rPr>
        <w:footnoteRef/>
      </w:r>
      <w:r w:rsidRPr="005023A8">
        <w:rPr>
          <w:rFonts w:ascii="Times New Roman" w:hAnsi="Times New Roman" w:cs="Times New Roman"/>
        </w:rPr>
        <w:t xml:space="preserve"> Een ontwikkeling die in belangrijke mate is tot stand gekomen door de doorwerking van de rechtspraak van het EHRM. </w:t>
      </w:r>
    </w:p>
  </w:footnote>
  <w:footnote w:id="38">
    <w:p w:rsidR="0078019A" w:rsidRPr="005F02EF" w:rsidRDefault="0078019A">
      <w:pPr>
        <w:pStyle w:val="FootnoteText"/>
        <w:rPr>
          <w:rFonts w:ascii="Times New Roman" w:hAnsi="Times New Roman" w:cs="Times New Roman"/>
        </w:rPr>
      </w:pPr>
      <w:r w:rsidRPr="005F02EF">
        <w:rPr>
          <w:rStyle w:val="FootnoteReference"/>
          <w:rFonts w:ascii="Times New Roman" w:hAnsi="Times New Roman"/>
        </w:rPr>
        <w:footnoteRef/>
      </w:r>
      <w:r w:rsidRPr="005F02EF">
        <w:rPr>
          <w:rFonts w:ascii="Times New Roman" w:hAnsi="Times New Roman" w:cs="Times New Roman"/>
        </w:rPr>
        <w:t xml:space="preserve"> Begeleidende brief bij de Contourennota, p. 9-10.</w:t>
      </w:r>
    </w:p>
  </w:footnote>
  <w:footnote w:id="39">
    <w:p w:rsidR="0078019A" w:rsidRPr="00DD6922" w:rsidRDefault="0078019A">
      <w:pPr>
        <w:pStyle w:val="FootnoteText"/>
        <w:rPr>
          <w:rFonts w:ascii="Times New Roman" w:hAnsi="Times New Roman" w:cs="Times New Roman"/>
          <w:lang w:val="en-GB"/>
        </w:rPr>
      </w:pPr>
      <w:r w:rsidRPr="005F02EF">
        <w:rPr>
          <w:rStyle w:val="FootnoteReference"/>
          <w:rFonts w:ascii="Times New Roman" w:hAnsi="Times New Roman"/>
        </w:rPr>
        <w:footnoteRef/>
      </w:r>
      <w:r w:rsidRPr="00DD6922">
        <w:rPr>
          <w:rFonts w:ascii="Times New Roman" w:hAnsi="Times New Roman" w:cs="Times New Roman"/>
          <w:lang w:val="en-GB"/>
        </w:rPr>
        <w:t xml:space="preserve"> </w:t>
      </w:r>
      <w:proofErr w:type="spellStart"/>
      <w:r w:rsidRPr="00DD6922">
        <w:rPr>
          <w:rFonts w:ascii="Times New Roman" w:hAnsi="Times New Roman" w:cs="Times New Roman"/>
          <w:lang w:val="en-GB"/>
        </w:rPr>
        <w:t>Contourennota</w:t>
      </w:r>
      <w:proofErr w:type="spellEnd"/>
      <w:r w:rsidR="00770EE4">
        <w:rPr>
          <w:rFonts w:ascii="Times New Roman" w:hAnsi="Times New Roman" w:cs="Times New Roman"/>
          <w:lang w:val="en-GB"/>
        </w:rPr>
        <w:t>,</w:t>
      </w:r>
      <w:r w:rsidRPr="00DD6922">
        <w:rPr>
          <w:rFonts w:ascii="Times New Roman" w:hAnsi="Times New Roman" w:cs="Times New Roman"/>
          <w:lang w:val="en-GB"/>
        </w:rPr>
        <w:t xml:space="preserve"> p. 65. </w:t>
      </w:r>
    </w:p>
  </w:footnote>
  <w:footnote w:id="40">
    <w:p w:rsidR="0078019A" w:rsidRPr="00DD6922" w:rsidRDefault="0078019A">
      <w:pPr>
        <w:pStyle w:val="FootnoteText"/>
        <w:rPr>
          <w:rFonts w:ascii="Times New Roman" w:hAnsi="Times New Roman" w:cs="Times New Roman"/>
          <w:lang w:val="en-GB"/>
        </w:rPr>
      </w:pPr>
      <w:r w:rsidRPr="00800F27">
        <w:rPr>
          <w:rStyle w:val="FootnoteReference"/>
          <w:rFonts w:ascii="Times New Roman" w:hAnsi="Times New Roman"/>
        </w:rPr>
        <w:footnoteRef/>
      </w:r>
      <w:r w:rsidRPr="00DD6922">
        <w:rPr>
          <w:rFonts w:ascii="Times New Roman" w:hAnsi="Times New Roman" w:cs="Times New Roman"/>
          <w:lang w:val="en-GB"/>
        </w:rPr>
        <w:t xml:space="preserve"> </w:t>
      </w:r>
      <w:proofErr w:type="spellStart"/>
      <w:r w:rsidRPr="00DD6922">
        <w:rPr>
          <w:rFonts w:ascii="Times New Roman" w:hAnsi="Times New Roman" w:cs="Times New Roman"/>
          <w:lang w:val="en-GB"/>
        </w:rPr>
        <w:t>Contourennota</w:t>
      </w:r>
      <w:proofErr w:type="spellEnd"/>
      <w:r w:rsidR="00770EE4">
        <w:rPr>
          <w:rFonts w:ascii="Times New Roman" w:hAnsi="Times New Roman" w:cs="Times New Roman"/>
          <w:lang w:val="en-GB"/>
        </w:rPr>
        <w:t>,</w:t>
      </w:r>
      <w:r w:rsidRPr="00DD6922">
        <w:rPr>
          <w:rFonts w:ascii="Times New Roman" w:hAnsi="Times New Roman" w:cs="Times New Roman"/>
          <w:lang w:val="en-GB"/>
        </w:rPr>
        <w:t xml:space="preserve"> p. 71.</w:t>
      </w:r>
      <w:r>
        <w:rPr>
          <w:rFonts w:ascii="Times New Roman" w:hAnsi="Times New Roman" w:cs="Times New Roman"/>
          <w:lang w:val="en-GB"/>
        </w:rPr>
        <w:t xml:space="preserve">       </w:t>
      </w:r>
    </w:p>
  </w:footnote>
  <w:footnote w:id="41">
    <w:p w:rsidR="0078019A" w:rsidRPr="003F4A63" w:rsidRDefault="0078019A">
      <w:pPr>
        <w:pStyle w:val="FootnoteText"/>
        <w:rPr>
          <w:lang w:val="en-GB"/>
        </w:rPr>
      </w:pPr>
      <w:r>
        <w:rPr>
          <w:rStyle w:val="FootnoteReference"/>
        </w:rPr>
        <w:footnoteRef/>
      </w:r>
      <w:r w:rsidRPr="003F4A63">
        <w:rPr>
          <w:lang w:val="en-GB"/>
        </w:rPr>
        <w:t xml:space="preserve"> </w:t>
      </w:r>
      <w:proofErr w:type="spellStart"/>
      <w:r w:rsidRPr="003F4A63">
        <w:rPr>
          <w:rFonts w:ascii="Times New Roman" w:hAnsi="Times New Roman" w:cs="Times New Roman"/>
          <w:lang w:val="en-GB"/>
        </w:rPr>
        <w:t>Contourennota</w:t>
      </w:r>
      <w:proofErr w:type="spellEnd"/>
      <w:r w:rsidR="00770EE4">
        <w:rPr>
          <w:rFonts w:ascii="Times New Roman" w:hAnsi="Times New Roman" w:cs="Times New Roman"/>
          <w:lang w:val="en-GB"/>
        </w:rPr>
        <w:t>,</w:t>
      </w:r>
      <w:r w:rsidRPr="003F4A63">
        <w:rPr>
          <w:rFonts w:ascii="Times New Roman" w:hAnsi="Times New Roman" w:cs="Times New Roman"/>
          <w:lang w:val="en-GB"/>
        </w:rPr>
        <w:t xml:space="preserve"> p. 71-72.</w:t>
      </w:r>
    </w:p>
  </w:footnote>
  <w:footnote w:id="42">
    <w:p w:rsidR="0078019A" w:rsidRPr="00EA56CF" w:rsidRDefault="0078019A" w:rsidP="005023A8">
      <w:pPr>
        <w:pStyle w:val="FootnoteText"/>
        <w:rPr>
          <w:rFonts w:ascii="Times New Roman" w:hAnsi="Times New Roman" w:cs="Times New Roman"/>
        </w:rPr>
      </w:pPr>
      <w:r w:rsidRPr="00EA56CF">
        <w:rPr>
          <w:rStyle w:val="FootnoteReference"/>
          <w:rFonts w:ascii="Times New Roman" w:hAnsi="Times New Roman"/>
        </w:rPr>
        <w:footnoteRef/>
      </w:r>
      <w:r w:rsidRPr="00EA56CF">
        <w:rPr>
          <w:rFonts w:ascii="Times New Roman" w:hAnsi="Times New Roman" w:cs="Times New Roman"/>
        </w:rPr>
        <w:t xml:space="preserve"> Begeleidende brief bij de Contourennota</w:t>
      </w:r>
      <w:r w:rsidR="00770EE4">
        <w:rPr>
          <w:rFonts w:ascii="Times New Roman" w:hAnsi="Times New Roman" w:cs="Times New Roman"/>
        </w:rPr>
        <w:t>,</w:t>
      </w:r>
      <w:r w:rsidRPr="00EA56CF">
        <w:rPr>
          <w:rFonts w:ascii="Times New Roman" w:hAnsi="Times New Roman" w:cs="Times New Roman"/>
        </w:rPr>
        <w:t xml:space="preserve"> p. 7</w:t>
      </w:r>
      <w:r>
        <w:rPr>
          <w:rFonts w:ascii="Times New Roman" w:hAnsi="Times New Roman" w:cs="Times New Roman"/>
        </w:rPr>
        <w:t>.</w:t>
      </w:r>
    </w:p>
  </w:footnote>
  <w:footnote w:id="43">
    <w:p w:rsidR="0078019A" w:rsidRPr="004D58FC" w:rsidRDefault="0078019A" w:rsidP="00EA56CF">
      <w:pPr>
        <w:pStyle w:val="FootnoteText"/>
        <w:rPr>
          <w:rFonts w:ascii="Times New Roman" w:hAnsi="Times New Roman" w:cs="Times New Roman"/>
        </w:rPr>
      </w:pPr>
      <w:r w:rsidRPr="004D58FC">
        <w:rPr>
          <w:rStyle w:val="FootnoteReference"/>
          <w:rFonts w:ascii="Times New Roman" w:hAnsi="Times New Roman"/>
        </w:rPr>
        <w:footnoteRef/>
      </w:r>
      <w:r w:rsidRPr="004D58FC">
        <w:rPr>
          <w:rFonts w:ascii="Times New Roman" w:hAnsi="Times New Roman" w:cs="Times New Roman"/>
        </w:rPr>
        <w:t xml:space="preserve"> Begeleidende brief bij </w:t>
      </w:r>
      <w:r w:rsidR="00F067BA">
        <w:rPr>
          <w:rFonts w:ascii="Times New Roman" w:hAnsi="Times New Roman" w:cs="Times New Roman"/>
        </w:rPr>
        <w:t xml:space="preserve">de </w:t>
      </w:r>
      <w:r w:rsidRPr="004D58FC">
        <w:rPr>
          <w:rFonts w:ascii="Times New Roman" w:hAnsi="Times New Roman" w:cs="Times New Roman"/>
        </w:rPr>
        <w:t>Contourennota, pag. 10.</w:t>
      </w:r>
    </w:p>
  </w:footnote>
  <w:footnote w:id="44">
    <w:p w:rsidR="0078019A" w:rsidRPr="00A10076" w:rsidRDefault="0078019A">
      <w:pPr>
        <w:pStyle w:val="FootnoteText"/>
        <w:rPr>
          <w:rFonts w:ascii="Times New Roman" w:hAnsi="Times New Roman" w:cs="Times New Roman"/>
        </w:rPr>
      </w:pPr>
      <w:r w:rsidRPr="00A10076">
        <w:rPr>
          <w:rStyle w:val="FootnoteReference"/>
          <w:rFonts w:ascii="Times New Roman" w:hAnsi="Times New Roman"/>
        </w:rPr>
        <w:footnoteRef/>
      </w:r>
      <w:r w:rsidRPr="00A10076">
        <w:rPr>
          <w:rFonts w:ascii="Times New Roman" w:hAnsi="Times New Roman" w:cs="Times New Roman"/>
        </w:rPr>
        <w:t xml:space="preserve"> Zie hierover onder meer N. </w:t>
      </w:r>
      <w:proofErr w:type="spellStart"/>
      <w:r w:rsidRPr="00A10076">
        <w:rPr>
          <w:rFonts w:ascii="Times New Roman" w:hAnsi="Times New Roman" w:cs="Times New Roman"/>
        </w:rPr>
        <w:t>Jörg</w:t>
      </w:r>
      <w:proofErr w:type="spellEnd"/>
      <w:r w:rsidRPr="00A10076">
        <w:rPr>
          <w:rFonts w:ascii="Times New Roman" w:hAnsi="Times New Roman" w:cs="Times New Roman"/>
        </w:rPr>
        <w:t xml:space="preserve">, S. Field en C. Brants, Are </w:t>
      </w:r>
      <w:proofErr w:type="spellStart"/>
      <w:r w:rsidRPr="00A10076">
        <w:rPr>
          <w:rFonts w:ascii="Times New Roman" w:hAnsi="Times New Roman" w:cs="Times New Roman"/>
        </w:rPr>
        <w:t>inquisitorial</w:t>
      </w:r>
      <w:proofErr w:type="spellEnd"/>
      <w:r w:rsidRPr="00A10076">
        <w:rPr>
          <w:rFonts w:ascii="Times New Roman" w:hAnsi="Times New Roman" w:cs="Times New Roman"/>
        </w:rPr>
        <w:t xml:space="preserve"> </w:t>
      </w:r>
      <w:proofErr w:type="spellStart"/>
      <w:r w:rsidRPr="00A10076">
        <w:rPr>
          <w:rFonts w:ascii="Times New Roman" w:hAnsi="Times New Roman" w:cs="Times New Roman"/>
        </w:rPr>
        <w:t>and</w:t>
      </w:r>
      <w:proofErr w:type="spellEnd"/>
      <w:r w:rsidRPr="00A10076">
        <w:rPr>
          <w:rFonts w:ascii="Times New Roman" w:hAnsi="Times New Roman" w:cs="Times New Roman"/>
        </w:rPr>
        <w:t xml:space="preserve"> </w:t>
      </w:r>
      <w:proofErr w:type="spellStart"/>
      <w:r w:rsidRPr="00A10076">
        <w:rPr>
          <w:rFonts w:ascii="Times New Roman" w:hAnsi="Times New Roman" w:cs="Times New Roman"/>
        </w:rPr>
        <w:t>adversarial</w:t>
      </w:r>
      <w:proofErr w:type="spellEnd"/>
      <w:r w:rsidRPr="00A10076">
        <w:rPr>
          <w:rFonts w:ascii="Times New Roman" w:hAnsi="Times New Roman" w:cs="Times New Roman"/>
        </w:rPr>
        <w:t xml:space="preserve"> systems </w:t>
      </w:r>
      <w:proofErr w:type="spellStart"/>
      <w:r w:rsidRPr="00A10076">
        <w:rPr>
          <w:rFonts w:ascii="Times New Roman" w:hAnsi="Times New Roman" w:cs="Times New Roman"/>
        </w:rPr>
        <w:t>converging</w:t>
      </w:r>
      <w:proofErr w:type="spellEnd"/>
      <w:r w:rsidRPr="00A10076">
        <w:rPr>
          <w:rFonts w:ascii="Times New Roman" w:hAnsi="Times New Roman" w:cs="Times New Roman"/>
        </w:rPr>
        <w:t xml:space="preserve">?, in: P. </w:t>
      </w:r>
      <w:proofErr w:type="spellStart"/>
      <w:r w:rsidRPr="00A10076">
        <w:rPr>
          <w:rFonts w:ascii="Times New Roman" w:hAnsi="Times New Roman" w:cs="Times New Roman"/>
        </w:rPr>
        <w:t>Fennell</w:t>
      </w:r>
      <w:proofErr w:type="spellEnd"/>
      <w:r w:rsidRPr="00A10076">
        <w:rPr>
          <w:rFonts w:ascii="Times New Roman" w:hAnsi="Times New Roman" w:cs="Times New Roman"/>
        </w:rPr>
        <w:t xml:space="preserve"> (</w:t>
      </w:r>
      <w:proofErr w:type="spellStart"/>
      <w:r w:rsidRPr="00A10076">
        <w:rPr>
          <w:rFonts w:ascii="Times New Roman" w:hAnsi="Times New Roman" w:cs="Times New Roman"/>
        </w:rPr>
        <w:t>and</w:t>
      </w:r>
      <w:proofErr w:type="spellEnd"/>
      <w:r w:rsidRPr="00A10076">
        <w:rPr>
          <w:rFonts w:ascii="Times New Roman" w:hAnsi="Times New Roman" w:cs="Times New Roman"/>
        </w:rPr>
        <w:t xml:space="preserve"> </w:t>
      </w:r>
      <w:proofErr w:type="spellStart"/>
      <w:r w:rsidRPr="00A10076">
        <w:rPr>
          <w:rFonts w:ascii="Times New Roman" w:hAnsi="Times New Roman" w:cs="Times New Roman"/>
        </w:rPr>
        <w:t>others</w:t>
      </w:r>
      <w:proofErr w:type="spellEnd"/>
      <w:r w:rsidRPr="00A10076">
        <w:rPr>
          <w:rFonts w:ascii="Times New Roman" w:hAnsi="Times New Roman" w:cs="Times New Roman"/>
        </w:rPr>
        <w:t xml:space="preserve">), </w:t>
      </w:r>
      <w:proofErr w:type="spellStart"/>
      <w:r w:rsidRPr="00A10076">
        <w:rPr>
          <w:rFonts w:ascii="Times New Roman" w:hAnsi="Times New Roman" w:cs="Times New Roman"/>
          <w:i/>
        </w:rPr>
        <w:t>Criminal</w:t>
      </w:r>
      <w:proofErr w:type="spellEnd"/>
      <w:r w:rsidRPr="00A10076">
        <w:rPr>
          <w:rFonts w:ascii="Times New Roman" w:hAnsi="Times New Roman" w:cs="Times New Roman"/>
          <w:i/>
        </w:rPr>
        <w:t xml:space="preserve"> Justice in Europe – a </w:t>
      </w:r>
      <w:proofErr w:type="spellStart"/>
      <w:r w:rsidRPr="00A10076">
        <w:rPr>
          <w:rFonts w:ascii="Times New Roman" w:hAnsi="Times New Roman" w:cs="Times New Roman"/>
          <w:i/>
        </w:rPr>
        <w:t>comparative</w:t>
      </w:r>
      <w:proofErr w:type="spellEnd"/>
      <w:r w:rsidRPr="00A10076">
        <w:rPr>
          <w:rFonts w:ascii="Times New Roman" w:hAnsi="Times New Roman" w:cs="Times New Roman"/>
          <w:i/>
        </w:rPr>
        <w:t xml:space="preserve"> </w:t>
      </w:r>
      <w:proofErr w:type="spellStart"/>
      <w:r w:rsidRPr="00A10076">
        <w:rPr>
          <w:rFonts w:ascii="Times New Roman" w:hAnsi="Times New Roman" w:cs="Times New Roman"/>
          <w:i/>
        </w:rPr>
        <w:t>study</w:t>
      </w:r>
      <w:proofErr w:type="spellEnd"/>
      <w:r w:rsidRPr="00A10076">
        <w:rPr>
          <w:rFonts w:ascii="Times New Roman" w:hAnsi="Times New Roman" w:cs="Times New Roman"/>
        </w:rPr>
        <w:t xml:space="preserve">, Oxford: </w:t>
      </w:r>
      <w:proofErr w:type="spellStart"/>
      <w:r w:rsidRPr="00A10076">
        <w:rPr>
          <w:rFonts w:ascii="Times New Roman" w:hAnsi="Times New Roman" w:cs="Times New Roman"/>
        </w:rPr>
        <w:t>Clarenton</w:t>
      </w:r>
      <w:proofErr w:type="spellEnd"/>
      <w:r w:rsidRPr="00A10076">
        <w:rPr>
          <w:rFonts w:ascii="Times New Roman" w:hAnsi="Times New Roman" w:cs="Times New Roman"/>
        </w:rPr>
        <w:t xml:space="preserve"> Press 1995, p. 41-56 en P. de Hert en T. </w:t>
      </w:r>
      <w:proofErr w:type="spellStart"/>
      <w:r w:rsidRPr="00A10076">
        <w:rPr>
          <w:rFonts w:ascii="Times New Roman" w:hAnsi="Times New Roman" w:cs="Times New Roman"/>
        </w:rPr>
        <w:t>Decaigny</w:t>
      </w:r>
      <w:proofErr w:type="spellEnd"/>
      <w:r w:rsidRPr="00A10076">
        <w:rPr>
          <w:rFonts w:ascii="Times New Roman" w:hAnsi="Times New Roman" w:cs="Times New Roman"/>
        </w:rPr>
        <w:t>, Evolueren</w:t>
      </w:r>
      <w:r>
        <w:rPr>
          <w:rFonts w:ascii="Times New Roman" w:hAnsi="Times New Roman" w:cs="Times New Roman"/>
        </w:rPr>
        <w:t xml:space="preserve"> </w:t>
      </w:r>
      <w:r w:rsidRPr="00A10076">
        <w:rPr>
          <w:rFonts w:ascii="Times New Roman" w:hAnsi="Times New Roman" w:cs="Times New Roman"/>
        </w:rPr>
        <w:t>het Nederlandse en het</w:t>
      </w:r>
      <w:r>
        <w:rPr>
          <w:rFonts w:ascii="Times New Roman" w:hAnsi="Times New Roman" w:cs="Times New Roman"/>
        </w:rPr>
        <w:t xml:space="preserve"> Belgische strafproces naar </w:t>
      </w:r>
      <w:proofErr w:type="spellStart"/>
      <w:r>
        <w:rPr>
          <w:rFonts w:ascii="Times New Roman" w:hAnsi="Times New Roman" w:cs="Times New Roman"/>
        </w:rPr>
        <w:t>adversaire</w:t>
      </w:r>
      <w:proofErr w:type="spellEnd"/>
      <w:r>
        <w:rPr>
          <w:rFonts w:ascii="Times New Roman" w:hAnsi="Times New Roman" w:cs="Times New Roman"/>
        </w:rPr>
        <w:t xml:space="preserve"> systemen? </w:t>
      </w:r>
      <w:r w:rsidRPr="00A10076">
        <w:rPr>
          <w:rFonts w:ascii="Times New Roman" w:hAnsi="Times New Roman" w:cs="Times New Roman"/>
          <w:i/>
        </w:rPr>
        <w:t>Strafblad,</w:t>
      </w:r>
      <w:r>
        <w:rPr>
          <w:rFonts w:ascii="Times New Roman" w:hAnsi="Times New Roman" w:cs="Times New Roman"/>
        </w:rPr>
        <w:t xml:space="preserve"> maart 2013, SDU, p, 54-66.</w:t>
      </w:r>
    </w:p>
  </w:footnote>
  <w:footnote w:id="45">
    <w:p w:rsidR="0078019A" w:rsidRPr="005023A8" w:rsidRDefault="0078019A">
      <w:pPr>
        <w:pStyle w:val="FootnoteText"/>
        <w:rPr>
          <w:rFonts w:ascii="Times New Roman" w:hAnsi="Times New Roman" w:cs="Times New Roman"/>
        </w:rPr>
      </w:pPr>
      <w:r w:rsidRPr="005023A8">
        <w:rPr>
          <w:rStyle w:val="FootnoteReference"/>
          <w:rFonts w:ascii="Times New Roman" w:hAnsi="Times New Roman"/>
        </w:rPr>
        <w:footnoteRef/>
      </w:r>
      <w:r w:rsidRPr="005023A8">
        <w:rPr>
          <w:rFonts w:ascii="Times New Roman" w:hAnsi="Times New Roman" w:cs="Times New Roman"/>
        </w:rPr>
        <w:t xml:space="preserve"> Zie hierover ook de bijdrage van </w:t>
      </w:r>
      <w:proofErr w:type="spellStart"/>
      <w:r w:rsidRPr="005023A8">
        <w:rPr>
          <w:rFonts w:ascii="Times New Roman" w:hAnsi="Times New Roman" w:cs="Times New Roman"/>
        </w:rPr>
        <w:t>Van</w:t>
      </w:r>
      <w:proofErr w:type="spellEnd"/>
      <w:r w:rsidRPr="005023A8">
        <w:rPr>
          <w:rFonts w:ascii="Times New Roman" w:hAnsi="Times New Roman" w:cs="Times New Roman"/>
        </w:rPr>
        <w:t xml:space="preserve"> Russen Groen in dit themanummer. </w:t>
      </w:r>
    </w:p>
  </w:footnote>
  <w:footnote w:id="46">
    <w:p w:rsidR="0078019A" w:rsidRPr="00A10076" w:rsidRDefault="0078019A">
      <w:pPr>
        <w:pStyle w:val="FootnoteText"/>
        <w:rPr>
          <w:rFonts w:ascii="Times New Roman" w:hAnsi="Times New Roman" w:cs="Times New Roman"/>
        </w:rPr>
      </w:pPr>
      <w:r w:rsidRPr="00340516">
        <w:rPr>
          <w:rStyle w:val="FootnoteReference"/>
          <w:rFonts w:ascii="Times New Roman" w:hAnsi="Times New Roman"/>
        </w:rPr>
        <w:footnoteRef/>
      </w:r>
      <w:r w:rsidRPr="00A10076">
        <w:rPr>
          <w:rFonts w:ascii="Times New Roman" w:hAnsi="Times New Roman" w:cs="Times New Roman"/>
        </w:rPr>
        <w:t xml:space="preserve"> Contourennota</w:t>
      </w:r>
      <w:r w:rsidR="00770EE4">
        <w:rPr>
          <w:rFonts w:ascii="Times New Roman" w:hAnsi="Times New Roman" w:cs="Times New Roman"/>
        </w:rPr>
        <w:t>, p</w:t>
      </w:r>
      <w:r w:rsidRPr="00A10076">
        <w:rPr>
          <w:rFonts w:ascii="Times New Roman" w:hAnsi="Times New Roman" w:cs="Times New Roman"/>
        </w:rPr>
        <w:t>ar.</w:t>
      </w:r>
      <w:r w:rsidR="00434920">
        <w:rPr>
          <w:rFonts w:ascii="Times New Roman" w:hAnsi="Times New Roman" w:cs="Times New Roman"/>
        </w:rPr>
        <w:t xml:space="preserve"> </w:t>
      </w:r>
      <w:r w:rsidRPr="00A10076">
        <w:rPr>
          <w:rFonts w:ascii="Times New Roman" w:hAnsi="Times New Roman" w:cs="Times New Roman"/>
        </w:rPr>
        <w:t>2.3.2.</w:t>
      </w:r>
    </w:p>
  </w:footnote>
  <w:footnote w:id="47">
    <w:p w:rsidR="0078019A" w:rsidRPr="002D574A" w:rsidRDefault="0078019A">
      <w:pPr>
        <w:pStyle w:val="FootnoteText"/>
        <w:rPr>
          <w:rFonts w:ascii="Times New Roman" w:hAnsi="Times New Roman" w:cs="Times New Roman"/>
        </w:rPr>
      </w:pPr>
      <w:r w:rsidRPr="002D574A">
        <w:rPr>
          <w:rStyle w:val="FootnoteReference"/>
          <w:rFonts w:ascii="Times New Roman" w:hAnsi="Times New Roman"/>
        </w:rPr>
        <w:footnoteRef/>
      </w:r>
      <w:r w:rsidRPr="002D574A">
        <w:rPr>
          <w:rFonts w:ascii="Times New Roman" w:hAnsi="Times New Roman" w:cs="Times New Roman"/>
        </w:rPr>
        <w:t xml:space="preserve"> Hier wordt overigens zonder meer onderkend dat deze problematiek de afgelopen decennia veel aandacht heeft gekregen van zowel alle betrokken overheidsorganen als vanuit de wetenschap.</w:t>
      </w:r>
    </w:p>
  </w:footnote>
  <w:footnote w:id="48">
    <w:p w:rsidR="0078019A" w:rsidRDefault="0078019A" w:rsidP="00D31DB1">
      <w:pPr>
        <w:autoSpaceDE w:val="0"/>
        <w:autoSpaceDN w:val="0"/>
        <w:adjustRightInd w:val="0"/>
        <w:spacing w:after="0" w:line="240" w:lineRule="auto"/>
      </w:pPr>
      <w:r>
        <w:rPr>
          <w:rStyle w:val="FootnoteReference"/>
        </w:rPr>
        <w:footnoteRef/>
      </w:r>
      <w:r>
        <w:t xml:space="preserve"> </w:t>
      </w:r>
      <w:r w:rsidRPr="00F7710D">
        <w:rPr>
          <w:rFonts w:ascii="Times New Roman" w:hAnsi="Times New Roman" w:cs="Times New Roman"/>
          <w:iCs/>
          <w:sz w:val="20"/>
          <w:szCs w:val="20"/>
        </w:rPr>
        <w:t>J.H. Crijns,</w:t>
      </w:r>
      <w:r w:rsidRPr="00F7710D">
        <w:rPr>
          <w:rFonts w:ascii="Times New Roman" w:hAnsi="Times New Roman" w:cs="Times New Roman"/>
          <w:i/>
          <w:iCs/>
          <w:sz w:val="20"/>
          <w:szCs w:val="20"/>
        </w:rPr>
        <w:t xml:space="preserve"> </w:t>
      </w:r>
      <w:r w:rsidRPr="009F69EA">
        <w:rPr>
          <w:rFonts w:ascii="Times New Roman" w:hAnsi="Times New Roman" w:cs="Times New Roman"/>
          <w:bCs/>
          <w:sz w:val="20"/>
          <w:szCs w:val="20"/>
        </w:rPr>
        <w:t xml:space="preserve">Op zoek naar consistentie, Bestraffing buiten de rechter om in strafrecht en bestuursrecht, </w:t>
      </w:r>
      <w:r w:rsidRPr="009F69EA">
        <w:rPr>
          <w:rFonts w:ascii="Times New Roman" w:hAnsi="Times New Roman" w:cs="Times New Roman"/>
          <w:i/>
          <w:iCs/>
          <w:sz w:val="20"/>
          <w:szCs w:val="20"/>
        </w:rPr>
        <w:t xml:space="preserve">Rechtsgeleerd Magazijn Themis </w:t>
      </w:r>
      <w:r>
        <w:rPr>
          <w:rFonts w:ascii="Times New Roman" w:hAnsi="Times New Roman" w:cs="Times New Roman"/>
          <w:iCs/>
          <w:sz w:val="20"/>
          <w:szCs w:val="20"/>
        </w:rPr>
        <w:t>2</w:t>
      </w:r>
      <w:r w:rsidRPr="00F7710D">
        <w:rPr>
          <w:rFonts w:ascii="Times New Roman" w:hAnsi="Times New Roman" w:cs="Times New Roman"/>
          <w:sz w:val="20"/>
          <w:szCs w:val="20"/>
        </w:rPr>
        <w:t>014-6, p. 263-274.</w:t>
      </w:r>
    </w:p>
  </w:footnote>
  <w:footnote w:id="49">
    <w:p w:rsidR="0078019A" w:rsidRPr="00D31DB1" w:rsidRDefault="0078019A">
      <w:pPr>
        <w:pStyle w:val="FootnoteText"/>
        <w:rPr>
          <w:rFonts w:ascii="Times New Roman" w:hAnsi="Times New Roman" w:cs="Times New Roman"/>
        </w:rPr>
      </w:pPr>
      <w:r>
        <w:rPr>
          <w:rStyle w:val="FootnoteReference"/>
        </w:rPr>
        <w:footnoteRef/>
      </w:r>
      <w:r>
        <w:t xml:space="preserve"> </w:t>
      </w:r>
      <w:r w:rsidRPr="00D31DB1">
        <w:rPr>
          <w:rFonts w:ascii="Times New Roman" w:hAnsi="Times New Roman" w:cs="Times New Roman"/>
        </w:rPr>
        <w:t>De invoeging werd beschouwd als een vernummering. Zie Kamerstukken II 2004/05, 30 143, nr.3, p.4 en p.9</w:t>
      </w:r>
      <w:r>
        <w:rPr>
          <w:rFonts w:ascii="Times New Roman" w:hAnsi="Times New Roman" w:cs="Times New Roman"/>
        </w:rPr>
        <w:t>.</w:t>
      </w:r>
    </w:p>
  </w:footnote>
  <w:footnote w:id="50">
    <w:p w:rsidR="0078019A" w:rsidRPr="00D404C3" w:rsidRDefault="0078019A">
      <w:pPr>
        <w:pStyle w:val="FootnoteText"/>
        <w:rPr>
          <w:rFonts w:ascii="Times New Roman" w:hAnsi="Times New Roman" w:cs="Times New Roman"/>
        </w:rPr>
      </w:pPr>
      <w:r w:rsidRPr="00D404C3">
        <w:rPr>
          <w:rStyle w:val="FootnoteReference"/>
          <w:rFonts w:ascii="Times New Roman" w:hAnsi="Times New Roman"/>
        </w:rPr>
        <w:footnoteRef/>
      </w:r>
      <w:r w:rsidRPr="00D404C3">
        <w:rPr>
          <w:rFonts w:ascii="Times New Roman" w:hAnsi="Times New Roman" w:cs="Times New Roman"/>
        </w:rPr>
        <w:t xml:space="preserve"> Deze problematiek he ik op divers plaatsen behandeld in termen van fricties veroorzaakt door het invoegen van horizontale recht</w:t>
      </w:r>
      <w:r>
        <w:rPr>
          <w:rFonts w:ascii="Times New Roman" w:hAnsi="Times New Roman" w:cs="Times New Roman"/>
        </w:rPr>
        <w:t>sb</w:t>
      </w:r>
      <w:r w:rsidRPr="00D404C3">
        <w:rPr>
          <w:rFonts w:ascii="Times New Roman" w:hAnsi="Times New Roman" w:cs="Times New Roman"/>
        </w:rPr>
        <w:t xml:space="preserve">etrekkingen in een dominant verticale procescultuur. </w:t>
      </w:r>
      <w:r>
        <w:rPr>
          <w:rFonts w:ascii="Times New Roman" w:hAnsi="Times New Roman" w:cs="Times New Roman"/>
        </w:rPr>
        <w:t xml:space="preserve">Zie onder meer C.P.M. Cleiren, </w:t>
      </w:r>
      <w:r w:rsidRPr="000B1073">
        <w:rPr>
          <w:rFonts w:ascii="Times New Roman" w:hAnsi="Times New Roman" w:cs="Times New Roman"/>
          <w:i/>
        </w:rPr>
        <w:t>Evolueren naar meer horizontale en multidimensionale verhoudingen in het strafrecht</w:t>
      </w:r>
      <w:r>
        <w:rPr>
          <w:rFonts w:ascii="Times New Roman" w:hAnsi="Times New Roman" w:cs="Times New Roman"/>
        </w:rPr>
        <w:t>, Mechelen: Wolters Kluwer 2010.</w:t>
      </w:r>
    </w:p>
  </w:footnote>
  <w:footnote w:id="51">
    <w:p w:rsidR="0078019A" w:rsidRDefault="0078019A" w:rsidP="00C04A94">
      <w:pPr>
        <w:pStyle w:val="FootnoteText"/>
      </w:pPr>
      <w:r>
        <w:rPr>
          <w:rStyle w:val="FootnoteReference"/>
        </w:rPr>
        <w:footnoteRef/>
      </w:r>
      <w:r>
        <w:t xml:space="preserve"> </w:t>
      </w:r>
      <w:r w:rsidRPr="00C04A94">
        <w:rPr>
          <w:rFonts w:ascii="Times New Roman" w:hAnsi="Times New Roman" w:cs="Times New Roman"/>
        </w:rPr>
        <w:t xml:space="preserve">Zie </w:t>
      </w:r>
      <w:r>
        <w:rPr>
          <w:rFonts w:ascii="Times New Roman" w:hAnsi="Times New Roman" w:cs="Times New Roman"/>
        </w:rPr>
        <w:t xml:space="preserve">over de daarmee samenhangende problematiek </w:t>
      </w:r>
      <w:r w:rsidRPr="00C04A94">
        <w:rPr>
          <w:rFonts w:ascii="Times New Roman" w:hAnsi="Times New Roman" w:cs="Times New Roman"/>
        </w:rPr>
        <w:t>in het bijzonder J. Candido, Gemotiveerde betwisting van een blote stelling</w:t>
      </w:r>
      <w:r>
        <w:rPr>
          <w:rFonts w:ascii="Times New Roman" w:hAnsi="Times New Roman" w:cs="Times New Roman"/>
        </w:rPr>
        <w:t xml:space="preserve">, </w:t>
      </w:r>
      <w:r w:rsidRPr="00C04A94">
        <w:rPr>
          <w:rFonts w:ascii="Times New Roman" w:eastAsia="MS Mincho" w:hAnsi="Times New Roman" w:cs="Times New Roman"/>
          <w:i/>
          <w:color w:val="000000"/>
          <w:shd w:val="clear" w:color="auto" w:fill="FFFFFF"/>
          <w:lang w:eastAsia="nl-NL"/>
        </w:rPr>
        <w:t>NJB</w:t>
      </w:r>
      <w:r w:rsidRPr="00C04A94">
        <w:rPr>
          <w:rFonts w:ascii="Times New Roman" w:eastAsia="MS Mincho" w:hAnsi="Times New Roman" w:cs="Times New Roman"/>
          <w:color w:val="000000"/>
          <w:shd w:val="clear" w:color="auto" w:fill="FFFFFF"/>
          <w:lang w:eastAsia="nl-NL"/>
        </w:rPr>
        <w:t xml:space="preserve"> 2012/824</w:t>
      </w:r>
      <w:r>
        <w:rPr>
          <w:rFonts w:ascii="Times New Roman" w:eastAsia="MS Mincho" w:hAnsi="Times New Roman" w:cs="Times New Roman"/>
          <w:color w:val="000000"/>
          <w:shd w:val="clear" w:color="auto" w:fill="FFFFFF"/>
          <w:lang w:eastAsia="nl-NL"/>
        </w:rPr>
        <w:t>.</w:t>
      </w:r>
    </w:p>
  </w:footnote>
  <w:footnote w:id="52">
    <w:p w:rsidR="0078019A" w:rsidRDefault="0078019A">
      <w:pPr>
        <w:pStyle w:val="FootnoteText"/>
      </w:pPr>
      <w:r>
        <w:rPr>
          <w:rStyle w:val="FootnoteReference"/>
        </w:rPr>
        <w:footnoteRef/>
      </w:r>
      <w:r>
        <w:t xml:space="preserve"> </w:t>
      </w:r>
      <w:r w:rsidRPr="00434920">
        <w:rPr>
          <w:rFonts w:ascii="Times New Roman" w:hAnsi="Times New Roman" w:cs="Times New Roman"/>
        </w:rPr>
        <w:t>E</w:t>
      </w:r>
      <w:r w:rsidRPr="00434920">
        <w:rPr>
          <w:rFonts w:ascii="Times New Roman" w:eastAsia="MS Mincho" w:hAnsi="Times New Roman" w:cs="Times New Roman"/>
          <w:color w:val="000000"/>
          <w:shd w:val="clear" w:color="auto" w:fill="FFFFFF"/>
          <w:lang w:eastAsia="nl-NL"/>
        </w:rPr>
        <w:t>en uitvoerig</w:t>
      </w:r>
      <w:r w:rsidRPr="00F60D56">
        <w:rPr>
          <w:rFonts w:ascii="Times New Roman" w:eastAsia="MS Mincho" w:hAnsi="Times New Roman" w:cs="Times New Roman"/>
          <w:color w:val="000000"/>
          <w:shd w:val="clear" w:color="auto" w:fill="FFFFFF"/>
          <w:lang w:eastAsia="nl-NL"/>
        </w:rPr>
        <w:t xml:space="preserve"> onderzoek naar de voor- en nadelen van de invoering van een tweefasen-proces werd </w:t>
      </w:r>
      <w:r w:rsidRPr="00F60D56">
        <w:rPr>
          <w:rFonts w:ascii="Times New Roman" w:hAnsi="Times New Roman" w:cs="Times New Roman"/>
        </w:rPr>
        <w:t xml:space="preserve">op verzoek van het ministerie van Veiligheid en Justitie </w:t>
      </w:r>
      <w:r w:rsidRPr="00F60D56">
        <w:rPr>
          <w:rFonts w:ascii="Times New Roman" w:eastAsia="MS Mincho" w:hAnsi="Times New Roman" w:cs="Times New Roman"/>
          <w:color w:val="000000"/>
          <w:shd w:val="clear" w:color="auto" w:fill="FFFFFF"/>
          <w:lang w:eastAsia="nl-NL"/>
        </w:rPr>
        <w:t>uitgezet door h</w:t>
      </w:r>
      <w:r w:rsidRPr="00F60D56">
        <w:rPr>
          <w:rFonts w:ascii="Times New Roman" w:hAnsi="Times New Roman" w:cs="Times New Roman"/>
        </w:rPr>
        <w:t xml:space="preserve">et WODC en uitgevoerd - door de afdeling straf- en strafprocesrecht van de Universiteit Groningen: B.F. Keulen e.a., </w:t>
      </w:r>
      <w:r w:rsidRPr="00F60D56">
        <w:rPr>
          <w:rFonts w:ascii="Times New Roman" w:hAnsi="Times New Roman" w:cs="Times New Roman"/>
          <w:i/>
        </w:rPr>
        <w:t xml:space="preserve">Naar een </w:t>
      </w:r>
      <w:proofErr w:type="spellStart"/>
      <w:r w:rsidRPr="00F60D56">
        <w:rPr>
          <w:rFonts w:ascii="Times New Roman" w:hAnsi="Times New Roman" w:cs="Times New Roman"/>
          <w:i/>
        </w:rPr>
        <w:t>tweefasenproces</w:t>
      </w:r>
      <w:proofErr w:type="spellEnd"/>
      <w:r w:rsidRPr="00F60D56">
        <w:rPr>
          <w:rFonts w:ascii="Times New Roman" w:hAnsi="Times New Roman" w:cs="Times New Roman"/>
          <w:i/>
        </w:rPr>
        <w:t>? Over voor- en nadelen van een strafproces in twee fasen</w:t>
      </w:r>
      <w:r w:rsidRPr="00F60D56">
        <w:rPr>
          <w:rFonts w:ascii="Times New Roman" w:hAnsi="Times New Roman" w:cs="Times New Roman"/>
        </w:rPr>
        <w:t>, Zutphen: Uitgeverij Paris 2013 Paris.</w:t>
      </w:r>
      <w:r>
        <w:rPr>
          <w:rFonts w:ascii="Times New Roman" w:hAnsi="Times New Roman" w:cs="Times New Roman"/>
        </w:rPr>
        <w:t xml:space="preserve"> </w:t>
      </w:r>
    </w:p>
  </w:footnote>
  <w:footnote w:id="53">
    <w:p w:rsidR="0078019A" w:rsidRPr="0038630E" w:rsidRDefault="0078019A" w:rsidP="0038630E">
      <w:pPr>
        <w:autoSpaceDE w:val="0"/>
        <w:autoSpaceDN w:val="0"/>
        <w:adjustRightInd w:val="0"/>
        <w:spacing w:after="0" w:line="240" w:lineRule="auto"/>
        <w:rPr>
          <w:rFonts w:ascii="Times New Roman" w:hAnsi="Times New Roman" w:cs="Times New Roman"/>
        </w:rPr>
      </w:pPr>
      <w:r w:rsidRPr="0038630E">
        <w:rPr>
          <w:rStyle w:val="FootnoteReference"/>
          <w:rFonts w:ascii="Times New Roman" w:hAnsi="Times New Roman"/>
        </w:rPr>
        <w:footnoteRef/>
      </w:r>
      <w:r w:rsidRPr="0038630E">
        <w:rPr>
          <w:rFonts w:ascii="Times New Roman" w:hAnsi="Times New Roman" w:cs="Times New Roman"/>
        </w:rPr>
        <w:t xml:space="preserve"> </w:t>
      </w:r>
      <w:r w:rsidRPr="0038630E">
        <w:rPr>
          <w:rFonts w:ascii="Times New Roman" w:hAnsi="Times New Roman" w:cs="Times New Roman"/>
          <w:sz w:val="20"/>
          <w:szCs w:val="20"/>
        </w:rPr>
        <w:t xml:space="preserve">Zie onder meer mijn annotatie </w:t>
      </w:r>
      <w:r>
        <w:rPr>
          <w:rFonts w:ascii="Times New Roman" w:hAnsi="Times New Roman" w:cs="Times New Roman"/>
          <w:sz w:val="20"/>
          <w:szCs w:val="20"/>
        </w:rPr>
        <w:t xml:space="preserve">(C.P.M. Cleiren) </w:t>
      </w:r>
      <w:r w:rsidRPr="0038630E">
        <w:rPr>
          <w:rFonts w:ascii="Times New Roman" w:hAnsi="Times New Roman" w:cs="Times New Roman"/>
          <w:sz w:val="20"/>
          <w:szCs w:val="20"/>
        </w:rPr>
        <w:t>bij HR 29 mei 2012, NJ 2014/398, NJB 2014,42; 5093-5099.</w:t>
      </w:r>
    </w:p>
  </w:footnote>
  <w:footnote w:id="54">
    <w:p w:rsidR="0078019A" w:rsidRPr="009F69EA" w:rsidRDefault="0078019A">
      <w:pPr>
        <w:pStyle w:val="FootnoteText"/>
        <w:rPr>
          <w:rFonts w:ascii="Times New Roman" w:hAnsi="Times New Roman" w:cs="Times New Roman"/>
        </w:rPr>
      </w:pPr>
      <w:r w:rsidRPr="009F69EA">
        <w:rPr>
          <w:rStyle w:val="FootnoteReference"/>
          <w:rFonts w:ascii="Times New Roman" w:hAnsi="Times New Roman"/>
        </w:rPr>
        <w:footnoteRef/>
      </w:r>
      <w:r w:rsidRPr="009F69EA">
        <w:rPr>
          <w:rFonts w:ascii="Times New Roman" w:hAnsi="Times New Roman" w:cs="Times New Roman"/>
        </w:rPr>
        <w:t xml:space="preserve"> Zie uitgebreider over de positie van het slachtoffer in het moderniseringsprogramma de bijdrage van R.S.B. Kool in dit themanummer. </w:t>
      </w:r>
    </w:p>
  </w:footnote>
  <w:footnote w:id="55">
    <w:p w:rsidR="0078019A" w:rsidRPr="00C04A94" w:rsidRDefault="0078019A">
      <w:pPr>
        <w:pStyle w:val="FootnoteText"/>
        <w:rPr>
          <w:rFonts w:ascii="Times New Roman" w:hAnsi="Times New Roman" w:cs="Times New Roman"/>
        </w:rPr>
      </w:pPr>
      <w:r>
        <w:rPr>
          <w:rStyle w:val="FootnoteReference"/>
        </w:rPr>
        <w:footnoteRef/>
      </w:r>
      <w:r>
        <w:t xml:space="preserve"> </w:t>
      </w:r>
      <w:r w:rsidRPr="00C04A94">
        <w:rPr>
          <w:rFonts w:ascii="Times New Roman" w:hAnsi="Times New Roman" w:cs="Times New Roman"/>
        </w:rPr>
        <w:t xml:space="preserve">Zie onder meer P.H.P.H.M.C. van Kempen, </w:t>
      </w:r>
      <w:r w:rsidRPr="00C04A94">
        <w:rPr>
          <w:rFonts w:ascii="Times New Roman" w:hAnsi="Times New Roman" w:cs="Times New Roman"/>
          <w:i/>
        </w:rPr>
        <w:t>Repressie door mensenrechten, Nijmegen 2008</w:t>
      </w:r>
      <w:r w:rsidRPr="00C04A94">
        <w:rPr>
          <w:rFonts w:ascii="Times New Roman" w:hAnsi="Times New Roman" w:cs="Times New Roman"/>
        </w:rPr>
        <w:t>;</w:t>
      </w:r>
      <w:r>
        <w:rPr>
          <w:rFonts w:ascii="Times New Roman" w:hAnsi="Times New Roman" w:cs="Times New Roman"/>
        </w:rPr>
        <w:t xml:space="preserve"> </w:t>
      </w:r>
      <w:r w:rsidRPr="00C04A94">
        <w:rPr>
          <w:rFonts w:ascii="Times New Roman" w:hAnsi="Times New Roman" w:cs="Times New Roman"/>
        </w:rPr>
        <w:t>F, Vellinga-</w:t>
      </w:r>
      <w:proofErr w:type="spellStart"/>
      <w:r w:rsidRPr="00C04A94">
        <w:rPr>
          <w:rFonts w:ascii="Times New Roman" w:hAnsi="Times New Roman" w:cs="Times New Roman"/>
        </w:rPr>
        <w:t>Schootstra</w:t>
      </w:r>
      <w:proofErr w:type="spellEnd"/>
      <w:r w:rsidRPr="00C04A94">
        <w:rPr>
          <w:rFonts w:ascii="Times New Roman" w:hAnsi="Times New Roman" w:cs="Times New Roman"/>
        </w:rPr>
        <w:t xml:space="preserve"> en W.</w:t>
      </w:r>
      <w:r w:rsidRPr="00C04A94">
        <w:rPr>
          <w:rFonts w:ascii="Times New Roman" w:hAnsi="Times New Roman" w:cs="Times New Roman"/>
        </w:rPr>
        <w:tab/>
        <w:t>Vellinga</w:t>
      </w:r>
      <w:r w:rsidRPr="00C04A94">
        <w:rPr>
          <w:rFonts w:ascii="Times New Roman" w:hAnsi="Times New Roman" w:cs="Times New Roman"/>
        </w:rPr>
        <w:tab/>
        <w:t xml:space="preserve">, </w:t>
      </w:r>
      <w:proofErr w:type="spellStart"/>
      <w:r w:rsidRPr="00C04A94">
        <w:rPr>
          <w:rFonts w:ascii="Times New Roman" w:hAnsi="Times New Roman" w:cs="Times New Roman"/>
          <w:i/>
        </w:rPr>
        <w:t>Positive</w:t>
      </w:r>
      <w:proofErr w:type="spellEnd"/>
      <w:r w:rsidRPr="00C04A94">
        <w:rPr>
          <w:rFonts w:ascii="Times New Roman" w:hAnsi="Times New Roman" w:cs="Times New Roman"/>
          <w:i/>
        </w:rPr>
        <w:t xml:space="preserve"> </w:t>
      </w:r>
      <w:proofErr w:type="spellStart"/>
      <w:r w:rsidRPr="00C04A94">
        <w:rPr>
          <w:rFonts w:ascii="Times New Roman" w:hAnsi="Times New Roman" w:cs="Times New Roman"/>
          <w:i/>
        </w:rPr>
        <w:t>Obligations</w:t>
      </w:r>
      <w:proofErr w:type="spellEnd"/>
      <w:r w:rsidRPr="00C04A94">
        <w:rPr>
          <w:rFonts w:ascii="Times New Roman" w:hAnsi="Times New Roman" w:cs="Times New Roman"/>
          <w:i/>
        </w:rPr>
        <w:t xml:space="preserve"> in het Nederlandse straf(proces)recht</w:t>
      </w:r>
      <w:r w:rsidRPr="00C04A94">
        <w:rPr>
          <w:rFonts w:ascii="Times New Roman" w:hAnsi="Times New Roman" w:cs="Times New Roman"/>
        </w:rPr>
        <w:t xml:space="preserve">, Deventer 2008 en J. de Hullu, a.w. </w:t>
      </w:r>
      <w:proofErr w:type="spellStart"/>
      <w:r w:rsidRPr="00C04A94">
        <w:rPr>
          <w:rFonts w:ascii="Times New Roman" w:hAnsi="Times New Roman" w:cs="Times New Roman"/>
        </w:rPr>
        <w:t>hfst</w:t>
      </w:r>
      <w:proofErr w:type="spellEnd"/>
      <w:r w:rsidRPr="00C04A94">
        <w:rPr>
          <w:rFonts w:ascii="Times New Roman" w:hAnsi="Times New Roman" w:cs="Times New Roman"/>
        </w:rPr>
        <w:t>.</w:t>
      </w:r>
      <w:r>
        <w:rPr>
          <w:rFonts w:ascii="Times New Roman" w:hAnsi="Times New Roman" w:cs="Times New Roman"/>
        </w:rPr>
        <w:t xml:space="preserve"> </w:t>
      </w:r>
      <w:r w:rsidRPr="00C04A94">
        <w:rPr>
          <w:rFonts w:ascii="Times New Roman" w:hAnsi="Times New Roman" w:cs="Times New Roman"/>
        </w:rPr>
        <w:t>I.4.2.</w:t>
      </w:r>
    </w:p>
  </w:footnote>
  <w:footnote w:id="56">
    <w:p w:rsidR="0078019A" w:rsidRPr="008E605D" w:rsidRDefault="0078019A">
      <w:pPr>
        <w:pStyle w:val="FootnoteText"/>
        <w:rPr>
          <w:rFonts w:ascii="Times New Roman" w:hAnsi="Times New Roman" w:cs="Times New Roman"/>
        </w:rPr>
      </w:pPr>
      <w:r w:rsidRPr="008E605D">
        <w:rPr>
          <w:rStyle w:val="FootnoteReference"/>
          <w:rFonts w:ascii="Times New Roman" w:hAnsi="Times New Roman"/>
        </w:rPr>
        <w:footnoteRef/>
      </w:r>
      <w:r w:rsidRPr="008E605D">
        <w:rPr>
          <w:rFonts w:ascii="Times New Roman" w:hAnsi="Times New Roman" w:cs="Times New Roman"/>
        </w:rPr>
        <w:t xml:space="preserve"> Er wordt weliswaar op diverse plaatsen in de Contourennota en </w:t>
      </w:r>
      <w:r w:rsidR="00770EE4">
        <w:rPr>
          <w:rFonts w:ascii="Times New Roman" w:hAnsi="Times New Roman" w:cs="Times New Roman"/>
        </w:rPr>
        <w:t xml:space="preserve">de </w:t>
      </w:r>
      <w:r w:rsidRPr="008E605D">
        <w:rPr>
          <w:rFonts w:ascii="Times New Roman" w:hAnsi="Times New Roman" w:cs="Times New Roman"/>
        </w:rPr>
        <w:t>begeleidende br</w:t>
      </w:r>
      <w:r w:rsidR="00770EE4">
        <w:rPr>
          <w:rFonts w:ascii="Times New Roman" w:hAnsi="Times New Roman" w:cs="Times New Roman"/>
        </w:rPr>
        <w:t xml:space="preserve">ief </w:t>
      </w:r>
      <w:r w:rsidRPr="008E605D">
        <w:rPr>
          <w:rFonts w:ascii="Times New Roman" w:hAnsi="Times New Roman" w:cs="Times New Roman"/>
        </w:rPr>
        <w:t xml:space="preserve">ingegaan op het EVRM en op Europeesrechtelijke ontwikkelingen , maar niet in de hier bedoelde systematische zin. </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94E683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635BED"/>
    <w:multiLevelType w:val="hybridMultilevel"/>
    <w:tmpl w:val="2B6E70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66A04EB"/>
    <w:multiLevelType w:val="hybridMultilevel"/>
    <w:tmpl w:val="F45047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54A3422D"/>
    <w:multiLevelType w:val="hybridMultilevel"/>
    <w:tmpl w:val="5AB09EAC"/>
    <w:lvl w:ilvl="0" w:tplc="1F02EC7E">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33A52D3"/>
    <w:multiLevelType w:val="hybridMultilevel"/>
    <w:tmpl w:val="0C1C0C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8646F2F"/>
    <w:multiLevelType w:val="hybridMultilevel"/>
    <w:tmpl w:val="247CED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51"/>
    <w:rsid w:val="00005AA6"/>
    <w:rsid w:val="00006C18"/>
    <w:rsid w:val="00024D7F"/>
    <w:rsid w:val="00035245"/>
    <w:rsid w:val="00042898"/>
    <w:rsid w:val="00045FDB"/>
    <w:rsid w:val="00047FC8"/>
    <w:rsid w:val="00057758"/>
    <w:rsid w:val="0006036B"/>
    <w:rsid w:val="00060632"/>
    <w:rsid w:val="00075921"/>
    <w:rsid w:val="00080F0F"/>
    <w:rsid w:val="00083039"/>
    <w:rsid w:val="0009082D"/>
    <w:rsid w:val="00093470"/>
    <w:rsid w:val="00093997"/>
    <w:rsid w:val="000A0003"/>
    <w:rsid w:val="000A294E"/>
    <w:rsid w:val="000A691B"/>
    <w:rsid w:val="000B0C46"/>
    <w:rsid w:val="000B1073"/>
    <w:rsid w:val="000B1E34"/>
    <w:rsid w:val="000C450D"/>
    <w:rsid w:val="000D1695"/>
    <w:rsid w:val="000F26A5"/>
    <w:rsid w:val="000F3196"/>
    <w:rsid w:val="000F4855"/>
    <w:rsid w:val="000F7303"/>
    <w:rsid w:val="00103640"/>
    <w:rsid w:val="00117BA9"/>
    <w:rsid w:val="00130AC3"/>
    <w:rsid w:val="001423BE"/>
    <w:rsid w:val="00142DE9"/>
    <w:rsid w:val="0015044F"/>
    <w:rsid w:val="00154AED"/>
    <w:rsid w:val="00163F7D"/>
    <w:rsid w:val="00194071"/>
    <w:rsid w:val="001A4150"/>
    <w:rsid w:val="001B27A1"/>
    <w:rsid w:val="001C5D2E"/>
    <w:rsid w:val="001D4BC5"/>
    <w:rsid w:val="001D7CA9"/>
    <w:rsid w:val="001E4107"/>
    <w:rsid w:val="00205D4C"/>
    <w:rsid w:val="0020624F"/>
    <w:rsid w:val="00206F93"/>
    <w:rsid w:val="0022549B"/>
    <w:rsid w:val="002267BC"/>
    <w:rsid w:val="002475E5"/>
    <w:rsid w:val="002615B7"/>
    <w:rsid w:val="00272A4A"/>
    <w:rsid w:val="00290865"/>
    <w:rsid w:val="00290F81"/>
    <w:rsid w:val="00291AA9"/>
    <w:rsid w:val="0029544A"/>
    <w:rsid w:val="002B105D"/>
    <w:rsid w:val="002B20B0"/>
    <w:rsid w:val="002B3EA2"/>
    <w:rsid w:val="002C4631"/>
    <w:rsid w:val="002C54D9"/>
    <w:rsid w:val="002D574A"/>
    <w:rsid w:val="002F33E8"/>
    <w:rsid w:val="002F57AC"/>
    <w:rsid w:val="0030159F"/>
    <w:rsid w:val="003024FA"/>
    <w:rsid w:val="00315999"/>
    <w:rsid w:val="00324076"/>
    <w:rsid w:val="003330D7"/>
    <w:rsid w:val="003349E4"/>
    <w:rsid w:val="00335ED4"/>
    <w:rsid w:val="00340516"/>
    <w:rsid w:val="00340CCE"/>
    <w:rsid w:val="00361A3C"/>
    <w:rsid w:val="00377B12"/>
    <w:rsid w:val="003841F8"/>
    <w:rsid w:val="003848AD"/>
    <w:rsid w:val="00384BFF"/>
    <w:rsid w:val="00385478"/>
    <w:rsid w:val="0038630E"/>
    <w:rsid w:val="00390DB2"/>
    <w:rsid w:val="003A1D26"/>
    <w:rsid w:val="003A4BAE"/>
    <w:rsid w:val="003B0180"/>
    <w:rsid w:val="003B2A8E"/>
    <w:rsid w:val="003B349D"/>
    <w:rsid w:val="003C2461"/>
    <w:rsid w:val="003C37F6"/>
    <w:rsid w:val="003D6E53"/>
    <w:rsid w:val="003D7B29"/>
    <w:rsid w:val="003E7B5D"/>
    <w:rsid w:val="003F09D4"/>
    <w:rsid w:val="003F4A63"/>
    <w:rsid w:val="003F5276"/>
    <w:rsid w:val="003F5675"/>
    <w:rsid w:val="004035F0"/>
    <w:rsid w:val="00420449"/>
    <w:rsid w:val="004258A9"/>
    <w:rsid w:val="00433FB5"/>
    <w:rsid w:val="00434920"/>
    <w:rsid w:val="00434AFD"/>
    <w:rsid w:val="004404C2"/>
    <w:rsid w:val="00446D77"/>
    <w:rsid w:val="004507DA"/>
    <w:rsid w:val="00455EDB"/>
    <w:rsid w:val="00462F03"/>
    <w:rsid w:val="004731A5"/>
    <w:rsid w:val="0047622E"/>
    <w:rsid w:val="0047633A"/>
    <w:rsid w:val="004A1251"/>
    <w:rsid w:val="004D1A3D"/>
    <w:rsid w:val="004D2E48"/>
    <w:rsid w:val="004D58FC"/>
    <w:rsid w:val="004E1C6A"/>
    <w:rsid w:val="004F351A"/>
    <w:rsid w:val="004F4E38"/>
    <w:rsid w:val="004F5CE4"/>
    <w:rsid w:val="005009AC"/>
    <w:rsid w:val="005023A8"/>
    <w:rsid w:val="00506DBF"/>
    <w:rsid w:val="00507259"/>
    <w:rsid w:val="00507617"/>
    <w:rsid w:val="00516CF9"/>
    <w:rsid w:val="005256FF"/>
    <w:rsid w:val="00527AF2"/>
    <w:rsid w:val="00537183"/>
    <w:rsid w:val="005404D5"/>
    <w:rsid w:val="005513BD"/>
    <w:rsid w:val="0055468B"/>
    <w:rsid w:val="005664C7"/>
    <w:rsid w:val="00576250"/>
    <w:rsid w:val="00581AA0"/>
    <w:rsid w:val="005A47EC"/>
    <w:rsid w:val="005B1892"/>
    <w:rsid w:val="005B1C1A"/>
    <w:rsid w:val="005B75D9"/>
    <w:rsid w:val="005E1B2F"/>
    <w:rsid w:val="005F02EF"/>
    <w:rsid w:val="00602392"/>
    <w:rsid w:val="0060488F"/>
    <w:rsid w:val="00613B8D"/>
    <w:rsid w:val="00617308"/>
    <w:rsid w:val="00622959"/>
    <w:rsid w:val="0063395A"/>
    <w:rsid w:val="0063548C"/>
    <w:rsid w:val="00637E64"/>
    <w:rsid w:val="00641811"/>
    <w:rsid w:val="00652087"/>
    <w:rsid w:val="00667005"/>
    <w:rsid w:val="0068398C"/>
    <w:rsid w:val="0068498A"/>
    <w:rsid w:val="00692EEC"/>
    <w:rsid w:val="00696185"/>
    <w:rsid w:val="00697977"/>
    <w:rsid w:val="006A2AED"/>
    <w:rsid w:val="006B380D"/>
    <w:rsid w:val="006C3838"/>
    <w:rsid w:val="006C4094"/>
    <w:rsid w:val="006D354F"/>
    <w:rsid w:val="006F3657"/>
    <w:rsid w:val="006F5D70"/>
    <w:rsid w:val="007003CD"/>
    <w:rsid w:val="00703A23"/>
    <w:rsid w:val="007300DF"/>
    <w:rsid w:val="00757F80"/>
    <w:rsid w:val="00761E97"/>
    <w:rsid w:val="00763509"/>
    <w:rsid w:val="00770EE4"/>
    <w:rsid w:val="007773D5"/>
    <w:rsid w:val="00777A7A"/>
    <w:rsid w:val="0078019A"/>
    <w:rsid w:val="007860BF"/>
    <w:rsid w:val="007B043B"/>
    <w:rsid w:val="007B2E42"/>
    <w:rsid w:val="007C5808"/>
    <w:rsid w:val="007D19E4"/>
    <w:rsid w:val="007D7574"/>
    <w:rsid w:val="007D7596"/>
    <w:rsid w:val="007E332B"/>
    <w:rsid w:val="007F1F66"/>
    <w:rsid w:val="007F5652"/>
    <w:rsid w:val="007F7A26"/>
    <w:rsid w:val="0080089F"/>
    <w:rsid w:val="00800F27"/>
    <w:rsid w:val="00803913"/>
    <w:rsid w:val="00823084"/>
    <w:rsid w:val="00842D81"/>
    <w:rsid w:val="0084333E"/>
    <w:rsid w:val="00844B23"/>
    <w:rsid w:val="00847968"/>
    <w:rsid w:val="008565CE"/>
    <w:rsid w:val="0086369C"/>
    <w:rsid w:val="008718B9"/>
    <w:rsid w:val="0088340E"/>
    <w:rsid w:val="00890AEA"/>
    <w:rsid w:val="008943DE"/>
    <w:rsid w:val="008B31BB"/>
    <w:rsid w:val="008E19AD"/>
    <w:rsid w:val="008E605D"/>
    <w:rsid w:val="008F1803"/>
    <w:rsid w:val="008F6D71"/>
    <w:rsid w:val="00900458"/>
    <w:rsid w:val="009014F2"/>
    <w:rsid w:val="00901A94"/>
    <w:rsid w:val="009037CA"/>
    <w:rsid w:val="009039D4"/>
    <w:rsid w:val="00903E63"/>
    <w:rsid w:val="0091492E"/>
    <w:rsid w:val="009371FA"/>
    <w:rsid w:val="0094276B"/>
    <w:rsid w:val="00945B4A"/>
    <w:rsid w:val="00960043"/>
    <w:rsid w:val="00962361"/>
    <w:rsid w:val="0096782D"/>
    <w:rsid w:val="00967F1A"/>
    <w:rsid w:val="009774B5"/>
    <w:rsid w:val="00981CE7"/>
    <w:rsid w:val="00986B92"/>
    <w:rsid w:val="00992200"/>
    <w:rsid w:val="009925BE"/>
    <w:rsid w:val="0099606A"/>
    <w:rsid w:val="009C41EC"/>
    <w:rsid w:val="009C546B"/>
    <w:rsid w:val="009D2A3E"/>
    <w:rsid w:val="009E1E18"/>
    <w:rsid w:val="009E6B53"/>
    <w:rsid w:val="009F69EA"/>
    <w:rsid w:val="00A10076"/>
    <w:rsid w:val="00A27CE3"/>
    <w:rsid w:val="00A35EE8"/>
    <w:rsid w:val="00A36697"/>
    <w:rsid w:val="00A37717"/>
    <w:rsid w:val="00A52CD8"/>
    <w:rsid w:val="00A76A67"/>
    <w:rsid w:val="00A813E7"/>
    <w:rsid w:val="00A85448"/>
    <w:rsid w:val="00A85C59"/>
    <w:rsid w:val="00A93986"/>
    <w:rsid w:val="00AA1836"/>
    <w:rsid w:val="00AA6AB9"/>
    <w:rsid w:val="00AC0E84"/>
    <w:rsid w:val="00AD1C63"/>
    <w:rsid w:val="00AD5ED8"/>
    <w:rsid w:val="00AE268D"/>
    <w:rsid w:val="00AE3E19"/>
    <w:rsid w:val="00AE5089"/>
    <w:rsid w:val="00AE5145"/>
    <w:rsid w:val="00B00C2D"/>
    <w:rsid w:val="00B27120"/>
    <w:rsid w:val="00B35F84"/>
    <w:rsid w:val="00B36897"/>
    <w:rsid w:val="00B4290E"/>
    <w:rsid w:val="00B73CA8"/>
    <w:rsid w:val="00B81980"/>
    <w:rsid w:val="00B94A6E"/>
    <w:rsid w:val="00B96C37"/>
    <w:rsid w:val="00BA4D94"/>
    <w:rsid w:val="00BA52DC"/>
    <w:rsid w:val="00BB617A"/>
    <w:rsid w:val="00BC1EF3"/>
    <w:rsid w:val="00BC3F01"/>
    <w:rsid w:val="00BC4ED4"/>
    <w:rsid w:val="00BC6314"/>
    <w:rsid w:val="00BD303D"/>
    <w:rsid w:val="00BE6A26"/>
    <w:rsid w:val="00BF00A9"/>
    <w:rsid w:val="00BF1DDE"/>
    <w:rsid w:val="00BF5AB7"/>
    <w:rsid w:val="00BF60ED"/>
    <w:rsid w:val="00C00845"/>
    <w:rsid w:val="00C04A94"/>
    <w:rsid w:val="00C106A0"/>
    <w:rsid w:val="00C157B4"/>
    <w:rsid w:val="00C1587D"/>
    <w:rsid w:val="00C228F1"/>
    <w:rsid w:val="00C300DF"/>
    <w:rsid w:val="00C35FB7"/>
    <w:rsid w:val="00C42EC6"/>
    <w:rsid w:val="00C54EE1"/>
    <w:rsid w:val="00C613EE"/>
    <w:rsid w:val="00C654F2"/>
    <w:rsid w:val="00C65FE0"/>
    <w:rsid w:val="00C716A5"/>
    <w:rsid w:val="00C735CB"/>
    <w:rsid w:val="00C83052"/>
    <w:rsid w:val="00C830CD"/>
    <w:rsid w:val="00C87746"/>
    <w:rsid w:val="00C92DA2"/>
    <w:rsid w:val="00CC5CB6"/>
    <w:rsid w:val="00CD36E8"/>
    <w:rsid w:val="00CD47D7"/>
    <w:rsid w:val="00CE1BC7"/>
    <w:rsid w:val="00CE41B0"/>
    <w:rsid w:val="00CF1B9D"/>
    <w:rsid w:val="00CF2CA9"/>
    <w:rsid w:val="00D02EA7"/>
    <w:rsid w:val="00D11F08"/>
    <w:rsid w:val="00D2115D"/>
    <w:rsid w:val="00D31DB1"/>
    <w:rsid w:val="00D404C3"/>
    <w:rsid w:val="00D45923"/>
    <w:rsid w:val="00D472A4"/>
    <w:rsid w:val="00D47B93"/>
    <w:rsid w:val="00D54621"/>
    <w:rsid w:val="00D56E03"/>
    <w:rsid w:val="00D57E41"/>
    <w:rsid w:val="00D65086"/>
    <w:rsid w:val="00D94CD9"/>
    <w:rsid w:val="00DA4972"/>
    <w:rsid w:val="00DD6922"/>
    <w:rsid w:val="00DF58E2"/>
    <w:rsid w:val="00DF6305"/>
    <w:rsid w:val="00DF6759"/>
    <w:rsid w:val="00E0505F"/>
    <w:rsid w:val="00E10B49"/>
    <w:rsid w:val="00E1269F"/>
    <w:rsid w:val="00E226DB"/>
    <w:rsid w:val="00E24B16"/>
    <w:rsid w:val="00E25BD3"/>
    <w:rsid w:val="00E270D8"/>
    <w:rsid w:val="00E30FB7"/>
    <w:rsid w:val="00E32221"/>
    <w:rsid w:val="00E47F7E"/>
    <w:rsid w:val="00E52A02"/>
    <w:rsid w:val="00E6703B"/>
    <w:rsid w:val="00E85A9D"/>
    <w:rsid w:val="00EA56CF"/>
    <w:rsid w:val="00EB5579"/>
    <w:rsid w:val="00EC256D"/>
    <w:rsid w:val="00EC2F8F"/>
    <w:rsid w:val="00EC7B1D"/>
    <w:rsid w:val="00ED3958"/>
    <w:rsid w:val="00EF0520"/>
    <w:rsid w:val="00EF1F48"/>
    <w:rsid w:val="00F02394"/>
    <w:rsid w:val="00F067BA"/>
    <w:rsid w:val="00F06BD5"/>
    <w:rsid w:val="00F25AC8"/>
    <w:rsid w:val="00F564FF"/>
    <w:rsid w:val="00F60D56"/>
    <w:rsid w:val="00F61571"/>
    <w:rsid w:val="00F7710D"/>
    <w:rsid w:val="00F77B37"/>
    <w:rsid w:val="00F810BF"/>
    <w:rsid w:val="00F819D0"/>
    <w:rsid w:val="00F87C1E"/>
    <w:rsid w:val="00FA48E1"/>
    <w:rsid w:val="00FC5A0F"/>
    <w:rsid w:val="00FC5C04"/>
    <w:rsid w:val="00FE425C"/>
    <w:rsid w:val="00FF6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unhideWhenUsed/>
    <w:rsid w:val="004A1251"/>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1"/>
    <w:uiPriority w:val="99"/>
    <w:locked/>
    <w:rsid w:val="004A1251"/>
    <w:rPr>
      <w:rFonts w:eastAsia="Times New Roman" w:cs="Times New Roman"/>
      <w:sz w:val="20"/>
      <w:szCs w:val="20"/>
    </w:rPr>
  </w:style>
  <w:style w:type="character" w:styleId="FootnoteReference">
    <w:name w:val="footnote reference"/>
    <w:basedOn w:val="DefaultParagraphFont"/>
    <w:uiPriority w:val="99"/>
    <w:unhideWhenUsed/>
    <w:rsid w:val="004A1251"/>
    <w:rPr>
      <w:rFonts w:cs="Times New Roman"/>
      <w:vertAlign w:val="superscript"/>
    </w:rPr>
  </w:style>
  <w:style w:type="paragraph" w:styleId="FootnoteText">
    <w:name w:val="footnote text"/>
    <w:basedOn w:val="Normal"/>
    <w:link w:val="FootnoteTextChar1"/>
    <w:uiPriority w:val="99"/>
    <w:semiHidden/>
    <w:unhideWhenUsed/>
    <w:rsid w:val="004A1251"/>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4A1251"/>
    <w:rPr>
      <w:sz w:val="20"/>
      <w:szCs w:val="20"/>
    </w:rPr>
  </w:style>
  <w:style w:type="paragraph" w:styleId="ListParagraph">
    <w:name w:val="List Paragraph"/>
    <w:basedOn w:val="Normal"/>
    <w:uiPriority w:val="34"/>
    <w:qFormat/>
    <w:rsid w:val="00CF2CA9"/>
    <w:pPr>
      <w:ind w:left="720"/>
      <w:contextualSpacing/>
    </w:pPr>
  </w:style>
  <w:style w:type="paragraph" w:styleId="Header">
    <w:name w:val="header"/>
    <w:basedOn w:val="Normal"/>
    <w:link w:val="HeaderChar"/>
    <w:uiPriority w:val="99"/>
    <w:unhideWhenUsed/>
    <w:rsid w:val="008B31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31BB"/>
  </w:style>
  <w:style w:type="paragraph" w:styleId="Footer">
    <w:name w:val="footer"/>
    <w:basedOn w:val="Normal"/>
    <w:link w:val="FooterChar"/>
    <w:uiPriority w:val="99"/>
    <w:unhideWhenUsed/>
    <w:rsid w:val="008B31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31BB"/>
  </w:style>
  <w:style w:type="paragraph" w:customStyle="1" w:styleId="Default">
    <w:name w:val="Default"/>
    <w:rsid w:val="005256FF"/>
    <w:pPr>
      <w:autoSpaceDE w:val="0"/>
      <w:autoSpaceDN w:val="0"/>
      <w:adjustRightInd w:val="0"/>
      <w:spacing w:after="0" w:line="240" w:lineRule="auto"/>
    </w:pPr>
    <w:rPr>
      <w:rFonts w:ascii="Verdana" w:hAnsi="Verdana" w:cs="Verdana"/>
      <w:color w:val="000000"/>
      <w:sz w:val="24"/>
      <w:szCs w:val="24"/>
    </w:rPr>
  </w:style>
  <w:style w:type="paragraph" w:styleId="EndnoteText">
    <w:name w:val="endnote text"/>
    <w:basedOn w:val="Normal"/>
    <w:link w:val="EndnoteTextChar"/>
    <w:uiPriority w:val="99"/>
    <w:semiHidden/>
    <w:unhideWhenUsed/>
    <w:rsid w:val="009C41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41EC"/>
    <w:rPr>
      <w:sz w:val="20"/>
      <w:szCs w:val="20"/>
    </w:rPr>
  </w:style>
  <w:style w:type="character" w:styleId="EndnoteReference">
    <w:name w:val="endnote reference"/>
    <w:basedOn w:val="DefaultParagraphFont"/>
    <w:uiPriority w:val="99"/>
    <w:semiHidden/>
    <w:unhideWhenUsed/>
    <w:rsid w:val="009C41EC"/>
    <w:rPr>
      <w:vertAlign w:val="superscript"/>
    </w:rPr>
  </w:style>
  <w:style w:type="character" w:styleId="CommentReference">
    <w:name w:val="annotation reference"/>
    <w:basedOn w:val="DefaultParagraphFont"/>
    <w:uiPriority w:val="99"/>
    <w:semiHidden/>
    <w:unhideWhenUsed/>
    <w:rsid w:val="00C157B4"/>
    <w:rPr>
      <w:sz w:val="16"/>
      <w:szCs w:val="16"/>
    </w:rPr>
  </w:style>
  <w:style w:type="paragraph" w:styleId="CommentText">
    <w:name w:val="annotation text"/>
    <w:basedOn w:val="Normal"/>
    <w:link w:val="CommentTextChar"/>
    <w:uiPriority w:val="99"/>
    <w:unhideWhenUsed/>
    <w:rsid w:val="00C157B4"/>
    <w:pPr>
      <w:spacing w:line="240" w:lineRule="auto"/>
    </w:pPr>
    <w:rPr>
      <w:sz w:val="20"/>
      <w:szCs w:val="20"/>
    </w:rPr>
  </w:style>
  <w:style w:type="character" w:customStyle="1" w:styleId="CommentTextChar">
    <w:name w:val="Comment Text Char"/>
    <w:basedOn w:val="DefaultParagraphFont"/>
    <w:link w:val="CommentText"/>
    <w:uiPriority w:val="99"/>
    <w:rsid w:val="00C157B4"/>
    <w:rPr>
      <w:sz w:val="20"/>
      <w:szCs w:val="20"/>
    </w:rPr>
  </w:style>
  <w:style w:type="paragraph" w:styleId="CommentSubject">
    <w:name w:val="annotation subject"/>
    <w:basedOn w:val="CommentText"/>
    <w:next w:val="CommentText"/>
    <w:link w:val="CommentSubjectChar"/>
    <w:uiPriority w:val="99"/>
    <w:semiHidden/>
    <w:unhideWhenUsed/>
    <w:rsid w:val="00C157B4"/>
    <w:rPr>
      <w:b/>
      <w:bCs/>
    </w:rPr>
  </w:style>
  <w:style w:type="character" w:customStyle="1" w:styleId="CommentSubjectChar">
    <w:name w:val="Comment Subject Char"/>
    <w:basedOn w:val="CommentTextChar"/>
    <w:link w:val="CommentSubject"/>
    <w:uiPriority w:val="99"/>
    <w:semiHidden/>
    <w:rsid w:val="00C157B4"/>
    <w:rPr>
      <w:b/>
      <w:bCs/>
      <w:sz w:val="20"/>
      <w:szCs w:val="20"/>
    </w:rPr>
  </w:style>
  <w:style w:type="paragraph" w:styleId="BalloonText">
    <w:name w:val="Balloon Text"/>
    <w:basedOn w:val="Normal"/>
    <w:link w:val="BalloonTextChar"/>
    <w:uiPriority w:val="99"/>
    <w:semiHidden/>
    <w:unhideWhenUsed/>
    <w:rsid w:val="00C15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7B4"/>
    <w:rPr>
      <w:rFonts w:ascii="Tahoma" w:hAnsi="Tahoma" w:cs="Tahoma"/>
      <w:sz w:val="16"/>
      <w:szCs w:val="16"/>
    </w:rPr>
  </w:style>
  <w:style w:type="paragraph" w:styleId="ListBullet">
    <w:name w:val="List Bullet"/>
    <w:basedOn w:val="Normal"/>
    <w:uiPriority w:val="99"/>
    <w:unhideWhenUsed/>
    <w:rsid w:val="004E1C6A"/>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unhideWhenUsed/>
    <w:rsid w:val="004A1251"/>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1"/>
    <w:uiPriority w:val="99"/>
    <w:locked/>
    <w:rsid w:val="004A1251"/>
    <w:rPr>
      <w:rFonts w:eastAsia="Times New Roman" w:cs="Times New Roman"/>
      <w:sz w:val="20"/>
      <w:szCs w:val="20"/>
    </w:rPr>
  </w:style>
  <w:style w:type="character" w:styleId="FootnoteReference">
    <w:name w:val="footnote reference"/>
    <w:basedOn w:val="DefaultParagraphFont"/>
    <w:uiPriority w:val="99"/>
    <w:unhideWhenUsed/>
    <w:rsid w:val="004A1251"/>
    <w:rPr>
      <w:rFonts w:cs="Times New Roman"/>
      <w:vertAlign w:val="superscript"/>
    </w:rPr>
  </w:style>
  <w:style w:type="paragraph" w:styleId="FootnoteText">
    <w:name w:val="footnote text"/>
    <w:basedOn w:val="Normal"/>
    <w:link w:val="FootnoteTextChar1"/>
    <w:uiPriority w:val="99"/>
    <w:semiHidden/>
    <w:unhideWhenUsed/>
    <w:rsid w:val="004A1251"/>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4A1251"/>
    <w:rPr>
      <w:sz w:val="20"/>
      <w:szCs w:val="20"/>
    </w:rPr>
  </w:style>
  <w:style w:type="paragraph" w:styleId="ListParagraph">
    <w:name w:val="List Paragraph"/>
    <w:basedOn w:val="Normal"/>
    <w:uiPriority w:val="34"/>
    <w:qFormat/>
    <w:rsid w:val="00CF2CA9"/>
    <w:pPr>
      <w:ind w:left="720"/>
      <w:contextualSpacing/>
    </w:pPr>
  </w:style>
  <w:style w:type="paragraph" w:styleId="Header">
    <w:name w:val="header"/>
    <w:basedOn w:val="Normal"/>
    <w:link w:val="HeaderChar"/>
    <w:uiPriority w:val="99"/>
    <w:unhideWhenUsed/>
    <w:rsid w:val="008B31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31BB"/>
  </w:style>
  <w:style w:type="paragraph" w:styleId="Footer">
    <w:name w:val="footer"/>
    <w:basedOn w:val="Normal"/>
    <w:link w:val="FooterChar"/>
    <w:uiPriority w:val="99"/>
    <w:unhideWhenUsed/>
    <w:rsid w:val="008B31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31BB"/>
  </w:style>
  <w:style w:type="paragraph" w:customStyle="1" w:styleId="Default">
    <w:name w:val="Default"/>
    <w:rsid w:val="005256FF"/>
    <w:pPr>
      <w:autoSpaceDE w:val="0"/>
      <w:autoSpaceDN w:val="0"/>
      <w:adjustRightInd w:val="0"/>
      <w:spacing w:after="0" w:line="240" w:lineRule="auto"/>
    </w:pPr>
    <w:rPr>
      <w:rFonts w:ascii="Verdana" w:hAnsi="Verdana" w:cs="Verdana"/>
      <w:color w:val="000000"/>
      <w:sz w:val="24"/>
      <w:szCs w:val="24"/>
    </w:rPr>
  </w:style>
  <w:style w:type="paragraph" w:styleId="EndnoteText">
    <w:name w:val="endnote text"/>
    <w:basedOn w:val="Normal"/>
    <w:link w:val="EndnoteTextChar"/>
    <w:uiPriority w:val="99"/>
    <w:semiHidden/>
    <w:unhideWhenUsed/>
    <w:rsid w:val="009C41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41EC"/>
    <w:rPr>
      <w:sz w:val="20"/>
      <w:szCs w:val="20"/>
    </w:rPr>
  </w:style>
  <w:style w:type="character" w:styleId="EndnoteReference">
    <w:name w:val="endnote reference"/>
    <w:basedOn w:val="DefaultParagraphFont"/>
    <w:uiPriority w:val="99"/>
    <w:semiHidden/>
    <w:unhideWhenUsed/>
    <w:rsid w:val="009C41EC"/>
    <w:rPr>
      <w:vertAlign w:val="superscript"/>
    </w:rPr>
  </w:style>
  <w:style w:type="character" w:styleId="CommentReference">
    <w:name w:val="annotation reference"/>
    <w:basedOn w:val="DefaultParagraphFont"/>
    <w:uiPriority w:val="99"/>
    <w:semiHidden/>
    <w:unhideWhenUsed/>
    <w:rsid w:val="00C157B4"/>
    <w:rPr>
      <w:sz w:val="16"/>
      <w:szCs w:val="16"/>
    </w:rPr>
  </w:style>
  <w:style w:type="paragraph" w:styleId="CommentText">
    <w:name w:val="annotation text"/>
    <w:basedOn w:val="Normal"/>
    <w:link w:val="CommentTextChar"/>
    <w:uiPriority w:val="99"/>
    <w:unhideWhenUsed/>
    <w:rsid w:val="00C157B4"/>
    <w:pPr>
      <w:spacing w:line="240" w:lineRule="auto"/>
    </w:pPr>
    <w:rPr>
      <w:sz w:val="20"/>
      <w:szCs w:val="20"/>
    </w:rPr>
  </w:style>
  <w:style w:type="character" w:customStyle="1" w:styleId="CommentTextChar">
    <w:name w:val="Comment Text Char"/>
    <w:basedOn w:val="DefaultParagraphFont"/>
    <w:link w:val="CommentText"/>
    <w:uiPriority w:val="99"/>
    <w:rsid w:val="00C157B4"/>
    <w:rPr>
      <w:sz w:val="20"/>
      <w:szCs w:val="20"/>
    </w:rPr>
  </w:style>
  <w:style w:type="paragraph" w:styleId="CommentSubject">
    <w:name w:val="annotation subject"/>
    <w:basedOn w:val="CommentText"/>
    <w:next w:val="CommentText"/>
    <w:link w:val="CommentSubjectChar"/>
    <w:uiPriority w:val="99"/>
    <w:semiHidden/>
    <w:unhideWhenUsed/>
    <w:rsid w:val="00C157B4"/>
    <w:rPr>
      <w:b/>
      <w:bCs/>
    </w:rPr>
  </w:style>
  <w:style w:type="character" w:customStyle="1" w:styleId="CommentSubjectChar">
    <w:name w:val="Comment Subject Char"/>
    <w:basedOn w:val="CommentTextChar"/>
    <w:link w:val="CommentSubject"/>
    <w:uiPriority w:val="99"/>
    <w:semiHidden/>
    <w:rsid w:val="00C157B4"/>
    <w:rPr>
      <w:b/>
      <w:bCs/>
      <w:sz w:val="20"/>
      <w:szCs w:val="20"/>
    </w:rPr>
  </w:style>
  <w:style w:type="paragraph" w:styleId="BalloonText">
    <w:name w:val="Balloon Text"/>
    <w:basedOn w:val="Normal"/>
    <w:link w:val="BalloonTextChar"/>
    <w:uiPriority w:val="99"/>
    <w:semiHidden/>
    <w:unhideWhenUsed/>
    <w:rsid w:val="00C15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7B4"/>
    <w:rPr>
      <w:rFonts w:ascii="Tahoma" w:hAnsi="Tahoma" w:cs="Tahoma"/>
      <w:sz w:val="16"/>
      <w:szCs w:val="16"/>
    </w:rPr>
  </w:style>
  <w:style w:type="paragraph" w:styleId="ListBullet">
    <w:name w:val="List Bullet"/>
    <w:basedOn w:val="Normal"/>
    <w:uiPriority w:val="99"/>
    <w:unhideWhenUsed/>
    <w:rsid w:val="004E1C6A"/>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6349</ap:Words>
  <ap:Characters>34923</ap:Characters>
  <ap:DocSecurity>0</ap:DocSecurity>
  <ap:Lines>291</ap:Lines>
  <ap:Paragraphs>82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41190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2015-09-01T12:48:00.0000000Z</lastPrinted>
  <dcterms:created xsi:type="dcterms:W3CDTF">2015-09-04T13:03:00.0000000Z</dcterms:created>
  <dcterms:modified xsi:type="dcterms:W3CDTF">2015-09-04T13:03:00.0000000Z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0x010100BB216B4F62EBC4449E5C26801118F540</vt:lpwstr>
  </property>
</Properties>
</file>